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342997A6" w:rsidR="000A7622" w:rsidRPr="00C04F25" w:rsidRDefault="002C3E8B" w:rsidP="00D14423">
      <w:pPr>
        <w:autoSpaceDE w:val="0"/>
        <w:autoSpaceDN w:val="0"/>
        <w:adjustRightInd w:val="0"/>
        <w:rPr>
          <w:rFonts w:cstheme="minorHAnsi"/>
          <w:b/>
          <w:bCs/>
          <w:i/>
          <w:iCs/>
          <w:sz w:val="32"/>
          <w:szCs w:val="32"/>
        </w:rPr>
      </w:pPr>
      <w:r>
        <w:rPr>
          <w:rFonts w:cstheme="minorHAnsi"/>
          <w:b/>
          <w:bCs/>
          <w:i/>
          <w:iCs/>
          <w:sz w:val="32"/>
          <w:szCs w:val="32"/>
        </w:rPr>
        <w:t xml:space="preserve">Theology </w:t>
      </w:r>
      <w:r w:rsidR="000A7622" w:rsidRPr="00C04F25">
        <w:rPr>
          <w:rFonts w:cstheme="minorHAnsi"/>
          <w:b/>
          <w:bCs/>
          <w:i/>
          <w:iCs/>
          <w:sz w:val="32"/>
          <w:szCs w:val="32"/>
        </w:rPr>
        <w:t>Faculty Research and Publications/</w:t>
      </w:r>
      <w:r w:rsidR="009732A9">
        <w:rPr>
          <w:rFonts w:cstheme="minorHAnsi"/>
          <w:b/>
          <w:bCs/>
          <w:i/>
          <w:iCs/>
          <w:sz w:val="32"/>
          <w:szCs w:val="32"/>
        </w:rPr>
        <w:t xml:space="preserve">College of </w:t>
      </w:r>
      <w:r>
        <w:rPr>
          <w:rFonts w:cstheme="minorHAnsi"/>
          <w:b/>
          <w:bCs/>
          <w:i/>
          <w:iCs/>
          <w:sz w:val="32"/>
          <w:szCs w:val="32"/>
        </w:rPr>
        <w:t>A</w:t>
      </w:r>
      <w:r w:rsidR="00905A10">
        <w:rPr>
          <w:rFonts w:cstheme="minorHAnsi"/>
          <w:b/>
          <w:bCs/>
          <w:i/>
          <w:iCs/>
          <w:sz w:val="32"/>
          <w:szCs w:val="32"/>
        </w:rPr>
        <w:t>rts and Sciences</w:t>
      </w:r>
    </w:p>
    <w:bookmarkEnd w:id="0"/>
    <w:p w14:paraId="3E538636" w14:textId="77777777" w:rsidR="000A7622" w:rsidRPr="006F33A4" w:rsidRDefault="000A7622" w:rsidP="00D14423">
      <w:pPr>
        <w:jc w:val="center"/>
        <w:rPr>
          <w:rFonts w:cstheme="minorHAnsi"/>
          <w:b/>
          <w:bCs/>
          <w:i/>
          <w:iCs/>
        </w:rPr>
      </w:pPr>
    </w:p>
    <w:p w14:paraId="249FD5BA" w14:textId="77777777" w:rsidR="001D2701" w:rsidRPr="001D2701" w:rsidRDefault="001D2701" w:rsidP="001D2701">
      <w:pPr>
        <w:spacing w:after="0" w:line="240" w:lineRule="auto"/>
        <w:jc w:val="center"/>
        <w:rPr>
          <w:rFonts w:ascii="Calibri" w:eastAsia="Calibri" w:hAnsi="Calibri" w:cs="Calibri"/>
          <w:b/>
          <w:bCs/>
          <w:sz w:val="24"/>
          <w:szCs w:val="24"/>
        </w:rPr>
      </w:pPr>
      <w:r w:rsidRPr="001D2701">
        <w:rPr>
          <w:rFonts w:ascii="Calibri" w:eastAsia="Calibri" w:hAnsi="Calibri" w:cs="Calibri"/>
          <w:b/>
          <w:bCs/>
          <w:i/>
          <w:iCs/>
          <w:sz w:val="24"/>
          <w:szCs w:val="24"/>
        </w:rPr>
        <w:t>This paper is NOT THE PUBLISHED VERSION</w:t>
      </w:r>
      <w:r w:rsidRPr="001D2701">
        <w:rPr>
          <w:rFonts w:ascii="Calibri" w:eastAsia="Calibri" w:hAnsi="Calibri" w:cs="Calibri"/>
          <w:b/>
          <w:bCs/>
          <w:sz w:val="24"/>
          <w:szCs w:val="24"/>
        </w:rPr>
        <w:t xml:space="preserve">. </w:t>
      </w:r>
    </w:p>
    <w:p w14:paraId="22D6FE63" w14:textId="77777777" w:rsidR="001D2701" w:rsidRPr="001D2701" w:rsidRDefault="001D2701" w:rsidP="001D2701">
      <w:pPr>
        <w:spacing w:after="0" w:line="240" w:lineRule="auto"/>
        <w:jc w:val="center"/>
        <w:rPr>
          <w:rFonts w:ascii="Calibri" w:eastAsia="Calibri" w:hAnsi="Calibri" w:cs="Calibri"/>
          <w:sz w:val="24"/>
          <w:szCs w:val="24"/>
        </w:rPr>
      </w:pPr>
      <w:r w:rsidRPr="001D2701">
        <w:rPr>
          <w:rFonts w:ascii="Calibri" w:eastAsia="Calibri" w:hAnsi="Calibri" w:cs="Calibri"/>
          <w:sz w:val="24"/>
          <w:szCs w:val="24"/>
        </w:rPr>
        <w:t>Access the published version via the link in the citation below.</w:t>
      </w:r>
    </w:p>
    <w:p w14:paraId="207B0342" w14:textId="77777777" w:rsidR="000A7622" w:rsidRPr="00C04F25" w:rsidRDefault="000A7622" w:rsidP="00D14423">
      <w:pPr>
        <w:jc w:val="center"/>
        <w:rPr>
          <w:rFonts w:cstheme="minorHAnsi"/>
          <w:sz w:val="24"/>
          <w:szCs w:val="24"/>
        </w:rPr>
      </w:pPr>
    </w:p>
    <w:p w14:paraId="16AC3004" w14:textId="5A49A22E" w:rsidR="00440BC4" w:rsidRDefault="00B07F12" w:rsidP="00D14423">
      <w:pPr>
        <w:rPr>
          <w:rFonts w:cstheme="minorHAnsi"/>
          <w:b/>
          <w:bCs/>
          <w:sz w:val="24"/>
          <w:szCs w:val="24"/>
        </w:rPr>
      </w:pPr>
      <w:proofErr w:type="spellStart"/>
      <w:r>
        <w:rPr>
          <w:rFonts w:cstheme="minorHAnsi"/>
          <w:i/>
          <w:sz w:val="24"/>
          <w:szCs w:val="24"/>
          <w:lang w:val="fr-FR"/>
        </w:rPr>
        <w:t>Soundings</w:t>
      </w:r>
      <w:proofErr w:type="spellEnd"/>
      <w:r w:rsidR="000A7622" w:rsidRPr="00C04F25">
        <w:rPr>
          <w:rFonts w:cstheme="minorHAnsi"/>
          <w:sz w:val="24"/>
          <w:szCs w:val="24"/>
          <w:lang w:val="fr-FR"/>
        </w:rPr>
        <w:t xml:space="preserve">, Vol. </w:t>
      </w:r>
      <w:r>
        <w:rPr>
          <w:rFonts w:cstheme="minorHAnsi"/>
          <w:sz w:val="24"/>
          <w:szCs w:val="24"/>
          <w:lang w:val="fr-FR"/>
        </w:rPr>
        <w:t>99</w:t>
      </w:r>
      <w:r w:rsidR="000A7622" w:rsidRPr="00C04F25">
        <w:rPr>
          <w:rFonts w:cstheme="minorHAnsi"/>
          <w:sz w:val="24"/>
          <w:szCs w:val="24"/>
          <w:lang w:val="fr-FR"/>
        </w:rPr>
        <w:t xml:space="preserve">, No. </w:t>
      </w:r>
      <w:r>
        <w:rPr>
          <w:rFonts w:cstheme="minorHAnsi"/>
          <w:sz w:val="24"/>
          <w:szCs w:val="24"/>
          <w:lang w:val="fr-FR"/>
        </w:rPr>
        <w:t>3</w:t>
      </w:r>
      <w:r w:rsidR="000A7622" w:rsidRPr="00C04F25">
        <w:rPr>
          <w:rFonts w:cstheme="minorHAnsi"/>
          <w:sz w:val="24"/>
          <w:szCs w:val="24"/>
          <w:lang w:val="fr-FR"/>
        </w:rPr>
        <w:t xml:space="preserve"> (</w:t>
      </w:r>
      <w:r>
        <w:rPr>
          <w:rFonts w:cstheme="minorHAnsi"/>
          <w:sz w:val="24"/>
          <w:szCs w:val="24"/>
          <w:lang w:val="fr-FR"/>
        </w:rPr>
        <w:t>2016</w:t>
      </w:r>
      <w:proofErr w:type="gramStart"/>
      <w:r w:rsidR="000A7622" w:rsidRPr="00C04F25">
        <w:rPr>
          <w:rFonts w:cstheme="minorHAnsi"/>
          <w:sz w:val="24"/>
          <w:szCs w:val="24"/>
          <w:lang w:val="fr-FR"/>
        </w:rPr>
        <w:t>):</w:t>
      </w:r>
      <w:proofErr w:type="gramEnd"/>
      <w:r w:rsidR="000A7622" w:rsidRPr="00C04F25">
        <w:rPr>
          <w:rFonts w:cstheme="minorHAnsi"/>
          <w:sz w:val="24"/>
          <w:szCs w:val="24"/>
          <w:lang w:val="fr-FR"/>
        </w:rPr>
        <w:t xml:space="preserve"> </w:t>
      </w:r>
      <w:r>
        <w:rPr>
          <w:rFonts w:cstheme="minorHAnsi"/>
          <w:sz w:val="24"/>
          <w:szCs w:val="24"/>
          <w:lang w:val="fr-FR"/>
        </w:rPr>
        <w:t>291-320</w:t>
      </w:r>
      <w:r w:rsidR="000A7622" w:rsidRPr="00C04F25">
        <w:rPr>
          <w:rFonts w:cstheme="minorHAnsi"/>
          <w:sz w:val="24"/>
          <w:szCs w:val="24"/>
          <w:lang w:val="fr-FR"/>
        </w:rPr>
        <w:t xml:space="preserve">. </w:t>
      </w:r>
      <w:hyperlink r:id="rId8" w:history="1">
        <w:r w:rsidR="000A7622" w:rsidRPr="00C04F25">
          <w:rPr>
            <w:rFonts w:cstheme="minorHAnsi"/>
            <w:color w:val="0563C1" w:themeColor="hyperlink"/>
            <w:sz w:val="24"/>
            <w:szCs w:val="24"/>
            <w:u w:val="single"/>
            <w:lang w:val="fr-FR"/>
          </w:rPr>
          <w:t>DOI</w:t>
        </w:r>
      </w:hyperlink>
      <w:r w:rsidR="000A7622" w:rsidRPr="00C04F25">
        <w:rPr>
          <w:rFonts w:cstheme="minorHAnsi"/>
          <w:sz w:val="24"/>
          <w:szCs w:val="24"/>
          <w:lang w:val="fr-FR"/>
        </w:rPr>
        <w:t xml:space="preserve">. </w:t>
      </w:r>
      <w:r w:rsidR="000A7622" w:rsidRPr="00C04F25">
        <w:rPr>
          <w:rFonts w:cstheme="minorHAnsi"/>
          <w:sz w:val="24"/>
          <w:szCs w:val="24"/>
        </w:rPr>
        <w:t xml:space="preserve">This article is © </w:t>
      </w:r>
      <w:r w:rsidR="00217966" w:rsidRPr="00217966">
        <w:rPr>
          <w:rFonts w:cstheme="minorHAnsi"/>
          <w:sz w:val="24"/>
          <w:szCs w:val="24"/>
        </w:rPr>
        <w:t>2016 The Pennsylvania State University</w:t>
      </w:r>
      <w:r w:rsidR="000A7622" w:rsidRPr="00C04F25">
        <w:rPr>
          <w:rFonts w:cstheme="minorHAnsi"/>
          <w:sz w:val="24"/>
          <w:szCs w:val="24"/>
        </w:rPr>
        <w:t xml:space="preserve"> and permission has been granted for this version to appear in </w:t>
      </w:r>
      <w:hyperlink r:id="rId9" w:history="1">
        <w:r w:rsidR="000A7622" w:rsidRPr="00C04F25">
          <w:rPr>
            <w:rFonts w:cstheme="minorHAnsi"/>
            <w:color w:val="0563C1" w:themeColor="hyperlink"/>
            <w:sz w:val="24"/>
            <w:szCs w:val="24"/>
            <w:u w:val="single"/>
          </w:rPr>
          <w:t>e-Publications@Marquette</w:t>
        </w:r>
      </w:hyperlink>
      <w:r w:rsidR="000A7622" w:rsidRPr="00C04F25">
        <w:rPr>
          <w:rFonts w:cstheme="minorHAnsi"/>
          <w:sz w:val="24"/>
          <w:szCs w:val="24"/>
        </w:rPr>
        <w:t xml:space="preserve">. </w:t>
      </w:r>
      <w:r w:rsidR="00217966" w:rsidRPr="00217966">
        <w:rPr>
          <w:rFonts w:cstheme="minorHAnsi"/>
          <w:sz w:val="24"/>
          <w:szCs w:val="24"/>
        </w:rPr>
        <w:t>The Pennsylvania State University</w:t>
      </w:r>
      <w:r w:rsidR="000A7622" w:rsidRPr="00C04F25">
        <w:rPr>
          <w:rFonts w:cstheme="minorHAnsi"/>
          <w:sz w:val="24"/>
          <w:szCs w:val="24"/>
        </w:rPr>
        <w:t xml:space="preserve"> does not grant permission for this article to be further copied/distributed or hosted elsewhere without express </w:t>
      </w:r>
      <w:r w:rsidR="000A7622" w:rsidRPr="00E77278">
        <w:rPr>
          <w:rFonts w:cstheme="minorHAnsi"/>
          <w:sz w:val="24"/>
          <w:szCs w:val="24"/>
        </w:rPr>
        <w:t xml:space="preserve">permission from </w:t>
      </w:r>
      <w:r w:rsidR="00217966" w:rsidRPr="00217966">
        <w:rPr>
          <w:rFonts w:cstheme="minorHAnsi"/>
          <w:sz w:val="24"/>
          <w:szCs w:val="24"/>
        </w:rPr>
        <w:t>The Pennsylvania State University</w:t>
      </w:r>
      <w:r w:rsidR="000A7622" w:rsidRPr="00E77278">
        <w:rPr>
          <w:rFonts w:cstheme="minorHAnsi"/>
          <w:sz w:val="24"/>
          <w:szCs w:val="24"/>
        </w:rPr>
        <w:t>.</w:t>
      </w:r>
      <w:r w:rsidR="000A7622" w:rsidRPr="00FB28B7">
        <w:rPr>
          <w:rFonts w:cstheme="minorHAnsi"/>
          <w:b/>
          <w:bCs/>
          <w:sz w:val="24"/>
          <w:szCs w:val="24"/>
        </w:rPr>
        <w:t xml:space="preserve"> </w:t>
      </w:r>
      <w:bookmarkEnd w:id="1"/>
    </w:p>
    <w:p w14:paraId="224FC3BA" w14:textId="566074FA" w:rsidR="002069B5" w:rsidRDefault="002069B5" w:rsidP="002069B5">
      <w:pPr>
        <w:pStyle w:val="Title"/>
      </w:pPr>
      <w:r w:rsidRPr="002069B5">
        <w:t>Campaign Finance and Collective Egotism</w:t>
      </w:r>
      <w:r>
        <w:t xml:space="preserve">: </w:t>
      </w:r>
      <w:r w:rsidRPr="002069B5">
        <w:t>What Niebuhr Offers a Stultified Debate</w:t>
      </w:r>
    </w:p>
    <w:p w14:paraId="3B1F59A1" w14:textId="77777777" w:rsidR="002069B5" w:rsidRPr="002069B5" w:rsidRDefault="002069B5" w:rsidP="002069B5"/>
    <w:p w14:paraId="518E2480" w14:textId="09A82EA9" w:rsidR="00054285" w:rsidRPr="006D00CE" w:rsidRDefault="00054285" w:rsidP="006D00CE">
      <w:pPr>
        <w:pStyle w:val="NoSpacing"/>
        <w:rPr>
          <w:sz w:val="32"/>
          <w:szCs w:val="32"/>
        </w:rPr>
      </w:pPr>
      <w:r w:rsidRPr="006D00CE">
        <w:rPr>
          <w:sz w:val="32"/>
          <w:szCs w:val="32"/>
        </w:rPr>
        <w:t>Conor M. Kelly</w:t>
      </w:r>
    </w:p>
    <w:p w14:paraId="6BD58B0C" w14:textId="5B23C71D" w:rsidR="006D00CE" w:rsidRPr="006D00CE" w:rsidRDefault="006D00CE" w:rsidP="006D00CE">
      <w:pPr>
        <w:pStyle w:val="NoSpacing"/>
        <w:rPr>
          <w:sz w:val="24"/>
          <w:szCs w:val="24"/>
        </w:rPr>
      </w:pPr>
      <w:r w:rsidRPr="006D00CE">
        <w:rPr>
          <w:sz w:val="24"/>
          <w:szCs w:val="24"/>
        </w:rPr>
        <w:t>Department of Theology, Marquette University, Milwaukee, WI</w:t>
      </w:r>
    </w:p>
    <w:p w14:paraId="7063D690" w14:textId="77777777" w:rsidR="006D00CE" w:rsidRDefault="006D00CE" w:rsidP="002E5B84">
      <w:pPr>
        <w:rPr>
          <w:rFonts w:cstheme="minorHAnsi"/>
          <w:b/>
          <w:bCs/>
          <w:sz w:val="24"/>
          <w:szCs w:val="24"/>
        </w:rPr>
      </w:pPr>
    </w:p>
    <w:p w14:paraId="73D594B8" w14:textId="77777777" w:rsidR="00A31FBD" w:rsidRPr="00A31FBD" w:rsidRDefault="00A31FBD" w:rsidP="006D00CE">
      <w:pPr>
        <w:pStyle w:val="Heading1"/>
      </w:pPr>
      <w:r w:rsidRPr="00A31FBD">
        <w:t>Abstract</w:t>
      </w:r>
    </w:p>
    <w:p w14:paraId="63B740DE" w14:textId="77777777" w:rsidR="00A31FBD" w:rsidRPr="00A31FBD" w:rsidRDefault="00A31FBD" w:rsidP="00A31FBD">
      <w:pPr>
        <w:rPr>
          <w:rFonts w:cstheme="minorHAnsi"/>
          <w:sz w:val="24"/>
          <w:szCs w:val="24"/>
        </w:rPr>
      </w:pPr>
      <w:r w:rsidRPr="00A31FBD">
        <w:rPr>
          <w:rFonts w:cstheme="minorHAnsi"/>
          <w:sz w:val="24"/>
          <w:szCs w:val="24"/>
        </w:rPr>
        <w:t xml:space="preserve">Currently, campaign finance law in the United States is governed by the Supreme Court’s 2010 decision in </w:t>
      </w:r>
      <w:r w:rsidRPr="00A31FBD">
        <w:rPr>
          <w:rFonts w:cstheme="minorHAnsi"/>
          <w:i/>
          <w:iCs/>
          <w:sz w:val="24"/>
          <w:szCs w:val="24"/>
        </w:rPr>
        <w:t>Citizens United v. FEC</w:t>
      </w:r>
      <w:r w:rsidRPr="00A31FBD">
        <w:rPr>
          <w:rFonts w:cstheme="minorHAnsi"/>
          <w:sz w:val="24"/>
          <w:szCs w:val="24"/>
        </w:rPr>
        <w:t xml:space="preserve">, but the debate surrounding the case has grown tired. </w:t>
      </w:r>
      <w:proofErr w:type="gramStart"/>
      <w:r w:rsidRPr="00A31FBD">
        <w:rPr>
          <w:rFonts w:cstheme="minorHAnsi"/>
          <w:sz w:val="24"/>
          <w:szCs w:val="24"/>
        </w:rPr>
        <w:t>In order to</w:t>
      </w:r>
      <w:proofErr w:type="gramEnd"/>
      <w:r w:rsidRPr="00A31FBD">
        <w:rPr>
          <w:rFonts w:cstheme="minorHAnsi"/>
          <w:sz w:val="24"/>
          <w:szCs w:val="24"/>
        </w:rPr>
        <w:t xml:space="preserve"> reinvigorate public discourse on this consequential topic, this article proposes an interdisciplinary conversation between theology and law, relying on Reinhold Niebuhr’s notion of collective egotism to shed new light on the decision. The comparison with Niebuhr highlights the Court’s problematic reliance on unexamined empirical claims, pinpointing areas of the case in need of further critical assessment and suggesting viable alternatives. The result is a more precise diagnosis of the problems in contemporary campaign finance law and a more practical way forward for the public debate.</w:t>
      </w:r>
    </w:p>
    <w:p w14:paraId="08405F64" w14:textId="77777777" w:rsidR="00A31FBD" w:rsidRPr="00A31FBD" w:rsidRDefault="00A31FBD" w:rsidP="006D00CE">
      <w:pPr>
        <w:pStyle w:val="Heading1"/>
      </w:pPr>
      <w:r w:rsidRPr="00A31FBD">
        <w:t>Keywords</w:t>
      </w:r>
    </w:p>
    <w:p w14:paraId="28983188" w14:textId="77777777" w:rsidR="00A31FBD" w:rsidRDefault="00A31FBD" w:rsidP="00A31FBD">
      <w:pPr>
        <w:rPr>
          <w:rFonts w:cstheme="minorHAnsi"/>
          <w:sz w:val="24"/>
          <w:szCs w:val="24"/>
        </w:rPr>
      </w:pPr>
      <w:r w:rsidRPr="00A31FBD">
        <w:rPr>
          <w:rFonts w:cstheme="minorHAnsi"/>
          <w:sz w:val="24"/>
          <w:szCs w:val="24"/>
        </w:rPr>
        <w:t xml:space="preserve">Reinhold Niebuhr, </w:t>
      </w:r>
      <w:r w:rsidRPr="00A31FBD">
        <w:rPr>
          <w:rFonts w:cstheme="minorHAnsi"/>
          <w:i/>
          <w:iCs/>
          <w:sz w:val="24"/>
          <w:szCs w:val="24"/>
        </w:rPr>
        <w:t>Citizens United v. Federal Election Commission</w:t>
      </w:r>
      <w:r w:rsidRPr="00A31FBD">
        <w:rPr>
          <w:rFonts w:cstheme="minorHAnsi"/>
          <w:sz w:val="24"/>
          <w:szCs w:val="24"/>
        </w:rPr>
        <w:t>, theology and law, campaign finance reform, corruption</w:t>
      </w:r>
    </w:p>
    <w:p w14:paraId="6FC2375E" w14:textId="678077A3" w:rsidR="001E3E9C" w:rsidRPr="001E3E9C" w:rsidRDefault="001E3E9C" w:rsidP="001E3E9C">
      <w:pPr>
        <w:rPr>
          <w:rFonts w:cstheme="minorHAnsi"/>
          <w:sz w:val="24"/>
          <w:szCs w:val="24"/>
        </w:rPr>
      </w:pPr>
      <w:r w:rsidRPr="001E3E9C">
        <w:rPr>
          <w:rFonts w:cstheme="minorHAnsi"/>
          <w:sz w:val="24"/>
          <w:szCs w:val="24"/>
        </w:rPr>
        <w:lastRenderedPageBreak/>
        <w:t xml:space="preserve">In American politics today, a rather </w:t>
      </w:r>
      <w:proofErr w:type="spellStart"/>
      <w:r w:rsidRPr="001E3E9C">
        <w:rPr>
          <w:rFonts w:cstheme="minorHAnsi"/>
          <w:sz w:val="24"/>
          <w:szCs w:val="24"/>
        </w:rPr>
        <w:t>wonkish</w:t>
      </w:r>
      <w:proofErr w:type="spellEnd"/>
      <w:r w:rsidRPr="001E3E9C">
        <w:rPr>
          <w:rFonts w:cstheme="minorHAnsi"/>
          <w:sz w:val="24"/>
          <w:szCs w:val="24"/>
        </w:rPr>
        <w:t xml:space="preserve"> yet extremely consequential debate is going on mostly behind the scenes. Politicians and interest groups from across the political spectrum are fighting for the future of the campaign finance system in the United States. This issue is particularly significant because its adjudication will affect the very fabric of the democratic process, and yet most Americans are not engaged in the debate itself. While some of this might be attributable to design,</w:t>
      </w:r>
      <w:bookmarkStart w:id="2" w:name="f01-text"/>
      <w:r w:rsidRPr="00137823">
        <w:rPr>
          <w:rFonts w:cstheme="minorHAnsi"/>
          <w:sz w:val="24"/>
          <w:szCs w:val="24"/>
          <w:vertAlign w:val="superscript"/>
        </w:rPr>
        <w:t>1</w:t>
      </w:r>
      <w:bookmarkEnd w:id="2"/>
      <w:r w:rsidRPr="001E3E9C">
        <w:rPr>
          <w:rFonts w:cstheme="minorHAnsi"/>
          <w:sz w:val="24"/>
          <w:szCs w:val="24"/>
        </w:rPr>
        <w:t xml:space="preserve"> there is also a larger problem at work. Most Americans have strong instincts about campaign finance—one survey indicates that an overwhelming majority favors significant reforms (</w:t>
      </w:r>
      <w:bookmarkStart w:id="3" w:name="b6-text"/>
      <w:proofErr w:type="spellStart"/>
      <w:r w:rsidRPr="00137823">
        <w:rPr>
          <w:rFonts w:cstheme="minorHAnsi"/>
          <w:sz w:val="24"/>
          <w:szCs w:val="24"/>
        </w:rPr>
        <w:t>Confessore</w:t>
      </w:r>
      <w:proofErr w:type="spellEnd"/>
      <w:r w:rsidRPr="00137823">
        <w:rPr>
          <w:rFonts w:cstheme="minorHAnsi"/>
          <w:sz w:val="24"/>
          <w:szCs w:val="24"/>
        </w:rPr>
        <w:t xml:space="preserve"> and Thee-Brennan 2015</w:t>
      </w:r>
      <w:bookmarkEnd w:id="3"/>
      <w:r w:rsidRPr="001E3E9C">
        <w:rPr>
          <w:rFonts w:cstheme="minorHAnsi"/>
          <w:sz w:val="24"/>
          <w:szCs w:val="24"/>
        </w:rPr>
        <w:t xml:space="preserve">)—but few individuals </w:t>
      </w:r>
      <w:proofErr w:type="gramStart"/>
      <w:r w:rsidRPr="001E3E9C">
        <w:rPr>
          <w:rFonts w:cstheme="minorHAnsi"/>
          <w:sz w:val="24"/>
          <w:szCs w:val="24"/>
        </w:rPr>
        <w:t>are able to</w:t>
      </w:r>
      <w:proofErr w:type="gramEnd"/>
      <w:r w:rsidRPr="001E3E9C">
        <w:rPr>
          <w:rFonts w:cstheme="minorHAnsi"/>
          <w:sz w:val="24"/>
          <w:szCs w:val="24"/>
        </w:rPr>
        <w:t xml:space="preserve"> translate their sense of the issues effectively into public discourse. Given the complexities of the policies in question, this is entirely understandable. Given the stakes of the matter, though, this is decidedly unacceptable. Policies affecting the structure of democratic debate should not be handled in secret by the few; they should be scrutinized openly by the many.</w:t>
      </w:r>
    </w:p>
    <w:p w14:paraId="08D2F4A8" w14:textId="27CACA8C" w:rsidR="001E3E9C" w:rsidRPr="001E3E9C" w:rsidRDefault="001E3E9C" w:rsidP="001E3E9C">
      <w:pPr>
        <w:rPr>
          <w:rFonts w:cstheme="minorHAnsi"/>
          <w:sz w:val="24"/>
          <w:szCs w:val="24"/>
        </w:rPr>
      </w:pPr>
      <w:proofErr w:type="gramStart"/>
      <w:r w:rsidRPr="001E3E9C">
        <w:rPr>
          <w:rFonts w:cstheme="minorHAnsi"/>
          <w:sz w:val="24"/>
          <w:szCs w:val="24"/>
        </w:rPr>
        <w:t>In order for</w:t>
      </w:r>
      <w:proofErr w:type="gramEnd"/>
      <w:r w:rsidRPr="001E3E9C">
        <w:rPr>
          <w:rFonts w:cstheme="minorHAnsi"/>
          <w:sz w:val="24"/>
          <w:szCs w:val="24"/>
        </w:rPr>
        <w:t xml:space="preserve"> this kind of public deliberation to occur, however, the people will need help to navigate the current state of confusion that surrounds campaign finance laws. This is especially true because analyzing campaign finance law requires one to delve into the finer points of Supreme Court opinions, and as Louis Ruprecht has indicated in the pages of this journal before, “it is easy to feel as if each argument [in a Supreme Court decision] is reasonable and engaging when read on its own terms and in isolation from the others. </w:t>
      </w:r>
      <w:proofErr w:type="gramStart"/>
      <w:r w:rsidRPr="001E3E9C">
        <w:rPr>
          <w:rFonts w:cstheme="minorHAnsi"/>
          <w:sz w:val="24"/>
          <w:szCs w:val="24"/>
        </w:rPr>
        <w:t>So</w:t>
      </w:r>
      <w:proofErr w:type="gramEnd"/>
      <w:r w:rsidRPr="001E3E9C">
        <w:rPr>
          <w:rFonts w:cstheme="minorHAnsi"/>
          <w:sz w:val="24"/>
          <w:szCs w:val="24"/>
        </w:rPr>
        <w:t xml:space="preserve"> it is challenging to pull back just a bit and take a more encompassing view of the whole” (2013, 103). This is where an interdisciplinary conversation between Christian theology and American law can help. Specifically, a dialogue between Reinhold Niebuhr, the prominent twentieth-century Christian theologian, and </w:t>
      </w:r>
      <w:bookmarkStart w:id="4" w:name="b5-text"/>
      <w:r w:rsidRPr="00137823">
        <w:rPr>
          <w:rFonts w:cstheme="minorHAnsi"/>
          <w:i/>
          <w:iCs/>
          <w:sz w:val="24"/>
          <w:szCs w:val="24"/>
        </w:rPr>
        <w:t>Citizens United v. FEC</w:t>
      </w:r>
      <w:r w:rsidRPr="00137823">
        <w:rPr>
          <w:rFonts w:cstheme="minorHAnsi"/>
          <w:sz w:val="24"/>
          <w:szCs w:val="24"/>
        </w:rPr>
        <w:t>, the 2010</w:t>
      </w:r>
      <w:bookmarkEnd w:id="4"/>
      <w:r w:rsidRPr="001E3E9C">
        <w:rPr>
          <w:rFonts w:cstheme="minorHAnsi"/>
          <w:sz w:val="24"/>
          <w:szCs w:val="24"/>
        </w:rPr>
        <w:t xml:space="preserve"> Supreme Court case establishing the current precedent for campaign finance laws, can improve the stultified debate about campaign finance reform by providing “a more encompassing view of the whole,” which will yield a more precise diagnosis of the problems inherent in the Supreme Court’s reasoning and in the contemporary system based upon it. This greater precision can, in turn, highlight better solutions to the specific shortcomings of the current </w:t>
      </w:r>
      <w:proofErr w:type="gramStart"/>
      <w:r w:rsidRPr="001E3E9C">
        <w:rPr>
          <w:rFonts w:cstheme="minorHAnsi"/>
          <w:sz w:val="24"/>
          <w:szCs w:val="24"/>
        </w:rPr>
        <w:t>state of affairs</w:t>
      </w:r>
      <w:proofErr w:type="gramEnd"/>
      <w:r w:rsidRPr="001E3E9C">
        <w:rPr>
          <w:rFonts w:cstheme="minorHAnsi"/>
          <w:sz w:val="24"/>
          <w:szCs w:val="24"/>
        </w:rPr>
        <w:t>, helpfully adding new tools to the “defense of our inalienable rights to be free of the undue influence of monied privilege” (119).</w:t>
      </w:r>
    </w:p>
    <w:p w14:paraId="20008CE7" w14:textId="77777777" w:rsidR="001E3E9C" w:rsidRPr="001E3E9C" w:rsidRDefault="001E3E9C" w:rsidP="00AB324A">
      <w:pPr>
        <w:pStyle w:val="Heading1"/>
      </w:pPr>
      <w:r w:rsidRPr="001E3E9C">
        <w:t xml:space="preserve">Reinhold Niebuhr and </w:t>
      </w:r>
      <w:r w:rsidRPr="001E3E9C">
        <w:rPr>
          <w:i/>
          <w:iCs/>
        </w:rPr>
        <w:t>Citizens United</w:t>
      </w:r>
      <w:r w:rsidRPr="001E3E9C">
        <w:t>: A Legitimate Combination</w:t>
      </w:r>
    </w:p>
    <w:p w14:paraId="502A326A" w14:textId="156F4675" w:rsidR="001E3E9C" w:rsidRPr="001E3E9C" w:rsidRDefault="001E3E9C" w:rsidP="001E3E9C">
      <w:pPr>
        <w:rPr>
          <w:rFonts w:cstheme="minorHAnsi"/>
          <w:sz w:val="24"/>
          <w:szCs w:val="24"/>
        </w:rPr>
      </w:pPr>
      <w:r w:rsidRPr="001E3E9C">
        <w:rPr>
          <w:rFonts w:cstheme="minorHAnsi"/>
          <w:sz w:val="24"/>
          <w:szCs w:val="24"/>
        </w:rPr>
        <w:t xml:space="preserve">At the outset, the potentially unexpected pairing of Reinhold Niebuhr and </w:t>
      </w:r>
      <w:r w:rsidRPr="001E3E9C">
        <w:rPr>
          <w:rFonts w:cstheme="minorHAnsi"/>
          <w:i/>
          <w:iCs/>
          <w:sz w:val="24"/>
          <w:szCs w:val="24"/>
        </w:rPr>
        <w:t>Citizens United</w:t>
      </w:r>
      <w:r w:rsidRPr="001E3E9C">
        <w:rPr>
          <w:rFonts w:cstheme="minorHAnsi"/>
          <w:sz w:val="24"/>
          <w:szCs w:val="24"/>
        </w:rPr>
        <w:t xml:space="preserve"> deserves some explanation. To a certain extent, the pairing is justified by the profound significance of each of these sources in their respective fields. In Christian theology, for example, one would be hard-pressed to find a more generally recognizable thinker, particularly in an American context, than Reinhold Niebuhr. Likewise, for campaign finance law, no case looms larger </w:t>
      </w:r>
      <w:proofErr w:type="gramStart"/>
      <w:r w:rsidRPr="001E3E9C">
        <w:rPr>
          <w:rFonts w:cstheme="minorHAnsi"/>
          <w:sz w:val="24"/>
          <w:szCs w:val="24"/>
        </w:rPr>
        <w:t>at the moment</w:t>
      </w:r>
      <w:proofErr w:type="gramEnd"/>
      <w:r w:rsidRPr="001E3E9C">
        <w:rPr>
          <w:rFonts w:cstheme="minorHAnsi"/>
          <w:sz w:val="24"/>
          <w:szCs w:val="24"/>
        </w:rPr>
        <w:t xml:space="preserve"> than </w:t>
      </w:r>
      <w:r w:rsidRPr="001E3E9C">
        <w:rPr>
          <w:rFonts w:cstheme="minorHAnsi"/>
          <w:i/>
          <w:iCs/>
          <w:sz w:val="24"/>
          <w:szCs w:val="24"/>
        </w:rPr>
        <w:t>Citizens United</w:t>
      </w:r>
      <w:r w:rsidRPr="001E3E9C">
        <w:rPr>
          <w:rFonts w:cstheme="minorHAnsi"/>
          <w:sz w:val="24"/>
          <w:szCs w:val="24"/>
        </w:rPr>
        <w:t xml:space="preserve">, which literally sets the standard for the current state of affairs. Moreover, the </w:t>
      </w:r>
      <w:proofErr w:type="gramStart"/>
      <w:r w:rsidRPr="001E3E9C">
        <w:rPr>
          <w:rFonts w:cstheme="minorHAnsi"/>
          <w:sz w:val="24"/>
          <w:szCs w:val="24"/>
        </w:rPr>
        <w:t>general public</w:t>
      </w:r>
      <w:proofErr w:type="gramEnd"/>
      <w:r w:rsidRPr="001E3E9C">
        <w:rPr>
          <w:rFonts w:cstheme="minorHAnsi"/>
          <w:sz w:val="24"/>
          <w:szCs w:val="24"/>
        </w:rPr>
        <w:t xml:space="preserve"> is one of the specific audiences of legal decisions (</w:t>
      </w:r>
      <w:bookmarkStart w:id="5" w:name="b56-text"/>
      <w:r w:rsidRPr="00137823">
        <w:rPr>
          <w:rFonts w:cstheme="minorHAnsi"/>
          <w:sz w:val="24"/>
          <w:szCs w:val="24"/>
        </w:rPr>
        <w:t>Witte 2009, 40</w:t>
      </w:r>
      <w:bookmarkEnd w:id="5"/>
      <w:r w:rsidRPr="001E3E9C">
        <w:rPr>
          <w:rFonts w:cstheme="minorHAnsi"/>
          <w:sz w:val="24"/>
          <w:szCs w:val="24"/>
        </w:rPr>
        <w:t xml:space="preserve">), so a Supreme Court case is a logical interlocutor in any discussion seeking to facilitate public discourse. Hence, the combination of these two specific sources is a reasonable choice for a productive interdisciplinary conversation between theology and law. </w:t>
      </w:r>
      <w:proofErr w:type="gramStart"/>
      <w:r w:rsidRPr="001E3E9C">
        <w:rPr>
          <w:rFonts w:cstheme="minorHAnsi"/>
          <w:sz w:val="24"/>
          <w:szCs w:val="24"/>
        </w:rPr>
        <w:t>This only answers</w:t>
      </w:r>
      <w:proofErr w:type="gramEnd"/>
      <w:r w:rsidRPr="001E3E9C">
        <w:rPr>
          <w:rFonts w:cstheme="minorHAnsi"/>
          <w:sz w:val="24"/>
          <w:szCs w:val="24"/>
        </w:rPr>
        <w:t xml:space="preserve"> part of the question, however. </w:t>
      </w:r>
      <w:proofErr w:type="gramStart"/>
      <w:r w:rsidRPr="001E3E9C">
        <w:rPr>
          <w:rFonts w:cstheme="minorHAnsi"/>
          <w:sz w:val="24"/>
          <w:szCs w:val="24"/>
        </w:rPr>
        <w:t>In order to</w:t>
      </w:r>
      <w:proofErr w:type="gramEnd"/>
      <w:r w:rsidRPr="001E3E9C">
        <w:rPr>
          <w:rFonts w:cstheme="minorHAnsi"/>
          <w:sz w:val="24"/>
          <w:szCs w:val="24"/>
        </w:rPr>
        <w:t xml:space="preserve"> truly make a case for the legitimacy and value of combining Niebuhr and </w:t>
      </w:r>
      <w:r w:rsidRPr="001E3E9C">
        <w:rPr>
          <w:rFonts w:cstheme="minorHAnsi"/>
          <w:i/>
          <w:iCs/>
          <w:sz w:val="24"/>
          <w:szCs w:val="24"/>
        </w:rPr>
        <w:t>Citizens United</w:t>
      </w:r>
      <w:r w:rsidRPr="001E3E9C">
        <w:rPr>
          <w:rFonts w:cstheme="minorHAnsi"/>
          <w:sz w:val="24"/>
          <w:szCs w:val="24"/>
        </w:rPr>
        <w:t>, one must also address the larger question of why a conversation between theology and law is merited for this issue in the first place. Here a multifaceted argument is appropriate.</w:t>
      </w:r>
    </w:p>
    <w:p w14:paraId="7DDCE4B2" w14:textId="388496CC" w:rsidR="001E3E9C" w:rsidRPr="001E3E9C" w:rsidRDefault="001E3E9C" w:rsidP="001E3E9C">
      <w:pPr>
        <w:rPr>
          <w:rFonts w:cstheme="minorHAnsi"/>
          <w:sz w:val="24"/>
          <w:szCs w:val="24"/>
        </w:rPr>
      </w:pPr>
      <w:r w:rsidRPr="001E3E9C">
        <w:rPr>
          <w:rFonts w:cstheme="minorHAnsi"/>
          <w:sz w:val="24"/>
          <w:szCs w:val="24"/>
        </w:rPr>
        <w:lastRenderedPageBreak/>
        <w:t xml:space="preserve">First, there is a pragmatic case in favor of pursuing an interdisciplinary conversation between theology and law on the question of campaign finance because such a conversation is already taking place. This is perhaps not surprising </w:t>
      </w:r>
      <w:proofErr w:type="gramStart"/>
      <w:r w:rsidRPr="001E3E9C">
        <w:rPr>
          <w:rFonts w:cstheme="minorHAnsi"/>
          <w:sz w:val="24"/>
          <w:szCs w:val="24"/>
        </w:rPr>
        <w:t>in light of</w:t>
      </w:r>
      <w:proofErr w:type="gramEnd"/>
      <w:r w:rsidRPr="001E3E9C">
        <w:rPr>
          <w:rFonts w:cstheme="minorHAnsi"/>
          <w:sz w:val="24"/>
          <w:szCs w:val="24"/>
        </w:rPr>
        <w:t xml:space="preserve"> Ruprecht’s assertion that “religion . . . was the gorilla in the courtroom” in the </w:t>
      </w:r>
      <w:r w:rsidRPr="001E3E9C">
        <w:rPr>
          <w:rFonts w:cstheme="minorHAnsi"/>
          <w:i/>
          <w:iCs/>
          <w:sz w:val="24"/>
          <w:szCs w:val="24"/>
        </w:rPr>
        <w:t>Citizens United</w:t>
      </w:r>
      <w:r w:rsidRPr="001E3E9C">
        <w:rPr>
          <w:rFonts w:cstheme="minorHAnsi"/>
          <w:sz w:val="24"/>
          <w:szCs w:val="24"/>
        </w:rPr>
        <w:t xml:space="preserve"> case (2013, 109) because “religion is always there, implicitly, whenever the explicit issue is freedom of speech” (118). The intervening years have proven his point as Christian convictions have been brought to bear on opposite sides of the debate about the 2010 decision. For instance, some Christians have felt a profound disconnect between the jurisprudence behind the majority’s opinion in </w:t>
      </w:r>
      <w:r w:rsidRPr="001E3E9C">
        <w:rPr>
          <w:rFonts w:cstheme="minorHAnsi"/>
          <w:i/>
          <w:iCs/>
          <w:sz w:val="24"/>
          <w:szCs w:val="24"/>
        </w:rPr>
        <w:t>Citizens United</w:t>
      </w:r>
      <w:r w:rsidRPr="001E3E9C">
        <w:rPr>
          <w:rFonts w:cstheme="minorHAnsi"/>
          <w:sz w:val="24"/>
          <w:szCs w:val="24"/>
        </w:rPr>
        <w:t xml:space="preserve"> and their own faith commitments, and this has prompted them to voice their opposition to the law on theological grounds (see, e.g., </w:t>
      </w:r>
      <w:bookmarkStart w:id="6" w:name="b25-text"/>
      <w:r w:rsidRPr="00137823">
        <w:rPr>
          <w:rFonts w:cstheme="minorHAnsi"/>
          <w:sz w:val="24"/>
          <w:szCs w:val="24"/>
        </w:rPr>
        <w:t>Luria 2013</w:t>
      </w:r>
      <w:bookmarkEnd w:id="6"/>
      <w:r w:rsidRPr="001E3E9C">
        <w:rPr>
          <w:rFonts w:cstheme="minorHAnsi"/>
          <w:sz w:val="24"/>
          <w:szCs w:val="24"/>
        </w:rPr>
        <w:t xml:space="preserve">). Meanwhile, other faith-based organizations, including </w:t>
      </w:r>
      <w:proofErr w:type="gramStart"/>
      <w:r w:rsidRPr="001E3E9C">
        <w:rPr>
          <w:rFonts w:cstheme="minorHAnsi"/>
          <w:sz w:val="24"/>
          <w:szCs w:val="24"/>
        </w:rPr>
        <w:t>a number of</w:t>
      </w:r>
      <w:proofErr w:type="gramEnd"/>
      <w:r w:rsidRPr="001E3E9C">
        <w:rPr>
          <w:rFonts w:cstheme="minorHAnsi"/>
          <w:sz w:val="24"/>
          <w:szCs w:val="24"/>
        </w:rPr>
        <w:t xml:space="preserve"> explicitly Christian ones, have identified the legal arguments in </w:t>
      </w:r>
      <w:r w:rsidRPr="001E3E9C">
        <w:rPr>
          <w:rFonts w:cstheme="minorHAnsi"/>
          <w:i/>
          <w:iCs/>
          <w:sz w:val="24"/>
          <w:szCs w:val="24"/>
        </w:rPr>
        <w:t>Citizens United</w:t>
      </w:r>
      <w:r w:rsidRPr="001E3E9C">
        <w:rPr>
          <w:rFonts w:cstheme="minorHAnsi"/>
          <w:sz w:val="24"/>
          <w:szCs w:val="24"/>
        </w:rPr>
        <w:t xml:space="preserve"> as a helpful tool in the protection of religious liberty, and so they have defended the case using a different set of theological reasons.</w:t>
      </w:r>
      <w:bookmarkStart w:id="7" w:name="f02-text"/>
      <w:r w:rsidRPr="00137823">
        <w:rPr>
          <w:rFonts w:cstheme="minorHAnsi"/>
          <w:sz w:val="24"/>
          <w:szCs w:val="24"/>
          <w:vertAlign w:val="superscript"/>
        </w:rPr>
        <w:t>2</w:t>
      </w:r>
      <w:bookmarkEnd w:id="7"/>
      <w:r w:rsidRPr="001E3E9C">
        <w:rPr>
          <w:rFonts w:cstheme="minorHAnsi"/>
          <w:sz w:val="24"/>
          <w:szCs w:val="24"/>
        </w:rPr>
        <w:t xml:space="preserve"> Given this reality, new Christian voices are needed to help parse the issues in this theological debate. Adding Niebuhr’s perspective, therefore, allows academic theology to contribute some nuance to an ongoing discussion of a public issue that has been defined more by political ideology than sustained engagement. In an increasingly polarized environment, adding subtlety to public discourse—even if only to a narrow slice—is a worthwhile aim. Of course, one might still find ways to analyze </w:t>
      </w:r>
      <w:r w:rsidRPr="001E3E9C">
        <w:rPr>
          <w:rFonts w:cstheme="minorHAnsi"/>
          <w:i/>
          <w:iCs/>
          <w:sz w:val="24"/>
          <w:szCs w:val="24"/>
        </w:rPr>
        <w:t>Citizens United</w:t>
      </w:r>
      <w:r w:rsidRPr="001E3E9C">
        <w:rPr>
          <w:rFonts w:cstheme="minorHAnsi"/>
          <w:sz w:val="24"/>
          <w:szCs w:val="24"/>
        </w:rPr>
        <w:t xml:space="preserve"> without Niebuhr’s </w:t>
      </w:r>
      <w:proofErr w:type="gramStart"/>
      <w:r w:rsidRPr="001E3E9C">
        <w:rPr>
          <w:rFonts w:cstheme="minorHAnsi"/>
          <w:sz w:val="24"/>
          <w:szCs w:val="24"/>
        </w:rPr>
        <w:t>theology, but</w:t>
      </w:r>
      <w:proofErr w:type="gramEnd"/>
      <w:r w:rsidRPr="001E3E9C">
        <w:rPr>
          <w:rFonts w:cstheme="minorHAnsi"/>
          <w:sz w:val="24"/>
          <w:szCs w:val="24"/>
        </w:rPr>
        <w:t xml:space="preserve"> doing so would remove the ongoing theological debate from the equation, and the current state of that debate indicates that greater nuance would be a meaningful development that one ought not to dismiss too quickly.</w:t>
      </w:r>
    </w:p>
    <w:p w14:paraId="1E3E78DA" w14:textId="403FFA2C" w:rsidR="001E3E9C" w:rsidRPr="001E3E9C" w:rsidRDefault="001E3E9C" w:rsidP="001E3E9C">
      <w:pPr>
        <w:rPr>
          <w:rFonts w:cstheme="minorHAnsi"/>
          <w:sz w:val="24"/>
          <w:szCs w:val="24"/>
        </w:rPr>
      </w:pPr>
      <w:r w:rsidRPr="001E3E9C">
        <w:rPr>
          <w:rFonts w:cstheme="minorHAnsi"/>
          <w:sz w:val="24"/>
          <w:szCs w:val="24"/>
        </w:rPr>
        <w:t>Niebuhr’s perspective is not only valuable for an intra-theological conversation, though; it also has consequences for the broader public discussion of campaign finance law. In this larger field, Niebuhr’s work in general, and his assessment of “collective egotism</w:t>
      </w:r>
      <w:proofErr w:type="gramStart"/>
      <w:r w:rsidRPr="001E3E9C">
        <w:rPr>
          <w:rFonts w:cstheme="minorHAnsi"/>
          <w:sz w:val="24"/>
          <w:szCs w:val="24"/>
        </w:rPr>
        <w:t>” in particular, offer</w:t>
      </w:r>
      <w:proofErr w:type="gramEnd"/>
      <w:r w:rsidRPr="001E3E9C">
        <w:rPr>
          <w:rFonts w:cstheme="minorHAnsi"/>
          <w:sz w:val="24"/>
          <w:szCs w:val="24"/>
        </w:rPr>
        <w:t xml:space="preserve"> additional resources for analyzing and responding to the crises of the current moment. This becomes especially clear by examining the rationale behind the Court’s decision. Although the </w:t>
      </w:r>
      <w:r w:rsidRPr="001E3E9C">
        <w:rPr>
          <w:rFonts w:cstheme="minorHAnsi"/>
          <w:i/>
          <w:iCs/>
          <w:sz w:val="24"/>
          <w:szCs w:val="24"/>
        </w:rPr>
        <w:t>Citizens United</w:t>
      </w:r>
      <w:r w:rsidRPr="001E3E9C">
        <w:rPr>
          <w:rFonts w:cstheme="minorHAnsi"/>
          <w:sz w:val="24"/>
          <w:szCs w:val="24"/>
        </w:rPr>
        <w:t xml:space="preserve"> case is most </w:t>
      </w:r>
      <w:proofErr w:type="spellStart"/>
      <w:r w:rsidRPr="001E3E9C">
        <w:rPr>
          <w:rFonts w:cstheme="minorHAnsi"/>
          <w:sz w:val="24"/>
          <w:szCs w:val="24"/>
        </w:rPr>
        <w:t>well known</w:t>
      </w:r>
      <w:proofErr w:type="spellEnd"/>
      <w:r w:rsidRPr="001E3E9C">
        <w:rPr>
          <w:rFonts w:cstheme="minorHAnsi"/>
          <w:sz w:val="24"/>
          <w:szCs w:val="24"/>
        </w:rPr>
        <w:t xml:space="preserve"> for its strict equation of the rights of corporate persons with the rights of natural persons, this was not the central issue at the heart of the decision. Instead, the majority advanced a normative conclusion about the role of government </w:t>
      </w:r>
      <w:proofErr w:type="gramStart"/>
      <w:r w:rsidRPr="001E3E9C">
        <w:rPr>
          <w:rFonts w:cstheme="minorHAnsi"/>
          <w:sz w:val="24"/>
          <w:szCs w:val="24"/>
        </w:rPr>
        <w:t>on the basis of</w:t>
      </w:r>
      <w:proofErr w:type="gramEnd"/>
      <w:r w:rsidRPr="001E3E9C">
        <w:rPr>
          <w:rFonts w:cstheme="minorHAnsi"/>
          <w:sz w:val="24"/>
          <w:szCs w:val="24"/>
        </w:rPr>
        <w:t xml:space="preserve"> a decidedly empirical claim about the nature of corruption. The importance of this line of reasoning for the outcome of the case is often acknowledged, but it has still not been adequately explored (cf. </w:t>
      </w:r>
      <w:bookmarkStart w:id="8" w:name="b47-text"/>
      <w:r w:rsidRPr="00137823">
        <w:rPr>
          <w:rFonts w:cstheme="minorHAnsi"/>
          <w:sz w:val="24"/>
          <w:szCs w:val="24"/>
        </w:rPr>
        <w:t>Ruprecht 2013</w:t>
      </w:r>
      <w:bookmarkEnd w:id="8"/>
      <w:r w:rsidRPr="001E3E9C">
        <w:rPr>
          <w:rFonts w:cstheme="minorHAnsi"/>
          <w:sz w:val="24"/>
          <w:szCs w:val="24"/>
        </w:rPr>
        <w:t xml:space="preserve">, 113–14; 2015, 29–31), in large part because an appropriate framework has not been developed to analyze these claims directly. Niebuhr’s work, however, offers tools for precisely this kind of analysis because he was especially attentive to empirical questions about the nature of corruption, not only for individuals but also for groups. The ideas and the language that he developed on these issues has the potential to help more people express more clearly the problems they intuit at the heart of the contemporary system of campaign finance in the United States (see </w:t>
      </w:r>
      <w:r w:rsidRPr="00137823">
        <w:rPr>
          <w:rFonts w:cstheme="minorHAnsi"/>
          <w:sz w:val="24"/>
          <w:szCs w:val="24"/>
        </w:rPr>
        <w:t>Levitt 2010, 217</w:t>
      </w:r>
      <w:r w:rsidRPr="001E3E9C">
        <w:rPr>
          <w:rFonts w:cstheme="minorHAnsi"/>
          <w:sz w:val="24"/>
          <w:szCs w:val="24"/>
        </w:rPr>
        <w:t>).</w:t>
      </w:r>
    </w:p>
    <w:p w14:paraId="5DAF0428" w14:textId="7E264FA7" w:rsidR="001E3E9C" w:rsidRPr="001E3E9C" w:rsidRDefault="001E3E9C" w:rsidP="001E3E9C">
      <w:pPr>
        <w:rPr>
          <w:rFonts w:cstheme="minorHAnsi"/>
          <w:sz w:val="24"/>
          <w:szCs w:val="24"/>
        </w:rPr>
      </w:pPr>
      <w:r w:rsidRPr="001E3E9C">
        <w:rPr>
          <w:rFonts w:cstheme="minorHAnsi"/>
          <w:sz w:val="24"/>
          <w:szCs w:val="24"/>
        </w:rPr>
        <w:t xml:space="preserve">The foundation of Niebuhr’s contributions to this interdisciplinary debate lies in his assessment of the “empirical method.” Responding to a strand of scientific rationalism prevalent in his day, Niebuhr asserted that an explicitly Christian theological perspective could offer a more comprehensive account of certain issues than that afforded by empiricist study. He insisted that this was most defensible when the human capacity for selfishness and corruption was in question, claiming that Christianity was able to recognize “the universality of man’s tendency to egocentricity,” whereas more scientific analyses </w:t>
      </w:r>
      <w:r w:rsidRPr="001E3E9C">
        <w:rPr>
          <w:rFonts w:cstheme="minorHAnsi"/>
          <w:sz w:val="24"/>
          <w:szCs w:val="24"/>
        </w:rPr>
        <w:lastRenderedPageBreak/>
        <w:t>forced observers to fixate on the particular at the expense of the universal (</w:t>
      </w:r>
      <w:bookmarkStart w:id="9" w:name="b31-text"/>
      <w:r w:rsidRPr="00137823">
        <w:rPr>
          <w:rFonts w:cstheme="minorHAnsi"/>
          <w:sz w:val="24"/>
          <w:szCs w:val="24"/>
        </w:rPr>
        <w:t>Niebuhr 1953b</w:t>
      </w:r>
      <w:bookmarkEnd w:id="9"/>
      <w:r w:rsidRPr="001E3E9C">
        <w:rPr>
          <w:rFonts w:cstheme="minorHAnsi"/>
          <w:sz w:val="24"/>
          <w:szCs w:val="24"/>
        </w:rPr>
        <w:t xml:space="preserve">, 7–8). In other words, he argued that an intentionally theological perspective could further illuminate empirical questions—especially empirical questions about the nature of corruption—because the theological reference point enabled one to examine narrow issues from a broader perspective. If he is correct, then an interdisciplinary conversation between theology and law will have the possibility of </w:t>
      </w:r>
      <w:proofErr w:type="gramStart"/>
      <w:r w:rsidRPr="001E3E9C">
        <w:rPr>
          <w:rFonts w:cstheme="minorHAnsi"/>
          <w:sz w:val="24"/>
          <w:szCs w:val="24"/>
        </w:rPr>
        <w:t>opening up</w:t>
      </w:r>
      <w:proofErr w:type="gramEnd"/>
      <w:r w:rsidRPr="001E3E9C">
        <w:rPr>
          <w:rFonts w:cstheme="minorHAnsi"/>
          <w:sz w:val="24"/>
          <w:szCs w:val="24"/>
        </w:rPr>
        <w:t xml:space="preserve"> new avenues for analysis. Such new avenues, though, will only become apparent if the theological argument is explored in its theological terms because the broader perspective comes specifically from the theological orientation. </w:t>
      </w:r>
      <w:proofErr w:type="gramStart"/>
      <w:r w:rsidRPr="001E3E9C">
        <w:rPr>
          <w:rFonts w:cstheme="minorHAnsi"/>
          <w:sz w:val="24"/>
          <w:szCs w:val="24"/>
        </w:rPr>
        <w:t>Thus</w:t>
      </w:r>
      <w:proofErr w:type="gramEnd"/>
      <w:r w:rsidRPr="001E3E9C">
        <w:rPr>
          <w:rFonts w:cstheme="minorHAnsi"/>
          <w:sz w:val="24"/>
          <w:szCs w:val="24"/>
        </w:rPr>
        <w:t xml:space="preserve"> properly identifying the implications of Niebuhr’s views on the nature of corruption and collective egotism requires interpreting not only his empirical claims but also the theological rationale behind them. When done effectively, this analysis can improve the public debate about campaign finance law by both identifying the problems with the existing laws and providing the skeletal blueprints for a constructive alternative to the status quo.</w:t>
      </w:r>
    </w:p>
    <w:p w14:paraId="1E3F5EE1" w14:textId="58BE7EAA" w:rsidR="001E3E9C" w:rsidRPr="001E3E9C" w:rsidRDefault="001E3E9C" w:rsidP="001E3E9C">
      <w:pPr>
        <w:rPr>
          <w:rFonts w:cstheme="minorHAnsi"/>
          <w:sz w:val="24"/>
          <w:szCs w:val="24"/>
        </w:rPr>
      </w:pPr>
      <w:r w:rsidRPr="001E3E9C">
        <w:rPr>
          <w:rFonts w:cstheme="minorHAnsi"/>
          <w:sz w:val="24"/>
          <w:szCs w:val="24"/>
        </w:rPr>
        <w:t xml:space="preserve">Admittedly, this proposed interaction between theology and law might raise some concerns about the proper relationship between religion and the law in the United States. To be perfectly clear, the intent of this dialogue is not to say that the Supreme Court of the United States </w:t>
      </w:r>
      <w:proofErr w:type="gramStart"/>
      <w:r w:rsidRPr="001E3E9C">
        <w:rPr>
          <w:rFonts w:cstheme="minorHAnsi"/>
          <w:sz w:val="24"/>
          <w:szCs w:val="24"/>
        </w:rPr>
        <w:t>has to</w:t>
      </w:r>
      <w:proofErr w:type="gramEnd"/>
      <w:r w:rsidRPr="001E3E9C">
        <w:rPr>
          <w:rFonts w:cstheme="minorHAnsi"/>
          <w:sz w:val="24"/>
          <w:szCs w:val="24"/>
        </w:rPr>
        <w:t>, or even should, base its evaluation of corruption on Christian theological commitments or on Niebuhr’s theological anthropology. Instead, the claim in this paper is that in a pluralistic society, the public claims of the nation’s highest court must be subject to scrutiny from a variety of perspectives, including ones that are influenced by more “comprehensive doctrine[s]” like religious convictions (</w:t>
      </w:r>
      <w:r w:rsidRPr="00137823">
        <w:rPr>
          <w:rFonts w:cstheme="minorHAnsi"/>
          <w:sz w:val="24"/>
          <w:szCs w:val="24"/>
        </w:rPr>
        <w:t>Rawls 2005</w:t>
      </w:r>
      <w:r w:rsidRPr="001E3E9C">
        <w:rPr>
          <w:rFonts w:cstheme="minorHAnsi"/>
          <w:sz w:val="24"/>
          <w:szCs w:val="24"/>
        </w:rPr>
        <w:t xml:space="preserve">, xvi). Of course, given the realities of a legally enshrined separation of church and state, indictments of a Supreme Court ruling from the perspective of a comprehensive doctrine like Niebuhr’s Christian theology cannot presume to have definitive implications for the law on their own. Instead, a religious comprehensive doctrine like this can impact public discourse in a two-step process that involves: first, identifying problems in the public discourse from a theological perspective; and, second, translating those problems into nontheological terms that others can evaluate even if they do not share the original comprehensive doctrine (see </w:t>
      </w:r>
      <w:bookmarkStart w:id="10" w:name="b45-text"/>
      <w:r w:rsidRPr="00137823">
        <w:rPr>
          <w:rFonts w:cstheme="minorHAnsi"/>
          <w:sz w:val="24"/>
          <w:szCs w:val="24"/>
        </w:rPr>
        <w:t>Rawls 2005</w:t>
      </w:r>
      <w:bookmarkEnd w:id="10"/>
      <w:r w:rsidRPr="001E3E9C">
        <w:rPr>
          <w:rFonts w:cstheme="minorHAnsi"/>
          <w:sz w:val="24"/>
          <w:szCs w:val="24"/>
        </w:rPr>
        <w:t>, 212–54, 435–90).</w:t>
      </w:r>
      <w:bookmarkStart w:id="11" w:name="f03-text"/>
      <w:r w:rsidRPr="00137823">
        <w:rPr>
          <w:rFonts w:cstheme="minorHAnsi"/>
          <w:sz w:val="24"/>
          <w:szCs w:val="24"/>
          <w:vertAlign w:val="superscript"/>
        </w:rPr>
        <w:t>3</w:t>
      </w:r>
      <w:bookmarkEnd w:id="11"/>
      <w:r w:rsidRPr="001E3E9C">
        <w:rPr>
          <w:rFonts w:cstheme="minorHAnsi"/>
          <w:sz w:val="24"/>
          <w:szCs w:val="24"/>
        </w:rPr>
        <w:t xml:space="preserve"> If the theological analysis also yields concrete solutions, these solutions can be proposed from the comprehensive doctrine’s point of view and then developed in a more public fashion. In this manner, theological perspectives like Niebuhr’s can contribute to public debates without harming the religious neutrality demanded of the government in the Constitution.</w:t>
      </w:r>
    </w:p>
    <w:p w14:paraId="0027AA3F" w14:textId="77777777" w:rsidR="001E3E9C" w:rsidRPr="001E3E9C" w:rsidRDefault="001E3E9C" w:rsidP="001E3E9C">
      <w:pPr>
        <w:rPr>
          <w:rFonts w:cstheme="minorHAnsi"/>
          <w:sz w:val="24"/>
          <w:szCs w:val="24"/>
        </w:rPr>
      </w:pPr>
      <w:r w:rsidRPr="001E3E9C">
        <w:rPr>
          <w:rFonts w:cstheme="minorHAnsi"/>
          <w:sz w:val="24"/>
          <w:szCs w:val="24"/>
        </w:rPr>
        <w:t>Still, this approach may not be entirely satisfactory from all points of view. One might challenge that if assessments rooted in theological convictions are going to be translated into nontheological terms anyway then public discourse ought to proceed from the second step, skipping the first altogether. Two reasons militate against this strategy.</w:t>
      </w:r>
    </w:p>
    <w:p w14:paraId="0CBAD176" w14:textId="77777777" w:rsidR="001E3E9C" w:rsidRPr="001E3E9C" w:rsidRDefault="001E3E9C" w:rsidP="001E3E9C">
      <w:pPr>
        <w:rPr>
          <w:rFonts w:cstheme="minorHAnsi"/>
          <w:sz w:val="24"/>
          <w:szCs w:val="24"/>
        </w:rPr>
      </w:pPr>
      <w:r w:rsidRPr="001E3E9C">
        <w:rPr>
          <w:rFonts w:cstheme="minorHAnsi"/>
          <w:sz w:val="24"/>
          <w:szCs w:val="24"/>
        </w:rPr>
        <w:t xml:space="preserve">First, entirely ignoring the theological reasoning behind a proposal, even one that is ultimately made in non-theological terms, is disingenuous. The respect for pluralism may dictate that critiques of the law are to be proposed in secular language, but this does not mean that all legal criticisms arise from exclusively secular concerns. </w:t>
      </w:r>
      <w:proofErr w:type="gramStart"/>
      <w:r w:rsidRPr="001E3E9C">
        <w:rPr>
          <w:rFonts w:cstheme="minorHAnsi"/>
          <w:sz w:val="24"/>
          <w:szCs w:val="24"/>
        </w:rPr>
        <w:t>In light of</w:t>
      </w:r>
      <w:proofErr w:type="gramEnd"/>
      <w:r w:rsidRPr="001E3E9C">
        <w:rPr>
          <w:rFonts w:cstheme="minorHAnsi"/>
          <w:sz w:val="24"/>
          <w:szCs w:val="24"/>
        </w:rPr>
        <w:t xml:space="preserve"> this fact, public discourse benefits when the reasoning behind a legal critique is evaluated on its own terms before it is translated into the public sphere because this process helps to weed out incoherent arguments before they can impact policy considerations. In the case of Niebuhr’s account of corruption, examining his theological positions alongside their application </w:t>
      </w:r>
      <w:r w:rsidRPr="001E3E9C">
        <w:rPr>
          <w:rFonts w:cstheme="minorHAnsi"/>
          <w:sz w:val="24"/>
          <w:szCs w:val="24"/>
        </w:rPr>
        <w:lastRenderedPageBreak/>
        <w:t xml:space="preserve">to the question of campaign finance demonstrates a high degree of internal coherence in his argument, further legitimizing the translation of his concerns to the public discourse surrounding </w:t>
      </w:r>
      <w:r w:rsidRPr="001E3E9C">
        <w:rPr>
          <w:rFonts w:cstheme="minorHAnsi"/>
          <w:i/>
          <w:iCs/>
          <w:sz w:val="24"/>
          <w:szCs w:val="24"/>
        </w:rPr>
        <w:t>Citizens United</w:t>
      </w:r>
      <w:r w:rsidRPr="001E3E9C">
        <w:rPr>
          <w:rFonts w:cstheme="minorHAnsi"/>
          <w:sz w:val="24"/>
          <w:szCs w:val="24"/>
        </w:rPr>
        <w:t>.</w:t>
      </w:r>
    </w:p>
    <w:p w14:paraId="7602538A" w14:textId="525D165F" w:rsidR="001E3E9C" w:rsidRPr="001E3E9C" w:rsidRDefault="001E3E9C" w:rsidP="001E3E9C">
      <w:pPr>
        <w:rPr>
          <w:rFonts w:cstheme="minorHAnsi"/>
          <w:sz w:val="24"/>
          <w:szCs w:val="24"/>
        </w:rPr>
      </w:pPr>
      <w:r w:rsidRPr="001E3E9C">
        <w:rPr>
          <w:rFonts w:cstheme="minorHAnsi"/>
          <w:sz w:val="24"/>
          <w:szCs w:val="24"/>
        </w:rPr>
        <w:t xml:space="preserve">Second, setting aside theological reasoning unnecessarily narrows the conversation, negatively impacting both the assessment of public policy and the development of alternatives. For instance, in the interdisciplinary conversation proposed here, the juxtaposition of Niebuhr’s theological assertions with the </w:t>
      </w:r>
      <w:r w:rsidRPr="001E3E9C">
        <w:rPr>
          <w:rFonts w:cstheme="minorHAnsi"/>
          <w:i/>
          <w:iCs/>
          <w:sz w:val="24"/>
          <w:szCs w:val="24"/>
        </w:rPr>
        <w:t>Citizens United</w:t>
      </w:r>
      <w:r w:rsidRPr="001E3E9C">
        <w:rPr>
          <w:rFonts w:cstheme="minorHAnsi"/>
          <w:sz w:val="24"/>
          <w:szCs w:val="24"/>
        </w:rPr>
        <w:t xml:space="preserve"> ruling effectively shifts the spotlight onto the issue of corruption, which in turn underscores the empirical assumptions beneath the Court’s split. As discussed below, this is not the typical interpretation of the </w:t>
      </w:r>
      <w:r w:rsidRPr="001E3E9C">
        <w:rPr>
          <w:rFonts w:cstheme="minorHAnsi"/>
          <w:i/>
          <w:iCs/>
          <w:sz w:val="24"/>
          <w:szCs w:val="24"/>
        </w:rPr>
        <w:t>Citizens United</w:t>
      </w:r>
      <w:r w:rsidRPr="001E3E9C">
        <w:rPr>
          <w:rFonts w:cstheme="minorHAnsi"/>
          <w:sz w:val="24"/>
          <w:szCs w:val="24"/>
        </w:rPr>
        <w:t xml:space="preserve"> decision, and the focus on this new issue only emerges because the points of contact with Niebuhr’s theology widen the debate. Meanwhile, Niebuhr’s theological convictions provide the logical basis for a two-pronged response to the dangers of collective egotism. This response can then be adapted for the current system of campaign finance in the United States, yielding a framework for constructive alternatives. Excising his theological reflections would only serve to remove this new path forward. For all these reasons, Niebuhr is not only a legitimate conversation partner for the </w:t>
      </w:r>
      <w:r w:rsidRPr="001E3E9C">
        <w:rPr>
          <w:rFonts w:cstheme="minorHAnsi"/>
          <w:i/>
          <w:iCs/>
          <w:sz w:val="24"/>
          <w:szCs w:val="24"/>
        </w:rPr>
        <w:t>Citizens United</w:t>
      </w:r>
      <w:r w:rsidRPr="001E3E9C">
        <w:rPr>
          <w:rFonts w:cstheme="minorHAnsi"/>
          <w:sz w:val="24"/>
          <w:szCs w:val="24"/>
        </w:rPr>
        <w:t xml:space="preserve"> decision, </w:t>
      </w:r>
      <w:proofErr w:type="gramStart"/>
      <w:r w:rsidRPr="001E3E9C">
        <w:rPr>
          <w:rFonts w:cstheme="minorHAnsi"/>
          <w:sz w:val="24"/>
          <w:szCs w:val="24"/>
        </w:rPr>
        <w:t>he</w:t>
      </w:r>
      <w:proofErr w:type="gramEnd"/>
      <w:r w:rsidRPr="001E3E9C">
        <w:rPr>
          <w:rFonts w:cstheme="minorHAnsi"/>
          <w:sz w:val="24"/>
          <w:szCs w:val="24"/>
        </w:rPr>
        <w:t xml:space="preserve"> is also a valuable one, whose insights can be employed without needlessly undermining the traditional separation of church and state.</w:t>
      </w:r>
    </w:p>
    <w:p w14:paraId="524BBBC6" w14:textId="77777777" w:rsidR="001E3E9C" w:rsidRPr="001E3E9C" w:rsidRDefault="001E3E9C" w:rsidP="00400E66">
      <w:pPr>
        <w:pStyle w:val="Heading1"/>
      </w:pPr>
      <w:r w:rsidRPr="001E3E9C">
        <w:rPr>
          <w:i/>
          <w:iCs/>
        </w:rPr>
        <w:t>Citizens United</w:t>
      </w:r>
      <w:r w:rsidRPr="001E3E9C">
        <w:t>: The Role of Government and the Nature of Corruption</w:t>
      </w:r>
    </w:p>
    <w:p w14:paraId="3E6F8627" w14:textId="74651E2C" w:rsidR="001E3E9C" w:rsidRPr="001E3E9C" w:rsidRDefault="001E3E9C" w:rsidP="001E3E9C">
      <w:pPr>
        <w:rPr>
          <w:rFonts w:cstheme="minorHAnsi"/>
          <w:sz w:val="24"/>
          <w:szCs w:val="24"/>
        </w:rPr>
      </w:pPr>
      <w:proofErr w:type="gramStart"/>
      <w:r w:rsidRPr="001E3E9C">
        <w:rPr>
          <w:rFonts w:cstheme="minorHAnsi"/>
          <w:sz w:val="24"/>
          <w:szCs w:val="24"/>
        </w:rPr>
        <w:t>In order to</w:t>
      </w:r>
      <w:proofErr w:type="gramEnd"/>
      <w:r w:rsidRPr="001E3E9C">
        <w:rPr>
          <w:rFonts w:cstheme="minorHAnsi"/>
          <w:sz w:val="24"/>
          <w:szCs w:val="24"/>
        </w:rPr>
        <w:t xml:space="preserve"> facilitate a useful conversation between Niebuhr’s theology and the Supreme Court’s decision, it is essential to identify areas of common concern. Given Niebuhr’s emphasis on corruption, especially in groups, the obvious points of contact are in the Court’s discussion of corruption. Focusing on this central issue in the decision, a curious new interpretation emerges. Although </w:t>
      </w:r>
      <w:r w:rsidRPr="001E3E9C">
        <w:rPr>
          <w:rFonts w:cstheme="minorHAnsi"/>
          <w:i/>
          <w:iCs/>
          <w:sz w:val="24"/>
          <w:szCs w:val="24"/>
        </w:rPr>
        <w:t>Citizens United</w:t>
      </w:r>
      <w:r w:rsidRPr="001E3E9C">
        <w:rPr>
          <w:rFonts w:cstheme="minorHAnsi"/>
          <w:sz w:val="24"/>
          <w:szCs w:val="24"/>
        </w:rPr>
        <w:t xml:space="preserve"> is often analyzed for its simple elision of political spending and political speech (</w:t>
      </w:r>
      <w:r w:rsidRPr="00137823">
        <w:rPr>
          <w:rFonts w:cstheme="minorHAnsi"/>
          <w:sz w:val="24"/>
          <w:szCs w:val="24"/>
        </w:rPr>
        <w:t>Ruprecht 2015</w:t>
      </w:r>
      <w:r w:rsidRPr="001E3E9C">
        <w:rPr>
          <w:rFonts w:cstheme="minorHAnsi"/>
          <w:sz w:val="24"/>
          <w:szCs w:val="24"/>
        </w:rPr>
        <w:t xml:space="preserve">, 18; </w:t>
      </w:r>
      <w:bookmarkStart w:id="12" w:name="b18-text"/>
      <w:proofErr w:type="spellStart"/>
      <w:r w:rsidRPr="00137823">
        <w:rPr>
          <w:rFonts w:cstheme="minorHAnsi"/>
          <w:sz w:val="24"/>
          <w:szCs w:val="24"/>
        </w:rPr>
        <w:t>Kairys</w:t>
      </w:r>
      <w:proofErr w:type="spellEnd"/>
      <w:r w:rsidRPr="00137823">
        <w:rPr>
          <w:rFonts w:cstheme="minorHAnsi"/>
          <w:sz w:val="24"/>
          <w:szCs w:val="24"/>
        </w:rPr>
        <w:t xml:space="preserve"> 2010</w:t>
      </w:r>
      <w:bookmarkEnd w:id="12"/>
      <w:r w:rsidRPr="001E3E9C">
        <w:rPr>
          <w:rFonts w:cstheme="minorHAnsi"/>
          <w:sz w:val="24"/>
          <w:szCs w:val="24"/>
        </w:rPr>
        <w:t>), or for its equation of corporate and natural persons (</w:t>
      </w:r>
      <w:bookmarkStart w:id="13" w:name="b9-text"/>
      <w:r w:rsidRPr="00137823">
        <w:rPr>
          <w:rFonts w:cstheme="minorHAnsi"/>
          <w:sz w:val="24"/>
          <w:szCs w:val="24"/>
        </w:rPr>
        <w:t>Ellis 2011</w:t>
      </w:r>
      <w:bookmarkEnd w:id="13"/>
      <w:r w:rsidRPr="001E3E9C">
        <w:rPr>
          <w:rFonts w:cstheme="minorHAnsi"/>
          <w:sz w:val="24"/>
          <w:szCs w:val="24"/>
        </w:rPr>
        <w:t xml:space="preserve">; </w:t>
      </w:r>
      <w:r w:rsidRPr="00137823">
        <w:rPr>
          <w:rFonts w:cstheme="minorHAnsi"/>
          <w:sz w:val="24"/>
          <w:szCs w:val="24"/>
        </w:rPr>
        <w:t>Osterlind 2011</w:t>
      </w:r>
      <w:r w:rsidRPr="001E3E9C">
        <w:rPr>
          <w:rFonts w:cstheme="minorHAnsi"/>
          <w:sz w:val="24"/>
          <w:szCs w:val="24"/>
        </w:rPr>
        <w:t xml:space="preserve">), the existing scholarship does not examine the surprisingly significant role that an empirical dispute about the nature of corruption played in the Court’s reasoning. Even those scholars who do acknowledge the pivotal role of the corruption question in the overall decision do not attend to the empirical assumptions at the heart of that </w:t>
      </w:r>
      <w:proofErr w:type="gramStart"/>
      <w:r w:rsidRPr="001E3E9C">
        <w:rPr>
          <w:rFonts w:cstheme="minorHAnsi"/>
          <w:sz w:val="24"/>
          <w:szCs w:val="24"/>
        </w:rPr>
        <w:t>particular debate</w:t>
      </w:r>
      <w:proofErr w:type="gramEnd"/>
      <w:r w:rsidRPr="001E3E9C">
        <w:rPr>
          <w:rFonts w:cstheme="minorHAnsi"/>
          <w:sz w:val="24"/>
          <w:szCs w:val="24"/>
        </w:rPr>
        <w:t>.</w:t>
      </w:r>
    </w:p>
    <w:p w14:paraId="577A5D3C" w14:textId="48D3B745" w:rsidR="001E3E9C" w:rsidRPr="001E3E9C" w:rsidRDefault="001E3E9C" w:rsidP="001E3E9C">
      <w:pPr>
        <w:rPr>
          <w:rFonts w:cstheme="minorHAnsi"/>
          <w:sz w:val="24"/>
          <w:szCs w:val="24"/>
        </w:rPr>
      </w:pPr>
      <w:bookmarkStart w:id="14" w:name="b19-text"/>
      <w:r w:rsidRPr="00137823">
        <w:rPr>
          <w:rFonts w:cstheme="minorHAnsi"/>
          <w:sz w:val="24"/>
          <w:szCs w:val="24"/>
        </w:rPr>
        <w:t>Michael Kang</w:t>
      </w:r>
      <w:bookmarkEnd w:id="14"/>
      <w:r w:rsidRPr="001E3E9C">
        <w:rPr>
          <w:rFonts w:cstheme="minorHAnsi"/>
          <w:sz w:val="24"/>
          <w:szCs w:val="24"/>
        </w:rPr>
        <w:t>, for instance, has called the Court’s assertions about the lack of corruption in independent expenditures—which first appeared in an earlier case</w:t>
      </w:r>
      <w:proofErr w:type="gramStart"/>
      <w:r w:rsidRPr="001E3E9C">
        <w:rPr>
          <w:rFonts w:cstheme="minorHAnsi"/>
          <w:sz w:val="24"/>
          <w:szCs w:val="24"/>
        </w:rPr>
        <w:t>—“</w:t>
      </w:r>
      <w:proofErr w:type="gramEnd"/>
      <w:r w:rsidRPr="001E3E9C">
        <w:rPr>
          <w:rFonts w:cstheme="minorHAnsi"/>
          <w:sz w:val="24"/>
          <w:szCs w:val="24"/>
        </w:rPr>
        <w:t xml:space="preserve">absurd as a matter of political reality” (2010, 246). He, like other observers (see </w:t>
      </w:r>
      <w:bookmarkStart w:id="15" w:name="b20-text"/>
      <w:r w:rsidRPr="00137823">
        <w:rPr>
          <w:rFonts w:cstheme="minorHAnsi"/>
          <w:sz w:val="24"/>
          <w:szCs w:val="24"/>
        </w:rPr>
        <w:t>Kellogg 2012</w:t>
      </w:r>
      <w:bookmarkEnd w:id="15"/>
      <w:r w:rsidRPr="001E3E9C">
        <w:rPr>
          <w:rFonts w:cstheme="minorHAnsi"/>
          <w:sz w:val="24"/>
          <w:szCs w:val="24"/>
        </w:rPr>
        <w:t xml:space="preserve">, 28–29), implies that this is more </w:t>
      </w:r>
      <w:proofErr w:type="spellStart"/>
      <w:r w:rsidRPr="001E3E9C">
        <w:rPr>
          <w:rFonts w:cstheme="minorHAnsi"/>
          <w:sz w:val="24"/>
          <w:szCs w:val="24"/>
        </w:rPr>
        <w:t>naïvety</w:t>
      </w:r>
      <w:proofErr w:type="spellEnd"/>
      <w:r w:rsidRPr="001E3E9C">
        <w:rPr>
          <w:rFonts w:cstheme="minorHAnsi"/>
          <w:sz w:val="24"/>
          <w:szCs w:val="24"/>
        </w:rPr>
        <w:t xml:space="preserve"> than faulty empirical analysis, however. Meanwhile, those commentators who have noted the lack of empirical evidence behind the Court’s claims about corruption have typically done so only with passing references (</w:t>
      </w:r>
      <w:bookmarkStart w:id="16" w:name="b24-text"/>
      <w:r w:rsidRPr="00137823">
        <w:rPr>
          <w:rFonts w:cstheme="minorHAnsi"/>
          <w:sz w:val="24"/>
          <w:szCs w:val="24"/>
        </w:rPr>
        <w:t>Levitt 2010, 230</w:t>
      </w:r>
      <w:bookmarkEnd w:id="16"/>
      <w:r w:rsidRPr="001E3E9C">
        <w:rPr>
          <w:rFonts w:cstheme="minorHAnsi"/>
          <w:sz w:val="24"/>
          <w:szCs w:val="24"/>
        </w:rPr>
        <w:t xml:space="preserve">; </w:t>
      </w:r>
      <w:bookmarkStart w:id="17" w:name="b15-text"/>
      <w:proofErr w:type="spellStart"/>
      <w:r w:rsidRPr="00137823">
        <w:rPr>
          <w:rFonts w:cstheme="minorHAnsi"/>
          <w:sz w:val="24"/>
          <w:szCs w:val="24"/>
        </w:rPr>
        <w:t>Hasen</w:t>
      </w:r>
      <w:proofErr w:type="spellEnd"/>
      <w:r w:rsidRPr="00137823">
        <w:rPr>
          <w:rFonts w:cstheme="minorHAnsi"/>
          <w:sz w:val="24"/>
          <w:szCs w:val="24"/>
        </w:rPr>
        <w:t xml:space="preserve"> 2011, 583, 603</w:t>
      </w:r>
      <w:bookmarkEnd w:id="17"/>
      <w:r w:rsidRPr="001E3E9C">
        <w:rPr>
          <w:rFonts w:cstheme="minorHAnsi"/>
          <w:sz w:val="24"/>
          <w:szCs w:val="24"/>
        </w:rPr>
        <w:t xml:space="preserve">). The most sustained analysis has come from Lawrence </w:t>
      </w:r>
      <w:bookmarkStart w:id="18" w:name="b23-text"/>
      <w:r w:rsidRPr="00137823">
        <w:rPr>
          <w:rFonts w:cstheme="minorHAnsi"/>
          <w:sz w:val="24"/>
          <w:szCs w:val="24"/>
        </w:rPr>
        <w:t>Lessig (2010)</w:t>
      </w:r>
      <w:bookmarkEnd w:id="18"/>
      <w:r w:rsidRPr="001E3E9C">
        <w:rPr>
          <w:rFonts w:cstheme="minorHAnsi"/>
          <w:sz w:val="24"/>
          <w:szCs w:val="24"/>
        </w:rPr>
        <w:t xml:space="preserve">, who noted in a reflection on “institutional corruption” that at least one element of the majority’s decision in </w:t>
      </w:r>
      <w:r w:rsidRPr="001E3E9C">
        <w:rPr>
          <w:rFonts w:cstheme="minorHAnsi"/>
          <w:i/>
          <w:iCs/>
          <w:sz w:val="24"/>
          <w:szCs w:val="24"/>
        </w:rPr>
        <w:t>Citizens United</w:t>
      </w:r>
      <w:r w:rsidRPr="001E3E9C">
        <w:rPr>
          <w:rFonts w:cstheme="minorHAnsi"/>
          <w:sz w:val="24"/>
          <w:szCs w:val="24"/>
        </w:rPr>
        <w:t xml:space="preserve"> was a </w:t>
      </w:r>
      <w:proofErr w:type="gramStart"/>
      <w:r w:rsidRPr="001E3E9C">
        <w:rPr>
          <w:rFonts w:cstheme="minorHAnsi"/>
          <w:sz w:val="24"/>
          <w:szCs w:val="24"/>
        </w:rPr>
        <w:t>“ factual</w:t>
      </w:r>
      <w:proofErr w:type="gramEnd"/>
      <w:r w:rsidRPr="001E3E9C">
        <w:rPr>
          <w:rFonts w:cstheme="minorHAnsi"/>
          <w:sz w:val="24"/>
          <w:szCs w:val="24"/>
        </w:rPr>
        <w:t xml:space="preserve"> issue” decided without any reference to factual evidence. Even Lessig’s observations, though, capture only a piece of the problem, focusing on the majority’s claim that certain activities will not undermine voters’ faith in the democratic process (see also </w:t>
      </w:r>
      <w:proofErr w:type="spellStart"/>
      <w:r w:rsidRPr="001E3E9C">
        <w:rPr>
          <w:rFonts w:cstheme="minorHAnsi"/>
          <w:sz w:val="24"/>
          <w:szCs w:val="24"/>
        </w:rPr>
        <w:t>Hasen</w:t>
      </w:r>
      <w:proofErr w:type="spellEnd"/>
      <w:r w:rsidRPr="001E3E9C">
        <w:rPr>
          <w:rFonts w:cstheme="minorHAnsi"/>
          <w:sz w:val="24"/>
          <w:szCs w:val="24"/>
        </w:rPr>
        <w:t xml:space="preserve"> 2011, 609). While this is indeed a factual assertion, it is a small matter in the ruling’s overall argument. If one examines the larger claims about corruption more directly, as the comparison with Niebuhr invites, then the true extent of the Court’s disconcerting </w:t>
      </w:r>
      <w:r w:rsidRPr="001E3E9C">
        <w:rPr>
          <w:rFonts w:cstheme="minorHAnsi"/>
          <w:sz w:val="24"/>
          <w:szCs w:val="24"/>
        </w:rPr>
        <w:lastRenderedPageBreak/>
        <w:t xml:space="preserve">reliance on factual claims without factual evidence becomes clear. In fact, Niebuhr’s emphases highlight the impact of unexamined empirical claims not only on the corruption question in general, but also on the equality of corporate and natural persons’ proclivities for </w:t>
      </w:r>
      <w:proofErr w:type="gramStart"/>
      <w:r w:rsidRPr="001E3E9C">
        <w:rPr>
          <w:rFonts w:cstheme="minorHAnsi"/>
          <w:sz w:val="24"/>
          <w:szCs w:val="24"/>
        </w:rPr>
        <w:t>corruption in particular</w:t>
      </w:r>
      <w:proofErr w:type="gramEnd"/>
      <w:r w:rsidRPr="001E3E9C">
        <w:rPr>
          <w:rFonts w:cstheme="minorHAnsi"/>
          <w:sz w:val="24"/>
          <w:szCs w:val="24"/>
        </w:rPr>
        <w:t xml:space="preserve">. The latter issue is one that the current scholarship fails to appreciate, and yet it is a central element in Niebuhr’s thought. Consequently, examining </w:t>
      </w:r>
      <w:r w:rsidRPr="001E3E9C">
        <w:rPr>
          <w:rFonts w:cstheme="minorHAnsi"/>
          <w:i/>
          <w:iCs/>
          <w:sz w:val="24"/>
          <w:szCs w:val="24"/>
        </w:rPr>
        <w:t>Citizens United</w:t>
      </w:r>
      <w:r w:rsidRPr="001E3E9C">
        <w:rPr>
          <w:rFonts w:cstheme="minorHAnsi"/>
          <w:sz w:val="24"/>
          <w:szCs w:val="24"/>
        </w:rPr>
        <w:t xml:space="preserve"> with an eye toward Niebuhr is a valuable exercise because the points of contact with his theology offer both deeper insights and new directions for this ongoing debate.</w:t>
      </w:r>
    </w:p>
    <w:p w14:paraId="0C57A330" w14:textId="6F687680" w:rsidR="001E3E9C" w:rsidRPr="001E3E9C" w:rsidRDefault="001E3E9C" w:rsidP="001E3E9C">
      <w:pPr>
        <w:rPr>
          <w:rFonts w:cstheme="minorHAnsi"/>
          <w:sz w:val="24"/>
          <w:szCs w:val="24"/>
        </w:rPr>
      </w:pPr>
      <w:r w:rsidRPr="001E3E9C">
        <w:rPr>
          <w:rFonts w:cstheme="minorHAnsi"/>
          <w:sz w:val="24"/>
          <w:szCs w:val="24"/>
        </w:rPr>
        <w:t xml:space="preserve">Admittedly, the </w:t>
      </w:r>
      <w:r w:rsidRPr="001E3E9C">
        <w:rPr>
          <w:rFonts w:cstheme="minorHAnsi"/>
          <w:i/>
          <w:iCs/>
          <w:sz w:val="24"/>
          <w:szCs w:val="24"/>
        </w:rPr>
        <w:t>Citizens United</w:t>
      </w:r>
      <w:r w:rsidRPr="001E3E9C">
        <w:rPr>
          <w:rFonts w:cstheme="minorHAnsi"/>
          <w:sz w:val="24"/>
          <w:szCs w:val="24"/>
        </w:rPr>
        <w:t xml:space="preserve"> case placed a variety of legal questions before the court. In fact, the case generated an enormously lengthy record with five distinct opinions: the (majority) Decision of the Court, authored by Justice Kennedy; a concurring opinion from Chief Justice Roberts (joined by Justice Alito) defending the majority’s reversal of existing precedent; a concurring opinion from Justice Antonin Scalia (joined by Justices Alito and Thomas) challenging a reading of the First Amendment in the dissenting opinion; the minority’s dissenting opinion, written by Justice Stevens (joined by Justices Ginsburg, Breyer, and Sotomayor); and a dissent in part from Justice Thomas critiquing disclosure requirements. This tangled web of written opinions evinces the complexity of the case, but it does not undermine the fact that the effective outcome of the case was a 5–4 decision asserting that existing limits on “electioneering communications” paid for by corporations in the final months of an election campaign constituted a violation of those corporations’ First Amendment rights (CU 318–19, 339, 361, 364).</w:t>
      </w:r>
      <w:bookmarkStart w:id="19" w:name="f04-text"/>
      <w:r w:rsidRPr="00137823">
        <w:rPr>
          <w:rFonts w:cstheme="minorHAnsi"/>
          <w:sz w:val="24"/>
          <w:szCs w:val="24"/>
          <w:vertAlign w:val="superscript"/>
        </w:rPr>
        <w:t>4</w:t>
      </w:r>
      <w:bookmarkEnd w:id="19"/>
      <w:r w:rsidRPr="001E3E9C">
        <w:rPr>
          <w:rFonts w:cstheme="minorHAnsi"/>
          <w:sz w:val="24"/>
          <w:szCs w:val="24"/>
        </w:rPr>
        <w:t xml:space="preserve"> Specifically, the Court insisted that the government has no compelling interest in regulating “independent expenditures” made by outside groups during political campaigns (CU 372),</w:t>
      </w:r>
      <w:bookmarkStart w:id="20" w:name="f05-text"/>
      <w:r w:rsidRPr="00137823">
        <w:rPr>
          <w:rFonts w:cstheme="minorHAnsi"/>
          <w:sz w:val="24"/>
          <w:szCs w:val="24"/>
          <w:vertAlign w:val="superscript"/>
        </w:rPr>
        <w:t>5</w:t>
      </w:r>
      <w:bookmarkEnd w:id="20"/>
      <w:r w:rsidRPr="001E3E9C">
        <w:rPr>
          <w:rFonts w:cstheme="minorHAnsi"/>
          <w:sz w:val="24"/>
          <w:szCs w:val="24"/>
        </w:rPr>
        <w:t xml:space="preserve"> leading to the normative conclusion that restraining corporate political influence is not part of the proper role of government in the United States. In response, the Court’s majority proposed that the appropriate function of government in this case was to get out of the way so that “more speech, not less” might enter the public square (CU 361, see also 355). Granting additional legal intricacies, the case can still be evaluated along the 5–4 split over this normative role for the government of the United States. Examining the case along this fault line, and with an interest in developing an interdisciplinary conversation with Niebuhr, a new reading emerges.</w:t>
      </w:r>
      <w:r w:rsidRPr="001E3E9C">
        <w:rPr>
          <w:rFonts w:cstheme="minorHAnsi"/>
          <w:b/>
          <w:bCs/>
          <w:sz w:val="24"/>
          <w:szCs w:val="24"/>
        </w:rPr>
        <w:t xml:space="preserve"> </w:t>
      </w:r>
    </w:p>
    <w:p w14:paraId="191C1A7E" w14:textId="22607858" w:rsidR="001E3E9C" w:rsidRPr="001E3E9C" w:rsidRDefault="001E3E9C" w:rsidP="001E3E9C">
      <w:pPr>
        <w:rPr>
          <w:rFonts w:cstheme="minorHAnsi"/>
          <w:sz w:val="24"/>
          <w:szCs w:val="24"/>
        </w:rPr>
      </w:pPr>
      <w:r w:rsidRPr="001E3E9C">
        <w:rPr>
          <w:rFonts w:cstheme="minorHAnsi"/>
          <w:sz w:val="24"/>
          <w:szCs w:val="24"/>
        </w:rPr>
        <w:t>To begin, the pursuit of parallels with Niebuhr’s work—which has special emphases on the corrupting effects of collective organizations—underscores the fact that the majority’s normative conclusion was, in turn, based upon empirical claims about the distinctiveness of groups and their corrupting influence in politics. Practically speaking, the Court brought empirical claims to the forefront by identifying political expenditures as a form of political speech (since the expenditures could be used to purchase airtime for one political proposal or another), which in turn required subjecting the existing restrictions on corporate political expenditures found in the Bipartisan Campaign Reform Act of 2002 to “strict scrutiny.”</w:t>
      </w:r>
      <w:bookmarkStart w:id="21" w:name="f06-text"/>
      <w:r w:rsidRPr="00137823">
        <w:rPr>
          <w:rFonts w:cstheme="minorHAnsi"/>
          <w:sz w:val="24"/>
          <w:szCs w:val="24"/>
          <w:vertAlign w:val="superscript"/>
        </w:rPr>
        <w:t>6</w:t>
      </w:r>
      <w:bookmarkEnd w:id="21"/>
      <w:r w:rsidRPr="001E3E9C">
        <w:rPr>
          <w:rFonts w:cstheme="minorHAnsi"/>
          <w:sz w:val="24"/>
          <w:szCs w:val="24"/>
        </w:rPr>
        <w:t xml:space="preserve"> This legal standard “requires the Government to prove that the restriction ‘furthers a compelling interest and is narrowly tailored to achieve that interest’” (CU 339–40). Since the Court’s previous rulings permitted only narrow restrictions on political expenditures, there were only three potential bases on which to justify a compelling government interest in the </w:t>
      </w:r>
      <w:r w:rsidRPr="001E3E9C">
        <w:rPr>
          <w:rFonts w:cstheme="minorHAnsi"/>
          <w:i/>
          <w:iCs/>
          <w:sz w:val="24"/>
          <w:szCs w:val="24"/>
        </w:rPr>
        <w:t>Citizens United</w:t>
      </w:r>
      <w:r w:rsidRPr="001E3E9C">
        <w:rPr>
          <w:rFonts w:cstheme="minorHAnsi"/>
          <w:sz w:val="24"/>
          <w:szCs w:val="24"/>
        </w:rPr>
        <w:t xml:space="preserve"> case: “</w:t>
      </w:r>
      <w:proofErr w:type="spellStart"/>
      <w:r w:rsidRPr="001E3E9C">
        <w:rPr>
          <w:rFonts w:cstheme="minorHAnsi"/>
          <w:sz w:val="24"/>
          <w:szCs w:val="24"/>
        </w:rPr>
        <w:t>antidistortion</w:t>
      </w:r>
      <w:proofErr w:type="spellEnd"/>
      <w:r w:rsidRPr="001E3E9C">
        <w:rPr>
          <w:rFonts w:cstheme="minorHAnsi"/>
          <w:sz w:val="24"/>
          <w:szCs w:val="24"/>
        </w:rPr>
        <w:t>,” “anticorruption,” and dissenting shareholder protection (CU 348–49).</w:t>
      </w:r>
      <w:bookmarkStart w:id="22" w:name="f07-text"/>
      <w:r w:rsidRPr="00137823">
        <w:rPr>
          <w:rFonts w:cstheme="minorHAnsi"/>
          <w:sz w:val="24"/>
          <w:szCs w:val="24"/>
          <w:vertAlign w:val="superscript"/>
        </w:rPr>
        <w:t>7</w:t>
      </w:r>
      <w:bookmarkEnd w:id="22"/>
      <w:r w:rsidRPr="001E3E9C">
        <w:rPr>
          <w:rFonts w:cstheme="minorHAnsi"/>
          <w:sz w:val="24"/>
          <w:szCs w:val="24"/>
        </w:rPr>
        <w:t xml:space="preserve"> The Court dismissed the protection of dissenting shareholders in two paragraphs, arguing that shareholders could effectively critique and curb a corporation’s political activities “through the procedures of corporate democracy” (CU 362). The crux of the majority’s argument, therefore, focused on demonstrating the </w:t>
      </w:r>
      <w:r w:rsidRPr="001E3E9C">
        <w:rPr>
          <w:rFonts w:cstheme="minorHAnsi"/>
          <w:sz w:val="24"/>
          <w:szCs w:val="24"/>
        </w:rPr>
        <w:lastRenderedPageBreak/>
        <w:t xml:space="preserve">insufficiency of the </w:t>
      </w:r>
      <w:proofErr w:type="spellStart"/>
      <w:r w:rsidRPr="001E3E9C">
        <w:rPr>
          <w:rFonts w:cstheme="minorHAnsi"/>
          <w:sz w:val="24"/>
          <w:szCs w:val="24"/>
        </w:rPr>
        <w:t>antidistortion</w:t>
      </w:r>
      <w:proofErr w:type="spellEnd"/>
      <w:r w:rsidRPr="001E3E9C">
        <w:rPr>
          <w:rFonts w:cstheme="minorHAnsi"/>
          <w:sz w:val="24"/>
          <w:szCs w:val="24"/>
        </w:rPr>
        <w:t xml:space="preserve"> and the anticorruption rationales, which meant that empirical assertions about the nature and corrupting influence of collective activity in political life became the central dispute before the Court.</w:t>
      </w:r>
    </w:p>
    <w:p w14:paraId="66311423" w14:textId="026DA74E" w:rsidR="001E3E9C" w:rsidRPr="001E3E9C" w:rsidRDefault="001E3E9C" w:rsidP="001E3E9C">
      <w:pPr>
        <w:rPr>
          <w:rFonts w:cstheme="minorHAnsi"/>
          <w:sz w:val="24"/>
          <w:szCs w:val="24"/>
        </w:rPr>
      </w:pPr>
      <w:r w:rsidRPr="001E3E9C">
        <w:rPr>
          <w:rFonts w:cstheme="minorHAnsi"/>
          <w:sz w:val="24"/>
          <w:szCs w:val="24"/>
        </w:rPr>
        <w:t xml:space="preserve">With respect to </w:t>
      </w:r>
      <w:proofErr w:type="spellStart"/>
      <w:r w:rsidRPr="001E3E9C">
        <w:rPr>
          <w:rFonts w:cstheme="minorHAnsi"/>
          <w:sz w:val="24"/>
          <w:szCs w:val="24"/>
        </w:rPr>
        <w:t>antidistortion</w:t>
      </w:r>
      <w:proofErr w:type="spellEnd"/>
      <w:r w:rsidRPr="001E3E9C">
        <w:rPr>
          <w:rFonts w:cstheme="minorHAnsi"/>
          <w:sz w:val="24"/>
          <w:szCs w:val="24"/>
        </w:rPr>
        <w:t xml:space="preserve">, empirical claims about the distinctiveness of groups translated into normative claims about the role of government. In legal terms, the issue boiled down to </w:t>
      </w:r>
      <w:proofErr w:type="gramStart"/>
      <w:r w:rsidRPr="001E3E9C">
        <w:rPr>
          <w:rFonts w:cstheme="minorHAnsi"/>
          <w:sz w:val="24"/>
          <w:szCs w:val="24"/>
        </w:rPr>
        <w:t>whether or not</w:t>
      </w:r>
      <w:proofErr w:type="gramEnd"/>
      <w:r w:rsidRPr="001E3E9C">
        <w:rPr>
          <w:rFonts w:cstheme="minorHAnsi"/>
          <w:sz w:val="24"/>
          <w:szCs w:val="24"/>
        </w:rPr>
        <w:t xml:space="preserve"> the government had a legitimate interest in regulating corporate political speech in order to avoid a situation in which corporations obtained “‘an unfair advantage in the political marketplace’ by using ‘resources amassed in the economic marketplace’” (CU 350). Those justifying government regulations for the sake of </w:t>
      </w:r>
      <w:proofErr w:type="spellStart"/>
      <w:r w:rsidRPr="001E3E9C">
        <w:rPr>
          <w:rFonts w:cstheme="minorHAnsi"/>
          <w:sz w:val="24"/>
          <w:szCs w:val="24"/>
        </w:rPr>
        <w:t>antidistortion</w:t>
      </w:r>
      <w:proofErr w:type="spellEnd"/>
      <w:r w:rsidRPr="001E3E9C">
        <w:rPr>
          <w:rFonts w:cstheme="minorHAnsi"/>
          <w:sz w:val="24"/>
          <w:szCs w:val="24"/>
        </w:rPr>
        <w:t xml:space="preserve"> were, therefore, attempting to ensure that corporations would not be able to use their wealth to purchase enough avenues of political speech to drown out all opposing viewpoints. The majority argued that this was not a legitimate use of government power, noting that legal precedent expressly prohibits government interference for the purpose of equalizing the exercise of free speech rights. Consequently, the majority suggested that the government should instead focus on ensuring the equal possession of free speech rights, meaning that all persons—both natural and corporate—should have the same freedoms to spend their economic resources on political speech regardless of disparities between each person’s economic resources. According to this view, fewer restrictions would better counteract distortion by bringing corporate political speech out into the open, where it could be subjected to public scrutiny (CU 350–52, 355–56). Tellingly, this normative vision for the proper function of government </w:t>
      </w:r>
      <w:proofErr w:type="gramStart"/>
      <w:r w:rsidRPr="001E3E9C">
        <w:rPr>
          <w:rFonts w:cstheme="minorHAnsi"/>
          <w:sz w:val="24"/>
          <w:szCs w:val="24"/>
        </w:rPr>
        <w:t>was based on the assumption</w:t>
      </w:r>
      <w:proofErr w:type="gramEnd"/>
      <w:r w:rsidRPr="001E3E9C">
        <w:rPr>
          <w:rFonts w:cstheme="minorHAnsi"/>
          <w:sz w:val="24"/>
          <w:szCs w:val="24"/>
        </w:rPr>
        <w:t xml:space="preserve"> that there were no substantive distinctions between corporate persons and other legal persons (CU 342–43). Thus, the majority built its normative argument about the role of government on an empirical claim about the nature of collectives.</w:t>
      </w:r>
    </w:p>
    <w:p w14:paraId="03DE5DAF" w14:textId="7B1CB4A4" w:rsidR="001E3E9C" w:rsidRPr="001E3E9C" w:rsidRDefault="001E3E9C" w:rsidP="001E3E9C">
      <w:pPr>
        <w:rPr>
          <w:rFonts w:cstheme="minorHAnsi"/>
          <w:sz w:val="24"/>
          <w:szCs w:val="24"/>
        </w:rPr>
      </w:pPr>
      <w:r w:rsidRPr="001E3E9C">
        <w:rPr>
          <w:rFonts w:cstheme="minorHAnsi"/>
          <w:sz w:val="24"/>
          <w:szCs w:val="24"/>
        </w:rPr>
        <w:t xml:space="preserve">The roots of the majority’s argument in this empirical claim about groups is even more readily apparent when one considers Niebuhr’s account of collective egotism. Niebuhr’s vision insists that individuals and groups are decidedly not equivalent on the matters most at stake in </w:t>
      </w:r>
      <w:r w:rsidRPr="001E3E9C">
        <w:rPr>
          <w:rFonts w:cstheme="minorHAnsi"/>
          <w:i/>
          <w:iCs/>
          <w:sz w:val="24"/>
          <w:szCs w:val="24"/>
        </w:rPr>
        <w:t>Citizens United</w:t>
      </w:r>
      <w:r w:rsidRPr="001E3E9C">
        <w:rPr>
          <w:rFonts w:cstheme="minorHAnsi"/>
          <w:sz w:val="24"/>
          <w:szCs w:val="24"/>
        </w:rPr>
        <w:t xml:space="preserve">. The stark contrast between Niebuhr and the Court’s majority helps to reinforce the importance of the minority’s dissent on this point, and this in turn highlights the empirical presuppositions behind the Court’s split in this case. Thus, although scholars have noted that the minority critiqued the majority’s uniform categorization of corporate and natural persons as a “conceit” that eradicated at least a century of legal thought (CU 394–95; cf. </w:t>
      </w:r>
      <w:bookmarkStart w:id="23" w:name="b41-text"/>
      <w:r w:rsidRPr="00137823">
        <w:rPr>
          <w:rFonts w:cstheme="minorHAnsi"/>
          <w:sz w:val="24"/>
          <w:szCs w:val="24"/>
        </w:rPr>
        <w:t>Osterlind 2011</w:t>
      </w:r>
      <w:bookmarkEnd w:id="23"/>
      <w:r w:rsidRPr="001E3E9C">
        <w:rPr>
          <w:rFonts w:cstheme="minorHAnsi"/>
          <w:sz w:val="24"/>
          <w:szCs w:val="24"/>
        </w:rPr>
        <w:t xml:space="preserve">, 276–77), what is not stressed is that the basis of this critique is a different empirical assessment. With Niebuhr’s contrast in mind, though, one can see that the minority’s disputes on this matter are properly empirical counterarguments. For example, when the minority insisted that corporate and natural persons couldn’t be equated, they pointed to empirical distinctions such as the fact “that corporations have no consciences, no beliefs, no feelings, no thoughts, no desires” (CU 465–66). More dramatically, the minority stressed that corporations, by virtue of their </w:t>
      </w:r>
      <w:proofErr w:type="gramStart"/>
      <w:r w:rsidRPr="001E3E9C">
        <w:rPr>
          <w:rFonts w:cstheme="minorHAnsi"/>
          <w:sz w:val="24"/>
          <w:szCs w:val="24"/>
        </w:rPr>
        <w:t>particular legal</w:t>
      </w:r>
      <w:proofErr w:type="gramEnd"/>
      <w:r w:rsidRPr="001E3E9C">
        <w:rPr>
          <w:rFonts w:cstheme="minorHAnsi"/>
          <w:sz w:val="24"/>
          <w:szCs w:val="24"/>
        </w:rPr>
        <w:t xml:space="preserve"> structure (which orders for-profit corporations chiefly to the goal of profit maximization), are inherently tilted toward using the political process to serve their own economic ends, “no matter how persuasive the arguments for a broader or conflicting set of priorities” might be (CU 470). </w:t>
      </w:r>
      <w:proofErr w:type="gramStart"/>
      <w:r w:rsidRPr="001E3E9C">
        <w:rPr>
          <w:rFonts w:cstheme="minorHAnsi"/>
          <w:sz w:val="24"/>
          <w:szCs w:val="24"/>
        </w:rPr>
        <w:t>In light of</w:t>
      </w:r>
      <w:proofErr w:type="gramEnd"/>
      <w:r w:rsidRPr="001E3E9C">
        <w:rPr>
          <w:rFonts w:cstheme="minorHAnsi"/>
          <w:sz w:val="24"/>
          <w:szCs w:val="24"/>
        </w:rPr>
        <w:t xml:space="preserve"> the added power of corporations’ wealth and their structural orientation to the pursuit of narrow ends</w:t>
      </w:r>
      <w:r w:rsidR="000F7ED4">
        <w:rPr>
          <w:rFonts w:cstheme="minorHAnsi"/>
          <w:sz w:val="24"/>
          <w:szCs w:val="24"/>
        </w:rPr>
        <w:t xml:space="preserve"> </w:t>
      </w:r>
      <w:r w:rsidRPr="001E3E9C">
        <w:rPr>
          <w:rFonts w:cstheme="minorHAnsi"/>
          <w:sz w:val="24"/>
          <w:szCs w:val="24"/>
        </w:rPr>
        <w:t xml:space="preserve">the minority argued that the government could legitimately restrict corporate political expenditures and that the government should do so in order to promote a more open and complete exchange of ideas. In this way, the minority critiqued the majority’s opinion and </w:t>
      </w:r>
      <w:r w:rsidRPr="001E3E9C">
        <w:rPr>
          <w:rFonts w:cstheme="minorHAnsi"/>
          <w:sz w:val="24"/>
          <w:szCs w:val="24"/>
        </w:rPr>
        <w:lastRenderedPageBreak/>
        <w:t>proposed a contrasting normative vision for the role of government, precisely by contesting the majority’s empirical claims about the simple equality of corporate and natural persons.</w:t>
      </w:r>
    </w:p>
    <w:p w14:paraId="04BCA352" w14:textId="77777777" w:rsidR="001E3E9C" w:rsidRPr="001E3E9C" w:rsidRDefault="001E3E9C" w:rsidP="001E3E9C">
      <w:pPr>
        <w:rPr>
          <w:rFonts w:cstheme="minorHAnsi"/>
          <w:sz w:val="24"/>
          <w:szCs w:val="24"/>
        </w:rPr>
      </w:pPr>
      <w:r w:rsidRPr="001E3E9C">
        <w:rPr>
          <w:rFonts w:cstheme="minorHAnsi"/>
          <w:sz w:val="24"/>
          <w:szCs w:val="24"/>
        </w:rPr>
        <w:t xml:space="preserve">Strikingly, the question of the anticorruption rationale also entailed a normative dispute about the role of government that was similarly built on competing empirical claims. In this case, the empirical issue was, unsurprisingly, the nature of corruption. Both sides </w:t>
      </w:r>
      <w:proofErr w:type="gramStart"/>
      <w:r w:rsidRPr="001E3E9C">
        <w:rPr>
          <w:rFonts w:cstheme="minorHAnsi"/>
          <w:sz w:val="24"/>
          <w:szCs w:val="24"/>
        </w:rPr>
        <w:t>actually agreed</w:t>
      </w:r>
      <w:proofErr w:type="gramEnd"/>
      <w:r w:rsidRPr="001E3E9C">
        <w:rPr>
          <w:rFonts w:cstheme="minorHAnsi"/>
          <w:sz w:val="24"/>
          <w:szCs w:val="24"/>
        </w:rPr>
        <w:t xml:space="preserve"> on the overarching normative assertion that the government should use its powers to counteract corruption (and the appearance of corruption) in public affairs (CU 357, 447), but they vigorously disagreed on the application of that normative vision to the specifics of independent political expenditures by corporations. At the heart of this disagreement was a competing set of empirical assumptions about the nature of corruption and the influence of groups in politics—issues that are immediately apparent with Niebuhr in the background.</w:t>
      </w:r>
    </w:p>
    <w:p w14:paraId="53D242BA" w14:textId="7411B561" w:rsidR="001E3E9C" w:rsidRPr="001E3E9C" w:rsidRDefault="001E3E9C" w:rsidP="001E3E9C">
      <w:pPr>
        <w:rPr>
          <w:rFonts w:cstheme="minorHAnsi"/>
          <w:sz w:val="24"/>
          <w:szCs w:val="24"/>
        </w:rPr>
      </w:pPr>
      <w:r w:rsidRPr="001E3E9C">
        <w:rPr>
          <w:rFonts w:cstheme="minorHAnsi"/>
          <w:sz w:val="24"/>
          <w:szCs w:val="24"/>
        </w:rPr>
        <w:t xml:space="preserve">To begin, the majority hewed to a narrow definition of corruption, envisioning the concept as exclusively a “political </w:t>
      </w:r>
      <w:r w:rsidRPr="001E3E9C">
        <w:rPr>
          <w:rFonts w:cstheme="minorHAnsi"/>
          <w:i/>
          <w:iCs/>
          <w:sz w:val="24"/>
          <w:szCs w:val="24"/>
        </w:rPr>
        <w:t>quid pro quo</w:t>
      </w:r>
      <w:r w:rsidRPr="001E3E9C">
        <w:rPr>
          <w:rFonts w:cstheme="minorHAnsi"/>
          <w:sz w:val="24"/>
          <w:szCs w:val="24"/>
        </w:rPr>
        <w:t xml:space="preserve">” (CU 356, 359). Given the legal distinctions between direct contributions to candidates and independent expenditures during political campaigns (CU 345, citing </w:t>
      </w:r>
      <w:r w:rsidRPr="001E3E9C">
        <w:rPr>
          <w:rFonts w:cstheme="minorHAnsi"/>
          <w:i/>
          <w:iCs/>
          <w:sz w:val="24"/>
          <w:szCs w:val="24"/>
        </w:rPr>
        <w:t xml:space="preserve">Buckley v. </w:t>
      </w:r>
      <w:proofErr w:type="spellStart"/>
      <w:r w:rsidRPr="001E3E9C">
        <w:rPr>
          <w:rFonts w:cstheme="minorHAnsi"/>
          <w:i/>
          <w:iCs/>
          <w:sz w:val="24"/>
          <w:szCs w:val="24"/>
        </w:rPr>
        <w:t>Valeo</w:t>
      </w:r>
      <w:proofErr w:type="spellEnd"/>
      <w:r w:rsidRPr="001E3E9C">
        <w:rPr>
          <w:rFonts w:cstheme="minorHAnsi"/>
          <w:sz w:val="24"/>
          <w:szCs w:val="24"/>
        </w:rPr>
        <w:t xml:space="preserve"> 45–47), the majority argued that because independent expenditures are made independently of candidates, they are not prone to the creation of quid pro quo arrangements (CU 357). The majority did allow that these independent expenditures might incline politicians to favor the interests of certain donors or even create “the appearance of influence or access,” but they refused to identify this as a form of corruption (CU 360). Instead, the majority combined the independent nature of the expenditures in question with their earlier claims about the legal equality of corporate and natural persons and plainly declared, “expenditures, including those made by corporations, do not give rise to corruption or the appearance of corruption” (CU 357). In the process, the majority dismissed another legal precedent that “purported to leave open the possibility that corporate independent expenditures could be shown to cause corruption” and, therefore, could be regulated differently than independent expenditures by natural persons (CU 357). Suggesting that this precedent misinterpreted its original source, the majority argued that there was no room for distinguishing corporate and natural persons because there were no distinctions between the corrupting influences of each of these legal persons (CU 358). This, of course, represents an empirical claim about the nature of corruption and the corrupting capacities of collective organizations vis-à-vis individual citizens, two matters that are subject to more debate than the majority opinion admits.</w:t>
      </w:r>
    </w:p>
    <w:p w14:paraId="4456AD6A" w14:textId="77777777" w:rsidR="001E3E9C" w:rsidRPr="001E3E9C" w:rsidRDefault="001E3E9C" w:rsidP="001E3E9C">
      <w:pPr>
        <w:rPr>
          <w:rFonts w:cstheme="minorHAnsi"/>
          <w:sz w:val="24"/>
          <w:szCs w:val="24"/>
        </w:rPr>
      </w:pPr>
      <w:r w:rsidRPr="001E3E9C">
        <w:rPr>
          <w:rFonts w:cstheme="minorHAnsi"/>
          <w:sz w:val="24"/>
          <w:szCs w:val="24"/>
        </w:rPr>
        <w:t xml:space="preserve">To an extent, elements of this debate are evident in the </w:t>
      </w:r>
      <w:r w:rsidRPr="001E3E9C">
        <w:rPr>
          <w:rFonts w:cstheme="minorHAnsi"/>
          <w:i/>
          <w:iCs/>
          <w:sz w:val="24"/>
          <w:szCs w:val="24"/>
        </w:rPr>
        <w:t>Citizens United</w:t>
      </w:r>
      <w:r w:rsidRPr="001E3E9C">
        <w:rPr>
          <w:rFonts w:cstheme="minorHAnsi"/>
          <w:sz w:val="24"/>
          <w:szCs w:val="24"/>
        </w:rPr>
        <w:t xml:space="preserve"> case by virtue of the minority’s dissent. Beyond critiquing the lack of evidence before the Court on the effects of the law in question (CU 399), the minority also challenged the majority’s definition of corruption, describing instead a “spectrum” that included a range of means by which individuals and organizations might seize “undue influence on an officeholder’s judgment” (CU 448, 447). This spectrum, the minority insisted, militated against a clear demarcation of political quid pro quo as a separate category of corruption (CU 449). “Bribery may be the paradigmatic case,” they averred, “but the difference between selling a vote and selling access is a matter of degree, not kind” (CU 447). Thus, the minority refused to accept that independent expenditures were incapable of corrupting and instead proposed that the government could restrict these expenditures </w:t>
      </w:r>
      <w:proofErr w:type="gramStart"/>
      <w:r w:rsidRPr="001E3E9C">
        <w:rPr>
          <w:rFonts w:cstheme="minorHAnsi"/>
          <w:sz w:val="24"/>
          <w:szCs w:val="24"/>
        </w:rPr>
        <w:t>in order to</w:t>
      </w:r>
      <w:proofErr w:type="gramEnd"/>
      <w:r w:rsidRPr="001E3E9C">
        <w:rPr>
          <w:rFonts w:cstheme="minorHAnsi"/>
          <w:sz w:val="24"/>
          <w:szCs w:val="24"/>
        </w:rPr>
        <w:t xml:space="preserve"> avoid the mortal blow to “democratic integrity” (CU 451) that would result from the perception that “private interests . . . exert outsized control over </w:t>
      </w:r>
      <w:r w:rsidRPr="001E3E9C">
        <w:rPr>
          <w:rFonts w:cstheme="minorHAnsi"/>
          <w:sz w:val="24"/>
          <w:szCs w:val="24"/>
        </w:rPr>
        <w:lastRenderedPageBreak/>
        <w:t>officeholders solely on account of the money spent on (or withheld form) their campaigns” (CU 450). In other words, competing views of corruption led to contrasting normative conclusions for the majority and the minority. This was not the only empirical divergence between the two sides of the court, however.</w:t>
      </w:r>
    </w:p>
    <w:p w14:paraId="4C479F29" w14:textId="26004988" w:rsidR="001E3E9C" w:rsidRPr="001E3E9C" w:rsidRDefault="001E3E9C" w:rsidP="001E3E9C">
      <w:pPr>
        <w:rPr>
          <w:rFonts w:cstheme="minorHAnsi"/>
          <w:sz w:val="24"/>
          <w:szCs w:val="24"/>
        </w:rPr>
      </w:pPr>
      <w:r w:rsidRPr="001E3E9C">
        <w:rPr>
          <w:rFonts w:cstheme="minorHAnsi"/>
          <w:sz w:val="24"/>
          <w:szCs w:val="24"/>
        </w:rPr>
        <w:t xml:space="preserve">Although they decried the majority’s “crabbed view of corruption” (CU 447), the minority also challenged that the majority’s dismissal of the anti-corruption rationale was inadequate on its own terms. Even if one were to concede to a restrictive quid pro quo understanding, they explained, the government would still have a compelling interest in limiting corporate independent expenditures (CU 451). After all, the minority noted that previous distinctions between the corrupting influence of direct contributions and independent expenditures were restricted to individuals and did not address limitations on corporations, so there was no true legal precedent outlawing independent expenditures made by corporations (CU 453–54). In fact, the minority interpreted the lack of explicit precedent to mean precisely that corporate persons and natural persons could be treated differently with respect to their corrupting influence. Significantly, the minority justified its proposal for differential legal treatment </w:t>
      </w:r>
      <w:proofErr w:type="gramStart"/>
      <w:r w:rsidRPr="001E3E9C">
        <w:rPr>
          <w:rFonts w:cstheme="minorHAnsi"/>
          <w:sz w:val="24"/>
          <w:szCs w:val="24"/>
        </w:rPr>
        <w:t>on the basis of</w:t>
      </w:r>
      <w:proofErr w:type="gramEnd"/>
      <w:r w:rsidRPr="001E3E9C">
        <w:rPr>
          <w:rFonts w:cstheme="minorHAnsi"/>
          <w:sz w:val="24"/>
          <w:szCs w:val="24"/>
        </w:rPr>
        <w:t xml:space="preserve"> an empirical claim, stating that corporations, by their very nature, pose greater risks to the integrity of the democratic process than do individuals acting alone (CU 423).</w:t>
      </w:r>
    </w:p>
    <w:p w14:paraId="72B1D80F" w14:textId="77777777" w:rsidR="001E3E9C" w:rsidRPr="001E3E9C" w:rsidRDefault="001E3E9C" w:rsidP="001E3E9C">
      <w:pPr>
        <w:rPr>
          <w:rFonts w:cstheme="minorHAnsi"/>
          <w:sz w:val="24"/>
          <w:szCs w:val="24"/>
        </w:rPr>
      </w:pPr>
      <w:r w:rsidRPr="001E3E9C">
        <w:rPr>
          <w:rFonts w:cstheme="minorHAnsi"/>
          <w:sz w:val="24"/>
          <w:szCs w:val="24"/>
        </w:rPr>
        <w:t>As the minority explained, corporations “have vastly more money with which to try to buy access and votes</w:t>
      </w:r>
      <w:proofErr w:type="gramStart"/>
      <w:r w:rsidRPr="001E3E9C">
        <w:rPr>
          <w:rFonts w:cstheme="minorHAnsi"/>
          <w:sz w:val="24"/>
          <w:szCs w:val="24"/>
        </w:rPr>
        <w:t>. . . .</w:t>
      </w:r>
      <w:proofErr w:type="gramEnd"/>
      <w:r w:rsidRPr="001E3E9C">
        <w:rPr>
          <w:rFonts w:cstheme="minorHAnsi"/>
          <w:sz w:val="24"/>
          <w:szCs w:val="24"/>
        </w:rPr>
        <w:t xml:space="preserve"> The unparalleled resources, professional lobbyists, and single-minded focus they bring to this effort . . . make </w:t>
      </w:r>
      <w:r w:rsidRPr="001E3E9C">
        <w:rPr>
          <w:rFonts w:cstheme="minorHAnsi"/>
          <w:i/>
          <w:iCs/>
          <w:sz w:val="24"/>
          <w:szCs w:val="24"/>
        </w:rPr>
        <w:t>quid pro quo</w:t>
      </w:r>
      <w:r w:rsidRPr="001E3E9C">
        <w:rPr>
          <w:rFonts w:cstheme="minorHAnsi"/>
          <w:sz w:val="24"/>
          <w:szCs w:val="24"/>
        </w:rPr>
        <w:t xml:space="preserve"> corruption and its appearance inherently more likely when they (or their conduits or trade groups) spend unrestricted sums on elections” (CU 454). By removing restrictions on independent expenditures, the minority predicted that the Court would exacerbate the corporate potential for facilitating political corruption, creating a system in which politicians would rely on outside corporate spending to advance their campaign only to become beholden to those corporations. According to the minority, the biggest concern was not what corporations would require elected officials to do, but what they would be able to prevent elected officials from doing, since corporate donors could powerfully threaten to withdraw their unrestricted funds and reapply them to an opponent’s campaign if an elected official were to adopt a policy in opposition to the interests of his or her donors (CU 455). </w:t>
      </w:r>
      <w:proofErr w:type="gramStart"/>
      <w:r w:rsidRPr="001E3E9C">
        <w:rPr>
          <w:rFonts w:cstheme="minorHAnsi"/>
          <w:sz w:val="24"/>
          <w:szCs w:val="24"/>
        </w:rPr>
        <w:t>On the basis of</w:t>
      </w:r>
      <w:proofErr w:type="gramEnd"/>
      <w:r w:rsidRPr="001E3E9C">
        <w:rPr>
          <w:rFonts w:cstheme="minorHAnsi"/>
          <w:sz w:val="24"/>
          <w:szCs w:val="24"/>
        </w:rPr>
        <w:t xml:space="preserve"> these empirical concerns, the minority insisted on a simple normative conclusion: “Our lawmakers have a compelling constitutional basis, if not a democratic duty, to take measures to guard against the potentially deleterious effects of corporate spending in local and national [elections]” (CU 394).</w:t>
      </w:r>
    </w:p>
    <w:p w14:paraId="2BBAB46E" w14:textId="3E10CFCA" w:rsidR="001E3E9C" w:rsidRPr="001E3E9C" w:rsidRDefault="001E3E9C" w:rsidP="001E3E9C">
      <w:pPr>
        <w:rPr>
          <w:rFonts w:cstheme="minorHAnsi"/>
          <w:sz w:val="24"/>
          <w:szCs w:val="24"/>
        </w:rPr>
      </w:pPr>
      <w:r w:rsidRPr="001E3E9C">
        <w:rPr>
          <w:rFonts w:cstheme="minorHAnsi"/>
          <w:sz w:val="24"/>
          <w:szCs w:val="24"/>
        </w:rPr>
        <w:t xml:space="preserve">The main disputed question in </w:t>
      </w:r>
      <w:r w:rsidRPr="001E3E9C">
        <w:rPr>
          <w:rFonts w:cstheme="minorHAnsi"/>
          <w:i/>
          <w:iCs/>
          <w:sz w:val="24"/>
          <w:szCs w:val="24"/>
        </w:rPr>
        <w:t>Citizens United</w:t>
      </w:r>
      <w:r w:rsidRPr="001E3E9C">
        <w:rPr>
          <w:rFonts w:cstheme="minorHAnsi"/>
          <w:sz w:val="24"/>
          <w:szCs w:val="24"/>
        </w:rPr>
        <w:t xml:space="preserve"> was the normative role government should take in regulating independent expenditures, but this normative question was only in dispute as a result of the </w:t>
      </w:r>
      <w:proofErr w:type="gramStart"/>
      <w:r w:rsidRPr="001E3E9C">
        <w:rPr>
          <w:rFonts w:cstheme="minorHAnsi"/>
          <w:sz w:val="24"/>
          <w:szCs w:val="24"/>
        </w:rPr>
        <w:t>majority’s</w:t>
      </w:r>
      <w:proofErr w:type="gramEnd"/>
      <w:r w:rsidRPr="001E3E9C">
        <w:rPr>
          <w:rFonts w:cstheme="minorHAnsi"/>
          <w:sz w:val="24"/>
          <w:szCs w:val="24"/>
        </w:rPr>
        <w:t xml:space="preserve"> and the minority’s radically divergent assessments of other empirical claims—claims that come to light only by focusing directly on the issue of corruption in general and in groups in particular as a result of Niebuhr’s emphases. With Niebuhr’s themes in mind, one can more readily see </w:t>
      </w:r>
      <w:proofErr w:type="gramStart"/>
      <w:r w:rsidRPr="001E3E9C">
        <w:rPr>
          <w:rFonts w:cstheme="minorHAnsi"/>
          <w:sz w:val="24"/>
          <w:szCs w:val="24"/>
        </w:rPr>
        <w:t>that empirical claims</w:t>
      </w:r>
      <w:proofErr w:type="gramEnd"/>
      <w:r w:rsidRPr="001E3E9C">
        <w:rPr>
          <w:rFonts w:cstheme="minorHAnsi"/>
          <w:sz w:val="24"/>
          <w:szCs w:val="24"/>
        </w:rPr>
        <w:t xml:space="preserve"> about the distinctiveness of groups, the nature of corruption, and the distinctive nature of group corruption formed the basis of opposite normative conclusions about the proper responsibilities of government in the sphere of campaign finance. Ultimately, the majority’s normative vision triumphed because its empirical assessments of these three issues won the day. Hence, the government is currently prohibited from regulating corporations’ independent expenditures because </w:t>
      </w:r>
      <w:r w:rsidRPr="001E3E9C">
        <w:rPr>
          <w:rFonts w:cstheme="minorHAnsi"/>
          <w:sz w:val="24"/>
          <w:szCs w:val="24"/>
        </w:rPr>
        <w:lastRenderedPageBreak/>
        <w:t>the Court ruled that natural persons and corporate persons have no significant distinguishing features in this case, that corruption is problematic only in its quid pro quo form, and that groups do not pose any additional risks of quid pro quo corruption in the political process than individuals do when acting on their own. These empirical claims, however, deserve more scrutiny, especially since they have been used to substantiate normative conclusions with such wide-ranging consequences for the political process in the United States. This is where an expansion of the legal conversation to include theological sources can be most beneficial.</w:t>
      </w:r>
    </w:p>
    <w:p w14:paraId="34A8B8E7" w14:textId="77777777" w:rsidR="001E3E9C" w:rsidRPr="001E3E9C" w:rsidRDefault="001E3E9C" w:rsidP="00400E66">
      <w:pPr>
        <w:pStyle w:val="Heading1"/>
      </w:pPr>
      <w:r w:rsidRPr="001E3E9C">
        <w:t>Reinhold Niebuhr: Collective Egotism and Government Responsibility</w:t>
      </w:r>
    </w:p>
    <w:p w14:paraId="47CA40B2" w14:textId="2D460177" w:rsidR="001E3E9C" w:rsidRPr="001E3E9C" w:rsidRDefault="001E3E9C" w:rsidP="001E3E9C">
      <w:pPr>
        <w:rPr>
          <w:rFonts w:cstheme="minorHAnsi"/>
          <w:sz w:val="24"/>
          <w:szCs w:val="24"/>
        </w:rPr>
      </w:pPr>
      <w:r w:rsidRPr="001E3E9C">
        <w:rPr>
          <w:rFonts w:cstheme="minorHAnsi"/>
          <w:sz w:val="24"/>
          <w:szCs w:val="24"/>
        </w:rPr>
        <w:t>The value of using Niebuhr to stimulate a more productive conversation about campaign finance laws revolves around his robust assessment of human sinfulness, both in individuals and in groups. Always attentive to the ambiguities and imperfections of life in the world, Niebuhr consistently stressed the unavoidable reality of sin as a part of the human condition (1953b, 7). Although he is sometimes faulted for this, with critics identifying an excessive pessimism in his theological anthropology (</w:t>
      </w:r>
      <w:bookmarkStart w:id="24" w:name="b53-text"/>
      <w:r w:rsidRPr="00137823">
        <w:rPr>
          <w:rFonts w:cstheme="minorHAnsi"/>
          <w:sz w:val="24"/>
          <w:szCs w:val="24"/>
        </w:rPr>
        <w:t>Stone 2012a</w:t>
      </w:r>
      <w:bookmarkEnd w:id="24"/>
      <w:r w:rsidRPr="001E3E9C">
        <w:rPr>
          <w:rFonts w:cstheme="minorHAnsi"/>
          <w:sz w:val="24"/>
          <w:szCs w:val="24"/>
        </w:rPr>
        <w:t xml:space="preserve">, 125), he offers an important corrective to a contemporary situation that often tilts too far in the opposite direction. Thus, his realism is especially important for the question of campaign finance, where an overly optimistic interpretation of the role of financial power in the political system has managed to rule the day. Niebuhr’s acute awareness of the presence and effects of sin complicates this </w:t>
      </w:r>
      <w:proofErr w:type="gramStart"/>
      <w:r w:rsidRPr="001E3E9C">
        <w:rPr>
          <w:rFonts w:cstheme="minorHAnsi"/>
          <w:sz w:val="24"/>
          <w:szCs w:val="24"/>
        </w:rPr>
        <w:t>state of affairs</w:t>
      </w:r>
      <w:proofErr w:type="gramEnd"/>
      <w:r w:rsidRPr="001E3E9C">
        <w:rPr>
          <w:rFonts w:cstheme="minorHAnsi"/>
          <w:sz w:val="24"/>
          <w:szCs w:val="24"/>
        </w:rPr>
        <w:t xml:space="preserve">, and his remarks on the self-interested tendencies of group action directly challenge the empirical claims at the basis of the majority’s opinion in the </w:t>
      </w:r>
      <w:r w:rsidRPr="001E3E9C">
        <w:rPr>
          <w:rFonts w:cstheme="minorHAnsi"/>
          <w:i/>
          <w:iCs/>
          <w:sz w:val="24"/>
          <w:szCs w:val="24"/>
        </w:rPr>
        <w:t>Citizens United</w:t>
      </w:r>
      <w:r w:rsidRPr="001E3E9C">
        <w:rPr>
          <w:rFonts w:cstheme="minorHAnsi"/>
          <w:sz w:val="24"/>
          <w:szCs w:val="24"/>
        </w:rPr>
        <w:t xml:space="preserve"> case. Indeed, his insights are valuable for the case at hand precisely because his theological perspective translates to a broader, and more realistic, assessment of the facts.</w:t>
      </w:r>
    </w:p>
    <w:p w14:paraId="3520D125" w14:textId="5B46A6FC" w:rsidR="001E3E9C" w:rsidRPr="001E3E9C" w:rsidRDefault="001E3E9C" w:rsidP="001E3E9C">
      <w:pPr>
        <w:rPr>
          <w:rFonts w:cstheme="minorHAnsi"/>
          <w:sz w:val="24"/>
          <w:szCs w:val="24"/>
        </w:rPr>
      </w:pPr>
      <w:proofErr w:type="gramStart"/>
      <w:r w:rsidRPr="001E3E9C">
        <w:rPr>
          <w:rFonts w:cstheme="minorHAnsi"/>
          <w:sz w:val="24"/>
          <w:szCs w:val="24"/>
        </w:rPr>
        <w:t>In order to</w:t>
      </w:r>
      <w:proofErr w:type="gramEnd"/>
      <w:r w:rsidRPr="001E3E9C">
        <w:rPr>
          <w:rFonts w:cstheme="minorHAnsi"/>
          <w:sz w:val="24"/>
          <w:szCs w:val="24"/>
        </w:rPr>
        <w:t xml:space="preserve"> understand Niebuhr’s claims about the distinctive dangers of groups, one must appreciate the context of his larger doctrine of sin. On this issue, Niebuhr began by identifying the human being at the intersection of freedom and finitude, insisting that humanity was therefore able to envision (in freedom) more than it could accomplish (in finitude) (</w:t>
      </w:r>
      <w:r w:rsidRPr="00137823">
        <w:rPr>
          <w:rFonts w:cstheme="minorHAnsi"/>
          <w:sz w:val="24"/>
          <w:szCs w:val="24"/>
        </w:rPr>
        <w:t>1996</w:t>
      </w:r>
      <w:r w:rsidRPr="001E3E9C">
        <w:rPr>
          <w:rFonts w:cstheme="minorHAnsi"/>
          <w:sz w:val="24"/>
          <w:szCs w:val="24"/>
        </w:rPr>
        <w:t xml:space="preserve">, 167). Consequently, he maintained that a certain insecurity would always arise, because each person would be forced to consider the possibility that some of her or his hopes might not come true </w:t>
      </w:r>
      <w:proofErr w:type="gramStart"/>
      <w:r w:rsidRPr="001E3E9C">
        <w:rPr>
          <w:rFonts w:cstheme="minorHAnsi"/>
          <w:sz w:val="24"/>
          <w:szCs w:val="24"/>
        </w:rPr>
        <w:t>in light of</w:t>
      </w:r>
      <w:proofErr w:type="gramEnd"/>
      <w:r w:rsidRPr="001E3E9C">
        <w:rPr>
          <w:rFonts w:cstheme="minorHAnsi"/>
          <w:sz w:val="24"/>
          <w:szCs w:val="24"/>
        </w:rPr>
        <w:t xml:space="preserve"> humanity’s “natural contingency” (</w:t>
      </w:r>
      <w:r w:rsidRPr="00137823">
        <w:rPr>
          <w:rFonts w:cstheme="minorHAnsi"/>
          <w:sz w:val="24"/>
          <w:szCs w:val="24"/>
        </w:rPr>
        <w:t>1996</w:t>
      </w:r>
      <w:r w:rsidRPr="001E3E9C">
        <w:rPr>
          <w:rFonts w:cstheme="minorHAnsi"/>
          <w:sz w:val="24"/>
          <w:szCs w:val="24"/>
        </w:rPr>
        <w:t>, 178). Calling this anxiety “the internal precondition of sin” (</w:t>
      </w:r>
      <w:r w:rsidRPr="00137823">
        <w:rPr>
          <w:rFonts w:cstheme="minorHAnsi"/>
          <w:sz w:val="24"/>
          <w:szCs w:val="24"/>
        </w:rPr>
        <w:t>1996</w:t>
      </w:r>
      <w:r w:rsidRPr="001E3E9C">
        <w:rPr>
          <w:rFonts w:cstheme="minorHAnsi"/>
          <w:sz w:val="24"/>
          <w:szCs w:val="24"/>
        </w:rPr>
        <w:t xml:space="preserve">, 182), Niebuhr expressed an inevitable tendency to sin in one of two directions as each human person either attempts to assert her or his freedom in a prideful effort to overcome </w:t>
      </w:r>
      <w:proofErr w:type="gramStart"/>
      <w:r w:rsidRPr="001E3E9C">
        <w:rPr>
          <w:rFonts w:cstheme="minorHAnsi"/>
          <w:sz w:val="24"/>
          <w:szCs w:val="24"/>
        </w:rPr>
        <w:t>finitude, or</w:t>
      </w:r>
      <w:proofErr w:type="gramEnd"/>
      <w:r w:rsidRPr="001E3E9C">
        <w:rPr>
          <w:rFonts w:cstheme="minorHAnsi"/>
          <w:sz w:val="24"/>
          <w:szCs w:val="24"/>
        </w:rPr>
        <w:t xml:space="preserve"> chooses to indulge in sensuality and thereby rejects the use of his or her freedom for self-actualization (</w:t>
      </w:r>
      <w:r w:rsidRPr="00137823">
        <w:rPr>
          <w:rFonts w:cstheme="minorHAnsi"/>
          <w:sz w:val="24"/>
          <w:szCs w:val="24"/>
        </w:rPr>
        <w:t>1996</w:t>
      </w:r>
      <w:r w:rsidRPr="001E3E9C">
        <w:rPr>
          <w:rFonts w:cstheme="minorHAnsi"/>
          <w:sz w:val="24"/>
          <w:szCs w:val="24"/>
        </w:rPr>
        <w:t xml:space="preserve">, 186). Despite admitting </w:t>
      </w:r>
      <w:proofErr w:type="gramStart"/>
      <w:r w:rsidRPr="001E3E9C">
        <w:rPr>
          <w:rFonts w:cstheme="minorHAnsi"/>
          <w:sz w:val="24"/>
          <w:szCs w:val="24"/>
        </w:rPr>
        <w:t>both of these</w:t>
      </w:r>
      <w:proofErr w:type="gramEnd"/>
      <w:r w:rsidRPr="001E3E9C">
        <w:rPr>
          <w:rFonts w:cstheme="minorHAnsi"/>
          <w:sz w:val="24"/>
          <w:szCs w:val="24"/>
        </w:rPr>
        <w:t xml:space="preserve"> possibilities, Niebuhr gave much more attention to pride, calling it the “more basic” sin (</w:t>
      </w:r>
      <w:r w:rsidRPr="00137823">
        <w:rPr>
          <w:rFonts w:cstheme="minorHAnsi"/>
          <w:sz w:val="24"/>
          <w:szCs w:val="24"/>
        </w:rPr>
        <w:t>1996</w:t>
      </w:r>
      <w:r w:rsidRPr="001E3E9C">
        <w:rPr>
          <w:rFonts w:cstheme="minorHAnsi"/>
          <w:sz w:val="24"/>
          <w:szCs w:val="24"/>
        </w:rPr>
        <w:t>, 186, 188).</w:t>
      </w:r>
      <w:bookmarkStart w:id="25" w:name="f08-text"/>
      <w:r w:rsidRPr="00137823">
        <w:rPr>
          <w:rFonts w:cstheme="minorHAnsi"/>
          <w:sz w:val="24"/>
          <w:szCs w:val="24"/>
          <w:vertAlign w:val="superscript"/>
        </w:rPr>
        <w:t>8</w:t>
      </w:r>
      <w:bookmarkEnd w:id="25"/>
    </w:p>
    <w:p w14:paraId="4704422C" w14:textId="4CCF8932" w:rsidR="001E3E9C" w:rsidRPr="001E3E9C" w:rsidRDefault="001E3E9C" w:rsidP="001E3E9C">
      <w:pPr>
        <w:rPr>
          <w:rFonts w:cstheme="minorHAnsi"/>
          <w:sz w:val="24"/>
          <w:szCs w:val="24"/>
        </w:rPr>
      </w:pPr>
      <w:r w:rsidRPr="001E3E9C">
        <w:rPr>
          <w:rFonts w:cstheme="minorHAnsi"/>
          <w:sz w:val="24"/>
          <w:szCs w:val="24"/>
        </w:rPr>
        <w:t xml:space="preserve">Niebuhr’s focus on pride has admittedly been the subject of much criticism. While some fault him for stressing pride at the expense of sensuality (Stone 2012a, 125–26; </w:t>
      </w:r>
      <w:r w:rsidRPr="00137823">
        <w:rPr>
          <w:rFonts w:cstheme="minorHAnsi"/>
          <w:sz w:val="24"/>
          <w:szCs w:val="24"/>
        </w:rPr>
        <w:t>Rasmussen 1988</w:t>
      </w:r>
      <w:r w:rsidRPr="001E3E9C">
        <w:rPr>
          <w:rFonts w:cstheme="minorHAnsi"/>
          <w:sz w:val="24"/>
          <w:szCs w:val="24"/>
        </w:rPr>
        <w:t>, 19), the most consequential critiques have come from feminist scholars, who rightly note that Niebuhr’s “universal” sin does not represent the innate tendencies of every individual and instead generalizes a more typically masculine experience (</w:t>
      </w:r>
      <w:bookmarkStart w:id="26" w:name="b49-text"/>
      <w:proofErr w:type="spellStart"/>
      <w:r w:rsidRPr="00137823">
        <w:rPr>
          <w:rFonts w:cstheme="minorHAnsi"/>
          <w:sz w:val="24"/>
          <w:szCs w:val="24"/>
        </w:rPr>
        <w:t>Saiving</w:t>
      </w:r>
      <w:proofErr w:type="spellEnd"/>
      <w:r w:rsidRPr="00137823">
        <w:rPr>
          <w:rFonts w:cstheme="minorHAnsi"/>
          <w:sz w:val="24"/>
          <w:szCs w:val="24"/>
        </w:rPr>
        <w:t xml:space="preserve"> 1960</w:t>
      </w:r>
      <w:bookmarkEnd w:id="26"/>
      <w:r w:rsidRPr="001E3E9C">
        <w:rPr>
          <w:rFonts w:cstheme="minorHAnsi"/>
          <w:sz w:val="24"/>
          <w:szCs w:val="24"/>
        </w:rPr>
        <w:t xml:space="preserve">; </w:t>
      </w:r>
      <w:bookmarkStart w:id="27" w:name="b43-text"/>
      <w:proofErr w:type="spellStart"/>
      <w:r w:rsidRPr="00137823">
        <w:rPr>
          <w:rFonts w:cstheme="minorHAnsi"/>
          <w:sz w:val="24"/>
          <w:szCs w:val="24"/>
        </w:rPr>
        <w:t>Plaskow</w:t>
      </w:r>
      <w:proofErr w:type="spellEnd"/>
      <w:r w:rsidRPr="00137823">
        <w:rPr>
          <w:rFonts w:cstheme="minorHAnsi"/>
          <w:sz w:val="24"/>
          <w:szCs w:val="24"/>
        </w:rPr>
        <w:t xml:space="preserve"> 1980</w:t>
      </w:r>
      <w:bookmarkEnd w:id="27"/>
      <w:r w:rsidRPr="001E3E9C">
        <w:rPr>
          <w:rFonts w:cstheme="minorHAnsi"/>
          <w:sz w:val="24"/>
          <w:szCs w:val="24"/>
        </w:rPr>
        <w:t xml:space="preserve">, 62–73; cf. </w:t>
      </w:r>
      <w:bookmarkStart w:id="28" w:name="b54-text"/>
      <w:r w:rsidRPr="00137823">
        <w:rPr>
          <w:rFonts w:cstheme="minorHAnsi"/>
          <w:sz w:val="24"/>
          <w:szCs w:val="24"/>
        </w:rPr>
        <w:t>Stone 2012b</w:t>
      </w:r>
      <w:bookmarkEnd w:id="28"/>
      <w:r w:rsidRPr="001E3E9C">
        <w:rPr>
          <w:rFonts w:cstheme="minorHAnsi"/>
          <w:sz w:val="24"/>
          <w:szCs w:val="24"/>
        </w:rPr>
        <w:t xml:space="preserve">, especially 92–95). This valuable critique, however, pertains most directly to the application of Niebuhr’s doctrine of sin to the individual, so it is not as relevant to the issue of group sinfulness. At the same time, it is still useful to keep this feminist challenge in mind when considering Niebuhr’s account of the moral limits of </w:t>
      </w:r>
      <w:r w:rsidRPr="001E3E9C">
        <w:rPr>
          <w:rFonts w:cstheme="minorHAnsi"/>
          <w:sz w:val="24"/>
          <w:szCs w:val="24"/>
        </w:rPr>
        <w:lastRenderedPageBreak/>
        <w:t>group activity, which also hinged on the sin of pride. Doing so helps to highlight the fact that just as it is not the case that pride defines every individual, so it is not the case that pride in one’s group is inherently evil in all circumstances.</w:t>
      </w:r>
      <w:bookmarkStart w:id="29" w:name="f09-text"/>
      <w:r w:rsidRPr="00137823">
        <w:rPr>
          <w:rFonts w:cstheme="minorHAnsi"/>
          <w:sz w:val="24"/>
          <w:szCs w:val="24"/>
          <w:vertAlign w:val="superscript"/>
        </w:rPr>
        <w:t>9</w:t>
      </w:r>
      <w:bookmarkEnd w:id="29"/>
      <w:r w:rsidRPr="001E3E9C">
        <w:rPr>
          <w:rFonts w:cstheme="minorHAnsi"/>
          <w:sz w:val="24"/>
          <w:szCs w:val="24"/>
        </w:rPr>
        <w:t xml:space="preserve"> Moreover, this admission takes nothing away from Niebuhr’s analysis of group self-interest because his pessimistic assessment revolves around the omnipresent </w:t>
      </w:r>
      <w:r w:rsidRPr="001E3E9C">
        <w:rPr>
          <w:rFonts w:cstheme="minorHAnsi"/>
          <w:i/>
          <w:iCs/>
          <w:sz w:val="24"/>
          <w:szCs w:val="24"/>
        </w:rPr>
        <w:t>possibility</w:t>
      </w:r>
      <w:r w:rsidRPr="001E3E9C">
        <w:rPr>
          <w:rFonts w:cstheme="minorHAnsi"/>
          <w:sz w:val="24"/>
          <w:szCs w:val="24"/>
        </w:rPr>
        <w:t xml:space="preserve"> of pride in groups, something that remains a dangerous potential even when it is not manifest in one particular instance or another.</w:t>
      </w:r>
    </w:p>
    <w:p w14:paraId="096B61A3" w14:textId="1D1A02C0" w:rsidR="001E3E9C" w:rsidRPr="001E3E9C" w:rsidRDefault="001E3E9C" w:rsidP="001E3E9C">
      <w:pPr>
        <w:rPr>
          <w:rFonts w:cstheme="minorHAnsi"/>
          <w:sz w:val="24"/>
          <w:szCs w:val="24"/>
        </w:rPr>
      </w:pPr>
      <w:r w:rsidRPr="001E3E9C">
        <w:rPr>
          <w:rFonts w:cstheme="minorHAnsi"/>
          <w:sz w:val="24"/>
          <w:szCs w:val="24"/>
        </w:rPr>
        <w:t>According to Niebuhr, individuals may have been susceptible to the sin of pride (</w:t>
      </w:r>
      <w:r w:rsidRPr="00137823">
        <w:rPr>
          <w:rFonts w:cstheme="minorHAnsi"/>
          <w:sz w:val="24"/>
          <w:szCs w:val="24"/>
        </w:rPr>
        <w:t>1996</w:t>
      </w:r>
      <w:r w:rsidRPr="001E3E9C">
        <w:rPr>
          <w:rFonts w:cstheme="minorHAnsi"/>
          <w:sz w:val="24"/>
          <w:szCs w:val="24"/>
        </w:rPr>
        <w:t>, 208), but groups were the locus of the worst manifestations of this quintessential human sin. Describing the “inferiority of the morality of groups” (</w:t>
      </w:r>
      <w:r w:rsidRPr="00137823">
        <w:rPr>
          <w:rFonts w:cstheme="minorHAnsi"/>
          <w:sz w:val="24"/>
          <w:szCs w:val="24"/>
        </w:rPr>
        <w:t>2001</w:t>
      </w:r>
      <w:r w:rsidRPr="001E3E9C">
        <w:rPr>
          <w:rFonts w:cstheme="minorHAnsi"/>
          <w:sz w:val="24"/>
          <w:szCs w:val="24"/>
        </w:rPr>
        <w:t>, xxv), Niebuhr pointed to a “collective egotism” (</w:t>
      </w:r>
      <w:r w:rsidRPr="00137823">
        <w:rPr>
          <w:rFonts w:cstheme="minorHAnsi"/>
          <w:sz w:val="24"/>
          <w:szCs w:val="24"/>
        </w:rPr>
        <w:t>1996</w:t>
      </w:r>
      <w:r w:rsidRPr="001E3E9C">
        <w:rPr>
          <w:rFonts w:cstheme="minorHAnsi"/>
          <w:sz w:val="24"/>
          <w:szCs w:val="24"/>
        </w:rPr>
        <w:t xml:space="preserve">, 212) that exceeded individual’s prideful self-assertions </w:t>
      </w:r>
      <w:proofErr w:type="gramStart"/>
      <w:r w:rsidRPr="001E3E9C">
        <w:rPr>
          <w:rFonts w:cstheme="minorHAnsi"/>
          <w:sz w:val="24"/>
          <w:szCs w:val="24"/>
        </w:rPr>
        <w:t>by virtue of the fact that</w:t>
      </w:r>
      <w:proofErr w:type="gramEnd"/>
      <w:r w:rsidRPr="001E3E9C">
        <w:rPr>
          <w:rFonts w:cstheme="minorHAnsi"/>
          <w:sz w:val="24"/>
          <w:szCs w:val="24"/>
        </w:rPr>
        <w:t xml:space="preserve"> “the group is more arrogant, hypocritical, self-centered and more ruthless in the pursuit of its ends than the individual” (</w:t>
      </w:r>
      <w:r w:rsidRPr="00137823">
        <w:rPr>
          <w:rFonts w:cstheme="minorHAnsi"/>
          <w:sz w:val="24"/>
          <w:szCs w:val="24"/>
        </w:rPr>
        <w:t>1996</w:t>
      </w:r>
      <w:r w:rsidRPr="001E3E9C">
        <w:rPr>
          <w:rFonts w:cstheme="minorHAnsi"/>
          <w:sz w:val="24"/>
          <w:szCs w:val="24"/>
        </w:rPr>
        <w:t>, 208). This bleak view of groups was grounded in the assumption that members would not identify with a group unless they believed it offered a certain sort of superiority over other groups. “Sinful pride and idolatrous pretensions are thus an inevitable concomitant of the cohesion of large political groups,” Niebuhr wrote (</w:t>
      </w:r>
      <w:r w:rsidRPr="00137823">
        <w:rPr>
          <w:rFonts w:cstheme="minorHAnsi"/>
          <w:sz w:val="24"/>
          <w:szCs w:val="24"/>
        </w:rPr>
        <w:t>1996</w:t>
      </w:r>
      <w:r w:rsidRPr="001E3E9C">
        <w:rPr>
          <w:rFonts w:cstheme="minorHAnsi"/>
          <w:sz w:val="24"/>
          <w:szCs w:val="24"/>
        </w:rPr>
        <w:t xml:space="preserve">, 210; see also </w:t>
      </w:r>
      <w:bookmarkStart w:id="30" w:name="b32-text"/>
      <w:r w:rsidRPr="00137823">
        <w:rPr>
          <w:rFonts w:cstheme="minorHAnsi"/>
          <w:sz w:val="24"/>
          <w:szCs w:val="24"/>
        </w:rPr>
        <w:t>Niebuhr 1957a, 243–44</w:t>
      </w:r>
      <w:bookmarkEnd w:id="30"/>
      <w:r w:rsidRPr="001E3E9C">
        <w:rPr>
          <w:rFonts w:cstheme="minorHAnsi"/>
          <w:sz w:val="24"/>
          <w:szCs w:val="24"/>
        </w:rPr>
        <w:t>). Moreover, Niebuhr suggested that groups offered individuals an outlet for their repressed self-interest, allowing “the man in the street, with his lust for power and prestige thwarted by his own limitations and the necessities of social life . . . [to] indulge his anarchic lusts vicariously” (</w:t>
      </w:r>
      <w:r w:rsidRPr="00137823">
        <w:rPr>
          <w:rFonts w:cstheme="minorHAnsi"/>
          <w:sz w:val="24"/>
          <w:szCs w:val="24"/>
        </w:rPr>
        <w:t>2001</w:t>
      </w:r>
      <w:r w:rsidRPr="001E3E9C">
        <w:rPr>
          <w:rFonts w:cstheme="minorHAnsi"/>
          <w:sz w:val="24"/>
          <w:szCs w:val="24"/>
        </w:rPr>
        <w:t xml:space="preserve">, 93; see also </w:t>
      </w:r>
      <w:r w:rsidRPr="00137823">
        <w:rPr>
          <w:rFonts w:cstheme="minorHAnsi"/>
          <w:sz w:val="24"/>
          <w:szCs w:val="24"/>
        </w:rPr>
        <w:t>Niebuhr 1996</w:t>
      </w:r>
      <w:r w:rsidRPr="001E3E9C">
        <w:rPr>
          <w:rFonts w:cstheme="minorHAnsi"/>
          <w:sz w:val="24"/>
          <w:szCs w:val="24"/>
        </w:rPr>
        <w:t>, 212–213). Thus, in Niebuhr’s understanding, collectives were more prone than individuals to develop an outsized, and sinful, self-interest.</w:t>
      </w:r>
    </w:p>
    <w:p w14:paraId="778D60E9" w14:textId="77777777" w:rsidR="001E3E9C" w:rsidRPr="001E3E9C" w:rsidRDefault="001E3E9C" w:rsidP="001E3E9C">
      <w:pPr>
        <w:rPr>
          <w:rFonts w:cstheme="minorHAnsi"/>
          <w:sz w:val="24"/>
          <w:szCs w:val="24"/>
        </w:rPr>
      </w:pPr>
      <w:r w:rsidRPr="001E3E9C">
        <w:rPr>
          <w:rFonts w:cstheme="minorHAnsi"/>
          <w:sz w:val="24"/>
          <w:szCs w:val="24"/>
        </w:rPr>
        <w:t xml:space="preserve">Niebuhr’s account of the distinctive sinfulness of groups, then, poses a challenge for the empirical claims at the heart of the majority’s opinion in the </w:t>
      </w:r>
      <w:r w:rsidRPr="001E3E9C">
        <w:rPr>
          <w:rFonts w:cstheme="minorHAnsi"/>
          <w:i/>
          <w:iCs/>
          <w:sz w:val="24"/>
          <w:szCs w:val="24"/>
        </w:rPr>
        <w:t>Citizens United</w:t>
      </w:r>
      <w:r w:rsidRPr="001E3E9C">
        <w:rPr>
          <w:rFonts w:cstheme="minorHAnsi"/>
          <w:sz w:val="24"/>
          <w:szCs w:val="24"/>
        </w:rPr>
        <w:t xml:space="preserve"> case. Whereas the majority insisted that groups were not any more prone to corruption than individual agents, Niebuhr’s theological assessment posits a qualitatively different degree of sinfulness among groups. This empirical dispute is further exacerbated by the fact that Niebuhr also asserted that groups are far less able to combat their tendency to self-interest than individuals are. As an explication of this point shows, Niebuhr ended up proposing a much different normative vision for the proper role of government in relation to the problem of collective egotism.</w:t>
      </w:r>
    </w:p>
    <w:p w14:paraId="05CBBB6A" w14:textId="6A16FB17" w:rsidR="001E3E9C" w:rsidRPr="001E3E9C" w:rsidRDefault="001E3E9C" w:rsidP="001E3E9C">
      <w:pPr>
        <w:rPr>
          <w:rFonts w:cstheme="minorHAnsi"/>
          <w:sz w:val="24"/>
          <w:szCs w:val="24"/>
        </w:rPr>
      </w:pPr>
      <w:r w:rsidRPr="001E3E9C">
        <w:rPr>
          <w:rFonts w:cstheme="minorHAnsi"/>
          <w:sz w:val="24"/>
          <w:szCs w:val="24"/>
        </w:rPr>
        <w:t>In a claim with great relevance for the question of the corrupting effects of corporate agents in politics, Niebuhr maintained that complete resistance to pride was unlikely for the individual and virtually impossible for the group (</w:t>
      </w:r>
      <w:r w:rsidRPr="00137823">
        <w:rPr>
          <w:rFonts w:cstheme="minorHAnsi"/>
          <w:sz w:val="24"/>
          <w:szCs w:val="24"/>
        </w:rPr>
        <w:t>2001</w:t>
      </w:r>
      <w:r w:rsidRPr="001E3E9C">
        <w:rPr>
          <w:rFonts w:cstheme="minorHAnsi"/>
          <w:sz w:val="24"/>
          <w:szCs w:val="24"/>
        </w:rPr>
        <w:t xml:space="preserve">, xxxi–xxxii, 257–59; </w:t>
      </w:r>
      <w:bookmarkStart w:id="31" w:name="b33-text"/>
      <w:r w:rsidRPr="00137823">
        <w:rPr>
          <w:rFonts w:cstheme="minorHAnsi"/>
          <w:sz w:val="24"/>
          <w:szCs w:val="24"/>
        </w:rPr>
        <w:t>1957b, 34</w:t>
      </w:r>
      <w:bookmarkEnd w:id="31"/>
      <w:r w:rsidRPr="001E3E9C">
        <w:rPr>
          <w:rFonts w:cstheme="minorHAnsi"/>
          <w:sz w:val="24"/>
          <w:szCs w:val="24"/>
        </w:rPr>
        <w:t xml:space="preserve">; cf. </w:t>
      </w:r>
      <w:r w:rsidRPr="00137823">
        <w:rPr>
          <w:rFonts w:cstheme="minorHAnsi"/>
          <w:sz w:val="24"/>
          <w:szCs w:val="24"/>
        </w:rPr>
        <w:t>Niebuhr, 1964</w:t>
      </w:r>
      <w:r w:rsidRPr="001E3E9C">
        <w:rPr>
          <w:rFonts w:cstheme="minorHAnsi"/>
          <w:sz w:val="24"/>
          <w:szCs w:val="24"/>
        </w:rPr>
        <w:t>, 249). Individuals can respond to pangs of conscience, Niebuhr explained, but groups must rely on “a shifting and unstable ‘prophetic minority’” to correct their collective egotism, and this would almost never be enough (</w:t>
      </w:r>
      <w:r w:rsidRPr="00137823">
        <w:rPr>
          <w:rFonts w:cstheme="minorHAnsi"/>
          <w:sz w:val="24"/>
          <w:szCs w:val="24"/>
        </w:rPr>
        <w:t>1996</w:t>
      </w:r>
      <w:r w:rsidRPr="001E3E9C">
        <w:rPr>
          <w:rFonts w:cstheme="minorHAnsi"/>
          <w:sz w:val="24"/>
          <w:szCs w:val="24"/>
        </w:rPr>
        <w:t>, 210). Additionally, as one commentator explains, even if a vocal minority were able to highlight a problem in the group, the group’s leaders would still have to serve the collective interest of the group’s members and this obligation might undermine reform (</w:t>
      </w:r>
      <w:r w:rsidRPr="00137823">
        <w:rPr>
          <w:rFonts w:cstheme="minorHAnsi"/>
          <w:sz w:val="24"/>
          <w:szCs w:val="24"/>
        </w:rPr>
        <w:t>Hinze 2009, 452</w:t>
      </w:r>
      <w:r w:rsidRPr="001E3E9C">
        <w:rPr>
          <w:rFonts w:cstheme="minorHAnsi"/>
          <w:sz w:val="24"/>
          <w:szCs w:val="24"/>
        </w:rPr>
        <w:t xml:space="preserve">). This insight is especially important for the </w:t>
      </w:r>
      <w:r w:rsidRPr="001E3E9C">
        <w:rPr>
          <w:rFonts w:cstheme="minorHAnsi"/>
          <w:i/>
          <w:iCs/>
          <w:sz w:val="24"/>
          <w:szCs w:val="24"/>
        </w:rPr>
        <w:t>Citizens United</w:t>
      </w:r>
      <w:r w:rsidRPr="001E3E9C">
        <w:rPr>
          <w:rFonts w:cstheme="minorHAnsi"/>
          <w:sz w:val="24"/>
          <w:szCs w:val="24"/>
        </w:rPr>
        <w:t xml:space="preserve"> conversation because the leaders of for-profit corporations have a fiduciary responsibility to serve the (financial) interests of their firm’s shareholders, and this responsibility could easily be at odds with ethical improvements. At the same time, Niebuhr also proposed that a group’s interest in self-preservation would almost always translate into a desire for self-aggrandizement, so their “pride of power” would also squash internal criticism, further </w:t>
      </w:r>
      <w:r w:rsidRPr="001E3E9C">
        <w:rPr>
          <w:rFonts w:cstheme="minorHAnsi"/>
          <w:sz w:val="24"/>
          <w:szCs w:val="24"/>
        </w:rPr>
        <w:lastRenderedPageBreak/>
        <w:t>undermining efforts at reform (</w:t>
      </w:r>
      <w:r w:rsidRPr="00137823">
        <w:rPr>
          <w:rFonts w:cstheme="minorHAnsi"/>
          <w:sz w:val="24"/>
          <w:szCs w:val="24"/>
        </w:rPr>
        <w:t>Niebuhr 2001</w:t>
      </w:r>
      <w:r w:rsidRPr="001E3E9C">
        <w:rPr>
          <w:rFonts w:cstheme="minorHAnsi"/>
          <w:sz w:val="24"/>
          <w:szCs w:val="24"/>
        </w:rPr>
        <w:t xml:space="preserve">, 18; </w:t>
      </w:r>
      <w:r w:rsidRPr="00137823">
        <w:rPr>
          <w:rFonts w:cstheme="minorHAnsi"/>
          <w:sz w:val="24"/>
          <w:szCs w:val="24"/>
        </w:rPr>
        <w:t>1996</w:t>
      </w:r>
      <w:r w:rsidRPr="001E3E9C">
        <w:rPr>
          <w:rFonts w:cstheme="minorHAnsi"/>
          <w:sz w:val="24"/>
          <w:szCs w:val="24"/>
        </w:rPr>
        <w:t>, 189). Critiques of collective egotism, then, would have to come from outside the group (</w:t>
      </w:r>
      <w:bookmarkStart w:id="32" w:name="b39-text"/>
      <w:r w:rsidRPr="00137823">
        <w:rPr>
          <w:rFonts w:cstheme="minorHAnsi"/>
          <w:sz w:val="24"/>
          <w:szCs w:val="24"/>
        </w:rPr>
        <w:t>Niebuhr 1996</w:t>
      </w:r>
      <w:bookmarkEnd w:id="32"/>
      <w:r w:rsidRPr="001E3E9C">
        <w:rPr>
          <w:rFonts w:cstheme="minorHAnsi"/>
          <w:sz w:val="24"/>
          <w:szCs w:val="24"/>
        </w:rPr>
        <w:t>, 214), but Niebuhr suggested that mere exhortation would always be insufficient (1957b, 34). The true solution to collective egotism lay in a countervailing source of power.</w:t>
      </w:r>
    </w:p>
    <w:p w14:paraId="73E19338" w14:textId="0D68BA53" w:rsidR="001E3E9C" w:rsidRPr="001E3E9C" w:rsidRDefault="001E3E9C" w:rsidP="001E3E9C">
      <w:pPr>
        <w:rPr>
          <w:rFonts w:cstheme="minorHAnsi"/>
          <w:sz w:val="24"/>
          <w:szCs w:val="24"/>
        </w:rPr>
      </w:pPr>
      <w:r w:rsidRPr="001E3E9C">
        <w:rPr>
          <w:rFonts w:cstheme="minorHAnsi"/>
          <w:sz w:val="24"/>
          <w:szCs w:val="24"/>
        </w:rPr>
        <w:t>On this question, Niebuhr insisted that only competing groups would be powerful enough to challenge and eventually offset each other’s sinful wills-to-power (</w:t>
      </w:r>
      <w:bookmarkStart w:id="33" w:name="b35-text"/>
      <w:r w:rsidRPr="00137823">
        <w:rPr>
          <w:rFonts w:cstheme="minorHAnsi"/>
          <w:sz w:val="24"/>
          <w:szCs w:val="24"/>
        </w:rPr>
        <w:t>1957d, 90</w:t>
      </w:r>
      <w:bookmarkEnd w:id="33"/>
      <w:r w:rsidRPr="001E3E9C">
        <w:rPr>
          <w:rFonts w:cstheme="minorHAnsi"/>
          <w:sz w:val="24"/>
          <w:szCs w:val="24"/>
        </w:rPr>
        <w:t>). After all, he explained, “even a fairly ethical individual is inclined to live his life at the expense of other men, if others do not offer resistance to his exactions” (1957, 93). Given his assumption that groups were inherently less moral than individuals, one can easily imagine how this observation led to his conclusion that “when collective power, whether in the form of imperialism or class domination, exploits weakness, it can never be dislodged unless power is raised against it” (</w:t>
      </w:r>
      <w:r w:rsidRPr="00137823">
        <w:rPr>
          <w:rFonts w:cstheme="minorHAnsi"/>
          <w:sz w:val="24"/>
          <w:szCs w:val="24"/>
        </w:rPr>
        <w:t>Niebuhr 2001</w:t>
      </w:r>
      <w:r w:rsidRPr="001E3E9C">
        <w:rPr>
          <w:rFonts w:cstheme="minorHAnsi"/>
          <w:sz w:val="24"/>
          <w:szCs w:val="24"/>
        </w:rPr>
        <w:t>, xxvi). Thus, Niebuhr seemed to envision a system in which different groups with opposing self-interests would be able to create a balance of power (</w:t>
      </w:r>
      <w:r w:rsidRPr="00137823">
        <w:rPr>
          <w:rFonts w:cstheme="minorHAnsi"/>
          <w:sz w:val="24"/>
          <w:szCs w:val="24"/>
        </w:rPr>
        <w:t>Hinze 2009, 452</w:t>
      </w:r>
      <w:r w:rsidRPr="001E3E9C">
        <w:rPr>
          <w:rFonts w:cstheme="minorHAnsi"/>
          <w:sz w:val="24"/>
          <w:szCs w:val="24"/>
        </w:rPr>
        <w:t>).</w:t>
      </w:r>
      <w:bookmarkStart w:id="34" w:name="f10-text"/>
      <w:r w:rsidRPr="00137823">
        <w:rPr>
          <w:rFonts w:cstheme="minorHAnsi"/>
          <w:sz w:val="24"/>
          <w:szCs w:val="24"/>
          <w:vertAlign w:val="superscript"/>
        </w:rPr>
        <w:t>10</w:t>
      </w:r>
      <w:bookmarkEnd w:id="34"/>
    </w:p>
    <w:p w14:paraId="2FD9B0A6" w14:textId="43F6CBB7" w:rsidR="001E3E9C" w:rsidRPr="001E3E9C" w:rsidRDefault="001E3E9C" w:rsidP="001E3E9C">
      <w:pPr>
        <w:rPr>
          <w:rFonts w:cstheme="minorHAnsi"/>
          <w:sz w:val="24"/>
          <w:szCs w:val="24"/>
        </w:rPr>
      </w:pPr>
      <w:r w:rsidRPr="001E3E9C">
        <w:rPr>
          <w:rFonts w:cstheme="minorHAnsi"/>
          <w:sz w:val="24"/>
          <w:szCs w:val="24"/>
        </w:rPr>
        <w:t>In this arrangement, Niebuhr surprisingly conceded that groups might have a positive role to play, identifying the possibility of “structures of justice,” or “social and political organizations in their relation to brotherhood” (</w:t>
      </w:r>
      <w:r w:rsidRPr="00137823">
        <w:rPr>
          <w:rFonts w:cstheme="minorHAnsi"/>
          <w:sz w:val="24"/>
          <w:szCs w:val="24"/>
        </w:rPr>
        <w:t>1964</w:t>
      </w:r>
      <w:r w:rsidRPr="001E3E9C">
        <w:rPr>
          <w:rFonts w:cstheme="minorHAnsi"/>
          <w:sz w:val="24"/>
          <w:szCs w:val="24"/>
        </w:rPr>
        <w:t>, 247, 249). In fact, in a later revision of his initial thoughts, Niebuhr eventually accepted that some inclinations toward common life and social justice remain beneath both individual self-interest and collective egotism. Nevertheless, he warned that one must not underestimate the strength of the still pervasive will to power (</w:t>
      </w:r>
      <w:bookmarkStart w:id="35" w:name="b37-text"/>
      <w:r w:rsidRPr="00137823">
        <w:rPr>
          <w:rFonts w:cstheme="minorHAnsi"/>
          <w:sz w:val="24"/>
          <w:szCs w:val="24"/>
        </w:rPr>
        <w:t>1965</w:t>
      </w:r>
      <w:bookmarkEnd w:id="35"/>
      <w:r w:rsidRPr="001E3E9C">
        <w:rPr>
          <w:rFonts w:cstheme="minorHAnsi"/>
          <w:sz w:val="24"/>
          <w:szCs w:val="24"/>
        </w:rPr>
        <w:t xml:space="preserve">, 71–83; see also </w:t>
      </w:r>
      <w:bookmarkStart w:id="36" w:name="b38-text"/>
      <w:r w:rsidRPr="00137823">
        <w:rPr>
          <w:rFonts w:cstheme="minorHAnsi"/>
          <w:sz w:val="24"/>
          <w:szCs w:val="24"/>
        </w:rPr>
        <w:t>Niebuhr 1968</w:t>
      </w:r>
      <w:bookmarkEnd w:id="36"/>
      <w:r w:rsidRPr="001E3E9C">
        <w:rPr>
          <w:rFonts w:cstheme="minorHAnsi"/>
          <w:sz w:val="24"/>
          <w:szCs w:val="24"/>
        </w:rPr>
        <w:t xml:space="preserve">; </w:t>
      </w:r>
      <w:r w:rsidRPr="00137823">
        <w:rPr>
          <w:rFonts w:cstheme="minorHAnsi"/>
          <w:sz w:val="24"/>
          <w:szCs w:val="24"/>
        </w:rPr>
        <w:t>Niebuhr 1952</w:t>
      </w:r>
      <w:r w:rsidRPr="001E3E9C">
        <w:rPr>
          <w:rFonts w:cstheme="minorHAnsi"/>
          <w:sz w:val="24"/>
          <w:szCs w:val="24"/>
        </w:rPr>
        <w:t>, 10). In fact, he cautioned against placing excessive optimism in any structure of brotherhood because of his larger theological convictions about the disconnect between love and justice. Specifically, he argued that these structures would necessary remain imperfect (</w:t>
      </w:r>
      <w:r w:rsidRPr="00137823">
        <w:rPr>
          <w:rFonts w:cstheme="minorHAnsi"/>
          <w:sz w:val="24"/>
          <w:szCs w:val="24"/>
        </w:rPr>
        <w:t>1964</w:t>
      </w:r>
      <w:r w:rsidRPr="001E3E9C">
        <w:rPr>
          <w:rFonts w:cstheme="minorHAnsi"/>
          <w:sz w:val="24"/>
          <w:szCs w:val="24"/>
        </w:rPr>
        <w:t xml:space="preserve">, 251), especially when tested against the law of love (defined by the </w:t>
      </w:r>
      <w:proofErr w:type="spellStart"/>
      <w:r w:rsidRPr="001E3E9C">
        <w:rPr>
          <w:rFonts w:cstheme="minorHAnsi"/>
          <w:sz w:val="24"/>
          <w:szCs w:val="24"/>
        </w:rPr>
        <w:t>agapic</w:t>
      </w:r>
      <w:proofErr w:type="spellEnd"/>
      <w:r w:rsidRPr="001E3E9C">
        <w:rPr>
          <w:rFonts w:cstheme="minorHAnsi"/>
          <w:sz w:val="24"/>
          <w:szCs w:val="24"/>
        </w:rPr>
        <w:t xml:space="preserve"> model of Christ’s life), which was the ultimate orientation of Niebuhr’s ethics (</w:t>
      </w:r>
      <w:bookmarkStart w:id="37" w:name="b27-text"/>
      <w:r w:rsidRPr="00137823">
        <w:rPr>
          <w:rFonts w:cstheme="minorHAnsi"/>
          <w:sz w:val="24"/>
          <w:szCs w:val="24"/>
        </w:rPr>
        <w:t>Niebuhr 1935</w:t>
      </w:r>
      <w:bookmarkEnd w:id="37"/>
      <w:r w:rsidRPr="001E3E9C">
        <w:rPr>
          <w:rFonts w:cstheme="minorHAnsi"/>
          <w:sz w:val="24"/>
          <w:szCs w:val="24"/>
        </w:rPr>
        <w:t xml:space="preserve">, 32; </w:t>
      </w:r>
      <w:bookmarkStart w:id="38" w:name="b16-text"/>
      <w:r w:rsidRPr="00137823">
        <w:rPr>
          <w:rFonts w:cstheme="minorHAnsi"/>
          <w:sz w:val="24"/>
          <w:szCs w:val="24"/>
        </w:rPr>
        <w:t>Hinze 2009, 453–54</w:t>
      </w:r>
      <w:bookmarkEnd w:id="38"/>
      <w:r w:rsidRPr="001E3E9C">
        <w:rPr>
          <w:rFonts w:cstheme="minorHAnsi"/>
          <w:sz w:val="24"/>
          <w:szCs w:val="24"/>
        </w:rPr>
        <w:t>). Some degree of self-interest, and potentially self-deception, would always persist (</w:t>
      </w:r>
      <w:r w:rsidRPr="00137823">
        <w:rPr>
          <w:rFonts w:cstheme="minorHAnsi"/>
          <w:sz w:val="24"/>
          <w:szCs w:val="24"/>
        </w:rPr>
        <w:t>Niebuhr 1964</w:t>
      </w:r>
      <w:r w:rsidRPr="001E3E9C">
        <w:rPr>
          <w:rFonts w:cstheme="minorHAnsi"/>
          <w:sz w:val="24"/>
          <w:szCs w:val="24"/>
        </w:rPr>
        <w:t xml:space="preserve">, 251–52; </w:t>
      </w:r>
      <w:r w:rsidRPr="00137823">
        <w:rPr>
          <w:rFonts w:cstheme="minorHAnsi"/>
          <w:sz w:val="24"/>
          <w:szCs w:val="24"/>
        </w:rPr>
        <w:t>2001</w:t>
      </w:r>
      <w:r w:rsidRPr="001E3E9C">
        <w:rPr>
          <w:rFonts w:cstheme="minorHAnsi"/>
          <w:sz w:val="24"/>
          <w:szCs w:val="24"/>
        </w:rPr>
        <w:t>, 106–7). Niebuhr, therefore, insisted that the state would also need to take an active role in restraining the damaging tendencies of collective egotism (</w:t>
      </w:r>
      <w:r w:rsidRPr="00137823">
        <w:rPr>
          <w:rFonts w:cstheme="minorHAnsi"/>
          <w:sz w:val="24"/>
          <w:szCs w:val="24"/>
        </w:rPr>
        <w:t>1964</w:t>
      </w:r>
      <w:r w:rsidRPr="001E3E9C">
        <w:rPr>
          <w:rFonts w:cstheme="minorHAnsi"/>
          <w:sz w:val="24"/>
          <w:szCs w:val="24"/>
        </w:rPr>
        <w:t>, 257–59), adding, “an equilibrium of power without the organizing and equilibrating force of government is potential anarchy which becomes actual anarchy in the long run” (</w:t>
      </w:r>
      <w:r w:rsidRPr="00137823">
        <w:rPr>
          <w:rFonts w:cstheme="minorHAnsi"/>
          <w:sz w:val="24"/>
          <w:szCs w:val="24"/>
        </w:rPr>
        <w:t>1950</w:t>
      </w:r>
      <w:r w:rsidRPr="001E3E9C">
        <w:rPr>
          <w:rFonts w:cstheme="minorHAnsi"/>
          <w:sz w:val="24"/>
          <w:szCs w:val="24"/>
        </w:rPr>
        <w:t>, 174).</w:t>
      </w:r>
    </w:p>
    <w:p w14:paraId="4D5A99F5" w14:textId="7C4B9A8F" w:rsidR="001E3E9C" w:rsidRPr="001E3E9C" w:rsidRDefault="001E3E9C" w:rsidP="001E3E9C">
      <w:pPr>
        <w:rPr>
          <w:rFonts w:cstheme="minorHAnsi"/>
          <w:sz w:val="24"/>
          <w:szCs w:val="24"/>
        </w:rPr>
      </w:pPr>
      <w:r w:rsidRPr="001E3E9C">
        <w:rPr>
          <w:rFonts w:cstheme="minorHAnsi"/>
          <w:sz w:val="24"/>
          <w:szCs w:val="24"/>
        </w:rPr>
        <w:t>At its core, Niebuhr’s insistence on the necessary role of government was based on pragmatic considerations. He accepted the theoretical value of regulating individual and group self-interests through a competitive balance of power, but he denied the practicality of this arrangement, explaining, “the competition of interests will make for justice without political or moral regulation . . . only if the various powers which support interest [are] fairly equally divided, which they never are” (</w:t>
      </w:r>
      <w:r w:rsidRPr="00137823">
        <w:rPr>
          <w:rFonts w:cstheme="minorHAnsi"/>
          <w:sz w:val="24"/>
          <w:szCs w:val="24"/>
        </w:rPr>
        <w:t>1952</w:t>
      </w:r>
      <w:r w:rsidRPr="001E3E9C">
        <w:rPr>
          <w:rFonts w:cstheme="minorHAnsi"/>
          <w:sz w:val="24"/>
          <w:szCs w:val="24"/>
        </w:rPr>
        <w:t xml:space="preserve">, 33). Niebuhr indicated that inequalities of power were </w:t>
      </w:r>
      <w:proofErr w:type="gramStart"/>
      <w:r w:rsidRPr="001E3E9C">
        <w:rPr>
          <w:rFonts w:cstheme="minorHAnsi"/>
          <w:sz w:val="24"/>
          <w:szCs w:val="24"/>
        </w:rPr>
        <w:t>all the more</w:t>
      </w:r>
      <w:proofErr w:type="gramEnd"/>
      <w:r w:rsidRPr="001E3E9C">
        <w:rPr>
          <w:rFonts w:cstheme="minorHAnsi"/>
          <w:sz w:val="24"/>
          <w:szCs w:val="24"/>
        </w:rPr>
        <w:t xml:space="preserve"> likely in the economic realm, for property was often used “to enhance or stabilize” other forms of power (1950, 62), a problem that was particularly acute in groups (</w:t>
      </w:r>
      <w:bookmarkStart w:id="39" w:name="b40-text"/>
      <w:r w:rsidRPr="00137823">
        <w:rPr>
          <w:rFonts w:cstheme="minorHAnsi"/>
          <w:sz w:val="24"/>
          <w:szCs w:val="24"/>
        </w:rPr>
        <w:t>2001</w:t>
      </w:r>
      <w:bookmarkEnd w:id="39"/>
      <w:r w:rsidRPr="001E3E9C">
        <w:rPr>
          <w:rFonts w:cstheme="minorHAnsi"/>
          <w:sz w:val="24"/>
          <w:szCs w:val="24"/>
        </w:rPr>
        <w:t xml:space="preserve">, 210; </w:t>
      </w:r>
      <w:bookmarkStart w:id="40" w:name="b34-text"/>
      <w:r w:rsidRPr="00137823">
        <w:rPr>
          <w:rFonts w:cstheme="minorHAnsi"/>
          <w:sz w:val="24"/>
          <w:szCs w:val="24"/>
        </w:rPr>
        <w:t>1957c, 118–19</w:t>
      </w:r>
      <w:bookmarkEnd w:id="40"/>
      <w:r w:rsidRPr="001E3E9C">
        <w:rPr>
          <w:rFonts w:cstheme="minorHAnsi"/>
          <w:sz w:val="24"/>
          <w:szCs w:val="24"/>
        </w:rPr>
        <w:t xml:space="preserve">). Because the use of economic resources to secure other forms of power was often indirect, Niebuhr argued that a more direct form of power, specifically the political power of governmental institutions, would have to be deployed against it. Of course, he was very much aware of the dangers of too much political power in one place, and he admitted that the state itself could easily fall prey to the same forms of collective egotism that it was </w:t>
      </w:r>
      <w:r w:rsidRPr="001E3E9C">
        <w:rPr>
          <w:rFonts w:cstheme="minorHAnsi"/>
          <w:sz w:val="24"/>
          <w:szCs w:val="24"/>
        </w:rPr>
        <w:lastRenderedPageBreak/>
        <w:t>intended to correct (</w:t>
      </w:r>
      <w:r w:rsidRPr="00137823">
        <w:rPr>
          <w:rFonts w:cstheme="minorHAnsi"/>
          <w:sz w:val="24"/>
          <w:szCs w:val="24"/>
        </w:rPr>
        <w:t>1952</w:t>
      </w:r>
      <w:r w:rsidRPr="001E3E9C">
        <w:rPr>
          <w:rFonts w:cstheme="minorHAnsi"/>
          <w:sz w:val="24"/>
          <w:szCs w:val="24"/>
        </w:rPr>
        <w:t xml:space="preserve">, 93, 107–8; see also 1950, 43–45; </w:t>
      </w:r>
      <w:bookmarkStart w:id="41" w:name="b36-text"/>
      <w:r w:rsidRPr="00137823">
        <w:rPr>
          <w:rFonts w:cstheme="minorHAnsi"/>
          <w:sz w:val="24"/>
          <w:szCs w:val="24"/>
        </w:rPr>
        <w:t>1964</w:t>
      </w:r>
      <w:bookmarkEnd w:id="41"/>
      <w:r w:rsidRPr="001E3E9C">
        <w:rPr>
          <w:rFonts w:cstheme="minorHAnsi"/>
          <w:sz w:val="24"/>
          <w:szCs w:val="24"/>
        </w:rPr>
        <w:t>, 258). Nevertheless, Niebuhr believed that unfettered human freedom was too dangerous to be left to its own devices because of its tendency toward self-interest, so he accepted that some form of order would need to balance liberty in any successful society, and he preferred democratic government as the means for ensuring that order (</w:t>
      </w:r>
      <w:bookmarkStart w:id="42" w:name="b28-text"/>
      <w:r w:rsidRPr="00137823">
        <w:rPr>
          <w:rFonts w:cstheme="minorHAnsi"/>
          <w:sz w:val="24"/>
          <w:szCs w:val="24"/>
        </w:rPr>
        <w:t>1950</w:t>
      </w:r>
      <w:bookmarkEnd w:id="42"/>
      <w:r w:rsidRPr="001E3E9C">
        <w:rPr>
          <w:rFonts w:cstheme="minorHAnsi"/>
          <w:sz w:val="24"/>
          <w:szCs w:val="24"/>
        </w:rPr>
        <w:t xml:space="preserve">, 3; </w:t>
      </w:r>
      <w:bookmarkStart w:id="43" w:name="b29-text"/>
      <w:r w:rsidRPr="00137823">
        <w:rPr>
          <w:rFonts w:cstheme="minorHAnsi"/>
          <w:sz w:val="24"/>
          <w:szCs w:val="24"/>
        </w:rPr>
        <w:t>1952</w:t>
      </w:r>
      <w:bookmarkEnd w:id="43"/>
      <w:r w:rsidRPr="001E3E9C">
        <w:rPr>
          <w:rFonts w:cstheme="minorHAnsi"/>
          <w:sz w:val="24"/>
          <w:szCs w:val="24"/>
        </w:rPr>
        <w:t>, 97, 101). For all these reasons, Niebuhr asserted that the potency of self-interest in society could not be corrected by the freedom of competing groups alone; instead, he maintained that the government would always have a necessary role to play, especially when groups managed to accrue economic power.</w:t>
      </w:r>
    </w:p>
    <w:p w14:paraId="27D13B0D" w14:textId="72D9F690" w:rsidR="001E3E9C" w:rsidRPr="001E3E9C" w:rsidRDefault="001E3E9C" w:rsidP="001E3E9C">
      <w:pPr>
        <w:rPr>
          <w:rFonts w:cstheme="minorHAnsi"/>
          <w:sz w:val="24"/>
          <w:szCs w:val="24"/>
        </w:rPr>
      </w:pPr>
      <w:r w:rsidRPr="001E3E9C">
        <w:rPr>
          <w:rFonts w:cstheme="minorHAnsi"/>
          <w:sz w:val="24"/>
          <w:szCs w:val="24"/>
        </w:rPr>
        <w:t xml:space="preserve">This, ultimately, brings the discussion back to the issues involved in the </w:t>
      </w:r>
      <w:r w:rsidRPr="001E3E9C">
        <w:rPr>
          <w:rFonts w:cstheme="minorHAnsi"/>
          <w:i/>
          <w:iCs/>
          <w:sz w:val="24"/>
          <w:szCs w:val="24"/>
        </w:rPr>
        <w:t>Citizens United</w:t>
      </w:r>
      <w:r w:rsidRPr="001E3E9C">
        <w:rPr>
          <w:rFonts w:cstheme="minorHAnsi"/>
          <w:sz w:val="24"/>
          <w:szCs w:val="24"/>
        </w:rPr>
        <w:t xml:space="preserve"> decision. Niebuhr’s concerns for the damaging influence of self-interest in groups, and his added comments on the role of economic power in furthering that self-interest through political means, speaks directly to the question of corporate involvement in political affairs. In fact, his account of an inherent tendency to self-interest that magnifies in groups presents a stark challenge to the Supreme Court’s empirical claim that nothing distinguishes groups from individuals in the risks they pose to the integrity of the democratic process. His overall vision of collective egotism then criticizes the Court’s normative vision, insisting that it is a grave mistake to give individuals and organizations the same access to power without any moderating force for order because such an arrangement fails to recognize that groups are (relatively) more likely than individuals to use that type of access to serve their own ends. At times, the Court’s minority seems to appreciate this risk, as Justice Stevens’s dissenting opinion builds on the empirical assertion that corporate persons are prone to different vices in democratic society due to the specific characteristics of the corporate organizational structure and the general issues associated with collective agency. The Opinion of the Court, however, reflects none of this concern, instead offering an empirical claim that persons in groups and persons in isolation operate in much the same way with respect to corruption. The tension between this claim of the Court’s majority and the account of human nature and collective egotism found in Niebuhr’s theology creates an important point of contention for public debate. By highlighting the Court’s reliance on this contestable empirical claim, Niebuhr’s theology can helpfully advance the public discussion about the (in)sufficiency of the current state of campaign finance.</w:t>
      </w:r>
    </w:p>
    <w:p w14:paraId="20D31C8B" w14:textId="77777777" w:rsidR="001E3E9C" w:rsidRPr="001E3E9C" w:rsidRDefault="001E3E9C" w:rsidP="00400E66">
      <w:pPr>
        <w:pStyle w:val="Heading1"/>
      </w:pPr>
      <w:r w:rsidRPr="001E3E9C">
        <w:rPr>
          <w:i/>
          <w:iCs/>
        </w:rPr>
        <w:t>Citizens United</w:t>
      </w:r>
      <w:r w:rsidRPr="001E3E9C">
        <w:t xml:space="preserve"> and Reinhold Niebuhr: An Interdisciplinary Assessment</w:t>
      </w:r>
    </w:p>
    <w:p w14:paraId="5DFACA86" w14:textId="64678804" w:rsidR="001E3E9C" w:rsidRPr="001E3E9C" w:rsidRDefault="001E3E9C" w:rsidP="001E3E9C">
      <w:pPr>
        <w:rPr>
          <w:rFonts w:cstheme="minorHAnsi"/>
          <w:sz w:val="24"/>
          <w:szCs w:val="24"/>
        </w:rPr>
      </w:pPr>
      <w:r w:rsidRPr="001E3E9C">
        <w:rPr>
          <w:rFonts w:cstheme="minorHAnsi"/>
          <w:sz w:val="24"/>
          <w:szCs w:val="24"/>
        </w:rPr>
        <w:t xml:space="preserve">Of course, all this talk of empirical claims is merely an abstract exercise without the weight of actual data. If Niebuhr’s work is helpful for highlighting the centrality of unexamined empirical claims in the </w:t>
      </w:r>
      <w:r w:rsidRPr="001E3E9C">
        <w:rPr>
          <w:rFonts w:cstheme="minorHAnsi"/>
          <w:i/>
          <w:iCs/>
          <w:sz w:val="24"/>
          <w:szCs w:val="24"/>
        </w:rPr>
        <w:t>Citizens United</w:t>
      </w:r>
      <w:r w:rsidRPr="001E3E9C">
        <w:rPr>
          <w:rFonts w:cstheme="minorHAnsi"/>
          <w:sz w:val="24"/>
          <w:szCs w:val="24"/>
        </w:rPr>
        <w:t xml:space="preserve"> decision, then the logical next step is an evaluation of those unevaluated claims. In addition, since the thrust of Niebuhr’s challenge stems from his theological convictions, his assessment of collective egotism must be tested against empirical evidence if it is to have any weight in a legal conversation predicated upon a separation of church and state. This translation does not undermine the theological considerations outlined above, nor does it obviate the need for such a discussion. Instead, the translation is legitimated by the compelling nature of Niebuhr’s theological argument. If that argument were to fail on its own terms, there would be no reason to translate Niebuhr’s claims to public discourse. Because Niebuhr’s theological argument passes the test of internal coherence, though, the rationale for a public translation is </w:t>
      </w:r>
      <w:proofErr w:type="gramStart"/>
      <w:r w:rsidRPr="001E3E9C">
        <w:rPr>
          <w:rFonts w:cstheme="minorHAnsi"/>
          <w:sz w:val="24"/>
          <w:szCs w:val="24"/>
        </w:rPr>
        <w:t>all the more</w:t>
      </w:r>
      <w:proofErr w:type="gramEnd"/>
      <w:r w:rsidRPr="001E3E9C">
        <w:rPr>
          <w:rFonts w:cstheme="minorHAnsi"/>
          <w:sz w:val="24"/>
          <w:szCs w:val="24"/>
        </w:rPr>
        <w:t xml:space="preserve"> compelling.</w:t>
      </w:r>
    </w:p>
    <w:p w14:paraId="79386233" w14:textId="77777777" w:rsidR="001E3E9C" w:rsidRPr="001E3E9C" w:rsidRDefault="001E3E9C" w:rsidP="001E3E9C">
      <w:pPr>
        <w:rPr>
          <w:rFonts w:cstheme="minorHAnsi"/>
          <w:sz w:val="24"/>
          <w:szCs w:val="24"/>
        </w:rPr>
      </w:pPr>
      <w:r w:rsidRPr="001E3E9C">
        <w:rPr>
          <w:rFonts w:cstheme="minorHAnsi"/>
          <w:sz w:val="24"/>
          <w:szCs w:val="24"/>
        </w:rPr>
        <w:lastRenderedPageBreak/>
        <w:t xml:space="preserve">Given the contours of the disagreement at hand, translating Niebuhr’s insights for the public square is a </w:t>
      </w:r>
      <w:proofErr w:type="gramStart"/>
      <w:r w:rsidRPr="001E3E9C">
        <w:rPr>
          <w:rFonts w:cstheme="minorHAnsi"/>
          <w:sz w:val="24"/>
          <w:szCs w:val="24"/>
        </w:rPr>
        <w:t>fairly straightforward</w:t>
      </w:r>
      <w:proofErr w:type="gramEnd"/>
      <w:r w:rsidRPr="001E3E9C">
        <w:rPr>
          <w:rFonts w:cstheme="minorHAnsi"/>
          <w:sz w:val="24"/>
          <w:szCs w:val="24"/>
        </w:rPr>
        <w:t xml:space="preserve"> task because both the Court’s opinion and Niebuhr’s theology lend themselves to the development of falsifiable hypotheses that can then be assessed apart from strictly theological considerations. On the one hand, the Court’s assertions about the nature of corruption and the proper role of government suggest that the removal of restrictions would make it easier for more people to influence the electoral process. On the other hand, Niebuhr’s theological convictions about collective egotism and the need for government intervention alongside a more arbitrary balance of power imply that the consolidation of economic and political power will worsen when government regulation recedes. Somewhat ironically, the current system of campaign finance law post-</w:t>
      </w:r>
      <w:r w:rsidRPr="001E3E9C">
        <w:rPr>
          <w:rFonts w:cstheme="minorHAnsi"/>
          <w:i/>
          <w:iCs/>
          <w:sz w:val="24"/>
          <w:szCs w:val="24"/>
        </w:rPr>
        <w:t>Citizens United</w:t>
      </w:r>
      <w:r w:rsidRPr="001E3E9C">
        <w:rPr>
          <w:rFonts w:cstheme="minorHAnsi"/>
          <w:sz w:val="24"/>
          <w:szCs w:val="24"/>
        </w:rPr>
        <w:t xml:space="preserve"> provides the means with which to test these competing assessments.</w:t>
      </w:r>
    </w:p>
    <w:p w14:paraId="031C3179" w14:textId="6CBAFB2B" w:rsidR="001E3E9C" w:rsidRPr="001E3E9C" w:rsidRDefault="001E3E9C" w:rsidP="001E3E9C">
      <w:pPr>
        <w:rPr>
          <w:rFonts w:cstheme="minorHAnsi"/>
          <w:sz w:val="24"/>
          <w:szCs w:val="24"/>
        </w:rPr>
      </w:pPr>
      <w:r w:rsidRPr="001E3E9C">
        <w:rPr>
          <w:rFonts w:cstheme="minorHAnsi"/>
          <w:sz w:val="24"/>
          <w:szCs w:val="24"/>
        </w:rPr>
        <w:t xml:space="preserve">The current </w:t>
      </w:r>
      <w:proofErr w:type="gramStart"/>
      <w:r w:rsidRPr="001E3E9C">
        <w:rPr>
          <w:rFonts w:cstheme="minorHAnsi"/>
          <w:sz w:val="24"/>
          <w:szCs w:val="24"/>
        </w:rPr>
        <w:t>state of affairs</w:t>
      </w:r>
      <w:proofErr w:type="gramEnd"/>
      <w:r w:rsidRPr="001E3E9C">
        <w:rPr>
          <w:rFonts w:cstheme="minorHAnsi"/>
          <w:sz w:val="24"/>
          <w:szCs w:val="24"/>
        </w:rPr>
        <w:t xml:space="preserve"> is governed by the majority’s insistence that the government has no compelling interest in regulating the independent political expenditures of corporations. This effectively eviscerated all regulatory requirements for independent expenditures, something that became readily apparent when a lower circuit court used the </w:t>
      </w:r>
      <w:r w:rsidRPr="001E3E9C">
        <w:rPr>
          <w:rFonts w:cstheme="minorHAnsi"/>
          <w:i/>
          <w:iCs/>
          <w:sz w:val="24"/>
          <w:szCs w:val="24"/>
        </w:rPr>
        <w:t>Citizens United</w:t>
      </w:r>
      <w:r w:rsidRPr="001E3E9C">
        <w:rPr>
          <w:rFonts w:cstheme="minorHAnsi"/>
          <w:sz w:val="24"/>
          <w:szCs w:val="24"/>
        </w:rPr>
        <w:t xml:space="preserve"> ruling to conclude that the government cannot limit donations to those political action committees (PACs) that promise to make only independent expenditures during campaigns, thereby creating the infamous “Super PAC.”</w:t>
      </w:r>
      <w:bookmarkStart w:id="44" w:name="f11-text"/>
      <w:r w:rsidRPr="00137823">
        <w:rPr>
          <w:rFonts w:cstheme="minorHAnsi"/>
          <w:sz w:val="24"/>
          <w:szCs w:val="24"/>
          <w:vertAlign w:val="superscript"/>
        </w:rPr>
        <w:t>11</w:t>
      </w:r>
      <w:bookmarkEnd w:id="44"/>
      <w:r w:rsidRPr="001E3E9C">
        <w:rPr>
          <w:rFonts w:cstheme="minorHAnsi"/>
          <w:sz w:val="24"/>
          <w:szCs w:val="24"/>
        </w:rPr>
        <w:t xml:space="preserve"> Thus, group self-interest in elections is now subject only to the countervailing influence of competing groups’ self-interest and cannot be tempered by government intervention. The Court’s majority would suggest that this is a positive development, enabling a proliferation of voices in the public square. Niebuhr’s theology, however, would interpret this </w:t>
      </w:r>
      <w:proofErr w:type="gramStart"/>
      <w:r w:rsidRPr="001E3E9C">
        <w:rPr>
          <w:rFonts w:cstheme="minorHAnsi"/>
          <w:sz w:val="24"/>
          <w:szCs w:val="24"/>
        </w:rPr>
        <w:t>state of affairs</w:t>
      </w:r>
      <w:proofErr w:type="gramEnd"/>
      <w:r w:rsidRPr="001E3E9C">
        <w:rPr>
          <w:rFonts w:cstheme="minorHAnsi"/>
          <w:sz w:val="24"/>
          <w:szCs w:val="24"/>
        </w:rPr>
        <w:t xml:space="preserve"> as a negative change, insisting that a balance of power without government involvement will always be inadequate because some groups and interests will inevitably have more power than others. Unfortunately, the evidence in the contemporary landscape corroborates Niebuhr’s assessment over that of the Court’s majority.</w:t>
      </w:r>
      <w:r w:rsidRPr="001E3E9C">
        <w:rPr>
          <w:rFonts w:cstheme="minorHAnsi"/>
          <w:b/>
          <w:bCs/>
          <w:sz w:val="24"/>
          <w:szCs w:val="24"/>
        </w:rPr>
        <w:t xml:space="preserve"> </w:t>
      </w:r>
    </w:p>
    <w:p w14:paraId="6BA294A5" w14:textId="7851D791" w:rsidR="001E3E9C" w:rsidRPr="001E3E9C" w:rsidRDefault="001E3E9C" w:rsidP="001E3E9C">
      <w:pPr>
        <w:rPr>
          <w:rFonts w:cstheme="minorHAnsi"/>
          <w:sz w:val="24"/>
          <w:szCs w:val="24"/>
        </w:rPr>
      </w:pPr>
      <w:r w:rsidRPr="001E3E9C">
        <w:rPr>
          <w:rFonts w:cstheme="minorHAnsi"/>
          <w:sz w:val="24"/>
          <w:szCs w:val="24"/>
        </w:rPr>
        <w:t xml:space="preserve">If there is one thing about </w:t>
      </w:r>
      <w:r w:rsidRPr="001E3E9C">
        <w:rPr>
          <w:rFonts w:cstheme="minorHAnsi"/>
          <w:i/>
          <w:iCs/>
          <w:sz w:val="24"/>
          <w:szCs w:val="24"/>
        </w:rPr>
        <w:t>Citizens United</w:t>
      </w:r>
      <w:r w:rsidRPr="001E3E9C">
        <w:rPr>
          <w:rFonts w:cstheme="minorHAnsi"/>
          <w:sz w:val="24"/>
          <w:szCs w:val="24"/>
        </w:rPr>
        <w:t xml:space="preserve"> upon which everyone agrees, it is that there is much more money in politics now than there was before the ruling. Spending in the 2012 campaign season topped $6 billion for federal offices, an almost 20 percent increase from the prior presidential election cycle, which took place before </w:t>
      </w:r>
      <w:r w:rsidRPr="001E3E9C">
        <w:rPr>
          <w:rFonts w:cstheme="minorHAnsi"/>
          <w:i/>
          <w:iCs/>
          <w:sz w:val="24"/>
          <w:szCs w:val="24"/>
        </w:rPr>
        <w:t>Citizens United</w:t>
      </w:r>
      <w:r w:rsidRPr="001E3E9C">
        <w:rPr>
          <w:rFonts w:cstheme="minorHAnsi"/>
          <w:sz w:val="24"/>
          <w:szCs w:val="24"/>
        </w:rPr>
        <w:t xml:space="preserve"> (</w:t>
      </w:r>
      <w:bookmarkStart w:id="45" w:name="b22-text"/>
      <w:proofErr w:type="spellStart"/>
      <w:r w:rsidRPr="00137823">
        <w:rPr>
          <w:rFonts w:cstheme="minorHAnsi"/>
          <w:sz w:val="24"/>
          <w:szCs w:val="24"/>
        </w:rPr>
        <w:t>Krumholz</w:t>
      </w:r>
      <w:proofErr w:type="spellEnd"/>
      <w:r w:rsidRPr="00137823">
        <w:rPr>
          <w:rFonts w:cstheme="minorHAnsi"/>
          <w:sz w:val="24"/>
          <w:szCs w:val="24"/>
        </w:rPr>
        <w:t xml:space="preserve"> 2013, 1121</w:t>
      </w:r>
      <w:bookmarkEnd w:id="45"/>
      <w:r w:rsidRPr="001E3E9C">
        <w:rPr>
          <w:rFonts w:cstheme="minorHAnsi"/>
          <w:sz w:val="24"/>
          <w:szCs w:val="24"/>
        </w:rPr>
        <w:t>). As one might expect, the greatest increases came in independent expenditures, which were nearly seven times higher in 2012 than in 2008, although the largest effect seems to have come from individual, rather than corporate, donations to Super PACS (</w:t>
      </w:r>
      <w:bookmarkStart w:id="46" w:name="b14-text"/>
      <w:r w:rsidRPr="00137823">
        <w:rPr>
          <w:rFonts w:cstheme="minorHAnsi"/>
          <w:sz w:val="24"/>
          <w:szCs w:val="24"/>
        </w:rPr>
        <w:t>Hansen, Rocca, and Ortiz 2015, 535, 543–44</w:t>
      </w:r>
      <w:bookmarkEnd w:id="46"/>
      <w:r w:rsidRPr="001E3E9C">
        <w:rPr>
          <w:rFonts w:cstheme="minorHAnsi"/>
          <w:sz w:val="24"/>
          <w:szCs w:val="24"/>
        </w:rPr>
        <w:t>).</w:t>
      </w:r>
      <w:bookmarkStart w:id="47" w:name="f12-text"/>
      <w:r w:rsidRPr="00137823">
        <w:rPr>
          <w:rFonts w:cstheme="minorHAnsi"/>
          <w:sz w:val="24"/>
          <w:szCs w:val="24"/>
          <w:vertAlign w:val="superscript"/>
        </w:rPr>
        <w:t>12</w:t>
      </w:r>
      <w:bookmarkEnd w:id="47"/>
      <w:r w:rsidRPr="001E3E9C">
        <w:rPr>
          <w:rFonts w:cstheme="minorHAnsi"/>
          <w:sz w:val="24"/>
          <w:szCs w:val="24"/>
        </w:rPr>
        <w:t xml:space="preserve"> Additionally, spending in state elections increased more dramatically in those states that had previously banned independent expenditures by corporations compared to those that did not, indicating a strong causal influence to the </w:t>
      </w:r>
      <w:r w:rsidRPr="001E3E9C">
        <w:rPr>
          <w:rFonts w:cstheme="minorHAnsi"/>
          <w:i/>
          <w:iCs/>
          <w:sz w:val="24"/>
          <w:szCs w:val="24"/>
        </w:rPr>
        <w:t>Citizens United</w:t>
      </w:r>
      <w:r w:rsidRPr="001E3E9C">
        <w:rPr>
          <w:rFonts w:cstheme="minorHAnsi"/>
          <w:sz w:val="24"/>
          <w:szCs w:val="24"/>
        </w:rPr>
        <w:t xml:space="preserve"> decision (</w:t>
      </w:r>
      <w:bookmarkStart w:id="48" w:name="b52-text"/>
      <w:r w:rsidRPr="00137823">
        <w:rPr>
          <w:rFonts w:cstheme="minorHAnsi"/>
          <w:sz w:val="24"/>
          <w:szCs w:val="24"/>
        </w:rPr>
        <w:t>Spencer and Wood 2014</w:t>
      </w:r>
      <w:bookmarkEnd w:id="48"/>
      <w:r w:rsidRPr="001E3E9C">
        <w:rPr>
          <w:rFonts w:cstheme="minorHAnsi"/>
          <w:sz w:val="24"/>
          <w:szCs w:val="24"/>
        </w:rPr>
        <w:t xml:space="preserve">). Of course, this simple data is still open to interpretation, and a plausible case could be made for reinforcing the claims of either the Supreme Court or Niebuhr. Thus, for example, one could adopt the Supreme Court’s equation of political spending with political speech </w:t>
      </w:r>
      <w:proofErr w:type="gramStart"/>
      <w:r w:rsidRPr="001E3E9C">
        <w:rPr>
          <w:rFonts w:cstheme="minorHAnsi"/>
          <w:sz w:val="24"/>
          <w:szCs w:val="24"/>
        </w:rPr>
        <w:t>in order to</w:t>
      </w:r>
      <w:proofErr w:type="gramEnd"/>
      <w:r w:rsidRPr="001E3E9C">
        <w:rPr>
          <w:rFonts w:cstheme="minorHAnsi"/>
          <w:sz w:val="24"/>
          <w:szCs w:val="24"/>
        </w:rPr>
        <w:t xml:space="preserve"> assert that the documented increase in spending represents an unqualified increase in political participation, which is beneficial for a democratic society. When one digs a little deeper, though, the numbers look far less rosy.</w:t>
      </w:r>
    </w:p>
    <w:p w14:paraId="572D65CB" w14:textId="732C9145" w:rsidR="001E3E9C" w:rsidRPr="001E3E9C" w:rsidRDefault="001E3E9C" w:rsidP="001E3E9C">
      <w:pPr>
        <w:rPr>
          <w:rFonts w:cstheme="minorHAnsi"/>
          <w:sz w:val="24"/>
          <w:szCs w:val="24"/>
        </w:rPr>
      </w:pPr>
      <w:r w:rsidRPr="001E3E9C">
        <w:rPr>
          <w:rFonts w:cstheme="minorHAnsi"/>
          <w:sz w:val="24"/>
          <w:szCs w:val="24"/>
        </w:rPr>
        <w:t xml:space="preserve">While a theoretical argument might maintain that an increase in political participation is good across the board, political scientists have shown that </w:t>
      </w:r>
      <w:proofErr w:type="gramStart"/>
      <w:r w:rsidRPr="001E3E9C">
        <w:rPr>
          <w:rFonts w:cstheme="minorHAnsi"/>
          <w:sz w:val="24"/>
          <w:szCs w:val="24"/>
        </w:rPr>
        <w:t>a number of</w:t>
      </w:r>
      <w:proofErr w:type="gramEnd"/>
      <w:r w:rsidRPr="001E3E9C">
        <w:rPr>
          <w:rFonts w:cstheme="minorHAnsi"/>
          <w:sz w:val="24"/>
          <w:szCs w:val="24"/>
        </w:rPr>
        <w:t xml:space="preserve"> factors influence who will utilize available avenues for political participation, and chief among these is wealth. Specifically, greater wealth </w:t>
      </w:r>
      <w:r w:rsidRPr="001E3E9C">
        <w:rPr>
          <w:rFonts w:cstheme="minorHAnsi"/>
          <w:sz w:val="24"/>
          <w:szCs w:val="24"/>
        </w:rPr>
        <w:lastRenderedPageBreak/>
        <w:t>equates with greater use of any available means for engaging in the political process, a correlation that holds true for both individuals and groups (</w:t>
      </w:r>
      <w:bookmarkStart w:id="49" w:name="b50-text"/>
      <w:r w:rsidRPr="00137823">
        <w:rPr>
          <w:rFonts w:cstheme="minorHAnsi"/>
          <w:sz w:val="24"/>
          <w:szCs w:val="24"/>
        </w:rPr>
        <w:t xml:space="preserve">Schlozman, </w:t>
      </w:r>
      <w:proofErr w:type="spellStart"/>
      <w:r w:rsidRPr="00137823">
        <w:rPr>
          <w:rFonts w:cstheme="minorHAnsi"/>
          <w:sz w:val="24"/>
          <w:szCs w:val="24"/>
        </w:rPr>
        <w:t>Verba</w:t>
      </w:r>
      <w:proofErr w:type="spellEnd"/>
      <w:r w:rsidRPr="00137823">
        <w:rPr>
          <w:rFonts w:cstheme="minorHAnsi"/>
          <w:sz w:val="24"/>
          <w:szCs w:val="24"/>
        </w:rPr>
        <w:t>, and Brady 2012</w:t>
      </w:r>
      <w:bookmarkEnd w:id="49"/>
      <w:r w:rsidRPr="001E3E9C">
        <w:rPr>
          <w:rFonts w:cstheme="minorHAnsi"/>
          <w:sz w:val="24"/>
          <w:szCs w:val="24"/>
        </w:rPr>
        <w:t xml:space="preserve">, 4–9, 122–26, 318–33, 376–81, 420–29). This is true on top of the obvious fact that political donations, by their very nature, are a means of political participation that is already tilted toward those who have enough wealth and disposable income to </w:t>
      </w:r>
      <w:proofErr w:type="gramStart"/>
      <w:r w:rsidRPr="001E3E9C">
        <w:rPr>
          <w:rFonts w:cstheme="minorHAnsi"/>
          <w:sz w:val="24"/>
          <w:szCs w:val="24"/>
        </w:rPr>
        <w:t>make a donation</w:t>
      </w:r>
      <w:proofErr w:type="gramEnd"/>
      <w:r w:rsidRPr="001E3E9C">
        <w:rPr>
          <w:rFonts w:cstheme="minorHAnsi"/>
          <w:sz w:val="24"/>
          <w:szCs w:val="24"/>
        </w:rPr>
        <w:t xml:space="preserve"> in the first place (see </w:t>
      </w:r>
      <w:bookmarkStart w:id="50" w:name="b48-text"/>
      <w:r w:rsidRPr="00137823">
        <w:rPr>
          <w:rFonts w:cstheme="minorHAnsi"/>
          <w:sz w:val="24"/>
          <w:szCs w:val="24"/>
        </w:rPr>
        <w:t>Ruprecht 2015</w:t>
      </w:r>
      <w:bookmarkEnd w:id="50"/>
      <w:r w:rsidRPr="001E3E9C">
        <w:rPr>
          <w:rFonts w:cstheme="minorHAnsi"/>
          <w:sz w:val="24"/>
          <w:szCs w:val="24"/>
        </w:rPr>
        <w:t>, 32–33).</w:t>
      </w:r>
    </w:p>
    <w:p w14:paraId="03A7043A" w14:textId="3A162142" w:rsidR="001E3E9C" w:rsidRPr="001E3E9C" w:rsidRDefault="001E3E9C" w:rsidP="001E3E9C">
      <w:pPr>
        <w:rPr>
          <w:rFonts w:cstheme="minorHAnsi"/>
          <w:sz w:val="24"/>
          <w:szCs w:val="24"/>
        </w:rPr>
      </w:pPr>
      <w:r w:rsidRPr="001E3E9C">
        <w:rPr>
          <w:rFonts w:cstheme="minorHAnsi"/>
          <w:sz w:val="24"/>
          <w:szCs w:val="24"/>
        </w:rPr>
        <w:t xml:space="preserve">Recent work by Martin </w:t>
      </w:r>
      <w:proofErr w:type="spellStart"/>
      <w:r w:rsidRPr="001E3E9C">
        <w:rPr>
          <w:rFonts w:cstheme="minorHAnsi"/>
          <w:sz w:val="24"/>
          <w:szCs w:val="24"/>
        </w:rPr>
        <w:t>Gilens</w:t>
      </w:r>
      <w:proofErr w:type="spellEnd"/>
      <w:r w:rsidRPr="001E3E9C">
        <w:rPr>
          <w:rFonts w:cstheme="minorHAnsi"/>
          <w:sz w:val="24"/>
          <w:szCs w:val="24"/>
        </w:rPr>
        <w:t xml:space="preserve"> and Benjamin Page (2014) has demonstrated that those with more economic power are able to exert a greater impact on political outcomes than those with less wealth (who, by contrast, have virtually no identifiable impact). Consequently, the rise of political spending by wealthier individuals and organizations is </w:t>
      </w:r>
      <w:proofErr w:type="gramStart"/>
      <w:r w:rsidRPr="001E3E9C">
        <w:rPr>
          <w:rFonts w:cstheme="minorHAnsi"/>
          <w:sz w:val="24"/>
          <w:szCs w:val="24"/>
        </w:rPr>
        <w:t>actually detrimental</w:t>
      </w:r>
      <w:proofErr w:type="gramEnd"/>
      <w:r w:rsidRPr="001E3E9C">
        <w:rPr>
          <w:rFonts w:cstheme="minorHAnsi"/>
          <w:sz w:val="24"/>
          <w:szCs w:val="24"/>
        </w:rPr>
        <w:t xml:space="preserve"> to democratic governance because it contributes to the shifting of public policy toward the interests of a narrow elite. Furthermore, </w:t>
      </w:r>
      <w:proofErr w:type="spellStart"/>
      <w:r w:rsidRPr="001E3E9C">
        <w:rPr>
          <w:rFonts w:cstheme="minorHAnsi"/>
          <w:sz w:val="24"/>
          <w:szCs w:val="24"/>
        </w:rPr>
        <w:t>Gilens</w:t>
      </w:r>
      <w:proofErr w:type="spellEnd"/>
      <w:r w:rsidRPr="001E3E9C">
        <w:rPr>
          <w:rFonts w:cstheme="minorHAnsi"/>
          <w:sz w:val="24"/>
          <w:szCs w:val="24"/>
        </w:rPr>
        <w:t xml:space="preserve"> and Page discovered that organized groups overtly supporting business interests were almost twice as effective at influencing policy outcomes than “mass based” interest groups formed by a collection of like-minded citizens (574–75). Contrary to the assertions of the Court’s majority, these data confirm Niebuhr’s prediction that a free market between competing groups could never create enough parity to provide a true balance of power because some groups will always have more power than others. This, in turn, legitimates his insistence that the government should be identified as a necessary player in the fight against collective egotism.</w:t>
      </w:r>
    </w:p>
    <w:p w14:paraId="3959D2A1" w14:textId="77777777" w:rsidR="001E3E9C" w:rsidRPr="001E3E9C" w:rsidRDefault="001E3E9C" w:rsidP="001E3E9C">
      <w:pPr>
        <w:rPr>
          <w:rFonts w:cstheme="minorHAnsi"/>
          <w:sz w:val="24"/>
          <w:szCs w:val="24"/>
        </w:rPr>
      </w:pPr>
      <w:r w:rsidRPr="001E3E9C">
        <w:rPr>
          <w:rFonts w:cstheme="minorHAnsi"/>
          <w:sz w:val="24"/>
          <w:szCs w:val="24"/>
        </w:rPr>
        <w:t>The available evidence thus validates Niebuhr’s assessment of the situation, providing nontheological data to express his theological interpretations. Translating for the public discussion, these data indicate that the majority erred in its optimistic assessment of human behavior and thus also in its normative vision for the role of government. As a result, Niebuhr’s contrasting acknowledgment of the deep-seated nature of human self-interest and its exacerbation in groups, and his corollary assertions about the proper role of government, both deserve greater weight in conversations about campaign finance reform. This is where the interdisciplinary conversation reaches its greatest payoff, for Niebuhr’s theological vision also included prescriptions for minimizing the dangers of collective egotism. These prescriptions can be applied on an analogical basis to the case of campaign finance law, offering a productive way forward.</w:t>
      </w:r>
    </w:p>
    <w:p w14:paraId="45F22EBF" w14:textId="4265F794" w:rsidR="001E3E9C" w:rsidRPr="001E3E9C" w:rsidRDefault="001E3E9C" w:rsidP="001E3E9C">
      <w:pPr>
        <w:rPr>
          <w:rFonts w:cstheme="minorHAnsi"/>
          <w:sz w:val="24"/>
          <w:szCs w:val="24"/>
        </w:rPr>
      </w:pPr>
      <w:r w:rsidRPr="001E3E9C">
        <w:rPr>
          <w:rFonts w:cstheme="minorHAnsi"/>
          <w:sz w:val="24"/>
          <w:szCs w:val="24"/>
        </w:rPr>
        <w:t xml:space="preserve">Given that Niebuhr’s critique calls into question the very foundations of the Supreme Court’s decision in </w:t>
      </w:r>
      <w:r w:rsidRPr="001E3E9C">
        <w:rPr>
          <w:rFonts w:cstheme="minorHAnsi"/>
          <w:i/>
          <w:iCs/>
          <w:sz w:val="24"/>
          <w:szCs w:val="24"/>
        </w:rPr>
        <w:t>Citizens United</w:t>
      </w:r>
      <w:r w:rsidRPr="001E3E9C">
        <w:rPr>
          <w:rFonts w:cstheme="minorHAnsi"/>
          <w:sz w:val="24"/>
          <w:szCs w:val="24"/>
        </w:rPr>
        <w:t xml:space="preserve">, the most appropriate change would be a complete reversal of the ruling. Such a change, however, is exceedingly unlikely in the current political environment—although the prospects for reversal will hinge on the ongoing efforts to replace the late Justice Scalia. The bigger question </w:t>
      </w:r>
      <w:proofErr w:type="gramStart"/>
      <w:r w:rsidRPr="001E3E9C">
        <w:rPr>
          <w:rFonts w:cstheme="minorHAnsi"/>
          <w:sz w:val="24"/>
          <w:szCs w:val="24"/>
        </w:rPr>
        <w:t>at the moment</w:t>
      </w:r>
      <w:proofErr w:type="gramEnd"/>
      <w:r w:rsidRPr="001E3E9C">
        <w:rPr>
          <w:rFonts w:cstheme="minorHAnsi"/>
          <w:sz w:val="24"/>
          <w:szCs w:val="24"/>
        </w:rPr>
        <w:t xml:space="preserve"> is how to address the shortcomings of the law within the </w:t>
      </w:r>
      <w:r w:rsidRPr="001E3E9C">
        <w:rPr>
          <w:rFonts w:cstheme="minorHAnsi"/>
          <w:i/>
          <w:iCs/>
          <w:sz w:val="24"/>
          <w:szCs w:val="24"/>
        </w:rPr>
        <w:t>Citizens United</w:t>
      </w:r>
      <w:r w:rsidRPr="001E3E9C">
        <w:rPr>
          <w:rFonts w:cstheme="minorHAnsi"/>
          <w:sz w:val="24"/>
          <w:szCs w:val="24"/>
        </w:rPr>
        <w:t xml:space="preserve"> precedent. </w:t>
      </w:r>
      <w:proofErr w:type="gramStart"/>
      <w:r w:rsidRPr="001E3E9C">
        <w:rPr>
          <w:rFonts w:cstheme="minorHAnsi"/>
          <w:sz w:val="24"/>
          <w:szCs w:val="24"/>
        </w:rPr>
        <w:t>Following Niebuhr’s account, there</w:t>
      </w:r>
      <w:proofErr w:type="gramEnd"/>
      <w:r w:rsidRPr="001E3E9C">
        <w:rPr>
          <w:rFonts w:cstheme="minorHAnsi"/>
          <w:sz w:val="24"/>
          <w:szCs w:val="24"/>
        </w:rPr>
        <w:t xml:space="preserve"> are two logical areas upon which to focus: creating a more effective balance of power between groups and establishing legitimate government intervention. Granted, Niebuhr developed these two responses to collective egotism on a theological basis, so they do not lend themselves to immediate solutions by correlation. Niebuhr did, however, advance a coherent argument for identifying these two avenues as the best challenge to collective egotism. Consequently, one can use his theological solutions as the basic framework for developing practical alternatives to the current system of campaign finance, which is insufficiently prepared to address the problems Niebuhr’s work identifies. Specific proposals can then be fleshed out within these two categories using a little “analogical imagination” (</w:t>
      </w:r>
      <w:bookmarkStart w:id="51" w:name="b55-text"/>
      <w:r w:rsidRPr="00137823">
        <w:rPr>
          <w:rFonts w:cstheme="minorHAnsi"/>
          <w:sz w:val="24"/>
          <w:szCs w:val="24"/>
        </w:rPr>
        <w:t>Tracy 1981</w:t>
      </w:r>
      <w:bookmarkEnd w:id="51"/>
      <w:r w:rsidRPr="001E3E9C">
        <w:rPr>
          <w:rFonts w:cstheme="minorHAnsi"/>
          <w:sz w:val="24"/>
          <w:szCs w:val="24"/>
        </w:rPr>
        <w:t xml:space="preserve">, 408–10). Since the analogical applications will be directed by the </w:t>
      </w:r>
      <w:r w:rsidRPr="001E3E9C">
        <w:rPr>
          <w:rFonts w:cstheme="minorHAnsi"/>
          <w:sz w:val="24"/>
          <w:szCs w:val="24"/>
        </w:rPr>
        <w:lastRenderedPageBreak/>
        <w:t>empirical data, Niebuhr’s theology will still be operative here, but only in a way that accords with the two-step process of translation outlined above. This approach, which does not needlessly threaten the separation of church and state, yields two proposals that can function within the current legal framework.</w:t>
      </w:r>
    </w:p>
    <w:p w14:paraId="76F8416E" w14:textId="3C43FD07" w:rsidR="001E3E9C" w:rsidRPr="001E3E9C" w:rsidRDefault="001E3E9C" w:rsidP="001E3E9C">
      <w:pPr>
        <w:rPr>
          <w:rFonts w:cstheme="minorHAnsi"/>
          <w:sz w:val="24"/>
          <w:szCs w:val="24"/>
        </w:rPr>
      </w:pPr>
      <w:r w:rsidRPr="001E3E9C">
        <w:rPr>
          <w:rFonts w:cstheme="minorHAnsi"/>
          <w:sz w:val="24"/>
          <w:szCs w:val="24"/>
        </w:rPr>
        <w:t xml:space="preserve">First, because </w:t>
      </w:r>
      <w:r w:rsidRPr="001E3E9C">
        <w:rPr>
          <w:rFonts w:cstheme="minorHAnsi"/>
          <w:i/>
          <w:iCs/>
          <w:sz w:val="24"/>
          <w:szCs w:val="24"/>
        </w:rPr>
        <w:t>Citizens United</w:t>
      </w:r>
      <w:r w:rsidRPr="001E3E9C">
        <w:rPr>
          <w:rFonts w:cstheme="minorHAnsi"/>
          <w:sz w:val="24"/>
          <w:szCs w:val="24"/>
        </w:rPr>
        <w:t xml:space="preserve"> made it easier for every corporation to pursue its own self-interest, there should presumably be ample opportunities for opposing groups to check each other’s influence through public critique.</w:t>
      </w:r>
      <w:bookmarkStart w:id="52" w:name="f13-text"/>
      <w:r w:rsidRPr="00137823">
        <w:rPr>
          <w:rFonts w:cstheme="minorHAnsi"/>
          <w:sz w:val="24"/>
          <w:szCs w:val="24"/>
          <w:vertAlign w:val="superscript"/>
        </w:rPr>
        <w:t>13</w:t>
      </w:r>
      <w:bookmarkEnd w:id="52"/>
      <w:r w:rsidRPr="001E3E9C">
        <w:rPr>
          <w:rFonts w:cstheme="minorHAnsi"/>
          <w:sz w:val="24"/>
          <w:szCs w:val="24"/>
        </w:rPr>
        <w:t xml:space="preserve"> This process is not currently as effective as it could be, however, largely because certain donors and groups can still hide behind a shield of anonymity, despite the Court’s acceptance of disclosure requirements (CU 366–71; </w:t>
      </w:r>
      <w:bookmarkStart w:id="53" w:name="b51-text"/>
      <w:bookmarkEnd w:id="53"/>
      <w:r w:rsidRPr="00137823">
        <w:rPr>
          <w:rFonts w:cstheme="minorHAnsi"/>
          <w:i/>
          <w:iCs/>
          <w:sz w:val="24"/>
          <w:szCs w:val="24"/>
        </w:rPr>
        <w:t>SpeechNow.org</w:t>
      </w:r>
      <w:r w:rsidRPr="001E3E9C">
        <w:rPr>
          <w:rFonts w:cstheme="minorHAnsi"/>
          <w:i/>
          <w:iCs/>
          <w:sz w:val="24"/>
          <w:szCs w:val="24"/>
        </w:rPr>
        <w:t xml:space="preserve"> v. FEC</w:t>
      </w:r>
      <w:r w:rsidRPr="001E3E9C">
        <w:rPr>
          <w:rFonts w:cstheme="minorHAnsi"/>
          <w:sz w:val="24"/>
          <w:szCs w:val="24"/>
        </w:rPr>
        <w:t xml:space="preserve"> 2010, 696–98). This happens for a variety of reasons, and the nature of the problem is not insignificant (</w:t>
      </w:r>
      <w:bookmarkStart w:id="54" w:name="b13-text"/>
      <w:proofErr w:type="spellStart"/>
      <w:r w:rsidRPr="00137823">
        <w:rPr>
          <w:rFonts w:cstheme="minorHAnsi"/>
          <w:sz w:val="24"/>
          <w:szCs w:val="24"/>
        </w:rPr>
        <w:t>Gerken</w:t>
      </w:r>
      <w:proofErr w:type="spellEnd"/>
      <w:r w:rsidRPr="00137823">
        <w:rPr>
          <w:rFonts w:cstheme="minorHAnsi"/>
          <w:sz w:val="24"/>
          <w:szCs w:val="24"/>
        </w:rPr>
        <w:t xml:space="preserve"> 2014</w:t>
      </w:r>
      <w:bookmarkEnd w:id="54"/>
      <w:r w:rsidRPr="001E3E9C">
        <w:rPr>
          <w:rFonts w:cstheme="minorHAnsi"/>
          <w:sz w:val="24"/>
          <w:szCs w:val="24"/>
        </w:rPr>
        <w:t>). According to one study, anonymous spending amounted to more than $300 million in the 2012 election, a 5,000 percent increase from the pre-</w:t>
      </w:r>
      <w:r w:rsidRPr="001E3E9C">
        <w:rPr>
          <w:rFonts w:cstheme="minorHAnsi"/>
          <w:i/>
          <w:iCs/>
          <w:sz w:val="24"/>
          <w:szCs w:val="24"/>
        </w:rPr>
        <w:t>Citizens United</w:t>
      </w:r>
      <w:r w:rsidRPr="001E3E9C">
        <w:rPr>
          <w:rFonts w:cstheme="minorHAnsi"/>
          <w:sz w:val="24"/>
          <w:szCs w:val="24"/>
        </w:rPr>
        <w:t xml:space="preserve"> election of 2004 (</w:t>
      </w:r>
      <w:bookmarkStart w:id="55" w:name="b8-text"/>
      <w:r w:rsidRPr="00137823">
        <w:rPr>
          <w:rFonts w:cstheme="minorHAnsi"/>
          <w:sz w:val="24"/>
          <w:szCs w:val="24"/>
        </w:rPr>
        <w:t>Edsall 2014</w:t>
      </w:r>
      <w:bookmarkEnd w:id="55"/>
      <w:r w:rsidRPr="001E3E9C">
        <w:rPr>
          <w:rFonts w:cstheme="minorHAnsi"/>
          <w:sz w:val="24"/>
          <w:szCs w:val="24"/>
        </w:rPr>
        <w:t>). Without a clear sense of who is behind a particular advertisement or series of advertisements, even groups with competing viewpoints cannot fully challenge the self-interest of their political opponents. Indeed, there is evidence that corporations are using the shroud of anonymous donations to publicly support policies that will generate goodwill with potential customers while privately waging a much more consequential campaign to block those same policies because they would be bad for business if enacted.</w:t>
      </w:r>
      <w:bookmarkStart w:id="56" w:name="f14-text"/>
      <w:r w:rsidRPr="00137823">
        <w:rPr>
          <w:rFonts w:cstheme="minorHAnsi"/>
          <w:sz w:val="24"/>
          <w:szCs w:val="24"/>
          <w:vertAlign w:val="superscript"/>
        </w:rPr>
        <w:t>14</w:t>
      </w:r>
      <w:bookmarkEnd w:id="56"/>
      <w:r w:rsidRPr="001E3E9C">
        <w:rPr>
          <w:rFonts w:cstheme="minorHAnsi"/>
          <w:sz w:val="24"/>
          <w:szCs w:val="24"/>
        </w:rPr>
        <w:t xml:space="preserve"> It would be responsible, then, for the government to strengthen disclosure requirements, perhaps limiting the political advocacy activities of 501(c)(4) “social welfare” groups in the process because such groups are not supposed to engage in political advocacy as their “primary activity,” yet they are nevertheless the conduit of choice for donors who wish to support political candidates and causes anonymously (</w:t>
      </w:r>
      <w:r w:rsidRPr="00137823">
        <w:rPr>
          <w:rFonts w:cstheme="minorHAnsi"/>
          <w:sz w:val="24"/>
          <w:szCs w:val="24"/>
        </w:rPr>
        <w:t>Bennet 2012</w:t>
      </w:r>
      <w:r w:rsidRPr="001E3E9C">
        <w:rPr>
          <w:rFonts w:cstheme="minorHAnsi"/>
          <w:sz w:val="24"/>
          <w:szCs w:val="24"/>
        </w:rPr>
        <w:t xml:space="preserve">; </w:t>
      </w:r>
      <w:bookmarkStart w:id="57" w:name="b17-text"/>
      <w:r w:rsidRPr="00137823">
        <w:rPr>
          <w:rFonts w:cstheme="minorHAnsi"/>
          <w:sz w:val="24"/>
          <w:szCs w:val="24"/>
        </w:rPr>
        <w:t>IRS 2014</w:t>
      </w:r>
      <w:bookmarkEnd w:id="57"/>
      <w:r w:rsidRPr="001E3E9C">
        <w:rPr>
          <w:rFonts w:cstheme="minorHAnsi"/>
          <w:sz w:val="24"/>
          <w:szCs w:val="24"/>
        </w:rPr>
        <w:t xml:space="preserve">). This added transparency would create more equality between groups, analogically applying Niebuhr’s claims that parity is the source of a genuine balance of power between groups. Just as importantly, this proposal has the added benefit of being quite feasible under the parameters established by </w:t>
      </w:r>
      <w:r w:rsidRPr="001E3E9C">
        <w:rPr>
          <w:rFonts w:cstheme="minorHAnsi"/>
          <w:i/>
          <w:iCs/>
          <w:sz w:val="24"/>
          <w:szCs w:val="24"/>
        </w:rPr>
        <w:t>Citizens United</w:t>
      </w:r>
      <w:r w:rsidRPr="001E3E9C">
        <w:rPr>
          <w:rFonts w:cstheme="minorHAnsi"/>
          <w:sz w:val="24"/>
          <w:szCs w:val="24"/>
        </w:rPr>
        <w:t>.</w:t>
      </w:r>
    </w:p>
    <w:p w14:paraId="2CF31651" w14:textId="10AE1539" w:rsidR="001E3E9C" w:rsidRPr="001E3E9C" w:rsidRDefault="001E3E9C" w:rsidP="001E3E9C">
      <w:pPr>
        <w:rPr>
          <w:rFonts w:cstheme="minorHAnsi"/>
          <w:sz w:val="24"/>
          <w:szCs w:val="24"/>
        </w:rPr>
      </w:pPr>
      <w:r w:rsidRPr="001E3E9C">
        <w:rPr>
          <w:rFonts w:cstheme="minorHAnsi"/>
          <w:sz w:val="24"/>
          <w:szCs w:val="24"/>
        </w:rPr>
        <w:t>The second avenue for constructive reforms, which involves increasing government involvement in restraining collective egotism, is unfortunately not as simple in today’s legal landscape. Short of a reversal, there are some other, less drastic changes that the government might promote while the decision stands. To give just one example: instead of advocating a complete rejection of the notion of corporate personhood—which would have potentially damaging repercussions for a host of organizations, including churches and public service institutions aligned with them</w:t>
      </w:r>
      <w:bookmarkStart w:id="58" w:name="f15-text"/>
      <w:r w:rsidRPr="00137823">
        <w:rPr>
          <w:rFonts w:cstheme="minorHAnsi"/>
          <w:sz w:val="24"/>
          <w:szCs w:val="24"/>
          <w:vertAlign w:val="superscript"/>
        </w:rPr>
        <w:t>15</w:t>
      </w:r>
      <w:bookmarkEnd w:id="58"/>
      <w:r w:rsidRPr="001E3E9C">
        <w:rPr>
          <w:rFonts w:cstheme="minorHAnsi"/>
          <w:sz w:val="24"/>
          <w:szCs w:val="24"/>
        </w:rPr>
        <w:t xml:space="preserve">—the government could reassert the idea that since corporate personhood is a functional legal category and not a metaphysical one, the rights </w:t>
      </w:r>
      <w:r w:rsidRPr="001E3E9C">
        <w:rPr>
          <w:rFonts w:cstheme="minorHAnsi"/>
          <w:i/>
          <w:iCs/>
          <w:sz w:val="24"/>
          <w:szCs w:val="24"/>
        </w:rPr>
        <w:t>and duties</w:t>
      </w:r>
      <w:r w:rsidRPr="001E3E9C">
        <w:rPr>
          <w:rFonts w:cstheme="minorHAnsi"/>
          <w:sz w:val="24"/>
          <w:szCs w:val="24"/>
        </w:rPr>
        <w:t xml:space="preserve"> of a corporate person are subject to the assessments of the legal system (see </w:t>
      </w:r>
      <w:bookmarkStart w:id="59" w:name="b26-text"/>
      <w:r w:rsidRPr="00137823">
        <w:rPr>
          <w:rFonts w:cstheme="minorHAnsi"/>
          <w:sz w:val="24"/>
          <w:szCs w:val="24"/>
        </w:rPr>
        <w:t>Meyer 2012</w:t>
      </w:r>
      <w:bookmarkEnd w:id="59"/>
      <w:r w:rsidRPr="001E3E9C">
        <w:rPr>
          <w:rFonts w:cstheme="minorHAnsi"/>
          <w:sz w:val="24"/>
          <w:szCs w:val="24"/>
        </w:rPr>
        <w:t>). Currently, the legal purpose of the corporation is ambiguous (</w:t>
      </w:r>
      <w:bookmarkStart w:id="60" w:name="b4-text"/>
      <w:r w:rsidRPr="00137823">
        <w:rPr>
          <w:rFonts w:cstheme="minorHAnsi"/>
          <w:sz w:val="24"/>
          <w:szCs w:val="24"/>
        </w:rPr>
        <w:t>Bruner 2008</w:t>
      </w:r>
      <w:bookmarkEnd w:id="60"/>
      <w:r w:rsidRPr="001E3E9C">
        <w:rPr>
          <w:rFonts w:cstheme="minorHAnsi"/>
          <w:sz w:val="24"/>
          <w:szCs w:val="24"/>
        </w:rPr>
        <w:t>, 1394, 1396, 1408, 1425–27), which leaves space for a limited view of corporate duties, such as the claim that a firm’s sole responsibility is to maximize shareholder value (</w:t>
      </w:r>
      <w:bookmarkStart w:id="61" w:name="b12-text"/>
      <w:r w:rsidRPr="00137823">
        <w:rPr>
          <w:rFonts w:cstheme="minorHAnsi"/>
          <w:sz w:val="24"/>
          <w:szCs w:val="24"/>
        </w:rPr>
        <w:t>Friedman 2009</w:t>
      </w:r>
      <w:bookmarkEnd w:id="61"/>
      <w:r w:rsidRPr="001E3E9C">
        <w:rPr>
          <w:rFonts w:cstheme="minorHAnsi"/>
          <w:sz w:val="24"/>
          <w:szCs w:val="24"/>
        </w:rPr>
        <w:t>). Instead of this silence, the government could give explicit support for a broader conception of corporate responsibility, promoting something more akin to “stakeholder management,” which has received considerable academic attention but no legal recognition (</w:t>
      </w:r>
      <w:bookmarkStart w:id="62" w:name="b11-text"/>
      <w:r w:rsidRPr="00137823">
        <w:rPr>
          <w:rFonts w:cstheme="minorHAnsi"/>
          <w:sz w:val="24"/>
          <w:szCs w:val="24"/>
        </w:rPr>
        <w:t>Freeman, Harrison, and Wicks 2007, 3–6</w:t>
      </w:r>
      <w:bookmarkEnd w:id="62"/>
      <w:r w:rsidRPr="001E3E9C">
        <w:rPr>
          <w:rFonts w:cstheme="minorHAnsi"/>
          <w:sz w:val="24"/>
          <w:szCs w:val="24"/>
        </w:rPr>
        <w:t xml:space="preserve">; </w:t>
      </w:r>
      <w:bookmarkStart w:id="63" w:name="b10-text"/>
      <w:r w:rsidRPr="00137823">
        <w:rPr>
          <w:rFonts w:cstheme="minorHAnsi"/>
          <w:sz w:val="24"/>
          <w:szCs w:val="24"/>
        </w:rPr>
        <w:t>Freeman 2009</w:t>
      </w:r>
      <w:bookmarkEnd w:id="63"/>
      <w:r w:rsidRPr="001E3E9C">
        <w:rPr>
          <w:rFonts w:cstheme="minorHAnsi"/>
          <w:sz w:val="24"/>
          <w:szCs w:val="24"/>
        </w:rPr>
        <w:t xml:space="preserve">). By more clearly articulating the duties of corporate citizenship in this fashion, the government would have a more active role in checking corporate collective egotism, directly orienting at least some portion of the corporate structure to the benefit of the commonweal, instead of allowing </w:t>
      </w:r>
      <w:r w:rsidRPr="001E3E9C">
        <w:rPr>
          <w:rFonts w:cstheme="minorHAnsi"/>
          <w:sz w:val="24"/>
          <w:szCs w:val="24"/>
        </w:rPr>
        <w:lastRenderedPageBreak/>
        <w:t xml:space="preserve">the entire legal category to become a tool of unbridled self-interest. While only one strategy, this proposal is at least consistent with the spirit of Niebuhr’s claims about the essential role of the state in combating collective egotism, and it is also consistent with the parameters of the </w:t>
      </w:r>
      <w:r w:rsidRPr="001E3E9C">
        <w:rPr>
          <w:rFonts w:cstheme="minorHAnsi"/>
          <w:i/>
          <w:iCs/>
          <w:sz w:val="24"/>
          <w:szCs w:val="24"/>
        </w:rPr>
        <w:t>Citizens United</w:t>
      </w:r>
      <w:r w:rsidRPr="001E3E9C">
        <w:rPr>
          <w:rFonts w:cstheme="minorHAnsi"/>
          <w:sz w:val="24"/>
          <w:szCs w:val="24"/>
        </w:rPr>
        <w:t xml:space="preserve"> decision.</w:t>
      </w:r>
    </w:p>
    <w:p w14:paraId="04ABF6EC" w14:textId="22882AA8" w:rsidR="001E3E9C" w:rsidRPr="001E3E9C" w:rsidRDefault="001E3E9C" w:rsidP="001E3E9C">
      <w:pPr>
        <w:rPr>
          <w:rFonts w:cstheme="minorHAnsi"/>
          <w:sz w:val="24"/>
          <w:szCs w:val="24"/>
        </w:rPr>
      </w:pPr>
      <w:r w:rsidRPr="001E3E9C">
        <w:rPr>
          <w:rFonts w:cstheme="minorHAnsi"/>
          <w:sz w:val="24"/>
          <w:szCs w:val="24"/>
        </w:rPr>
        <w:t xml:space="preserve">There are, of course, other avenues that individuals concerned about the corrupting influence of collective egotism in campaign finance might want to pursue </w:t>
      </w:r>
      <w:proofErr w:type="gramStart"/>
      <w:r w:rsidRPr="001E3E9C">
        <w:rPr>
          <w:rFonts w:cstheme="minorHAnsi"/>
          <w:sz w:val="24"/>
          <w:szCs w:val="24"/>
        </w:rPr>
        <w:t>in order to</w:t>
      </w:r>
      <w:proofErr w:type="gramEnd"/>
      <w:r w:rsidRPr="001E3E9C">
        <w:rPr>
          <w:rFonts w:cstheme="minorHAnsi"/>
          <w:sz w:val="24"/>
          <w:szCs w:val="24"/>
        </w:rPr>
        <w:t xml:space="preserve"> modify the current system while still operating within the confines of a post-</w:t>
      </w:r>
      <w:r w:rsidRPr="001E3E9C">
        <w:rPr>
          <w:rFonts w:cstheme="minorHAnsi"/>
          <w:i/>
          <w:iCs/>
          <w:sz w:val="24"/>
          <w:szCs w:val="24"/>
        </w:rPr>
        <w:t>Citizens United</w:t>
      </w:r>
      <w:r w:rsidRPr="001E3E9C">
        <w:rPr>
          <w:rFonts w:cstheme="minorHAnsi"/>
          <w:sz w:val="24"/>
          <w:szCs w:val="24"/>
        </w:rPr>
        <w:t xml:space="preserve"> reality. At least they will have more tools at their disposal in these efforts, and a greater sense of where to target</w:t>
      </w:r>
      <w:r w:rsidRPr="001E3E9C">
        <w:rPr>
          <w:rFonts w:cstheme="minorHAnsi"/>
          <w:b/>
          <w:bCs/>
          <w:sz w:val="24"/>
          <w:szCs w:val="24"/>
        </w:rPr>
        <w:t xml:space="preserve"> </w:t>
      </w:r>
      <w:r w:rsidRPr="001E3E9C">
        <w:rPr>
          <w:rFonts w:cstheme="minorHAnsi"/>
          <w:sz w:val="24"/>
          <w:szCs w:val="24"/>
        </w:rPr>
        <w:t xml:space="preserve">their energy for the most effective outcomes, thanks to Niebuhr’s theological framework. Indeed, if any of Niebuhr’s categories </w:t>
      </w:r>
      <w:proofErr w:type="gramStart"/>
      <w:r w:rsidRPr="001E3E9C">
        <w:rPr>
          <w:rFonts w:cstheme="minorHAnsi"/>
          <w:sz w:val="24"/>
          <w:szCs w:val="24"/>
        </w:rPr>
        <w:t>have the ability to</w:t>
      </w:r>
      <w:proofErr w:type="gramEnd"/>
      <w:r w:rsidRPr="001E3E9C">
        <w:rPr>
          <w:rFonts w:cstheme="minorHAnsi"/>
          <w:sz w:val="24"/>
          <w:szCs w:val="24"/>
        </w:rPr>
        <w:t xml:space="preserve"> expand the thinking about possible alternatives to the current state of affairs, then this interdisciplinary conversation between theology and law will have more than served its purpose, and the nation’s public discourse will be the better for it. Of course, the proposed changes do not take away from the fact that the Supreme Court’s decision in the </w:t>
      </w:r>
      <w:r w:rsidRPr="001E3E9C">
        <w:rPr>
          <w:rFonts w:cstheme="minorHAnsi"/>
          <w:i/>
          <w:iCs/>
          <w:sz w:val="24"/>
          <w:szCs w:val="24"/>
        </w:rPr>
        <w:t>Citizens United</w:t>
      </w:r>
      <w:r w:rsidRPr="001E3E9C">
        <w:rPr>
          <w:rFonts w:cstheme="minorHAnsi"/>
          <w:sz w:val="24"/>
          <w:szCs w:val="24"/>
        </w:rPr>
        <w:t xml:space="preserve"> case remains deeply flawed, for precisely the reasons Niebuhr’s theological account of collective egotism helped to identify. Efforts to challenge the merits of the case more directly, then, should not be set aside </w:t>
      </w:r>
      <w:proofErr w:type="gramStart"/>
      <w:r w:rsidRPr="001E3E9C">
        <w:rPr>
          <w:rFonts w:cstheme="minorHAnsi"/>
          <w:sz w:val="24"/>
          <w:szCs w:val="24"/>
        </w:rPr>
        <w:t>as a result of</w:t>
      </w:r>
      <w:proofErr w:type="gramEnd"/>
      <w:r w:rsidRPr="001E3E9C">
        <w:rPr>
          <w:rFonts w:cstheme="minorHAnsi"/>
          <w:sz w:val="24"/>
          <w:szCs w:val="24"/>
        </w:rPr>
        <w:t xml:space="preserve"> the arguments for reforms within the parameters of the case outlined above. Instead, these constructive proposals for a more effective balance of power and a stronger role for government interaction should be understood as attempts at rectifying immediate injustices, not ultimate solutions. In a truly Niebuhrian fashion, they will remain realist responses and, therefore, merit continual evaluation against the law of love, the perfection of which will indicate both how much better these temporal approximations are than the current </w:t>
      </w:r>
      <w:proofErr w:type="gramStart"/>
      <w:r w:rsidRPr="001E3E9C">
        <w:rPr>
          <w:rFonts w:cstheme="minorHAnsi"/>
          <w:sz w:val="24"/>
          <w:szCs w:val="24"/>
        </w:rPr>
        <w:t>state of affairs</w:t>
      </w:r>
      <w:proofErr w:type="gramEnd"/>
      <w:r w:rsidRPr="001E3E9C">
        <w:rPr>
          <w:rFonts w:cstheme="minorHAnsi"/>
          <w:sz w:val="24"/>
          <w:szCs w:val="24"/>
        </w:rPr>
        <w:t>, and how much better things can still become.</w:t>
      </w:r>
    </w:p>
    <w:p w14:paraId="542C78E0" w14:textId="77777777" w:rsidR="001E3E9C" w:rsidRPr="001E3E9C" w:rsidRDefault="001E3E9C" w:rsidP="001E3E9C">
      <w:pPr>
        <w:rPr>
          <w:rFonts w:cstheme="minorHAnsi"/>
          <w:sz w:val="24"/>
          <w:szCs w:val="24"/>
        </w:rPr>
      </w:pPr>
      <w:r w:rsidRPr="001E3E9C">
        <w:rPr>
          <w:rFonts w:cstheme="minorHAnsi"/>
          <w:sz w:val="24"/>
          <w:szCs w:val="24"/>
        </w:rPr>
        <w:t>Conor M. Kelly</w:t>
      </w:r>
    </w:p>
    <w:p w14:paraId="49260B9B" w14:textId="77777777" w:rsidR="001E3E9C" w:rsidRPr="001E3E9C" w:rsidRDefault="001E3E9C" w:rsidP="001E3E9C">
      <w:pPr>
        <w:rPr>
          <w:rFonts w:cstheme="minorHAnsi"/>
          <w:sz w:val="24"/>
          <w:szCs w:val="24"/>
        </w:rPr>
      </w:pPr>
      <w:r w:rsidRPr="001E3E9C">
        <w:rPr>
          <w:rFonts w:cstheme="minorHAnsi"/>
          <w:sz w:val="24"/>
          <w:szCs w:val="24"/>
        </w:rPr>
        <w:t>Marquette University</w:t>
      </w:r>
    </w:p>
    <w:p w14:paraId="0CE401D1" w14:textId="77777777" w:rsidR="001E3E9C" w:rsidRPr="001E3E9C" w:rsidRDefault="001E3E9C" w:rsidP="001E3E9C">
      <w:pPr>
        <w:rPr>
          <w:rFonts w:cstheme="minorHAnsi"/>
          <w:sz w:val="24"/>
          <w:szCs w:val="24"/>
        </w:rPr>
      </w:pPr>
      <w:r w:rsidRPr="001E3E9C">
        <w:rPr>
          <w:rFonts w:cstheme="minorHAnsi"/>
          <w:b/>
          <w:bCs/>
          <w:sz w:val="24"/>
          <w:szCs w:val="24"/>
        </w:rPr>
        <w:t>Conor M. Kelly</w:t>
      </w:r>
      <w:r w:rsidRPr="001E3E9C">
        <w:rPr>
          <w:rFonts w:cstheme="minorHAnsi"/>
          <w:sz w:val="24"/>
          <w:szCs w:val="24"/>
        </w:rPr>
        <w:t xml:space="preserve"> is an assistant professor in the department of theology at Marquette University. His research and teaching focus on the ways theology can provide the resources for a more critical assessment of ethical issues in personal and social life. He earned his PhD in theological ethics from Boston </w:t>
      </w:r>
      <w:proofErr w:type="gramStart"/>
      <w:r w:rsidRPr="001E3E9C">
        <w:rPr>
          <w:rFonts w:cstheme="minorHAnsi"/>
          <w:sz w:val="24"/>
          <w:szCs w:val="24"/>
        </w:rPr>
        <w:t>College</w:t>
      </w:r>
      <w:proofErr w:type="gramEnd"/>
      <w:r w:rsidRPr="001E3E9C">
        <w:rPr>
          <w:rFonts w:cstheme="minorHAnsi"/>
          <w:sz w:val="24"/>
          <w:szCs w:val="24"/>
        </w:rPr>
        <w:t xml:space="preserve"> and he holds a BA and MTS from the University of Notre Dame.</w:t>
      </w:r>
    </w:p>
    <w:p w14:paraId="22265A63" w14:textId="77777777" w:rsidR="001E3E9C" w:rsidRPr="001E3E9C" w:rsidRDefault="001E3E9C" w:rsidP="00400E66">
      <w:pPr>
        <w:pStyle w:val="Heading1"/>
      </w:pPr>
      <w:r w:rsidRPr="001E3E9C">
        <w:t>Notes</w:t>
      </w:r>
    </w:p>
    <w:p w14:paraId="346648EE" w14:textId="67735950" w:rsidR="001E3E9C" w:rsidRPr="001E3E9C" w:rsidRDefault="001E3E9C" w:rsidP="00B11DA6">
      <w:pPr>
        <w:spacing w:after="0"/>
        <w:ind w:left="720" w:hanging="720"/>
        <w:rPr>
          <w:rFonts w:cstheme="minorHAnsi"/>
          <w:sz w:val="24"/>
          <w:szCs w:val="24"/>
        </w:rPr>
      </w:pPr>
      <w:bookmarkStart w:id="64" w:name="f01"/>
      <w:r w:rsidRPr="00137823">
        <w:rPr>
          <w:rFonts w:cstheme="minorHAnsi"/>
          <w:sz w:val="24"/>
          <w:szCs w:val="24"/>
        </w:rPr>
        <w:t>1.</w:t>
      </w:r>
      <w:bookmarkEnd w:id="64"/>
      <w:r w:rsidRPr="001E3E9C">
        <w:rPr>
          <w:rFonts w:cstheme="minorHAnsi"/>
          <w:sz w:val="24"/>
          <w:szCs w:val="24"/>
        </w:rPr>
        <w:t xml:space="preserve"> At both the state and national level, legislation regarding campaign finance questions seems to have been pursued in a manner that would intentionally limit or preclude active debate. For instance, the Wisconsin state legislature recently approved a bill that would eliminate restrictions on cooperation between candidates and outside groups. The bill was passed quickly enough to avoid any sustained public debate (</w:t>
      </w:r>
      <w:bookmarkStart w:id="65" w:name="b42-text"/>
      <w:proofErr w:type="spellStart"/>
      <w:r w:rsidRPr="00137823">
        <w:rPr>
          <w:rFonts w:cstheme="minorHAnsi"/>
          <w:sz w:val="24"/>
          <w:szCs w:val="24"/>
        </w:rPr>
        <w:t>Pitrof</w:t>
      </w:r>
      <w:proofErr w:type="spellEnd"/>
      <w:r w:rsidRPr="00137823">
        <w:rPr>
          <w:rFonts w:cstheme="minorHAnsi"/>
          <w:sz w:val="24"/>
          <w:szCs w:val="24"/>
        </w:rPr>
        <w:t xml:space="preserve"> and Dennis 2015</w:t>
      </w:r>
      <w:bookmarkEnd w:id="65"/>
      <w:r w:rsidRPr="001E3E9C">
        <w:rPr>
          <w:rFonts w:cstheme="minorHAnsi"/>
          <w:sz w:val="24"/>
          <w:szCs w:val="24"/>
        </w:rPr>
        <w:t>). Meanwhile, the United States Congress has repeatedly decided to use amendments on must-pass spending legislation to reshape campaign finance law in a form of brinkmanship that forestalls debate on the issue (</w:t>
      </w:r>
      <w:bookmarkStart w:id="66" w:name="b3-text"/>
      <w:r w:rsidRPr="00137823">
        <w:rPr>
          <w:rFonts w:cstheme="minorHAnsi"/>
          <w:sz w:val="24"/>
          <w:szCs w:val="24"/>
        </w:rPr>
        <w:t>Berman 2015</w:t>
      </w:r>
      <w:bookmarkEnd w:id="66"/>
      <w:r w:rsidRPr="001E3E9C">
        <w:rPr>
          <w:rFonts w:cstheme="minorHAnsi"/>
          <w:sz w:val="24"/>
          <w:szCs w:val="24"/>
        </w:rPr>
        <w:t>).</w:t>
      </w:r>
      <w:r w:rsidRPr="001E3E9C">
        <w:rPr>
          <w:rFonts w:cstheme="minorHAnsi"/>
          <w:b/>
          <w:bCs/>
          <w:sz w:val="24"/>
          <w:szCs w:val="24"/>
        </w:rPr>
        <w:t xml:space="preserve"> </w:t>
      </w:r>
    </w:p>
    <w:p w14:paraId="53089871" w14:textId="18900D78" w:rsidR="001E3E9C" w:rsidRPr="001E3E9C" w:rsidRDefault="001E3E9C" w:rsidP="00B11DA6">
      <w:pPr>
        <w:spacing w:after="0"/>
        <w:ind w:left="720" w:hanging="720"/>
        <w:rPr>
          <w:rFonts w:cstheme="minorHAnsi"/>
          <w:sz w:val="24"/>
          <w:szCs w:val="24"/>
        </w:rPr>
      </w:pPr>
      <w:bookmarkStart w:id="67" w:name="f02"/>
      <w:r w:rsidRPr="00137823">
        <w:rPr>
          <w:rFonts w:cstheme="minorHAnsi"/>
          <w:sz w:val="24"/>
          <w:szCs w:val="24"/>
        </w:rPr>
        <w:t>2.</w:t>
      </w:r>
      <w:bookmarkEnd w:id="67"/>
      <w:r w:rsidRPr="001E3E9C">
        <w:rPr>
          <w:rFonts w:cstheme="minorHAnsi"/>
          <w:sz w:val="24"/>
          <w:szCs w:val="24"/>
        </w:rPr>
        <w:t xml:space="preserve"> This tactic can be seen in the legal arguments put forward in the 2014 Supreme Court case </w:t>
      </w:r>
      <w:r w:rsidRPr="001E3E9C">
        <w:rPr>
          <w:rFonts w:cstheme="minorHAnsi"/>
          <w:i/>
          <w:iCs/>
          <w:sz w:val="24"/>
          <w:szCs w:val="24"/>
        </w:rPr>
        <w:t>Burwell v. Hobby Lobby</w:t>
      </w:r>
      <w:r w:rsidRPr="001E3E9C">
        <w:rPr>
          <w:rFonts w:cstheme="minorHAnsi"/>
          <w:sz w:val="24"/>
          <w:szCs w:val="24"/>
        </w:rPr>
        <w:t xml:space="preserve">, which ruled that closely held corporations could opt out of the Affordable Care Act’s so-called contraceptive mandate on religious grounds. See Brief for Respondents at 25, </w:t>
      </w:r>
      <w:r w:rsidRPr="001E3E9C">
        <w:rPr>
          <w:rFonts w:cstheme="minorHAnsi"/>
          <w:i/>
          <w:iCs/>
          <w:sz w:val="24"/>
          <w:szCs w:val="24"/>
        </w:rPr>
        <w:t xml:space="preserve">Burwell v. Hobby Lobby 134 </w:t>
      </w:r>
      <w:proofErr w:type="spellStart"/>
      <w:r w:rsidRPr="001E3E9C">
        <w:rPr>
          <w:rFonts w:cstheme="minorHAnsi"/>
          <w:i/>
          <w:iCs/>
          <w:sz w:val="24"/>
          <w:szCs w:val="24"/>
        </w:rPr>
        <w:t>S.Ct</w:t>
      </w:r>
      <w:proofErr w:type="spellEnd"/>
      <w:r w:rsidRPr="001E3E9C">
        <w:rPr>
          <w:rFonts w:cstheme="minorHAnsi"/>
          <w:i/>
          <w:iCs/>
          <w:sz w:val="24"/>
          <w:szCs w:val="24"/>
        </w:rPr>
        <w:t>. 2751</w:t>
      </w:r>
      <w:r w:rsidRPr="001E3E9C">
        <w:rPr>
          <w:rFonts w:cstheme="minorHAnsi"/>
          <w:sz w:val="24"/>
          <w:szCs w:val="24"/>
        </w:rPr>
        <w:t xml:space="preserve"> (2014) (No. 13–354); Brief for Petitioners at 27, Hobby </w:t>
      </w:r>
      <w:r w:rsidRPr="001E3E9C">
        <w:rPr>
          <w:rFonts w:cstheme="minorHAnsi"/>
          <w:sz w:val="24"/>
          <w:szCs w:val="24"/>
        </w:rPr>
        <w:lastRenderedPageBreak/>
        <w:t xml:space="preserve">Lobby 134 </w:t>
      </w:r>
      <w:proofErr w:type="spellStart"/>
      <w:r w:rsidRPr="001E3E9C">
        <w:rPr>
          <w:rFonts w:cstheme="minorHAnsi"/>
          <w:sz w:val="24"/>
          <w:szCs w:val="24"/>
        </w:rPr>
        <w:t>S.Ct</w:t>
      </w:r>
      <w:proofErr w:type="spellEnd"/>
      <w:r w:rsidRPr="001E3E9C">
        <w:rPr>
          <w:rFonts w:cstheme="minorHAnsi"/>
          <w:sz w:val="24"/>
          <w:szCs w:val="24"/>
        </w:rPr>
        <w:t xml:space="preserve">. 2751 (No. 13–356); Brief for the Christian Booksellers Association et al. as Amici Curiae in Support of Hobby Lobby and Conestoga at 28; Brief for the Council for Christian Colleges &amp; Universities et al. as Amici Curiae in Support of Respondents Hobby Lobby, </w:t>
      </w:r>
      <w:proofErr w:type="spellStart"/>
      <w:r w:rsidRPr="001E3E9C">
        <w:rPr>
          <w:rFonts w:cstheme="minorHAnsi"/>
          <w:sz w:val="24"/>
          <w:szCs w:val="24"/>
        </w:rPr>
        <w:t>Mardel</w:t>
      </w:r>
      <w:proofErr w:type="spellEnd"/>
      <w:r w:rsidRPr="001E3E9C">
        <w:rPr>
          <w:rFonts w:cstheme="minorHAnsi"/>
          <w:sz w:val="24"/>
          <w:szCs w:val="24"/>
        </w:rPr>
        <w:t xml:space="preserve">, and Petitioner Conestoga, at 17, Hobby Lobby 134 </w:t>
      </w:r>
      <w:proofErr w:type="spellStart"/>
      <w:r w:rsidRPr="001E3E9C">
        <w:rPr>
          <w:rFonts w:cstheme="minorHAnsi"/>
          <w:sz w:val="24"/>
          <w:szCs w:val="24"/>
        </w:rPr>
        <w:t>S.Ct</w:t>
      </w:r>
      <w:proofErr w:type="spellEnd"/>
      <w:r w:rsidRPr="001E3E9C">
        <w:rPr>
          <w:rFonts w:cstheme="minorHAnsi"/>
          <w:sz w:val="24"/>
          <w:szCs w:val="24"/>
        </w:rPr>
        <w:t>. 2751; Brief for Ethics and Public Policy Center as Amicus Curiae in Support of Respondents in 13–354 and Petitioners in 13–356, at 20–21.</w:t>
      </w:r>
    </w:p>
    <w:p w14:paraId="0BCD19EB" w14:textId="6B2A621F" w:rsidR="001E3E9C" w:rsidRPr="001E3E9C" w:rsidRDefault="001E3E9C" w:rsidP="00B11DA6">
      <w:pPr>
        <w:spacing w:after="0"/>
        <w:ind w:left="720" w:hanging="720"/>
        <w:rPr>
          <w:rFonts w:cstheme="minorHAnsi"/>
          <w:sz w:val="24"/>
          <w:szCs w:val="24"/>
        </w:rPr>
      </w:pPr>
      <w:bookmarkStart w:id="68" w:name="f03"/>
      <w:r w:rsidRPr="00137823">
        <w:rPr>
          <w:rFonts w:cstheme="minorHAnsi"/>
          <w:sz w:val="24"/>
          <w:szCs w:val="24"/>
        </w:rPr>
        <w:t>3.</w:t>
      </w:r>
      <w:bookmarkEnd w:id="68"/>
      <w:r w:rsidRPr="001E3E9C">
        <w:rPr>
          <w:rFonts w:cstheme="minorHAnsi"/>
          <w:sz w:val="24"/>
          <w:szCs w:val="24"/>
        </w:rPr>
        <w:t xml:space="preserve"> There are </w:t>
      </w:r>
      <w:proofErr w:type="gramStart"/>
      <w:r w:rsidRPr="001E3E9C">
        <w:rPr>
          <w:rFonts w:cstheme="minorHAnsi"/>
          <w:sz w:val="24"/>
          <w:szCs w:val="24"/>
        </w:rPr>
        <w:t>a number of</w:t>
      </w:r>
      <w:proofErr w:type="gramEnd"/>
      <w:r w:rsidRPr="001E3E9C">
        <w:rPr>
          <w:rFonts w:cstheme="minorHAnsi"/>
          <w:sz w:val="24"/>
          <w:szCs w:val="24"/>
        </w:rPr>
        <w:t xml:space="preserve"> objections to Rawls’s theory of “public reason” (for a good illustration of the debate see </w:t>
      </w:r>
      <w:bookmarkStart w:id="69" w:name="b1-text"/>
      <w:r w:rsidRPr="00137823">
        <w:rPr>
          <w:rFonts w:cstheme="minorHAnsi"/>
          <w:sz w:val="24"/>
          <w:szCs w:val="24"/>
        </w:rPr>
        <w:t xml:space="preserve">Audi and </w:t>
      </w:r>
      <w:proofErr w:type="spellStart"/>
      <w:r w:rsidRPr="00137823">
        <w:rPr>
          <w:rFonts w:cstheme="minorHAnsi"/>
          <w:sz w:val="24"/>
          <w:szCs w:val="24"/>
        </w:rPr>
        <w:t>Wolterstorff</w:t>
      </w:r>
      <w:proofErr w:type="spellEnd"/>
      <w:r w:rsidRPr="00137823">
        <w:rPr>
          <w:rFonts w:cstheme="minorHAnsi"/>
          <w:sz w:val="24"/>
          <w:szCs w:val="24"/>
        </w:rPr>
        <w:t xml:space="preserve"> 1997</w:t>
      </w:r>
      <w:bookmarkEnd w:id="69"/>
      <w:r w:rsidRPr="001E3E9C">
        <w:rPr>
          <w:rFonts w:cstheme="minorHAnsi"/>
          <w:sz w:val="24"/>
          <w:szCs w:val="24"/>
        </w:rPr>
        <w:t>), so the two-step process proposed here is not a definitive solution. Rather, it is one practical way in which to employ theological thinking and arguments in public discourse and legal analysis without overstepping the bounds of the separation of church and state, as those bounds are currently understood. This is not to say that the two-step process is ideal, only that it is viable, especially for the issue at hand because Rawls developed his category of public reason for government officials (like justices on the Supreme Court) in particular.</w:t>
      </w:r>
    </w:p>
    <w:p w14:paraId="5668114E" w14:textId="11389F98" w:rsidR="001E3E9C" w:rsidRPr="001E3E9C" w:rsidRDefault="001E3E9C" w:rsidP="00B11DA6">
      <w:pPr>
        <w:spacing w:after="0"/>
        <w:ind w:left="720" w:hanging="720"/>
        <w:rPr>
          <w:rFonts w:cstheme="minorHAnsi"/>
          <w:sz w:val="24"/>
          <w:szCs w:val="24"/>
        </w:rPr>
      </w:pPr>
      <w:bookmarkStart w:id="70" w:name="f04"/>
      <w:r w:rsidRPr="00137823">
        <w:rPr>
          <w:rFonts w:cstheme="minorHAnsi"/>
          <w:sz w:val="24"/>
          <w:szCs w:val="24"/>
        </w:rPr>
        <w:t>4.</w:t>
      </w:r>
      <w:bookmarkEnd w:id="70"/>
      <w:r w:rsidRPr="001E3E9C">
        <w:rPr>
          <w:rFonts w:cstheme="minorHAnsi"/>
          <w:sz w:val="24"/>
          <w:szCs w:val="24"/>
        </w:rPr>
        <w:t xml:space="preserve"> For the sake of brevity and clarity, references to </w:t>
      </w:r>
      <w:r w:rsidRPr="001E3E9C">
        <w:rPr>
          <w:rFonts w:cstheme="minorHAnsi"/>
          <w:i/>
          <w:iCs/>
          <w:sz w:val="24"/>
          <w:szCs w:val="24"/>
        </w:rPr>
        <w:t>Citizens United v. Federal Election Commission, 558 U.S. 310</w:t>
      </w:r>
      <w:r w:rsidRPr="001E3E9C">
        <w:rPr>
          <w:rFonts w:cstheme="minorHAnsi"/>
          <w:sz w:val="24"/>
          <w:szCs w:val="24"/>
        </w:rPr>
        <w:t xml:space="preserve"> (2010) will be abbreviated CU.</w:t>
      </w:r>
    </w:p>
    <w:p w14:paraId="716CBB5E" w14:textId="3A066131" w:rsidR="001E3E9C" w:rsidRPr="001E3E9C" w:rsidRDefault="001E3E9C" w:rsidP="00B11DA6">
      <w:pPr>
        <w:spacing w:after="0"/>
        <w:ind w:left="720" w:hanging="720"/>
        <w:rPr>
          <w:rFonts w:cstheme="minorHAnsi"/>
          <w:sz w:val="24"/>
          <w:szCs w:val="24"/>
        </w:rPr>
      </w:pPr>
      <w:bookmarkStart w:id="71" w:name="f05"/>
      <w:r w:rsidRPr="00137823">
        <w:rPr>
          <w:rFonts w:cstheme="minorHAnsi"/>
          <w:sz w:val="24"/>
          <w:szCs w:val="24"/>
        </w:rPr>
        <w:t>5.</w:t>
      </w:r>
      <w:bookmarkEnd w:id="71"/>
      <w:r w:rsidRPr="001E3E9C">
        <w:rPr>
          <w:rFonts w:cstheme="minorHAnsi"/>
          <w:sz w:val="24"/>
          <w:szCs w:val="24"/>
        </w:rPr>
        <w:t xml:space="preserve"> For legal purposes, “The term ‘independent expenditure’ means an expenditure by a person—(A) expressly advocating the election or defeat of a clearly identified candidate; and (B) that is not made in concert or cooperation with or at the request or suggestion of such candidate, the candidate’s authorized political committee, or their agents, or a political party committee or its agents.” 52 U.S.C. §30101(17).</w:t>
      </w:r>
    </w:p>
    <w:p w14:paraId="735D03C6" w14:textId="51826617" w:rsidR="001E3E9C" w:rsidRPr="001E3E9C" w:rsidRDefault="001E3E9C" w:rsidP="00B11DA6">
      <w:pPr>
        <w:spacing w:after="0"/>
        <w:ind w:left="720" w:hanging="720"/>
        <w:rPr>
          <w:rFonts w:cstheme="minorHAnsi"/>
          <w:sz w:val="24"/>
          <w:szCs w:val="24"/>
        </w:rPr>
      </w:pPr>
      <w:bookmarkStart w:id="72" w:name="f06"/>
      <w:r w:rsidRPr="00137823">
        <w:rPr>
          <w:rFonts w:cstheme="minorHAnsi"/>
          <w:sz w:val="24"/>
          <w:szCs w:val="24"/>
        </w:rPr>
        <w:t>6.</w:t>
      </w:r>
      <w:bookmarkEnd w:id="72"/>
      <w:r w:rsidRPr="001E3E9C">
        <w:rPr>
          <w:rFonts w:cstheme="minorHAnsi"/>
          <w:sz w:val="24"/>
          <w:szCs w:val="24"/>
        </w:rPr>
        <w:t xml:space="preserve"> This equation of political expenditures with political speech is the portion of the Supreme Court’s decision that Ruprecht finds the most problematic. For more on the significance of this elision, see Ruprecht 2013, 103, 108; 2015, 18.</w:t>
      </w:r>
    </w:p>
    <w:p w14:paraId="5266C23B" w14:textId="4838C8E5" w:rsidR="001E3E9C" w:rsidRPr="001E3E9C" w:rsidRDefault="001E3E9C" w:rsidP="00B11DA6">
      <w:pPr>
        <w:spacing w:after="0"/>
        <w:ind w:left="720" w:hanging="720"/>
        <w:rPr>
          <w:rFonts w:cstheme="minorHAnsi"/>
          <w:sz w:val="24"/>
          <w:szCs w:val="24"/>
        </w:rPr>
      </w:pPr>
      <w:bookmarkStart w:id="73" w:name="f07"/>
      <w:r w:rsidRPr="00137823">
        <w:rPr>
          <w:rFonts w:cstheme="minorHAnsi"/>
          <w:sz w:val="24"/>
          <w:szCs w:val="24"/>
        </w:rPr>
        <w:t>7.</w:t>
      </w:r>
      <w:bookmarkEnd w:id="73"/>
      <w:r w:rsidRPr="001E3E9C">
        <w:rPr>
          <w:rFonts w:cstheme="minorHAnsi"/>
          <w:sz w:val="24"/>
          <w:szCs w:val="24"/>
        </w:rPr>
        <w:t xml:space="preserve"> Technically, there is a fourth legal basis, for the government could identify a compelling interest in “preventing foreign individuals or associations from influencing our Nation’s political process,” but this basis was ignored by the Court because the BCRA provisions in question were not restricted to foreign owned corporations (CU 362).</w:t>
      </w:r>
    </w:p>
    <w:p w14:paraId="4B3642A6" w14:textId="30C55945" w:rsidR="001E3E9C" w:rsidRPr="001E3E9C" w:rsidRDefault="001E3E9C" w:rsidP="00B11DA6">
      <w:pPr>
        <w:spacing w:after="0"/>
        <w:ind w:left="720" w:hanging="720"/>
        <w:rPr>
          <w:rFonts w:cstheme="minorHAnsi"/>
          <w:sz w:val="24"/>
          <w:szCs w:val="24"/>
        </w:rPr>
      </w:pPr>
      <w:bookmarkStart w:id="74" w:name="f08"/>
      <w:r w:rsidRPr="00137823">
        <w:rPr>
          <w:rFonts w:cstheme="minorHAnsi"/>
          <w:sz w:val="24"/>
          <w:szCs w:val="24"/>
        </w:rPr>
        <w:t>8.</w:t>
      </w:r>
      <w:bookmarkEnd w:id="74"/>
      <w:r w:rsidRPr="001E3E9C">
        <w:rPr>
          <w:rFonts w:cstheme="minorHAnsi"/>
          <w:sz w:val="24"/>
          <w:szCs w:val="24"/>
        </w:rPr>
        <w:t xml:space="preserve"> Niebuhr was often criticized for emphasizing pride at the expense of sensuality. See Stone 2012a, 125–26; </w:t>
      </w:r>
      <w:bookmarkStart w:id="75" w:name="b44-text"/>
      <w:r w:rsidRPr="00137823">
        <w:rPr>
          <w:rFonts w:cstheme="minorHAnsi"/>
          <w:sz w:val="24"/>
          <w:szCs w:val="24"/>
        </w:rPr>
        <w:t>Rasmussen 1988</w:t>
      </w:r>
      <w:bookmarkEnd w:id="75"/>
      <w:r w:rsidRPr="001E3E9C">
        <w:rPr>
          <w:rFonts w:cstheme="minorHAnsi"/>
          <w:sz w:val="24"/>
          <w:szCs w:val="24"/>
        </w:rPr>
        <w:t>, 19.</w:t>
      </w:r>
    </w:p>
    <w:p w14:paraId="7BA7C5C0" w14:textId="290751E8" w:rsidR="001E3E9C" w:rsidRPr="001E3E9C" w:rsidRDefault="001E3E9C" w:rsidP="00B11DA6">
      <w:pPr>
        <w:spacing w:after="0"/>
        <w:ind w:left="720" w:hanging="720"/>
        <w:rPr>
          <w:rFonts w:cstheme="minorHAnsi"/>
          <w:sz w:val="24"/>
          <w:szCs w:val="24"/>
        </w:rPr>
      </w:pPr>
      <w:bookmarkStart w:id="76" w:name="f09"/>
      <w:r w:rsidRPr="00137823">
        <w:rPr>
          <w:rFonts w:cstheme="minorHAnsi"/>
          <w:sz w:val="24"/>
          <w:szCs w:val="24"/>
        </w:rPr>
        <w:t>9.</w:t>
      </w:r>
      <w:bookmarkEnd w:id="76"/>
      <w:r w:rsidRPr="001E3E9C">
        <w:rPr>
          <w:rFonts w:cstheme="minorHAnsi"/>
          <w:sz w:val="24"/>
          <w:szCs w:val="24"/>
        </w:rPr>
        <w:t xml:space="preserve"> Indeed, one might consider as a counterpoint Aristotle’s rosier view of groups, which located the roots of collectives in the pursuit of common goods that individuals could not achieve alone. Aristotle, </w:t>
      </w:r>
      <w:r w:rsidRPr="001E3E9C">
        <w:rPr>
          <w:rFonts w:cstheme="minorHAnsi"/>
          <w:i/>
          <w:iCs/>
          <w:sz w:val="24"/>
          <w:szCs w:val="24"/>
        </w:rPr>
        <w:t>Politics</w:t>
      </w:r>
      <w:r w:rsidRPr="001E3E9C">
        <w:rPr>
          <w:rFonts w:cstheme="minorHAnsi"/>
          <w:sz w:val="24"/>
          <w:szCs w:val="24"/>
        </w:rPr>
        <w:t>, I.1–2.</w:t>
      </w:r>
    </w:p>
    <w:p w14:paraId="6E5A42B8" w14:textId="78BB505A" w:rsidR="001E3E9C" w:rsidRPr="001E3E9C" w:rsidRDefault="001E3E9C" w:rsidP="00B11DA6">
      <w:pPr>
        <w:spacing w:after="0"/>
        <w:ind w:left="720" w:hanging="720"/>
        <w:rPr>
          <w:rFonts w:cstheme="minorHAnsi"/>
          <w:sz w:val="24"/>
          <w:szCs w:val="24"/>
        </w:rPr>
      </w:pPr>
      <w:bookmarkStart w:id="77" w:name="f10"/>
      <w:r w:rsidRPr="00137823">
        <w:rPr>
          <w:rFonts w:cstheme="minorHAnsi"/>
          <w:sz w:val="24"/>
          <w:szCs w:val="24"/>
        </w:rPr>
        <w:t>10.</w:t>
      </w:r>
      <w:bookmarkEnd w:id="77"/>
      <w:r w:rsidRPr="001E3E9C">
        <w:rPr>
          <w:rFonts w:cstheme="minorHAnsi"/>
          <w:sz w:val="24"/>
          <w:szCs w:val="24"/>
        </w:rPr>
        <w:t xml:space="preserve"> This vision has obvious roots and parallels in Augustine’s understanding of imperfect earthly peace as the tranquility of order. See </w:t>
      </w:r>
      <w:bookmarkStart w:id="78" w:name="b30-text"/>
      <w:r w:rsidRPr="00137823">
        <w:rPr>
          <w:rFonts w:cstheme="minorHAnsi"/>
          <w:sz w:val="24"/>
          <w:szCs w:val="24"/>
        </w:rPr>
        <w:t>Niebuhr 1953a</w:t>
      </w:r>
      <w:bookmarkEnd w:id="78"/>
      <w:r w:rsidRPr="001E3E9C">
        <w:rPr>
          <w:rFonts w:cstheme="minorHAnsi"/>
          <w:sz w:val="24"/>
          <w:szCs w:val="24"/>
        </w:rPr>
        <w:t xml:space="preserve">, 125–26; Augustine, </w:t>
      </w:r>
      <w:r w:rsidRPr="001E3E9C">
        <w:rPr>
          <w:rFonts w:cstheme="minorHAnsi"/>
          <w:i/>
          <w:iCs/>
          <w:sz w:val="24"/>
          <w:szCs w:val="24"/>
        </w:rPr>
        <w:t>City of God</w:t>
      </w:r>
      <w:r w:rsidRPr="001E3E9C">
        <w:rPr>
          <w:rFonts w:cstheme="minorHAnsi"/>
          <w:sz w:val="24"/>
          <w:szCs w:val="24"/>
        </w:rPr>
        <w:t>, XIX.</w:t>
      </w:r>
      <w:r w:rsidRPr="001E3E9C">
        <w:rPr>
          <w:rFonts w:cstheme="minorHAnsi"/>
          <w:b/>
          <w:bCs/>
          <w:sz w:val="24"/>
          <w:szCs w:val="24"/>
        </w:rPr>
        <w:t xml:space="preserve"> </w:t>
      </w:r>
    </w:p>
    <w:p w14:paraId="17BE834F" w14:textId="6B19B6A9" w:rsidR="001E3E9C" w:rsidRPr="001E3E9C" w:rsidRDefault="001E3E9C" w:rsidP="00B11DA6">
      <w:pPr>
        <w:spacing w:after="0"/>
        <w:ind w:left="720" w:hanging="720"/>
        <w:rPr>
          <w:rFonts w:cstheme="minorHAnsi"/>
          <w:sz w:val="24"/>
          <w:szCs w:val="24"/>
        </w:rPr>
      </w:pPr>
      <w:bookmarkStart w:id="79" w:name="f11"/>
      <w:r w:rsidRPr="00137823">
        <w:rPr>
          <w:rFonts w:cstheme="minorHAnsi"/>
          <w:sz w:val="24"/>
          <w:szCs w:val="24"/>
        </w:rPr>
        <w:t>11.</w:t>
      </w:r>
      <w:bookmarkEnd w:id="79"/>
      <w:r w:rsidRPr="001E3E9C">
        <w:rPr>
          <w:rFonts w:cstheme="minorHAnsi"/>
          <w:sz w:val="24"/>
          <w:szCs w:val="24"/>
        </w:rPr>
        <w:t xml:space="preserve"> See </w:t>
      </w:r>
      <w:r w:rsidRPr="00137823">
        <w:rPr>
          <w:rFonts w:cstheme="minorHAnsi"/>
          <w:i/>
          <w:iCs/>
          <w:sz w:val="24"/>
          <w:szCs w:val="24"/>
        </w:rPr>
        <w:t>SpeechNow.org</w:t>
      </w:r>
      <w:r w:rsidRPr="001E3E9C">
        <w:rPr>
          <w:rFonts w:cstheme="minorHAnsi"/>
          <w:i/>
          <w:iCs/>
          <w:sz w:val="24"/>
          <w:szCs w:val="24"/>
        </w:rPr>
        <w:t xml:space="preserve"> v. FEC</w:t>
      </w:r>
      <w:r w:rsidRPr="001E3E9C">
        <w:rPr>
          <w:rFonts w:cstheme="minorHAnsi"/>
          <w:sz w:val="24"/>
          <w:szCs w:val="24"/>
        </w:rPr>
        <w:t xml:space="preserve">, 692–95 (D.C. Cir. 2010). The “Super PAC” is a political action committee that only makes independent expenditures and, therefore, can spend unlimited amounts of money advancing its political aims, </w:t>
      </w:r>
      <w:proofErr w:type="gramStart"/>
      <w:r w:rsidRPr="001E3E9C">
        <w:rPr>
          <w:rFonts w:cstheme="minorHAnsi"/>
          <w:sz w:val="24"/>
          <w:szCs w:val="24"/>
        </w:rPr>
        <w:t>as long as</w:t>
      </w:r>
      <w:proofErr w:type="gramEnd"/>
      <w:r w:rsidRPr="001E3E9C">
        <w:rPr>
          <w:rFonts w:cstheme="minorHAnsi"/>
          <w:sz w:val="24"/>
          <w:szCs w:val="24"/>
        </w:rPr>
        <w:t xml:space="preserve"> it does not coordinate directly with a candidate’s campaign. In practice, most candidates for elected office (especially at the national level) now have at least one Super PAC collecting unlimited funds </w:t>
      </w:r>
      <w:proofErr w:type="gramStart"/>
      <w:r w:rsidRPr="001E3E9C">
        <w:rPr>
          <w:rFonts w:cstheme="minorHAnsi"/>
          <w:sz w:val="24"/>
          <w:szCs w:val="24"/>
        </w:rPr>
        <w:t>in order to</w:t>
      </w:r>
      <w:proofErr w:type="gramEnd"/>
      <w:r w:rsidRPr="001E3E9C">
        <w:rPr>
          <w:rFonts w:cstheme="minorHAnsi"/>
          <w:sz w:val="24"/>
          <w:szCs w:val="24"/>
        </w:rPr>
        <w:t xml:space="preserve"> advocate for the candidate’s election without their explicit coordination. For more on the “Super PAC,” see </w:t>
      </w:r>
      <w:bookmarkStart w:id="80" w:name="b7-text"/>
      <w:r w:rsidRPr="00137823">
        <w:rPr>
          <w:rFonts w:cstheme="minorHAnsi"/>
          <w:sz w:val="24"/>
          <w:szCs w:val="24"/>
        </w:rPr>
        <w:t>Dowling and Miller 2014</w:t>
      </w:r>
      <w:bookmarkEnd w:id="80"/>
      <w:r w:rsidRPr="001E3E9C">
        <w:rPr>
          <w:rFonts w:cstheme="minorHAnsi"/>
          <w:sz w:val="24"/>
          <w:szCs w:val="24"/>
        </w:rPr>
        <w:t>.</w:t>
      </w:r>
    </w:p>
    <w:p w14:paraId="02C027EC" w14:textId="3EAA70DA" w:rsidR="001E3E9C" w:rsidRPr="001E3E9C" w:rsidRDefault="001E3E9C" w:rsidP="00B11DA6">
      <w:pPr>
        <w:spacing w:after="0"/>
        <w:ind w:left="720" w:hanging="720"/>
        <w:rPr>
          <w:rFonts w:cstheme="minorHAnsi"/>
          <w:sz w:val="24"/>
          <w:szCs w:val="24"/>
        </w:rPr>
      </w:pPr>
      <w:bookmarkStart w:id="81" w:name="f12"/>
      <w:r w:rsidRPr="00137823">
        <w:rPr>
          <w:rFonts w:cstheme="minorHAnsi"/>
          <w:sz w:val="24"/>
          <w:szCs w:val="24"/>
        </w:rPr>
        <w:lastRenderedPageBreak/>
        <w:t>12.</w:t>
      </w:r>
      <w:bookmarkEnd w:id="81"/>
      <w:r w:rsidRPr="001E3E9C">
        <w:rPr>
          <w:rFonts w:cstheme="minorHAnsi"/>
          <w:sz w:val="24"/>
          <w:szCs w:val="24"/>
        </w:rPr>
        <w:t xml:space="preserve"> Of course, </w:t>
      </w:r>
      <w:proofErr w:type="gramStart"/>
      <w:r w:rsidRPr="001E3E9C">
        <w:rPr>
          <w:rFonts w:cstheme="minorHAnsi"/>
          <w:sz w:val="24"/>
          <w:szCs w:val="24"/>
        </w:rPr>
        <w:t>in light of</w:t>
      </w:r>
      <w:proofErr w:type="gramEnd"/>
      <w:r w:rsidRPr="001E3E9C">
        <w:rPr>
          <w:rFonts w:cstheme="minorHAnsi"/>
          <w:sz w:val="24"/>
          <w:szCs w:val="24"/>
        </w:rPr>
        <w:t xml:space="preserve"> the </w:t>
      </w:r>
      <w:r w:rsidRPr="001E3E9C">
        <w:rPr>
          <w:rFonts w:cstheme="minorHAnsi"/>
          <w:i/>
          <w:iCs/>
          <w:sz w:val="24"/>
          <w:szCs w:val="24"/>
        </w:rPr>
        <w:t>Citizens United</w:t>
      </w:r>
      <w:r w:rsidRPr="001E3E9C">
        <w:rPr>
          <w:rFonts w:cstheme="minorHAnsi"/>
          <w:sz w:val="24"/>
          <w:szCs w:val="24"/>
        </w:rPr>
        <w:t xml:space="preserve"> ruling, the distinctions between these two types of persons are not that easy to parse out, for individuals can also “incorporate” to donate more anonymously. See Ruprecht 2013, 100.</w:t>
      </w:r>
    </w:p>
    <w:p w14:paraId="20C84162" w14:textId="7C44B545" w:rsidR="001E3E9C" w:rsidRPr="001E3E9C" w:rsidRDefault="001E3E9C" w:rsidP="00B11DA6">
      <w:pPr>
        <w:spacing w:after="0"/>
        <w:ind w:left="720" w:hanging="720"/>
        <w:rPr>
          <w:rFonts w:cstheme="minorHAnsi"/>
          <w:sz w:val="24"/>
          <w:szCs w:val="24"/>
        </w:rPr>
      </w:pPr>
      <w:bookmarkStart w:id="82" w:name="f13"/>
      <w:r w:rsidRPr="00137823">
        <w:rPr>
          <w:rFonts w:cstheme="minorHAnsi"/>
          <w:sz w:val="24"/>
          <w:szCs w:val="24"/>
        </w:rPr>
        <w:t>13.</w:t>
      </w:r>
      <w:bookmarkEnd w:id="82"/>
      <w:r w:rsidRPr="001E3E9C">
        <w:rPr>
          <w:rFonts w:cstheme="minorHAnsi"/>
          <w:sz w:val="24"/>
          <w:szCs w:val="24"/>
        </w:rPr>
        <w:t xml:space="preserve"> This was, in fact, part of the Court’s argument in favor of lifting restrictions on corporations’ independent expenditures (CU 355).</w:t>
      </w:r>
    </w:p>
    <w:p w14:paraId="3D810C5E" w14:textId="68AB4187" w:rsidR="001E3E9C" w:rsidRPr="001E3E9C" w:rsidRDefault="001E3E9C" w:rsidP="00B11DA6">
      <w:pPr>
        <w:spacing w:after="0"/>
        <w:ind w:left="720" w:hanging="720"/>
        <w:rPr>
          <w:rFonts w:cstheme="minorHAnsi"/>
          <w:sz w:val="24"/>
          <w:szCs w:val="24"/>
        </w:rPr>
      </w:pPr>
      <w:bookmarkStart w:id="83" w:name="f14"/>
      <w:r w:rsidRPr="00137823">
        <w:rPr>
          <w:rFonts w:cstheme="minorHAnsi"/>
          <w:sz w:val="24"/>
          <w:szCs w:val="24"/>
        </w:rPr>
        <w:t>14.</w:t>
      </w:r>
      <w:bookmarkEnd w:id="83"/>
      <w:r w:rsidRPr="001E3E9C">
        <w:rPr>
          <w:rFonts w:cstheme="minorHAnsi"/>
          <w:sz w:val="24"/>
          <w:szCs w:val="24"/>
        </w:rPr>
        <w:t xml:space="preserve"> For example, a disclosure mishap inadvertently revealed that the health insurance company Aetna donated more than $3 million to a Super PAC that was working to prevent the reelection of representatives who voted for the Affordable Care Act </w:t>
      </w:r>
      <w:proofErr w:type="gramStart"/>
      <w:r w:rsidRPr="001E3E9C">
        <w:rPr>
          <w:rFonts w:cstheme="minorHAnsi"/>
          <w:sz w:val="24"/>
          <w:szCs w:val="24"/>
        </w:rPr>
        <w:t>at the same time that</w:t>
      </w:r>
      <w:proofErr w:type="gramEnd"/>
      <w:r w:rsidRPr="001E3E9C">
        <w:rPr>
          <w:rFonts w:cstheme="minorHAnsi"/>
          <w:sz w:val="24"/>
          <w:szCs w:val="24"/>
        </w:rPr>
        <w:t xml:space="preserve"> the company was publicly supporting President Obama’s healthcare reform efforts (</w:t>
      </w:r>
      <w:bookmarkStart w:id="84" w:name="b2-text"/>
      <w:r w:rsidRPr="00137823">
        <w:rPr>
          <w:rFonts w:cstheme="minorHAnsi"/>
          <w:sz w:val="24"/>
          <w:szCs w:val="24"/>
        </w:rPr>
        <w:t>Bennet 2012</w:t>
      </w:r>
      <w:bookmarkEnd w:id="84"/>
      <w:r w:rsidRPr="001E3E9C">
        <w:rPr>
          <w:rFonts w:cstheme="minorHAnsi"/>
          <w:sz w:val="24"/>
          <w:szCs w:val="24"/>
        </w:rPr>
        <w:t>).</w:t>
      </w:r>
    </w:p>
    <w:p w14:paraId="1AC452BC" w14:textId="258F632B" w:rsidR="001E3E9C" w:rsidRDefault="001E3E9C" w:rsidP="00B11DA6">
      <w:pPr>
        <w:spacing w:after="0"/>
        <w:ind w:left="720" w:hanging="720"/>
        <w:rPr>
          <w:rFonts w:cstheme="minorHAnsi"/>
          <w:sz w:val="24"/>
          <w:szCs w:val="24"/>
        </w:rPr>
      </w:pPr>
      <w:bookmarkStart w:id="85" w:name="f15"/>
      <w:r w:rsidRPr="00137823">
        <w:rPr>
          <w:rFonts w:cstheme="minorHAnsi"/>
          <w:sz w:val="24"/>
          <w:szCs w:val="24"/>
        </w:rPr>
        <w:t>15.</w:t>
      </w:r>
      <w:bookmarkEnd w:id="85"/>
      <w:r w:rsidRPr="001E3E9C">
        <w:rPr>
          <w:rFonts w:cstheme="minorHAnsi"/>
          <w:sz w:val="24"/>
          <w:szCs w:val="24"/>
        </w:rPr>
        <w:t xml:space="preserve"> For instance, Catholic organizations have a special status as “juridic persons” in canon law and they, therefore, benefit from a comparable legal structure in civil law. See </w:t>
      </w:r>
      <w:bookmarkStart w:id="86" w:name="b21-text"/>
      <w:r w:rsidRPr="00137823">
        <w:rPr>
          <w:rFonts w:cstheme="minorHAnsi"/>
          <w:sz w:val="24"/>
          <w:szCs w:val="24"/>
        </w:rPr>
        <w:t>Kennedy 2000</w:t>
      </w:r>
      <w:bookmarkEnd w:id="86"/>
      <w:r w:rsidRPr="001E3E9C">
        <w:rPr>
          <w:rFonts w:cstheme="minorHAnsi"/>
          <w:sz w:val="24"/>
          <w:szCs w:val="24"/>
        </w:rPr>
        <w:t>.</w:t>
      </w:r>
    </w:p>
    <w:p w14:paraId="32424AB1" w14:textId="77777777" w:rsidR="00B11DA6" w:rsidRPr="001E3E9C" w:rsidRDefault="00B11DA6" w:rsidP="001E3E9C">
      <w:pPr>
        <w:rPr>
          <w:rFonts w:cstheme="minorHAnsi"/>
          <w:sz w:val="24"/>
          <w:szCs w:val="24"/>
        </w:rPr>
      </w:pPr>
    </w:p>
    <w:p w14:paraId="78A6AEF1" w14:textId="77777777" w:rsidR="001E3E9C" w:rsidRPr="001E3E9C" w:rsidRDefault="001E3E9C" w:rsidP="00B11DA6">
      <w:pPr>
        <w:pStyle w:val="Heading1"/>
      </w:pPr>
      <w:r w:rsidRPr="001E3E9C">
        <w:t>Works Cited</w:t>
      </w:r>
    </w:p>
    <w:p w14:paraId="2D9239AE" w14:textId="77777777" w:rsidR="001E3E9C" w:rsidRPr="001E3E9C" w:rsidRDefault="001E3E9C" w:rsidP="00B11DA6">
      <w:pPr>
        <w:spacing w:after="0"/>
        <w:ind w:left="720" w:hanging="720"/>
        <w:rPr>
          <w:rFonts w:cstheme="minorHAnsi"/>
          <w:sz w:val="24"/>
          <w:szCs w:val="24"/>
        </w:rPr>
      </w:pPr>
      <w:r w:rsidRPr="001E3E9C">
        <w:rPr>
          <w:rFonts w:cstheme="minorHAnsi"/>
          <w:sz w:val="24"/>
          <w:szCs w:val="24"/>
        </w:rPr>
        <w:t xml:space="preserve">Audi, Robert, and Nicholas </w:t>
      </w:r>
      <w:proofErr w:type="spellStart"/>
      <w:r w:rsidRPr="001E3E9C">
        <w:rPr>
          <w:rFonts w:cstheme="minorHAnsi"/>
          <w:sz w:val="24"/>
          <w:szCs w:val="24"/>
        </w:rPr>
        <w:t>Wolterstorff</w:t>
      </w:r>
      <w:proofErr w:type="spellEnd"/>
      <w:r w:rsidRPr="001E3E9C">
        <w:rPr>
          <w:rFonts w:cstheme="minorHAnsi"/>
          <w:sz w:val="24"/>
          <w:szCs w:val="24"/>
        </w:rPr>
        <w:t xml:space="preserve">. 1997. </w:t>
      </w:r>
      <w:r w:rsidRPr="001E3E9C">
        <w:rPr>
          <w:rFonts w:cstheme="minorHAnsi"/>
          <w:i/>
          <w:iCs/>
          <w:sz w:val="24"/>
          <w:szCs w:val="24"/>
        </w:rPr>
        <w:t>Religion in the Public Square: The Place of Religious Convictions in Political Debate</w:t>
      </w:r>
      <w:r w:rsidRPr="001E3E9C">
        <w:rPr>
          <w:rFonts w:cstheme="minorHAnsi"/>
          <w:sz w:val="24"/>
          <w:szCs w:val="24"/>
        </w:rPr>
        <w:t>. Lanham, MD: Rowman and Littlefield.</w:t>
      </w:r>
    </w:p>
    <w:p w14:paraId="7FD7BA53" w14:textId="4236D340" w:rsidR="001E3E9C" w:rsidRPr="001E3E9C" w:rsidRDefault="001E3E9C" w:rsidP="00B11DA6">
      <w:pPr>
        <w:spacing w:after="0"/>
        <w:ind w:left="720" w:hanging="720"/>
        <w:rPr>
          <w:rFonts w:cstheme="minorHAnsi"/>
          <w:sz w:val="24"/>
          <w:szCs w:val="24"/>
        </w:rPr>
      </w:pPr>
      <w:r w:rsidRPr="001E3E9C">
        <w:rPr>
          <w:rFonts w:cstheme="minorHAnsi"/>
          <w:sz w:val="24"/>
          <w:szCs w:val="24"/>
        </w:rPr>
        <w:t xml:space="preserve">Bennet, James. 2012. “The New Price of American Politics.” </w:t>
      </w:r>
      <w:r w:rsidRPr="001E3E9C">
        <w:rPr>
          <w:rFonts w:cstheme="minorHAnsi"/>
          <w:i/>
          <w:iCs/>
          <w:sz w:val="24"/>
          <w:szCs w:val="24"/>
        </w:rPr>
        <w:t>The Atlantic</w:t>
      </w:r>
      <w:r w:rsidRPr="001E3E9C">
        <w:rPr>
          <w:rFonts w:cstheme="minorHAnsi"/>
          <w:sz w:val="24"/>
          <w:szCs w:val="24"/>
        </w:rPr>
        <w:t xml:space="preserve">. </w:t>
      </w:r>
      <w:r w:rsidRPr="00137823">
        <w:rPr>
          <w:rFonts w:cstheme="minorHAnsi"/>
          <w:sz w:val="24"/>
          <w:szCs w:val="24"/>
        </w:rPr>
        <w:t>http://www.theatlantic.com/magazine/archive/2012/10/the/309086/</w:t>
      </w:r>
      <w:r w:rsidRPr="001E3E9C">
        <w:rPr>
          <w:rFonts w:cstheme="minorHAnsi"/>
          <w:sz w:val="24"/>
          <w:szCs w:val="24"/>
        </w:rPr>
        <w:t>.</w:t>
      </w:r>
    </w:p>
    <w:p w14:paraId="121409B3" w14:textId="39AF689E" w:rsidR="001E3E9C" w:rsidRPr="001E3E9C" w:rsidRDefault="001E3E9C" w:rsidP="00B11DA6">
      <w:pPr>
        <w:spacing w:after="0"/>
        <w:ind w:left="720" w:hanging="720"/>
        <w:rPr>
          <w:rFonts w:cstheme="minorHAnsi"/>
          <w:sz w:val="24"/>
          <w:szCs w:val="24"/>
        </w:rPr>
      </w:pPr>
      <w:r w:rsidRPr="001E3E9C">
        <w:rPr>
          <w:rFonts w:cstheme="minorHAnsi"/>
          <w:sz w:val="24"/>
          <w:szCs w:val="24"/>
        </w:rPr>
        <w:t xml:space="preserve">Berman, Russell. 2015. “The Shutdown Fight Neither Party Wants.” </w:t>
      </w:r>
      <w:r w:rsidRPr="001E3E9C">
        <w:rPr>
          <w:rFonts w:cstheme="minorHAnsi"/>
          <w:i/>
          <w:iCs/>
          <w:sz w:val="24"/>
          <w:szCs w:val="24"/>
        </w:rPr>
        <w:t>The Atlantic</w:t>
      </w:r>
      <w:r w:rsidRPr="001E3E9C">
        <w:rPr>
          <w:rFonts w:cstheme="minorHAnsi"/>
          <w:sz w:val="24"/>
          <w:szCs w:val="24"/>
        </w:rPr>
        <w:t xml:space="preserve">. </w:t>
      </w:r>
      <w:r w:rsidRPr="00137823">
        <w:rPr>
          <w:rFonts w:cstheme="minorHAnsi"/>
          <w:sz w:val="24"/>
          <w:szCs w:val="24"/>
        </w:rPr>
        <w:t>http://www.theatlantic.com/politics/archive/2015/12/the-shutdown-fight-neither-party-wants/419556/?google_editors_picks=true</w:t>
      </w:r>
      <w:r w:rsidRPr="001E3E9C">
        <w:rPr>
          <w:rFonts w:cstheme="minorHAnsi"/>
          <w:sz w:val="24"/>
          <w:szCs w:val="24"/>
        </w:rPr>
        <w:t>. December 9.</w:t>
      </w:r>
    </w:p>
    <w:p w14:paraId="25C4E222" w14:textId="77777777" w:rsidR="001E3E9C" w:rsidRPr="001E3E9C" w:rsidRDefault="001E3E9C" w:rsidP="00B11DA6">
      <w:pPr>
        <w:spacing w:after="0"/>
        <w:ind w:left="720" w:hanging="720"/>
        <w:rPr>
          <w:rFonts w:cstheme="minorHAnsi"/>
          <w:sz w:val="24"/>
          <w:szCs w:val="24"/>
        </w:rPr>
      </w:pPr>
      <w:r w:rsidRPr="001E3E9C">
        <w:rPr>
          <w:rFonts w:cstheme="minorHAnsi"/>
          <w:sz w:val="24"/>
          <w:szCs w:val="24"/>
        </w:rPr>
        <w:t xml:space="preserve">Bruner, Christopher M. 2008. “The Enduring Ambivalence of Corporate Law.” </w:t>
      </w:r>
      <w:r w:rsidRPr="001E3E9C">
        <w:rPr>
          <w:rFonts w:cstheme="minorHAnsi"/>
          <w:i/>
          <w:iCs/>
          <w:sz w:val="24"/>
          <w:szCs w:val="24"/>
        </w:rPr>
        <w:t>Alabama Law Review</w:t>
      </w:r>
      <w:r w:rsidRPr="001E3E9C">
        <w:rPr>
          <w:rFonts w:cstheme="minorHAnsi"/>
          <w:sz w:val="24"/>
          <w:szCs w:val="24"/>
        </w:rPr>
        <w:t xml:space="preserve"> 59, no. 5:1385–1449.</w:t>
      </w:r>
    </w:p>
    <w:p w14:paraId="38E67D24" w14:textId="77777777" w:rsidR="001E3E9C" w:rsidRPr="001E3E9C" w:rsidRDefault="001E3E9C" w:rsidP="00B11DA6">
      <w:pPr>
        <w:spacing w:after="0"/>
        <w:ind w:left="720" w:hanging="720"/>
        <w:rPr>
          <w:rFonts w:cstheme="minorHAnsi"/>
          <w:sz w:val="24"/>
          <w:szCs w:val="24"/>
        </w:rPr>
      </w:pPr>
      <w:r w:rsidRPr="001E3E9C">
        <w:rPr>
          <w:rFonts w:cstheme="minorHAnsi"/>
          <w:i/>
          <w:iCs/>
          <w:sz w:val="24"/>
          <w:szCs w:val="24"/>
        </w:rPr>
        <w:t>Citizens United v. Federal Election Commission</w:t>
      </w:r>
      <w:r w:rsidRPr="001E3E9C">
        <w:rPr>
          <w:rFonts w:cstheme="minorHAnsi"/>
          <w:sz w:val="24"/>
          <w:szCs w:val="24"/>
        </w:rPr>
        <w:t>. 2010. 558 U.S. 310.</w:t>
      </w:r>
    </w:p>
    <w:p w14:paraId="3E3D6B74" w14:textId="77777777" w:rsidR="001E3E9C" w:rsidRPr="001E3E9C" w:rsidRDefault="001E3E9C" w:rsidP="00B11DA6">
      <w:pPr>
        <w:spacing w:after="0"/>
        <w:ind w:left="720" w:hanging="720"/>
        <w:rPr>
          <w:rFonts w:cstheme="minorHAnsi"/>
          <w:sz w:val="24"/>
          <w:szCs w:val="24"/>
        </w:rPr>
      </w:pPr>
      <w:proofErr w:type="spellStart"/>
      <w:r w:rsidRPr="001E3E9C">
        <w:rPr>
          <w:rFonts w:cstheme="minorHAnsi"/>
          <w:sz w:val="24"/>
          <w:szCs w:val="24"/>
        </w:rPr>
        <w:t>Confessore</w:t>
      </w:r>
      <w:proofErr w:type="spellEnd"/>
      <w:r w:rsidRPr="001E3E9C">
        <w:rPr>
          <w:rFonts w:cstheme="minorHAnsi"/>
          <w:sz w:val="24"/>
          <w:szCs w:val="24"/>
        </w:rPr>
        <w:t xml:space="preserve">, Nicholas, and Megan Thee-Brenan. 2015. “Poll Shows Americans Favor an Overhaul of Campaign Financing.” </w:t>
      </w:r>
      <w:r w:rsidRPr="001E3E9C">
        <w:rPr>
          <w:rFonts w:cstheme="minorHAnsi"/>
          <w:i/>
          <w:iCs/>
          <w:sz w:val="24"/>
          <w:szCs w:val="24"/>
        </w:rPr>
        <w:t>New York Times</w:t>
      </w:r>
      <w:r w:rsidRPr="001E3E9C">
        <w:rPr>
          <w:rFonts w:cstheme="minorHAnsi"/>
          <w:sz w:val="24"/>
          <w:szCs w:val="24"/>
        </w:rPr>
        <w:t>. June 3.</w:t>
      </w:r>
    </w:p>
    <w:p w14:paraId="79E6465B" w14:textId="77777777" w:rsidR="001E3E9C" w:rsidRPr="001E3E9C" w:rsidRDefault="001E3E9C" w:rsidP="00B11DA6">
      <w:pPr>
        <w:spacing w:after="0"/>
        <w:ind w:left="720" w:hanging="720"/>
        <w:rPr>
          <w:rFonts w:cstheme="minorHAnsi"/>
          <w:sz w:val="24"/>
          <w:szCs w:val="24"/>
        </w:rPr>
      </w:pPr>
      <w:r w:rsidRPr="001E3E9C">
        <w:rPr>
          <w:rFonts w:cstheme="minorHAnsi"/>
          <w:sz w:val="24"/>
          <w:szCs w:val="24"/>
        </w:rPr>
        <w:t xml:space="preserve">Dowling, Conor </w:t>
      </w:r>
      <w:proofErr w:type="gramStart"/>
      <w:r w:rsidRPr="001E3E9C">
        <w:rPr>
          <w:rFonts w:cstheme="minorHAnsi"/>
          <w:sz w:val="24"/>
          <w:szCs w:val="24"/>
        </w:rPr>
        <w:t>M.</w:t>
      </w:r>
      <w:proofErr w:type="gramEnd"/>
      <w:r w:rsidRPr="001E3E9C">
        <w:rPr>
          <w:rFonts w:cstheme="minorHAnsi"/>
          <w:sz w:val="24"/>
          <w:szCs w:val="24"/>
        </w:rPr>
        <w:t xml:space="preserve"> and Michael G. Miller. 2014. </w:t>
      </w:r>
      <w:r w:rsidRPr="001E3E9C">
        <w:rPr>
          <w:rFonts w:cstheme="minorHAnsi"/>
          <w:i/>
          <w:iCs/>
          <w:sz w:val="24"/>
          <w:szCs w:val="24"/>
        </w:rPr>
        <w:t>Super PAC! Money, Elections, and Voters after</w:t>
      </w:r>
      <w:r w:rsidRPr="001E3E9C">
        <w:rPr>
          <w:rFonts w:cstheme="minorHAnsi"/>
          <w:sz w:val="24"/>
          <w:szCs w:val="24"/>
        </w:rPr>
        <w:t xml:space="preserve"> Citizens United. New York: Routledge.</w:t>
      </w:r>
    </w:p>
    <w:p w14:paraId="5A3FFFC6" w14:textId="64A6DE70" w:rsidR="001E3E9C" w:rsidRPr="001E3E9C" w:rsidRDefault="001E3E9C" w:rsidP="00B11DA6">
      <w:pPr>
        <w:spacing w:after="0"/>
        <w:ind w:left="720" w:hanging="720"/>
        <w:rPr>
          <w:rFonts w:cstheme="minorHAnsi"/>
          <w:sz w:val="24"/>
          <w:szCs w:val="24"/>
        </w:rPr>
      </w:pPr>
      <w:r w:rsidRPr="001E3E9C">
        <w:rPr>
          <w:rFonts w:cstheme="minorHAnsi"/>
          <w:sz w:val="24"/>
          <w:szCs w:val="24"/>
        </w:rPr>
        <w:t xml:space="preserve">Edsall, Thomas B. 2014. “In Defense of Anonymous Giving.” </w:t>
      </w:r>
      <w:r w:rsidRPr="001E3E9C">
        <w:rPr>
          <w:rFonts w:cstheme="minorHAnsi"/>
          <w:i/>
          <w:iCs/>
          <w:sz w:val="24"/>
          <w:szCs w:val="24"/>
        </w:rPr>
        <w:t>New York Times</w:t>
      </w:r>
      <w:r w:rsidRPr="001E3E9C">
        <w:rPr>
          <w:rFonts w:cstheme="minorHAnsi"/>
          <w:sz w:val="24"/>
          <w:szCs w:val="24"/>
        </w:rPr>
        <w:t xml:space="preserve">. </w:t>
      </w:r>
      <w:r w:rsidRPr="00137823">
        <w:rPr>
          <w:rFonts w:cstheme="minorHAnsi"/>
          <w:sz w:val="24"/>
          <w:szCs w:val="24"/>
        </w:rPr>
        <w:t>http://www.nytimes.com/2014/03/19/opinion/edsall-in-defense-of-anonymous-political-giving.html?_r=1</w:t>
      </w:r>
      <w:r w:rsidRPr="001E3E9C">
        <w:rPr>
          <w:rFonts w:cstheme="minorHAnsi"/>
          <w:sz w:val="24"/>
          <w:szCs w:val="24"/>
        </w:rPr>
        <w:t>. March 18.</w:t>
      </w:r>
      <w:r w:rsidRPr="001E3E9C">
        <w:rPr>
          <w:rFonts w:cstheme="minorHAnsi"/>
          <w:b/>
          <w:bCs/>
          <w:sz w:val="24"/>
          <w:szCs w:val="24"/>
        </w:rPr>
        <w:t xml:space="preserve"> </w:t>
      </w:r>
    </w:p>
    <w:p w14:paraId="6444397A" w14:textId="77777777" w:rsidR="001E3E9C" w:rsidRPr="001E3E9C" w:rsidRDefault="001E3E9C" w:rsidP="00B11DA6">
      <w:pPr>
        <w:spacing w:after="0"/>
        <w:ind w:left="720" w:hanging="720"/>
        <w:rPr>
          <w:rFonts w:cstheme="minorHAnsi"/>
          <w:sz w:val="24"/>
          <w:szCs w:val="24"/>
        </w:rPr>
      </w:pPr>
      <w:r w:rsidRPr="001E3E9C">
        <w:rPr>
          <w:rFonts w:cstheme="minorHAnsi"/>
          <w:sz w:val="24"/>
          <w:szCs w:val="24"/>
        </w:rPr>
        <w:t xml:space="preserve">Ellis, </w:t>
      </w:r>
      <w:proofErr w:type="spellStart"/>
      <w:r w:rsidRPr="001E3E9C">
        <w:rPr>
          <w:rFonts w:cstheme="minorHAnsi"/>
          <w:sz w:val="24"/>
          <w:szCs w:val="24"/>
        </w:rPr>
        <w:t>Atiba</w:t>
      </w:r>
      <w:proofErr w:type="spellEnd"/>
      <w:r w:rsidRPr="001E3E9C">
        <w:rPr>
          <w:rFonts w:cstheme="minorHAnsi"/>
          <w:sz w:val="24"/>
          <w:szCs w:val="24"/>
        </w:rPr>
        <w:t xml:space="preserve"> R. 2011. “Citizens United and Tiered Personhood.” </w:t>
      </w:r>
      <w:r w:rsidRPr="001E3E9C">
        <w:rPr>
          <w:rFonts w:cstheme="minorHAnsi"/>
          <w:i/>
          <w:iCs/>
          <w:sz w:val="24"/>
          <w:szCs w:val="24"/>
        </w:rPr>
        <w:t>John Marshall Law Review</w:t>
      </w:r>
      <w:r w:rsidRPr="001E3E9C">
        <w:rPr>
          <w:rFonts w:cstheme="minorHAnsi"/>
          <w:sz w:val="24"/>
          <w:szCs w:val="24"/>
        </w:rPr>
        <w:t xml:space="preserve"> 44, no. 3 (Spring): 717–50.</w:t>
      </w:r>
    </w:p>
    <w:p w14:paraId="34C33E2B" w14:textId="77777777" w:rsidR="001E3E9C" w:rsidRPr="001E3E9C" w:rsidRDefault="001E3E9C" w:rsidP="00B11DA6">
      <w:pPr>
        <w:spacing w:after="0"/>
        <w:ind w:left="720" w:hanging="720"/>
        <w:rPr>
          <w:rFonts w:cstheme="minorHAnsi"/>
          <w:sz w:val="24"/>
          <w:szCs w:val="24"/>
        </w:rPr>
      </w:pPr>
      <w:r w:rsidRPr="001E3E9C">
        <w:rPr>
          <w:rFonts w:cstheme="minorHAnsi"/>
          <w:sz w:val="24"/>
          <w:szCs w:val="24"/>
        </w:rPr>
        <w:t xml:space="preserve">Freeman, R. Edward. 2009. “Managing for Stakeholders.” In </w:t>
      </w:r>
      <w:r w:rsidRPr="001E3E9C">
        <w:rPr>
          <w:rFonts w:cstheme="minorHAnsi"/>
          <w:i/>
          <w:iCs/>
          <w:sz w:val="24"/>
          <w:szCs w:val="24"/>
        </w:rPr>
        <w:t>Ethical Theory and Business</w:t>
      </w:r>
      <w:r w:rsidRPr="001E3E9C">
        <w:rPr>
          <w:rFonts w:cstheme="minorHAnsi"/>
          <w:sz w:val="24"/>
          <w:szCs w:val="24"/>
        </w:rPr>
        <w:t>, 8th ed., edited by Tom L. Beauchamp, Norman E. Bowie, Denis G. Arnold, 56–68. Upper Saddle River, NJ: Prentice Hall.</w:t>
      </w:r>
    </w:p>
    <w:p w14:paraId="219C75D1" w14:textId="77777777" w:rsidR="001E3E9C" w:rsidRPr="001E3E9C" w:rsidRDefault="001E3E9C" w:rsidP="00B11DA6">
      <w:pPr>
        <w:spacing w:after="0"/>
        <w:ind w:left="720" w:hanging="720"/>
        <w:rPr>
          <w:rFonts w:cstheme="minorHAnsi"/>
          <w:sz w:val="24"/>
          <w:szCs w:val="24"/>
        </w:rPr>
      </w:pPr>
      <w:r w:rsidRPr="001E3E9C">
        <w:rPr>
          <w:rFonts w:cstheme="minorHAnsi"/>
          <w:sz w:val="24"/>
          <w:szCs w:val="24"/>
        </w:rPr>
        <w:t xml:space="preserve">Freeman, R. Edward, Jeffrey S. Harrison, and Andrew C. Wicks. 2007. </w:t>
      </w:r>
      <w:r w:rsidRPr="001E3E9C">
        <w:rPr>
          <w:rFonts w:cstheme="minorHAnsi"/>
          <w:i/>
          <w:iCs/>
          <w:sz w:val="24"/>
          <w:szCs w:val="24"/>
        </w:rPr>
        <w:t xml:space="preserve">Managing </w:t>
      </w:r>
      <w:proofErr w:type="gramStart"/>
      <w:r w:rsidRPr="001E3E9C">
        <w:rPr>
          <w:rFonts w:cstheme="minorHAnsi"/>
          <w:i/>
          <w:iCs/>
          <w:sz w:val="24"/>
          <w:szCs w:val="24"/>
        </w:rPr>
        <w:t>For</w:t>
      </w:r>
      <w:proofErr w:type="gramEnd"/>
      <w:r w:rsidRPr="001E3E9C">
        <w:rPr>
          <w:rFonts w:cstheme="minorHAnsi"/>
          <w:i/>
          <w:iCs/>
          <w:sz w:val="24"/>
          <w:szCs w:val="24"/>
        </w:rPr>
        <w:t xml:space="preserve"> Stakeholders: Survival, Reputation, and Success</w:t>
      </w:r>
      <w:r w:rsidRPr="001E3E9C">
        <w:rPr>
          <w:rFonts w:cstheme="minorHAnsi"/>
          <w:sz w:val="24"/>
          <w:szCs w:val="24"/>
        </w:rPr>
        <w:t>. New Haven: Yale University Press.</w:t>
      </w:r>
    </w:p>
    <w:p w14:paraId="390775EE" w14:textId="77777777" w:rsidR="001E3E9C" w:rsidRPr="001E3E9C" w:rsidRDefault="001E3E9C" w:rsidP="00B11DA6">
      <w:pPr>
        <w:spacing w:after="0"/>
        <w:ind w:left="720" w:hanging="720"/>
        <w:rPr>
          <w:rFonts w:cstheme="minorHAnsi"/>
          <w:sz w:val="24"/>
          <w:szCs w:val="24"/>
        </w:rPr>
      </w:pPr>
      <w:r w:rsidRPr="001E3E9C">
        <w:rPr>
          <w:rFonts w:cstheme="minorHAnsi"/>
          <w:sz w:val="24"/>
          <w:szCs w:val="24"/>
        </w:rPr>
        <w:t xml:space="preserve">Friedman, Milton. 2009. “The Social Responsibility of Business Is to Increase Its Profits.” In </w:t>
      </w:r>
      <w:r w:rsidRPr="001E3E9C">
        <w:rPr>
          <w:rFonts w:cstheme="minorHAnsi"/>
          <w:i/>
          <w:iCs/>
          <w:sz w:val="24"/>
          <w:szCs w:val="24"/>
        </w:rPr>
        <w:t>Ethical Theory and Business</w:t>
      </w:r>
      <w:r w:rsidRPr="001E3E9C">
        <w:rPr>
          <w:rFonts w:cstheme="minorHAnsi"/>
          <w:sz w:val="24"/>
          <w:szCs w:val="24"/>
        </w:rPr>
        <w:t>, 8th ed., edited by Tom L. Beauchamp, Norman E. Bowie, Denis G. Arnold, 51–55. Upper Saddle River, NJ: Prentice Hall.</w:t>
      </w:r>
    </w:p>
    <w:p w14:paraId="3FB7CD3C" w14:textId="77777777" w:rsidR="001E3E9C" w:rsidRPr="001E3E9C" w:rsidRDefault="001E3E9C" w:rsidP="00B11DA6">
      <w:pPr>
        <w:spacing w:after="0"/>
        <w:ind w:left="720" w:hanging="720"/>
        <w:rPr>
          <w:rFonts w:cstheme="minorHAnsi"/>
          <w:sz w:val="24"/>
          <w:szCs w:val="24"/>
        </w:rPr>
      </w:pPr>
      <w:proofErr w:type="spellStart"/>
      <w:r w:rsidRPr="001E3E9C">
        <w:rPr>
          <w:rFonts w:cstheme="minorHAnsi"/>
          <w:sz w:val="24"/>
          <w:szCs w:val="24"/>
        </w:rPr>
        <w:t>Gerken</w:t>
      </w:r>
      <w:proofErr w:type="spellEnd"/>
      <w:r w:rsidRPr="001E3E9C">
        <w:rPr>
          <w:rFonts w:cstheme="minorHAnsi"/>
          <w:sz w:val="24"/>
          <w:szCs w:val="24"/>
        </w:rPr>
        <w:t xml:space="preserve">, Heather K. 2014. “The Real Problem with </w:t>
      </w:r>
      <w:r w:rsidRPr="001E3E9C">
        <w:rPr>
          <w:rFonts w:cstheme="minorHAnsi"/>
          <w:i/>
          <w:iCs/>
          <w:sz w:val="24"/>
          <w:szCs w:val="24"/>
        </w:rPr>
        <w:t>Citizens United</w:t>
      </w:r>
      <w:r w:rsidRPr="001E3E9C">
        <w:rPr>
          <w:rFonts w:cstheme="minorHAnsi"/>
          <w:sz w:val="24"/>
          <w:szCs w:val="24"/>
        </w:rPr>
        <w:t xml:space="preserve">: Campaign Finance, Dark Money, and Shadow Parties.” </w:t>
      </w:r>
      <w:r w:rsidRPr="001E3E9C">
        <w:rPr>
          <w:rFonts w:cstheme="minorHAnsi"/>
          <w:i/>
          <w:iCs/>
          <w:sz w:val="24"/>
          <w:szCs w:val="24"/>
        </w:rPr>
        <w:t>Marquette Law Review</w:t>
      </w:r>
      <w:r w:rsidRPr="001E3E9C">
        <w:rPr>
          <w:rFonts w:cstheme="minorHAnsi"/>
          <w:sz w:val="24"/>
          <w:szCs w:val="24"/>
        </w:rPr>
        <w:t xml:space="preserve"> 97, no. 4:903–23.</w:t>
      </w:r>
    </w:p>
    <w:p w14:paraId="5D034ABF" w14:textId="77777777" w:rsidR="001E3E9C" w:rsidRPr="001E3E9C" w:rsidRDefault="001E3E9C" w:rsidP="00B11DA6">
      <w:pPr>
        <w:spacing w:after="0"/>
        <w:ind w:left="720" w:hanging="720"/>
        <w:rPr>
          <w:rFonts w:cstheme="minorHAnsi"/>
          <w:sz w:val="24"/>
          <w:szCs w:val="24"/>
        </w:rPr>
      </w:pPr>
      <w:r w:rsidRPr="001E3E9C">
        <w:rPr>
          <w:rFonts w:cstheme="minorHAnsi"/>
          <w:sz w:val="24"/>
          <w:szCs w:val="24"/>
        </w:rPr>
        <w:lastRenderedPageBreak/>
        <w:t xml:space="preserve">Hansen, Wendy L., Michael S. Rocca, and Brittany Leigh Ortiz. 2015. “The Effects of </w:t>
      </w:r>
      <w:r w:rsidRPr="001E3E9C">
        <w:rPr>
          <w:rFonts w:cstheme="minorHAnsi"/>
          <w:i/>
          <w:iCs/>
          <w:sz w:val="24"/>
          <w:szCs w:val="24"/>
        </w:rPr>
        <w:t>Citizens United</w:t>
      </w:r>
      <w:r w:rsidRPr="001E3E9C">
        <w:rPr>
          <w:rFonts w:cstheme="minorHAnsi"/>
          <w:sz w:val="24"/>
          <w:szCs w:val="24"/>
        </w:rPr>
        <w:t xml:space="preserve"> on Corporate Spending in the 2012 Presidential Election.” </w:t>
      </w:r>
      <w:r w:rsidRPr="001E3E9C">
        <w:rPr>
          <w:rFonts w:cstheme="minorHAnsi"/>
          <w:i/>
          <w:iCs/>
          <w:sz w:val="24"/>
          <w:szCs w:val="24"/>
        </w:rPr>
        <w:t>Journal of Politics</w:t>
      </w:r>
      <w:r w:rsidRPr="001E3E9C">
        <w:rPr>
          <w:rFonts w:cstheme="minorHAnsi"/>
          <w:sz w:val="24"/>
          <w:szCs w:val="24"/>
        </w:rPr>
        <w:t xml:space="preserve"> 77, no. 2:535–45.</w:t>
      </w:r>
    </w:p>
    <w:p w14:paraId="4F7E2D46" w14:textId="77777777" w:rsidR="001E3E9C" w:rsidRPr="001E3E9C" w:rsidRDefault="001E3E9C" w:rsidP="00B11DA6">
      <w:pPr>
        <w:spacing w:after="0"/>
        <w:ind w:left="720" w:hanging="720"/>
        <w:rPr>
          <w:rFonts w:cstheme="minorHAnsi"/>
          <w:sz w:val="24"/>
          <w:szCs w:val="24"/>
        </w:rPr>
      </w:pPr>
      <w:proofErr w:type="spellStart"/>
      <w:r w:rsidRPr="001E3E9C">
        <w:rPr>
          <w:rFonts w:cstheme="minorHAnsi"/>
          <w:sz w:val="24"/>
          <w:szCs w:val="24"/>
        </w:rPr>
        <w:t>Hasen</w:t>
      </w:r>
      <w:proofErr w:type="spellEnd"/>
      <w:r w:rsidRPr="001E3E9C">
        <w:rPr>
          <w:rFonts w:cstheme="minorHAnsi"/>
          <w:sz w:val="24"/>
          <w:szCs w:val="24"/>
        </w:rPr>
        <w:t>, Richard L. 2011. “</w:t>
      </w:r>
      <w:r w:rsidRPr="001E3E9C">
        <w:rPr>
          <w:rFonts w:cstheme="minorHAnsi"/>
          <w:i/>
          <w:iCs/>
          <w:sz w:val="24"/>
          <w:szCs w:val="24"/>
        </w:rPr>
        <w:t>Citizens United</w:t>
      </w:r>
      <w:r w:rsidRPr="001E3E9C">
        <w:rPr>
          <w:rFonts w:cstheme="minorHAnsi"/>
          <w:sz w:val="24"/>
          <w:szCs w:val="24"/>
        </w:rPr>
        <w:t xml:space="preserve"> and the Illusion of Coherence.” </w:t>
      </w:r>
      <w:r w:rsidRPr="001E3E9C">
        <w:rPr>
          <w:rFonts w:cstheme="minorHAnsi"/>
          <w:i/>
          <w:iCs/>
          <w:sz w:val="24"/>
          <w:szCs w:val="24"/>
        </w:rPr>
        <w:t>Michigan Law Review</w:t>
      </w:r>
      <w:r w:rsidRPr="001E3E9C">
        <w:rPr>
          <w:rFonts w:cstheme="minorHAnsi"/>
          <w:sz w:val="24"/>
          <w:szCs w:val="24"/>
        </w:rPr>
        <w:t xml:space="preserve"> 109, no. 4:581–624.</w:t>
      </w:r>
    </w:p>
    <w:p w14:paraId="0C05ACEB" w14:textId="77777777" w:rsidR="001E3E9C" w:rsidRPr="001E3E9C" w:rsidRDefault="001E3E9C" w:rsidP="00B11DA6">
      <w:pPr>
        <w:spacing w:after="0"/>
        <w:ind w:left="720" w:hanging="720"/>
        <w:rPr>
          <w:rFonts w:cstheme="minorHAnsi"/>
          <w:sz w:val="24"/>
          <w:szCs w:val="24"/>
        </w:rPr>
      </w:pPr>
      <w:r w:rsidRPr="001E3E9C">
        <w:rPr>
          <w:rFonts w:cstheme="minorHAnsi"/>
          <w:sz w:val="24"/>
          <w:szCs w:val="24"/>
        </w:rPr>
        <w:t>Hinze, Christine Firer. 2009. “The Drama of Social Sin and the (</w:t>
      </w:r>
      <w:proofErr w:type="spellStart"/>
      <w:r w:rsidRPr="001E3E9C">
        <w:rPr>
          <w:rFonts w:cstheme="minorHAnsi"/>
          <w:sz w:val="24"/>
          <w:szCs w:val="24"/>
        </w:rPr>
        <w:t>Im</w:t>
      </w:r>
      <w:proofErr w:type="spellEnd"/>
      <w:r w:rsidRPr="001E3E9C">
        <w:rPr>
          <w:rFonts w:cstheme="minorHAnsi"/>
          <w:sz w:val="24"/>
          <w:szCs w:val="24"/>
        </w:rPr>
        <w:t xml:space="preserve">)possibility of Solidarity: Reinhold Niebuhr and Modern Catholic Social Teaching.” </w:t>
      </w:r>
      <w:r w:rsidRPr="001E3E9C">
        <w:rPr>
          <w:rFonts w:cstheme="minorHAnsi"/>
          <w:i/>
          <w:iCs/>
          <w:sz w:val="24"/>
          <w:szCs w:val="24"/>
        </w:rPr>
        <w:t>Studies in Christian Ethics</w:t>
      </w:r>
      <w:r w:rsidRPr="001E3E9C">
        <w:rPr>
          <w:rFonts w:cstheme="minorHAnsi"/>
          <w:sz w:val="24"/>
          <w:szCs w:val="24"/>
        </w:rPr>
        <w:t xml:space="preserve"> 22, no. 4:442–60.</w:t>
      </w:r>
    </w:p>
    <w:p w14:paraId="0B4BB552" w14:textId="5E1B6225" w:rsidR="001E3E9C" w:rsidRPr="001E3E9C" w:rsidRDefault="001E3E9C" w:rsidP="00B11DA6">
      <w:pPr>
        <w:spacing w:after="0"/>
        <w:ind w:left="720" w:hanging="720"/>
        <w:rPr>
          <w:rFonts w:cstheme="minorHAnsi"/>
          <w:sz w:val="24"/>
          <w:szCs w:val="24"/>
        </w:rPr>
      </w:pPr>
      <w:r w:rsidRPr="001E3E9C">
        <w:rPr>
          <w:rFonts w:cstheme="minorHAnsi"/>
          <w:sz w:val="24"/>
          <w:szCs w:val="24"/>
        </w:rPr>
        <w:t xml:space="preserve">IRS (Internal Revenue Service). 2014. “Social Welfare Organizations.” </w:t>
      </w:r>
      <w:r w:rsidRPr="00137823">
        <w:rPr>
          <w:rFonts w:cstheme="minorHAnsi"/>
          <w:sz w:val="24"/>
          <w:szCs w:val="24"/>
        </w:rPr>
        <w:t>http://www.irs.gov/Charities-&amp;-Non-Profits/Other-Non-Profits/Social-Welfare-Organizations</w:t>
      </w:r>
      <w:r w:rsidRPr="001E3E9C">
        <w:rPr>
          <w:rFonts w:cstheme="minorHAnsi"/>
          <w:sz w:val="24"/>
          <w:szCs w:val="24"/>
        </w:rPr>
        <w:t>.</w:t>
      </w:r>
    </w:p>
    <w:p w14:paraId="7277BC77" w14:textId="6C5FC7A7" w:rsidR="001E3E9C" w:rsidRPr="001E3E9C" w:rsidRDefault="001E3E9C" w:rsidP="00B11DA6">
      <w:pPr>
        <w:spacing w:after="0"/>
        <w:ind w:left="720" w:hanging="720"/>
        <w:rPr>
          <w:rFonts w:cstheme="minorHAnsi"/>
          <w:sz w:val="24"/>
          <w:szCs w:val="24"/>
        </w:rPr>
      </w:pPr>
      <w:proofErr w:type="spellStart"/>
      <w:r w:rsidRPr="001E3E9C">
        <w:rPr>
          <w:rFonts w:cstheme="minorHAnsi"/>
          <w:sz w:val="24"/>
          <w:szCs w:val="24"/>
        </w:rPr>
        <w:t>Kairys</w:t>
      </w:r>
      <w:proofErr w:type="spellEnd"/>
      <w:r w:rsidRPr="001E3E9C">
        <w:rPr>
          <w:rFonts w:cstheme="minorHAnsi"/>
          <w:sz w:val="24"/>
          <w:szCs w:val="24"/>
        </w:rPr>
        <w:t xml:space="preserve">, David. 2010. “Money Isn’t Speech and Corporations Aren’t People.” </w:t>
      </w:r>
      <w:r w:rsidRPr="001E3E9C">
        <w:rPr>
          <w:rFonts w:cstheme="minorHAnsi"/>
          <w:i/>
          <w:iCs/>
          <w:sz w:val="24"/>
          <w:szCs w:val="24"/>
        </w:rPr>
        <w:t>Slate</w:t>
      </w:r>
      <w:r w:rsidRPr="001E3E9C">
        <w:rPr>
          <w:rFonts w:cstheme="minorHAnsi"/>
          <w:sz w:val="24"/>
          <w:szCs w:val="24"/>
        </w:rPr>
        <w:t xml:space="preserve">. </w:t>
      </w:r>
      <w:r w:rsidRPr="00137823">
        <w:rPr>
          <w:rFonts w:cstheme="minorHAnsi"/>
          <w:sz w:val="24"/>
          <w:szCs w:val="24"/>
        </w:rPr>
        <w:t>http://www.slate.com/articles/news_and_politics/jurisprudence/2010/01/money_isnt_speech_and_corporations_arent_people.html</w:t>
      </w:r>
      <w:r w:rsidRPr="001E3E9C">
        <w:rPr>
          <w:rFonts w:cstheme="minorHAnsi"/>
          <w:sz w:val="24"/>
          <w:szCs w:val="24"/>
        </w:rPr>
        <w:t>. January 22.</w:t>
      </w:r>
    </w:p>
    <w:p w14:paraId="76860B7A" w14:textId="77777777" w:rsidR="001E3E9C" w:rsidRPr="001E3E9C" w:rsidRDefault="001E3E9C" w:rsidP="00B11DA6">
      <w:pPr>
        <w:spacing w:after="0"/>
        <w:ind w:left="720" w:hanging="720"/>
        <w:rPr>
          <w:rFonts w:cstheme="minorHAnsi"/>
          <w:sz w:val="24"/>
          <w:szCs w:val="24"/>
        </w:rPr>
      </w:pPr>
      <w:r w:rsidRPr="001E3E9C">
        <w:rPr>
          <w:rFonts w:cstheme="minorHAnsi"/>
          <w:sz w:val="24"/>
          <w:szCs w:val="24"/>
        </w:rPr>
        <w:t xml:space="preserve">Kang, Michael S. 2010. “After </w:t>
      </w:r>
      <w:r w:rsidRPr="001E3E9C">
        <w:rPr>
          <w:rFonts w:cstheme="minorHAnsi"/>
          <w:i/>
          <w:iCs/>
          <w:sz w:val="24"/>
          <w:szCs w:val="24"/>
        </w:rPr>
        <w:t>Citizens United</w:t>
      </w:r>
      <w:r w:rsidRPr="001E3E9C">
        <w:rPr>
          <w:rFonts w:cstheme="minorHAnsi"/>
          <w:sz w:val="24"/>
          <w:szCs w:val="24"/>
        </w:rPr>
        <w:t xml:space="preserve">.” </w:t>
      </w:r>
      <w:r w:rsidRPr="001E3E9C">
        <w:rPr>
          <w:rFonts w:cstheme="minorHAnsi"/>
          <w:i/>
          <w:iCs/>
          <w:sz w:val="24"/>
          <w:szCs w:val="24"/>
        </w:rPr>
        <w:t>Indiana Law Review</w:t>
      </w:r>
      <w:r w:rsidRPr="001E3E9C">
        <w:rPr>
          <w:rFonts w:cstheme="minorHAnsi"/>
          <w:sz w:val="24"/>
          <w:szCs w:val="24"/>
        </w:rPr>
        <w:t xml:space="preserve"> 44, no. 1:243–54.</w:t>
      </w:r>
    </w:p>
    <w:p w14:paraId="52134DE1" w14:textId="77777777" w:rsidR="001E3E9C" w:rsidRPr="001E3E9C" w:rsidRDefault="001E3E9C" w:rsidP="00B11DA6">
      <w:pPr>
        <w:spacing w:after="0"/>
        <w:ind w:left="720" w:hanging="720"/>
        <w:rPr>
          <w:rFonts w:cstheme="minorHAnsi"/>
          <w:sz w:val="24"/>
          <w:szCs w:val="24"/>
        </w:rPr>
      </w:pPr>
      <w:r w:rsidRPr="001E3E9C">
        <w:rPr>
          <w:rFonts w:cstheme="minorHAnsi"/>
          <w:sz w:val="24"/>
          <w:szCs w:val="24"/>
        </w:rPr>
        <w:t>Kellogg, Sarah. 2012. “Campaign Finance Frenzy Post-</w:t>
      </w:r>
      <w:r w:rsidRPr="001E3E9C">
        <w:rPr>
          <w:rFonts w:cstheme="minorHAnsi"/>
          <w:i/>
          <w:iCs/>
          <w:sz w:val="24"/>
          <w:szCs w:val="24"/>
        </w:rPr>
        <w:t>Citizens United</w:t>
      </w:r>
      <w:r w:rsidRPr="001E3E9C">
        <w:rPr>
          <w:rFonts w:cstheme="minorHAnsi"/>
          <w:sz w:val="24"/>
          <w:szCs w:val="24"/>
        </w:rPr>
        <w:t xml:space="preserve">.” </w:t>
      </w:r>
      <w:r w:rsidRPr="001E3E9C">
        <w:rPr>
          <w:rFonts w:cstheme="minorHAnsi"/>
          <w:i/>
          <w:iCs/>
          <w:sz w:val="24"/>
          <w:szCs w:val="24"/>
        </w:rPr>
        <w:t>Washington Lawyer</w:t>
      </w:r>
      <w:r w:rsidRPr="001E3E9C">
        <w:rPr>
          <w:rFonts w:cstheme="minorHAnsi"/>
          <w:sz w:val="24"/>
          <w:szCs w:val="24"/>
        </w:rPr>
        <w:t xml:space="preserve"> 27, no. 2 (October): 23–29.</w:t>
      </w:r>
    </w:p>
    <w:p w14:paraId="0771CE81" w14:textId="77777777" w:rsidR="001E3E9C" w:rsidRPr="001E3E9C" w:rsidRDefault="001E3E9C" w:rsidP="00B11DA6">
      <w:pPr>
        <w:spacing w:after="0"/>
        <w:ind w:left="720" w:hanging="720"/>
        <w:rPr>
          <w:rFonts w:cstheme="minorHAnsi"/>
          <w:sz w:val="24"/>
          <w:szCs w:val="24"/>
        </w:rPr>
      </w:pPr>
      <w:r w:rsidRPr="001E3E9C">
        <w:rPr>
          <w:rFonts w:cstheme="minorHAnsi"/>
          <w:sz w:val="24"/>
          <w:szCs w:val="24"/>
        </w:rPr>
        <w:t xml:space="preserve">Kennedy, Robert T. 2000. “Juridic Persons.” In </w:t>
      </w:r>
      <w:r w:rsidRPr="001E3E9C">
        <w:rPr>
          <w:rFonts w:cstheme="minorHAnsi"/>
          <w:i/>
          <w:iCs/>
          <w:sz w:val="24"/>
          <w:szCs w:val="24"/>
        </w:rPr>
        <w:t>New Commentary on the Code of Canon Law</w:t>
      </w:r>
      <w:r w:rsidRPr="001E3E9C">
        <w:rPr>
          <w:rFonts w:cstheme="minorHAnsi"/>
          <w:sz w:val="24"/>
          <w:szCs w:val="24"/>
        </w:rPr>
        <w:t xml:space="preserve">, edited by John P. Beal, James A. </w:t>
      </w:r>
      <w:proofErr w:type="spellStart"/>
      <w:r w:rsidRPr="001E3E9C">
        <w:rPr>
          <w:rFonts w:cstheme="minorHAnsi"/>
          <w:sz w:val="24"/>
          <w:szCs w:val="24"/>
        </w:rPr>
        <w:t>Coriden</w:t>
      </w:r>
      <w:proofErr w:type="spellEnd"/>
      <w:r w:rsidRPr="001E3E9C">
        <w:rPr>
          <w:rFonts w:cstheme="minorHAnsi"/>
          <w:sz w:val="24"/>
          <w:szCs w:val="24"/>
        </w:rPr>
        <w:t>, and Thomas J. Green, 172–76. Mahwah, NJ: Paulist Press.</w:t>
      </w:r>
    </w:p>
    <w:p w14:paraId="456EEC03" w14:textId="77777777" w:rsidR="001E3E9C" w:rsidRPr="001E3E9C" w:rsidRDefault="001E3E9C" w:rsidP="00B11DA6">
      <w:pPr>
        <w:spacing w:after="0"/>
        <w:ind w:left="720" w:hanging="720"/>
        <w:rPr>
          <w:rFonts w:cstheme="minorHAnsi"/>
          <w:sz w:val="24"/>
          <w:szCs w:val="24"/>
        </w:rPr>
      </w:pPr>
      <w:proofErr w:type="spellStart"/>
      <w:r w:rsidRPr="001E3E9C">
        <w:rPr>
          <w:rFonts w:cstheme="minorHAnsi"/>
          <w:sz w:val="24"/>
          <w:szCs w:val="24"/>
        </w:rPr>
        <w:t>Krumholz</w:t>
      </w:r>
      <w:proofErr w:type="spellEnd"/>
      <w:r w:rsidRPr="001E3E9C">
        <w:rPr>
          <w:rFonts w:cstheme="minorHAnsi"/>
          <w:sz w:val="24"/>
          <w:szCs w:val="24"/>
        </w:rPr>
        <w:t>, Sheila. 2013. “Campaign Cash and Corruption: Money in Politics, Post-</w:t>
      </w:r>
      <w:r w:rsidRPr="001E3E9C">
        <w:rPr>
          <w:rFonts w:cstheme="minorHAnsi"/>
          <w:i/>
          <w:iCs/>
          <w:sz w:val="24"/>
          <w:szCs w:val="24"/>
        </w:rPr>
        <w:t>Citizens United</w:t>
      </w:r>
      <w:r w:rsidRPr="001E3E9C">
        <w:rPr>
          <w:rFonts w:cstheme="minorHAnsi"/>
          <w:sz w:val="24"/>
          <w:szCs w:val="24"/>
        </w:rPr>
        <w:t xml:space="preserve">.” </w:t>
      </w:r>
      <w:r w:rsidRPr="001E3E9C">
        <w:rPr>
          <w:rFonts w:cstheme="minorHAnsi"/>
          <w:i/>
          <w:iCs/>
          <w:sz w:val="24"/>
          <w:szCs w:val="24"/>
        </w:rPr>
        <w:t>Social Research: An International Quarterly</w:t>
      </w:r>
      <w:r w:rsidRPr="001E3E9C">
        <w:rPr>
          <w:rFonts w:cstheme="minorHAnsi"/>
          <w:sz w:val="24"/>
          <w:szCs w:val="24"/>
        </w:rPr>
        <w:t xml:space="preserve"> 80, no. 4:1119–34.</w:t>
      </w:r>
    </w:p>
    <w:p w14:paraId="64138A78" w14:textId="2D08E1C0" w:rsidR="001E3E9C" w:rsidRPr="001E3E9C" w:rsidRDefault="001E3E9C" w:rsidP="00B11DA6">
      <w:pPr>
        <w:spacing w:after="0"/>
        <w:ind w:left="720" w:hanging="720"/>
        <w:rPr>
          <w:rFonts w:cstheme="minorHAnsi"/>
          <w:sz w:val="24"/>
          <w:szCs w:val="24"/>
        </w:rPr>
      </w:pPr>
      <w:r w:rsidRPr="001E3E9C">
        <w:rPr>
          <w:rFonts w:cstheme="minorHAnsi"/>
          <w:sz w:val="24"/>
          <w:szCs w:val="24"/>
        </w:rPr>
        <w:t xml:space="preserve">Lessig, Lawrence. 2010. “Democracy after Citizens United: Opening the Debate.” </w:t>
      </w:r>
      <w:r w:rsidRPr="001E3E9C">
        <w:rPr>
          <w:rFonts w:cstheme="minorHAnsi"/>
          <w:i/>
          <w:iCs/>
          <w:sz w:val="24"/>
          <w:szCs w:val="24"/>
        </w:rPr>
        <w:t>Boston Review</w:t>
      </w:r>
      <w:r w:rsidRPr="001E3E9C">
        <w:rPr>
          <w:rFonts w:cstheme="minorHAnsi"/>
          <w:sz w:val="24"/>
          <w:szCs w:val="24"/>
        </w:rPr>
        <w:t xml:space="preserve">. </w:t>
      </w:r>
      <w:r w:rsidRPr="00137823">
        <w:rPr>
          <w:rFonts w:cstheme="minorHAnsi"/>
          <w:sz w:val="24"/>
          <w:szCs w:val="24"/>
        </w:rPr>
        <w:t>http://www.bostonreview.net/lessig-democracy-after-citizens-united</w:t>
      </w:r>
      <w:r w:rsidRPr="001E3E9C">
        <w:rPr>
          <w:rFonts w:cstheme="minorHAnsi"/>
          <w:sz w:val="24"/>
          <w:szCs w:val="24"/>
        </w:rPr>
        <w:t>. September 4.</w:t>
      </w:r>
    </w:p>
    <w:p w14:paraId="5CB40119" w14:textId="77777777" w:rsidR="001E3E9C" w:rsidRPr="001E3E9C" w:rsidRDefault="001E3E9C" w:rsidP="00B11DA6">
      <w:pPr>
        <w:spacing w:after="0"/>
        <w:ind w:left="720" w:hanging="720"/>
        <w:rPr>
          <w:rFonts w:cstheme="minorHAnsi"/>
          <w:sz w:val="24"/>
          <w:szCs w:val="24"/>
        </w:rPr>
      </w:pPr>
      <w:r w:rsidRPr="001E3E9C">
        <w:rPr>
          <w:rFonts w:cstheme="minorHAnsi"/>
          <w:sz w:val="24"/>
          <w:szCs w:val="24"/>
        </w:rPr>
        <w:t xml:space="preserve">Levitt, Justin. 2010. “Confronting the Impact of </w:t>
      </w:r>
      <w:r w:rsidRPr="001E3E9C">
        <w:rPr>
          <w:rFonts w:cstheme="minorHAnsi"/>
          <w:i/>
          <w:iCs/>
          <w:sz w:val="24"/>
          <w:szCs w:val="24"/>
        </w:rPr>
        <w:t>Citizens United</w:t>
      </w:r>
      <w:r w:rsidRPr="001E3E9C">
        <w:rPr>
          <w:rFonts w:cstheme="minorHAnsi"/>
          <w:sz w:val="24"/>
          <w:szCs w:val="24"/>
        </w:rPr>
        <w:t xml:space="preserve">.” </w:t>
      </w:r>
      <w:r w:rsidRPr="001E3E9C">
        <w:rPr>
          <w:rFonts w:cstheme="minorHAnsi"/>
          <w:i/>
          <w:iCs/>
          <w:sz w:val="24"/>
          <w:szCs w:val="24"/>
        </w:rPr>
        <w:t>Yale Law and Policy Review</w:t>
      </w:r>
      <w:r w:rsidRPr="001E3E9C">
        <w:rPr>
          <w:rFonts w:cstheme="minorHAnsi"/>
          <w:sz w:val="24"/>
          <w:szCs w:val="24"/>
        </w:rPr>
        <w:t xml:space="preserve"> 29, no. 1 (Fall): 217–34.</w:t>
      </w:r>
    </w:p>
    <w:p w14:paraId="551B21EC" w14:textId="2D578B98" w:rsidR="001E3E9C" w:rsidRPr="001E3E9C" w:rsidRDefault="001E3E9C" w:rsidP="00B11DA6">
      <w:pPr>
        <w:spacing w:after="0"/>
        <w:ind w:left="720" w:hanging="720"/>
        <w:rPr>
          <w:rFonts w:cstheme="minorHAnsi"/>
          <w:sz w:val="24"/>
          <w:szCs w:val="24"/>
        </w:rPr>
      </w:pPr>
      <w:r w:rsidRPr="001E3E9C">
        <w:rPr>
          <w:rFonts w:cstheme="minorHAnsi"/>
          <w:sz w:val="24"/>
          <w:szCs w:val="24"/>
        </w:rPr>
        <w:t xml:space="preserve">Luria, Isaac. 2013. “Faith, Money, Politics, and Citizens United: A Way Forward.” </w:t>
      </w:r>
      <w:r w:rsidRPr="001E3E9C">
        <w:rPr>
          <w:rFonts w:cstheme="minorHAnsi"/>
          <w:i/>
          <w:iCs/>
          <w:sz w:val="24"/>
          <w:szCs w:val="24"/>
        </w:rPr>
        <w:t>Auburn Theological Seminary</w:t>
      </w:r>
      <w:r w:rsidRPr="001E3E9C">
        <w:rPr>
          <w:rFonts w:cstheme="minorHAnsi"/>
          <w:sz w:val="24"/>
          <w:szCs w:val="24"/>
        </w:rPr>
        <w:t xml:space="preserve">. </w:t>
      </w:r>
      <w:r w:rsidRPr="00137823">
        <w:rPr>
          <w:rFonts w:cstheme="minorHAnsi"/>
          <w:sz w:val="24"/>
          <w:szCs w:val="24"/>
        </w:rPr>
        <w:t>http://www.auburnseminary.org/whatshappening/faith-money-politics-and-citizens-united-way-forward</w:t>
      </w:r>
      <w:r w:rsidRPr="001E3E9C">
        <w:rPr>
          <w:rFonts w:cstheme="minorHAnsi"/>
          <w:sz w:val="24"/>
          <w:szCs w:val="24"/>
        </w:rPr>
        <w:t>. January 30.</w:t>
      </w:r>
    </w:p>
    <w:p w14:paraId="0CF132EE" w14:textId="77777777" w:rsidR="001E3E9C" w:rsidRPr="001E3E9C" w:rsidRDefault="001E3E9C" w:rsidP="00B11DA6">
      <w:pPr>
        <w:spacing w:after="0"/>
        <w:ind w:left="720" w:hanging="720"/>
        <w:rPr>
          <w:rFonts w:cstheme="minorHAnsi"/>
          <w:sz w:val="24"/>
          <w:szCs w:val="24"/>
        </w:rPr>
      </w:pPr>
      <w:r w:rsidRPr="001E3E9C">
        <w:rPr>
          <w:rFonts w:cstheme="minorHAnsi"/>
          <w:sz w:val="24"/>
          <w:szCs w:val="24"/>
        </w:rPr>
        <w:t xml:space="preserve">Meyer, Joanna M. 2012. “The Real Error in </w:t>
      </w:r>
      <w:r w:rsidRPr="001E3E9C">
        <w:rPr>
          <w:rFonts w:cstheme="minorHAnsi"/>
          <w:i/>
          <w:iCs/>
          <w:sz w:val="24"/>
          <w:szCs w:val="24"/>
        </w:rPr>
        <w:t>Citizens United</w:t>
      </w:r>
      <w:r w:rsidRPr="001E3E9C">
        <w:rPr>
          <w:rFonts w:cstheme="minorHAnsi"/>
          <w:sz w:val="24"/>
          <w:szCs w:val="24"/>
        </w:rPr>
        <w:t xml:space="preserve">.” </w:t>
      </w:r>
      <w:r w:rsidRPr="001E3E9C">
        <w:rPr>
          <w:rFonts w:cstheme="minorHAnsi"/>
          <w:i/>
          <w:iCs/>
          <w:sz w:val="24"/>
          <w:szCs w:val="24"/>
        </w:rPr>
        <w:t>Washington and Lee Law Review</w:t>
      </w:r>
      <w:r w:rsidRPr="001E3E9C">
        <w:rPr>
          <w:rFonts w:cstheme="minorHAnsi"/>
          <w:sz w:val="24"/>
          <w:szCs w:val="24"/>
        </w:rPr>
        <w:t xml:space="preserve"> 69, no. 4 (Fall): 2171–2231.</w:t>
      </w:r>
    </w:p>
    <w:p w14:paraId="335F0DE9" w14:textId="77777777" w:rsidR="001E3E9C" w:rsidRPr="001E3E9C" w:rsidRDefault="001E3E9C" w:rsidP="00B11DA6">
      <w:pPr>
        <w:spacing w:after="0"/>
        <w:ind w:left="720" w:hanging="720"/>
        <w:rPr>
          <w:rFonts w:cstheme="minorHAnsi"/>
          <w:sz w:val="24"/>
          <w:szCs w:val="24"/>
        </w:rPr>
      </w:pPr>
      <w:r w:rsidRPr="001E3E9C">
        <w:rPr>
          <w:rFonts w:cstheme="minorHAnsi"/>
          <w:sz w:val="24"/>
          <w:szCs w:val="24"/>
        </w:rPr>
        <w:t xml:space="preserve">Niebuhr, Reinhold. 1935. </w:t>
      </w:r>
      <w:r w:rsidRPr="001E3E9C">
        <w:rPr>
          <w:rFonts w:cstheme="minorHAnsi"/>
          <w:i/>
          <w:iCs/>
          <w:sz w:val="24"/>
          <w:szCs w:val="24"/>
        </w:rPr>
        <w:t>An Interpretation of Christian Ethics</w:t>
      </w:r>
      <w:r w:rsidRPr="001E3E9C">
        <w:rPr>
          <w:rFonts w:cstheme="minorHAnsi"/>
          <w:sz w:val="24"/>
          <w:szCs w:val="24"/>
        </w:rPr>
        <w:t>. New York: Harper and Brothers.</w:t>
      </w:r>
    </w:p>
    <w:p w14:paraId="4810CC9D" w14:textId="77777777" w:rsidR="001E3E9C" w:rsidRPr="001E3E9C" w:rsidRDefault="001E3E9C" w:rsidP="00B11DA6">
      <w:pPr>
        <w:spacing w:after="0"/>
        <w:ind w:left="720" w:hanging="720"/>
        <w:rPr>
          <w:rFonts w:cstheme="minorHAnsi"/>
          <w:sz w:val="24"/>
          <w:szCs w:val="24"/>
        </w:rPr>
      </w:pPr>
      <w:r w:rsidRPr="001E3E9C">
        <w:rPr>
          <w:rFonts w:cstheme="minorHAnsi"/>
          <w:sz w:val="24"/>
          <w:szCs w:val="24"/>
        </w:rPr>
        <w:t xml:space="preserve">———. 1950. </w:t>
      </w:r>
      <w:r w:rsidRPr="001E3E9C">
        <w:rPr>
          <w:rFonts w:cstheme="minorHAnsi"/>
          <w:i/>
          <w:iCs/>
          <w:sz w:val="24"/>
          <w:szCs w:val="24"/>
        </w:rPr>
        <w:t>The Children of Light and the Children of Darkness: A Vindication of Democracy and a Critique of Its Traditional Defense</w:t>
      </w:r>
      <w:r w:rsidRPr="001E3E9C">
        <w:rPr>
          <w:rFonts w:cstheme="minorHAnsi"/>
          <w:sz w:val="24"/>
          <w:szCs w:val="24"/>
        </w:rPr>
        <w:t>. New York: Charles Scribner’s Sons.</w:t>
      </w:r>
    </w:p>
    <w:p w14:paraId="0FCD13E4" w14:textId="77777777" w:rsidR="001E3E9C" w:rsidRPr="001E3E9C" w:rsidRDefault="001E3E9C" w:rsidP="00B11DA6">
      <w:pPr>
        <w:spacing w:after="0"/>
        <w:ind w:left="720" w:hanging="720"/>
        <w:rPr>
          <w:rFonts w:cstheme="minorHAnsi"/>
          <w:sz w:val="24"/>
          <w:szCs w:val="24"/>
        </w:rPr>
      </w:pPr>
      <w:r w:rsidRPr="001E3E9C">
        <w:rPr>
          <w:rFonts w:cstheme="minorHAnsi"/>
          <w:sz w:val="24"/>
          <w:szCs w:val="24"/>
        </w:rPr>
        <w:t xml:space="preserve">———. 1952. </w:t>
      </w:r>
      <w:r w:rsidRPr="001E3E9C">
        <w:rPr>
          <w:rFonts w:cstheme="minorHAnsi"/>
          <w:i/>
          <w:iCs/>
          <w:sz w:val="24"/>
          <w:szCs w:val="24"/>
        </w:rPr>
        <w:t>The Irony of American History</w:t>
      </w:r>
      <w:r w:rsidRPr="001E3E9C">
        <w:rPr>
          <w:rFonts w:cstheme="minorHAnsi"/>
          <w:sz w:val="24"/>
          <w:szCs w:val="24"/>
        </w:rPr>
        <w:t>. New York: Charles Scribner’s Sons.</w:t>
      </w:r>
    </w:p>
    <w:p w14:paraId="6E96768E" w14:textId="77777777" w:rsidR="001E3E9C" w:rsidRPr="001E3E9C" w:rsidRDefault="001E3E9C" w:rsidP="00B11DA6">
      <w:pPr>
        <w:spacing w:after="0"/>
        <w:ind w:left="720" w:hanging="720"/>
        <w:rPr>
          <w:rFonts w:cstheme="minorHAnsi"/>
          <w:sz w:val="24"/>
          <w:szCs w:val="24"/>
        </w:rPr>
      </w:pPr>
      <w:r w:rsidRPr="001E3E9C">
        <w:rPr>
          <w:rFonts w:cstheme="minorHAnsi"/>
          <w:sz w:val="24"/>
          <w:szCs w:val="24"/>
        </w:rPr>
        <w:t xml:space="preserve">———. 1953a. “Augustine’s Political Realism.” In </w:t>
      </w:r>
      <w:r w:rsidRPr="001E3E9C">
        <w:rPr>
          <w:rFonts w:cstheme="minorHAnsi"/>
          <w:i/>
          <w:iCs/>
          <w:sz w:val="24"/>
          <w:szCs w:val="24"/>
        </w:rPr>
        <w:t>Christian Realism and Political Problems</w:t>
      </w:r>
      <w:r w:rsidRPr="001E3E9C">
        <w:rPr>
          <w:rFonts w:cstheme="minorHAnsi"/>
          <w:sz w:val="24"/>
          <w:szCs w:val="24"/>
        </w:rPr>
        <w:t>, 119–46. New York: Charles Scribner’s Sons.</w:t>
      </w:r>
    </w:p>
    <w:p w14:paraId="7CB4F2CE" w14:textId="77777777" w:rsidR="001E3E9C" w:rsidRPr="001E3E9C" w:rsidRDefault="001E3E9C" w:rsidP="00B11DA6">
      <w:pPr>
        <w:spacing w:after="0"/>
        <w:ind w:left="720" w:hanging="720"/>
        <w:rPr>
          <w:rFonts w:cstheme="minorHAnsi"/>
          <w:sz w:val="24"/>
          <w:szCs w:val="24"/>
        </w:rPr>
      </w:pPr>
      <w:r w:rsidRPr="001E3E9C">
        <w:rPr>
          <w:rFonts w:cstheme="minorHAnsi"/>
          <w:sz w:val="24"/>
          <w:szCs w:val="24"/>
        </w:rPr>
        <w:t xml:space="preserve">———. 1953b. “Faith and the Empirical Method in Modern Realism.” In </w:t>
      </w:r>
      <w:r w:rsidRPr="001E3E9C">
        <w:rPr>
          <w:rFonts w:cstheme="minorHAnsi"/>
          <w:i/>
          <w:iCs/>
          <w:sz w:val="24"/>
          <w:szCs w:val="24"/>
        </w:rPr>
        <w:t>Christian Realism and Political Problems</w:t>
      </w:r>
      <w:r w:rsidRPr="001E3E9C">
        <w:rPr>
          <w:rFonts w:cstheme="minorHAnsi"/>
          <w:sz w:val="24"/>
          <w:szCs w:val="24"/>
        </w:rPr>
        <w:t>, 1–14. New York: Charles Scribner’s Sons.</w:t>
      </w:r>
    </w:p>
    <w:p w14:paraId="09A3CF87" w14:textId="77777777" w:rsidR="001E3E9C" w:rsidRPr="001E3E9C" w:rsidRDefault="001E3E9C" w:rsidP="00B11DA6">
      <w:pPr>
        <w:spacing w:after="0"/>
        <w:ind w:left="720" w:hanging="720"/>
        <w:rPr>
          <w:rFonts w:cstheme="minorHAnsi"/>
          <w:sz w:val="24"/>
          <w:szCs w:val="24"/>
        </w:rPr>
      </w:pPr>
      <w:r w:rsidRPr="001E3E9C">
        <w:rPr>
          <w:rFonts w:cstheme="minorHAnsi"/>
          <w:sz w:val="24"/>
          <w:szCs w:val="24"/>
        </w:rPr>
        <w:t xml:space="preserve">———. 1957a. “A Critique of Pacifism.” In Robertson, </w:t>
      </w:r>
      <w:r w:rsidRPr="001E3E9C">
        <w:rPr>
          <w:rFonts w:cstheme="minorHAnsi"/>
          <w:i/>
          <w:iCs/>
          <w:sz w:val="24"/>
          <w:szCs w:val="24"/>
        </w:rPr>
        <w:t>Love and Justice</w:t>
      </w:r>
      <w:r w:rsidRPr="001E3E9C">
        <w:rPr>
          <w:rFonts w:cstheme="minorHAnsi"/>
          <w:sz w:val="24"/>
          <w:szCs w:val="24"/>
        </w:rPr>
        <w:t>, 241–47.</w:t>
      </w:r>
    </w:p>
    <w:p w14:paraId="4B7CE141" w14:textId="77777777" w:rsidR="001E3E9C" w:rsidRPr="001E3E9C" w:rsidRDefault="001E3E9C" w:rsidP="00B11DA6">
      <w:pPr>
        <w:spacing w:after="0"/>
        <w:ind w:left="720" w:hanging="720"/>
        <w:rPr>
          <w:rFonts w:cstheme="minorHAnsi"/>
          <w:sz w:val="24"/>
          <w:szCs w:val="24"/>
        </w:rPr>
      </w:pPr>
      <w:r w:rsidRPr="001E3E9C">
        <w:rPr>
          <w:rFonts w:cstheme="minorHAnsi"/>
          <w:sz w:val="24"/>
          <w:szCs w:val="24"/>
        </w:rPr>
        <w:t xml:space="preserve">———. 1957b. “The Ethic of Jesus and the Social Problem.” In Robertson, </w:t>
      </w:r>
      <w:r w:rsidRPr="001E3E9C">
        <w:rPr>
          <w:rFonts w:cstheme="minorHAnsi"/>
          <w:i/>
          <w:iCs/>
          <w:sz w:val="24"/>
          <w:szCs w:val="24"/>
        </w:rPr>
        <w:t>Love and Justice</w:t>
      </w:r>
      <w:r w:rsidRPr="001E3E9C">
        <w:rPr>
          <w:rFonts w:cstheme="minorHAnsi"/>
          <w:sz w:val="24"/>
          <w:szCs w:val="24"/>
        </w:rPr>
        <w:t>, 29–40.</w:t>
      </w:r>
    </w:p>
    <w:p w14:paraId="25FA5461" w14:textId="77777777" w:rsidR="001E3E9C" w:rsidRPr="001E3E9C" w:rsidRDefault="001E3E9C" w:rsidP="00B11DA6">
      <w:pPr>
        <w:spacing w:after="0"/>
        <w:ind w:left="720" w:hanging="720"/>
        <w:rPr>
          <w:rFonts w:cstheme="minorHAnsi"/>
          <w:sz w:val="24"/>
          <w:szCs w:val="24"/>
        </w:rPr>
      </w:pPr>
      <w:r w:rsidRPr="001E3E9C">
        <w:rPr>
          <w:rFonts w:cstheme="minorHAnsi"/>
          <w:sz w:val="24"/>
          <w:szCs w:val="24"/>
        </w:rPr>
        <w:t xml:space="preserve">———. 1957c. “Inflation and Group Selfishness.” In Robertson, </w:t>
      </w:r>
      <w:r w:rsidRPr="001E3E9C">
        <w:rPr>
          <w:rFonts w:cstheme="minorHAnsi"/>
          <w:i/>
          <w:iCs/>
          <w:sz w:val="24"/>
          <w:szCs w:val="24"/>
        </w:rPr>
        <w:t>Love and Justice</w:t>
      </w:r>
      <w:r w:rsidRPr="001E3E9C">
        <w:rPr>
          <w:rFonts w:cstheme="minorHAnsi"/>
          <w:sz w:val="24"/>
          <w:szCs w:val="24"/>
        </w:rPr>
        <w:t>, 117–19.</w:t>
      </w:r>
    </w:p>
    <w:p w14:paraId="4FB5596C" w14:textId="77777777" w:rsidR="001E3E9C" w:rsidRPr="001E3E9C" w:rsidRDefault="001E3E9C" w:rsidP="00B11DA6">
      <w:pPr>
        <w:spacing w:after="0"/>
        <w:ind w:left="720" w:hanging="720"/>
        <w:rPr>
          <w:rFonts w:cstheme="minorHAnsi"/>
          <w:sz w:val="24"/>
          <w:szCs w:val="24"/>
        </w:rPr>
      </w:pPr>
      <w:r w:rsidRPr="001E3E9C">
        <w:rPr>
          <w:rFonts w:cstheme="minorHAnsi"/>
          <w:sz w:val="24"/>
          <w:szCs w:val="24"/>
        </w:rPr>
        <w:t xml:space="preserve">———. 1957d. “Is Stewardship Ethical.” In Robertson, </w:t>
      </w:r>
      <w:r w:rsidRPr="001E3E9C">
        <w:rPr>
          <w:rFonts w:cstheme="minorHAnsi"/>
          <w:i/>
          <w:iCs/>
          <w:sz w:val="24"/>
          <w:szCs w:val="24"/>
        </w:rPr>
        <w:t>Love and Justice</w:t>
      </w:r>
      <w:r w:rsidRPr="001E3E9C">
        <w:rPr>
          <w:rFonts w:cstheme="minorHAnsi"/>
          <w:sz w:val="24"/>
          <w:szCs w:val="24"/>
        </w:rPr>
        <w:t>, 89–94.</w:t>
      </w:r>
    </w:p>
    <w:p w14:paraId="25CCF0C3" w14:textId="77777777" w:rsidR="001E3E9C" w:rsidRPr="001E3E9C" w:rsidRDefault="001E3E9C" w:rsidP="00B11DA6">
      <w:pPr>
        <w:spacing w:after="0"/>
        <w:ind w:left="720" w:hanging="720"/>
        <w:rPr>
          <w:rFonts w:cstheme="minorHAnsi"/>
          <w:sz w:val="24"/>
          <w:szCs w:val="24"/>
        </w:rPr>
      </w:pPr>
      <w:r w:rsidRPr="001E3E9C">
        <w:rPr>
          <w:rFonts w:cstheme="minorHAnsi"/>
          <w:sz w:val="24"/>
          <w:szCs w:val="24"/>
        </w:rPr>
        <w:t xml:space="preserve">———. 1964. </w:t>
      </w:r>
      <w:r w:rsidRPr="001E3E9C">
        <w:rPr>
          <w:rFonts w:cstheme="minorHAnsi"/>
          <w:i/>
          <w:iCs/>
          <w:sz w:val="24"/>
          <w:szCs w:val="24"/>
        </w:rPr>
        <w:t>The Nature and Destiny of Man: A Christian Interpretation</w:t>
      </w:r>
      <w:r w:rsidRPr="001E3E9C">
        <w:rPr>
          <w:rFonts w:cstheme="minorHAnsi"/>
          <w:sz w:val="24"/>
          <w:szCs w:val="24"/>
        </w:rPr>
        <w:t xml:space="preserve">. Vol. 2, </w:t>
      </w:r>
      <w:r w:rsidRPr="001E3E9C">
        <w:rPr>
          <w:rFonts w:cstheme="minorHAnsi"/>
          <w:i/>
          <w:iCs/>
          <w:sz w:val="24"/>
          <w:szCs w:val="24"/>
        </w:rPr>
        <w:t>Human Destiny</w:t>
      </w:r>
      <w:r w:rsidRPr="001E3E9C">
        <w:rPr>
          <w:rFonts w:cstheme="minorHAnsi"/>
          <w:sz w:val="24"/>
          <w:szCs w:val="24"/>
        </w:rPr>
        <w:t>. New York: Charles Scribner’s Sons.</w:t>
      </w:r>
    </w:p>
    <w:p w14:paraId="40AFFBDA" w14:textId="77777777" w:rsidR="001E3E9C" w:rsidRPr="001E3E9C" w:rsidRDefault="001E3E9C" w:rsidP="00B11DA6">
      <w:pPr>
        <w:spacing w:after="0"/>
        <w:ind w:left="720" w:hanging="720"/>
        <w:rPr>
          <w:rFonts w:cstheme="minorHAnsi"/>
          <w:sz w:val="24"/>
          <w:szCs w:val="24"/>
        </w:rPr>
      </w:pPr>
      <w:r w:rsidRPr="001E3E9C">
        <w:rPr>
          <w:rFonts w:cstheme="minorHAnsi"/>
          <w:sz w:val="24"/>
          <w:szCs w:val="24"/>
        </w:rPr>
        <w:t xml:space="preserve">———. 1965. </w:t>
      </w:r>
      <w:r w:rsidRPr="001E3E9C">
        <w:rPr>
          <w:rFonts w:cstheme="minorHAnsi"/>
          <w:i/>
          <w:iCs/>
          <w:sz w:val="24"/>
          <w:szCs w:val="24"/>
        </w:rPr>
        <w:t>Man’s Nature and His Communities: Essays on the Dynamics and Enigmas of Man’s Personal and Social Existence</w:t>
      </w:r>
      <w:r w:rsidRPr="001E3E9C">
        <w:rPr>
          <w:rFonts w:cstheme="minorHAnsi"/>
          <w:sz w:val="24"/>
          <w:szCs w:val="24"/>
        </w:rPr>
        <w:t>. New York: Charles Scribner’s Sons.</w:t>
      </w:r>
    </w:p>
    <w:p w14:paraId="381B4B94" w14:textId="77777777" w:rsidR="001E3E9C" w:rsidRPr="001E3E9C" w:rsidRDefault="001E3E9C" w:rsidP="00B11DA6">
      <w:pPr>
        <w:spacing w:after="0"/>
        <w:ind w:left="720" w:hanging="720"/>
        <w:rPr>
          <w:rFonts w:cstheme="minorHAnsi"/>
          <w:sz w:val="24"/>
          <w:szCs w:val="24"/>
        </w:rPr>
      </w:pPr>
      <w:r w:rsidRPr="001E3E9C">
        <w:rPr>
          <w:rFonts w:cstheme="minorHAnsi"/>
          <w:sz w:val="24"/>
          <w:szCs w:val="24"/>
        </w:rPr>
        <w:lastRenderedPageBreak/>
        <w:t xml:space="preserve">———. 1968. “Christian Faith and Social Action.” In </w:t>
      </w:r>
      <w:r w:rsidRPr="001E3E9C">
        <w:rPr>
          <w:rFonts w:cstheme="minorHAnsi"/>
          <w:i/>
          <w:iCs/>
          <w:sz w:val="24"/>
          <w:szCs w:val="24"/>
        </w:rPr>
        <w:t>Faith and Politics: A Commentary on Religious, Social, and Political Thought in a Technological Age</w:t>
      </w:r>
      <w:r w:rsidRPr="001E3E9C">
        <w:rPr>
          <w:rFonts w:cstheme="minorHAnsi"/>
          <w:sz w:val="24"/>
          <w:szCs w:val="24"/>
        </w:rPr>
        <w:t xml:space="preserve">, edited by Ronald H. Stone, 119–37. New York: George </w:t>
      </w:r>
      <w:proofErr w:type="spellStart"/>
      <w:r w:rsidRPr="001E3E9C">
        <w:rPr>
          <w:rFonts w:cstheme="minorHAnsi"/>
          <w:sz w:val="24"/>
          <w:szCs w:val="24"/>
        </w:rPr>
        <w:t>Braziller</w:t>
      </w:r>
      <w:proofErr w:type="spellEnd"/>
      <w:r w:rsidRPr="001E3E9C">
        <w:rPr>
          <w:rFonts w:cstheme="minorHAnsi"/>
          <w:sz w:val="24"/>
          <w:szCs w:val="24"/>
        </w:rPr>
        <w:t>.</w:t>
      </w:r>
    </w:p>
    <w:p w14:paraId="53D3ED0C" w14:textId="77777777" w:rsidR="001E3E9C" w:rsidRPr="001E3E9C" w:rsidRDefault="001E3E9C" w:rsidP="00B11DA6">
      <w:pPr>
        <w:spacing w:after="0"/>
        <w:ind w:left="720" w:hanging="720"/>
        <w:rPr>
          <w:rFonts w:cstheme="minorHAnsi"/>
          <w:sz w:val="24"/>
          <w:szCs w:val="24"/>
        </w:rPr>
      </w:pPr>
      <w:r w:rsidRPr="001E3E9C">
        <w:rPr>
          <w:rFonts w:cstheme="minorHAnsi"/>
          <w:sz w:val="24"/>
          <w:szCs w:val="24"/>
        </w:rPr>
        <w:t xml:space="preserve">———. 1996. </w:t>
      </w:r>
      <w:r w:rsidRPr="001E3E9C">
        <w:rPr>
          <w:rFonts w:cstheme="minorHAnsi"/>
          <w:i/>
          <w:iCs/>
          <w:sz w:val="24"/>
          <w:szCs w:val="24"/>
        </w:rPr>
        <w:t>The Nature and Destiny of Man: A Christian Interpretation</w:t>
      </w:r>
      <w:r w:rsidRPr="001E3E9C">
        <w:rPr>
          <w:rFonts w:cstheme="minorHAnsi"/>
          <w:sz w:val="24"/>
          <w:szCs w:val="24"/>
        </w:rPr>
        <w:t xml:space="preserve">. Vol. 1, </w:t>
      </w:r>
      <w:r w:rsidRPr="001E3E9C">
        <w:rPr>
          <w:rFonts w:cstheme="minorHAnsi"/>
          <w:i/>
          <w:iCs/>
          <w:sz w:val="24"/>
          <w:szCs w:val="24"/>
        </w:rPr>
        <w:t>Human Nature</w:t>
      </w:r>
      <w:r w:rsidRPr="001E3E9C">
        <w:rPr>
          <w:rFonts w:cstheme="minorHAnsi"/>
          <w:sz w:val="24"/>
          <w:szCs w:val="24"/>
        </w:rPr>
        <w:t>. Louisville, KY: Westminster John Knox Press.</w:t>
      </w:r>
    </w:p>
    <w:p w14:paraId="37D308E8" w14:textId="77777777" w:rsidR="001E3E9C" w:rsidRPr="001E3E9C" w:rsidRDefault="001E3E9C" w:rsidP="00B11DA6">
      <w:pPr>
        <w:spacing w:after="0"/>
        <w:ind w:left="720" w:hanging="720"/>
        <w:rPr>
          <w:rFonts w:cstheme="minorHAnsi"/>
          <w:sz w:val="24"/>
          <w:szCs w:val="24"/>
        </w:rPr>
      </w:pPr>
      <w:r w:rsidRPr="001E3E9C">
        <w:rPr>
          <w:rFonts w:cstheme="minorHAnsi"/>
          <w:sz w:val="24"/>
          <w:szCs w:val="24"/>
        </w:rPr>
        <w:t xml:space="preserve">———. 2001. </w:t>
      </w:r>
      <w:r w:rsidRPr="001E3E9C">
        <w:rPr>
          <w:rFonts w:cstheme="minorHAnsi"/>
          <w:i/>
          <w:iCs/>
          <w:sz w:val="24"/>
          <w:szCs w:val="24"/>
        </w:rPr>
        <w:t>Moral Man and Immoral Society: A Study in Ethics and Politics</w:t>
      </w:r>
      <w:r w:rsidRPr="001E3E9C">
        <w:rPr>
          <w:rFonts w:cstheme="minorHAnsi"/>
          <w:sz w:val="24"/>
          <w:szCs w:val="24"/>
        </w:rPr>
        <w:t>. Louisville, KY: Westminster John Knox Press.</w:t>
      </w:r>
    </w:p>
    <w:p w14:paraId="23464926" w14:textId="77777777" w:rsidR="001E3E9C" w:rsidRPr="001E3E9C" w:rsidRDefault="001E3E9C" w:rsidP="00B11DA6">
      <w:pPr>
        <w:spacing w:after="0"/>
        <w:ind w:left="720" w:hanging="720"/>
        <w:rPr>
          <w:rFonts w:cstheme="minorHAnsi"/>
          <w:sz w:val="24"/>
          <w:szCs w:val="24"/>
        </w:rPr>
      </w:pPr>
      <w:r w:rsidRPr="001E3E9C">
        <w:rPr>
          <w:rFonts w:cstheme="minorHAnsi"/>
          <w:sz w:val="24"/>
          <w:szCs w:val="24"/>
        </w:rPr>
        <w:t xml:space="preserve">Osterlind, Alex. 2011. “Giving a Voice to the Inanimate: The Right of a Corporation to Political Free Speech.” </w:t>
      </w:r>
      <w:r w:rsidRPr="001E3E9C">
        <w:rPr>
          <w:rFonts w:cstheme="minorHAnsi"/>
          <w:i/>
          <w:iCs/>
          <w:sz w:val="24"/>
          <w:szCs w:val="24"/>
        </w:rPr>
        <w:t>Missouri Law Review</w:t>
      </w:r>
      <w:r w:rsidRPr="001E3E9C">
        <w:rPr>
          <w:rFonts w:cstheme="minorHAnsi"/>
          <w:sz w:val="24"/>
          <w:szCs w:val="24"/>
        </w:rPr>
        <w:t xml:space="preserve"> 76, no. 1 (Winter): 259–82.</w:t>
      </w:r>
    </w:p>
    <w:p w14:paraId="393A596F" w14:textId="6017586F" w:rsidR="001E3E9C" w:rsidRPr="001E3E9C" w:rsidRDefault="001E3E9C" w:rsidP="00B11DA6">
      <w:pPr>
        <w:spacing w:after="0"/>
        <w:ind w:left="720" w:hanging="720"/>
        <w:rPr>
          <w:rFonts w:cstheme="minorHAnsi"/>
          <w:sz w:val="24"/>
          <w:szCs w:val="24"/>
        </w:rPr>
      </w:pPr>
      <w:proofErr w:type="spellStart"/>
      <w:r w:rsidRPr="001E3E9C">
        <w:rPr>
          <w:rFonts w:cstheme="minorHAnsi"/>
          <w:sz w:val="24"/>
          <w:szCs w:val="24"/>
        </w:rPr>
        <w:t>Pitrof</w:t>
      </w:r>
      <w:proofErr w:type="spellEnd"/>
      <w:r w:rsidRPr="001E3E9C">
        <w:rPr>
          <w:rFonts w:cstheme="minorHAnsi"/>
          <w:sz w:val="24"/>
          <w:szCs w:val="24"/>
        </w:rPr>
        <w:t xml:space="preserve">, Marge, and Latoya Dennis. 2015. “Wisconsin Assembly Votes to Overhaul Campaign Finance Laws and the GAB.” </w:t>
      </w:r>
      <w:r w:rsidRPr="001E3E9C">
        <w:rPr>
          <w:rFonts w:cstheme="minorHAnsi"/>
          <w:i/>
          <w:iCs/>
          <w:sz w:val="24"/>
          <w:szCs w:val="24"/>
        </w:rPr>
        <w:t>WUWM</w:t>
      </w:r>
      <w:r w:rsidRPr="001E3E9C">
        <w:rPr>
          <w:rFonts w:cstheme="minorHAnsi"/>
          <w:sz w:val="24"/>
          <w:szCs w:val="24"/>
        </w:rPr>
        <w:t xml:space="preserve">. </w:t>
      </w:r>
      <w:r w:rsidRPr="00137823">
        <w:rPr>
          <w:rFonts w:cstheme="minorHAnsi"/>
          <w:sz w:val="24"/>
          <w:szCs w:val="24"/>
        </w:rPr>
        <w:t>http://wuwm.com/post/wisconsin-assembly-votes-overhaul-campaign-finance-laws-andgab#stream/0</w:t>
      </w:r>
      <w:r w:rsidRPr="001E3E9C">
        <w:rPr>
          <w:rFonts w:cstheme="minorHAnsi"/>
          <w:sz w:val="24"/>
          <w:szCs w:val="24"/>
        </w:rPr>
        <w:t>. November 16.</w:t>
      </w:r>
    </w:p>
    <w:p w14:paraId="0E85B7B1" w14:textId="77777777" w:rsidR="001E3E9C" w:rsidRPr="001E3E9C" w:rsidRDefault="001E3E9C" w:rsidP="00B11DA6">
      <w:pPr>
        <w:spacing w:after="0"/>
        <w:ind w:left="720" w:hanging="720"/>
        <w:rPr>
          <w:rFonts w:cstheme="minorHAnsi"/>
          <w:sz w:val="24"/>
          <w:szCs w:val="24"/>
        </w:rPr>
      </w:pPr>
      <w:proofErr w:type="spellStart"/>
      <w:r w:rsidRPr="001E3E9C">
        <w:rPr>
          <w:rFonts w:cstheme="minorHAnsi"/>
          <w:sz w:val="24"/>
          <w:szCs w:val="24"/>
        </w:rPr>
        <w:t>Plaskow</w:t>
      </w:r>
      <w:proofErr w:type="spellEnd"/>
      <w:r w:rsidRPr="001E3E9C">
        <w:rPr>
          <w:rFonts w:cstheme="minorHAnsi"/>
          <w:sz w:val="24"/>
          <w:szCs w:val="24"/>
        </w:rPr>
        <w:t xml:space="preserve">, Judith. 1980. </w:t>
      </w:r>
      <w:r w:rsidRPr="001E3E9C">
        <w:rPr>
          <w:rFonts w:cstheme="minorHAnsi"/>
          <w:i/>
          <w:iCs/>
          <w:sz w:val="24"/>
          <w:szCs w:val="24"/>
        </w:rPr>
        <w:t>Sex, Sin, and Grace: Women’s Experience and the Theologies of Reinhold Niebuhr and Paul Tillich</w:t>
      </w:r>
      <w:r w:rsidRPr="001E3E9C">
        <w:rPr>
          <w:rFonts w:cstheme="minorHAnsi"/>
          <w:sz w:val="24"/>
          <w:szCs w:val="24"/>
        </w:rPr>
        <w:t>. Lanham, MD: University Press of America.</w:t>
      </w:r>
    </w:p>
    <w:p w14:paraId="73232606" w14:textId="77777777" w:rsidR="001E3E9C" w:rsidRPr="001E3E9C" w:rsidRDefault="001E3E9C" w:rsidP="00B11DA6">
      <w:pPr>
        <w:spacing w:after="0"/>
        <w:ind w:left="720" w:hanging="720"/>
        <w:rPr>
          <w:rFonts w:cstheme="minorHAnsi"/>
          <w:sz w:val="24"/>
          <w:szCs w:val="24"/>
        </w:rPr>
      </w:pPr>
      <w:r w:rsidRPr="001E3E9C">
        <w:rPr>
          <w:rFonts w:cstheme="minorHAnsi"/>
          <w:sz w:val="24"/>
          <w:szCs w:val="24"/>
        </w:rPr>
        <w:t xml:space="preserve">Rasmussen, Larry, ed. 1988. </w:t>
      </w:r>
      <w:r w:rsidRPr="001E3E9C">
        <w:rPr>
          <w:rFonts w:cstheme="minorHAnsi"/>
          <w:i/>
          <w:iCs/>
          <w:sz w:val="24"/>
          <w:szCs w:val="24"/>
        </w:rPr>
        <w:t>Reinhold Niebuhr: Theologian of Public Life</w:t>
      </w:r>
      <w:r w:rsidRPr="001E3E9C">
        <w:rPr>
          <w:rFonts w:cstheme="minorHAnsi"/>
          <w:sz w:val="24"/>
          <w:szCs w:val="24"/>
        </w:rPr>
        <w:t>. London: Collins.</w:t>
      </w:r>
    </w:p>
    <w:p w14:paraId="2F5DEE88" w14:textId="77777777" w:rsidR="001E3E9C" w:rsidRPr="001E3E9C" w:rsidRDefault="001E3E9C" w:rsidP="00B11DA6">
      <w:pPr>
        <w:spacing w:after="0"/>
        <w:ind w:left="720" w:hanging="720"/>
        <w:rPr>
          <w:rFonts w:cstheme="minorHAnsi"/>
          <w:sz w:val="24"/>
          <w:szCs w:val="24"/>
        </w:rPr>
      </w:pPr>
      <w:r w:rsidRPr="001E3E9C">
        <w:rPr>
          <w:rFonts w:cstheme="minorHAnsi"/>
          <w:sz w:val="24"/>
          <w:szCs w:val="24"/>
        </w:rPr>
        <w:t xml:space="preserve">Rawls, John. 2005. </w:t>
      </w:r>
      <w:r w:rsidRPr="001E3E9C">
        <w:rPr>
          <w:rFonts w:cstheme="minorHAnsi"/>
          <w:i/>
          <w:iCs/>
          <w:sz w:val="24"/>
          <w:szCs w:val="24"/>
        </w:rPr>
        <w:t>Political Liberalism</w:t>
      </w:r>
      <w:r w:rsidRPr="001E3E9C">
        <w:rPr>
          <w:rFonts w:cstheme="minorHAnsi"/>
          <w:sz w:val="24"/>
          <w:szCs w:val="24"/>
        </w:rPr>
        <w:t>. Exp. ed. New York: Columbia University Press.</w:t>
      </w:r>
    </w:p>
    <w:p w14:paraId="7C1960D4" w14:textId="3F5A9BF5" w:rsidR="001E3E9C" w:rsidRPr="001E3E9C" w:rsidRDefault="001E3E9C" w:rsidP="00B11DA6">
      <w:pPr>
        <w:spacing w:after="0"/>
        <w:ind w:left="720" w:hanging="720"/>
        <w:rPr>
          <w:rFonts w:cstheme="minorHAnsi"/>
          <w:sz w:val="24"/>
          <w:szCs w:val="24"/>
        </w:rPr>
      </w:pPr>
      <w:r w:rsidRPr="001E3E9C">
        <w:rPr>
          <w:rFonts w:cstheme="minorHAnsi"/>
          <w:sz w:val="24"/>
          <w:szCs w:val="24"/>
        </w:rPr>
        <w:t xml:space="preserve">Robertson, D. B., ed. 1957. </w:t>
      </w:r>
      <w:r w:rsidRPr="001E3E9C">
        <w:rPr>
          <w:rFonts w:cstheme="minorHAnsi"/>
          <w:i/>
          <w:iCs/>
          <w:sz w:val="24"/>
          <w:szCs w:val="24"/>
        </w:rPr>
        <w:t>Love and Justice: Selections from the Shorter Writings of Reinhold Niebuhr</w:t>
      </w:r>
      <w:r w:rsidRPr="001E3E9C">
        <w:rPr>
          <w:rFonts w:cstheme="minorHAnsi"/>
          <w:sz w:val="24"/>
          <w:szCs w:val="24"/>
        </w:rPr>
        <w:t>. Philadelphia: Westminster Press.</w:t>
      </w:r>
      <w:r w:rsidRPr="001E3E9C">
        <w:rPr>
          <w:rFonts w:cstheme="minorHAnsi"/>
          <w:b/>
          <w:bCs/>
          <w:sz w:val="24"/>
          <w:szCs w:val="24"/>
        </w:rPr>
        <w:t xml:space="preserve"> </w:t>
      </w:r>
    </w:p>
    <w:p w14:paraId="6AE78C93" w14:textId="77777777" w:rsidR="001E3E9C" w:rsidRPr="001E3E9C" w:rsidRDefault="001E3E9C" w:rsidP="00B11DA6">
      <w:pPr>
        <w:spacing w:after="0"/>
        <w:ind w:left="720" w:hanging="720"/>
        <w:rPr>
          <w:rFonts w:cstheme="minorHAnsi"/>
          <w:sz w:val="24"/>
          <w:szCs w:val="24"/>
        </w:rPr>
      </w:pPr>
      <w:r w:rsidRPr="001E3E9C">
        <w:rPr>
          <w:rFonts w:cstheme="minorHAnsi"/>
          <w:sz w:val="24"/>
          <w:szCs w:val="24"/>
        </w:rPr>
        <w:t xml:space="preserve">Ruprecht, Louis A. Jr. 2013. “‘I’m Not Much of a Person Anymore,’ or, the Courts, the People, and the Power of Dissent.” </w:t>
      </w:r>
      <w:r w:rsidRPr="001E3E9C">
        <w:rPr>
          <w:rFonts w:cstheme="minorHAnsi"/>
          <w:i/>
          <w:iCs/>
          <w:sz w:val="24"/>
          <w:szCs w:val="24"/>
        </w:rPr>
        <w:t>Soundings: An Interdisciplinary Journal</w:t>
      </w:r>
      <w:r w:rsidRPr="001E3E9C">
        <w:rPr>
          <w:rFonts w:cstheme="minorHAnsi"/>
          <w:sz w:val="24"/>
          <w:szCs w:val="24"/>
        </w:rPr>
        <w:t xml:space="preserve"> 96, no. 1:99–120.</w:t>
      </w:r>
    </w:p>
    <w:p w14:paraId="7DD19CEB" w14:textId="77777777" w:rsidR="001E3E9C" w:rsidRPr="001E3E9C" w:rsidRDefault="001E3E9C" w:rsidP="00B11DA6">
      <w:pPr>
        <w:spacing w:after="0"/>
        <w:ind w:left="720" w:hanging="720"/>
        <w:rPr>
          <w:rFonts w:cstheme="minorHAnsi"/>
          <w:sz w:val="24"/>
          <w:szCs w:val="24"/>
        </w:rPr>
      </w:pPr>
      <w:r w:rsidRPr="001E3E9C">
        <w:rPr>
          <w:rFonts w:cstheme="minorHAnsi"/>
          <w:sz w:val="24"/>
          <w:szCs w:val="24"/>
        </w:rPr>
        <w:t xml:space="preserve">———. 2015. “The People Versus the Powers; or, On Money and Speech: The Continuing Saga of Campaign Finance Reform.” </w:t>
      </w:r>
      <w:r w:rsidRPr="001E3E9C">
        <w:rPr>
          <w:rFonts w:cstheme="minorHAnsi"/>
          <w:i/>
          <w:iCs/>
          <w:sz w:val="24"/>
          <w:szCs w:val="24"/>
        </w:rPr>
        <w:t>Soundings: An Interdisciplinary Journal</w:t>
      </w:r>
      <w:r w:rsidRPr="001E3E9C">
        <w:rPr>
          <w:rFonts w:cstheme="minorHAnsi"/>
          <w:sz w:val="24"/>
          <w:szCs w:val="24"/>
        </w:rPr>
        <w:t xml:space="preserve"> 98, no. 1:17–37.</w:t>
      </w:r>
    </w:p>
    <w:p w14:paraId="0F93871E" w14:textId="77777777" w:rsidR="001E3E9C" w:rsidRPr="001E3E9C" w:rsidRDefault="001E3E9C" w:rsidP="00B11DA6">
      <w:pPr>
        <w:spacing w:after="0"/>
        <w:ind w:left="720" w:hanging="720"/>
        <w:rPr>
          <w:rFonts w:cstheme="minorHAnsi"/>
          <w:sz w:val="24"/>
          <w:szCs w:val="24"/>
        </w:rPr>
      </w:pPr>
      <w:proofErr w:type="spellStart"/>
      <w:r w:rsidRPr="001E3E9C">
        <w:rPr>
          <w:rFonts w:cstheme="minorHAnsi"/>
          <w:sz w:val="24"/>
          <w:szCs w:val="24"/>
        </w:rPr>
        <w:t>Saiving</w:t>
      </w:r>
      <w:proofErr w:type="spellEnd"/>
      <w:r w:rsidRPr="001E3E9C">
        <w:rPr>
          <w:rFonts w:cstheme="minorHAnsi"/>
          <w:sz w:val="24"/>
          <w:szCs w:val="24"/>
        </w:rPr>
        <w:t xml:space="preserve"> (Goldstein), Valerie. 1960. “The Human Situation: A Feminine View.” </w:t>
      </w:r>
      <w:r w:rsidRPr="001E3E9C">
        <w:rPr>
          <w:rFonts w:cstheme="minorHAnsi"/>
          <w:i/>
          <w:iCs/>
          <w:sz w:val="24"/>
          <w:szCs w:val="24"/>
        </w:rPr>
        <w:t>Journal of Religion</w:t>
      </w:r>
      <w:r w:rsidRPr="001E3E9C">
        <w:rPr>
          <w:rFonts w:cstheme="minorHAnsi"/>
          <w:sz w:val="24"/>
          <w:szCs w:val="24"/>
        </w:rPr>
        <w:t xml:space="preserve"> 40, no. 2 (April): 100–112.</w:t>
      </w:r>
    </w:p>
    <w:p w14:paraId="5E62C53B" w14:textId="77777777" w:rsidR="001E3E9C" w:rsidRPr="001E3E9C" w:rsidRDefault="001E3E9C" w:rsidP="00B11DA6">
      <w:pPr>
        <w:spacing w:after="0"/>
        <w:ind w:left="720" w:hanging="720"/>
        <w:rPr>
          <w:rFonts w:cstheme="minorHAnsi"/>
          <w:sz w:val="24"/>
          <w:szCs w:val="24"/>
        </w:rPr>
      </w:pPr>
      <w:r w:rsidRPr="001E3E9C">
        <w:rPr>
          <w:rFonts w:cstheme="minorHAnsi"/>
          <w:sz w:val="24"/>
          <w:szCs w:val="24"/>
        </w:rPr>
        <w:t xml:space="preserve">Schlozman, Kay Lehman, Sidney </w:t>
      </w:r>
      <w:proofErr w:type="spellStart"/>
      <w:r w:rsidRPr="001E3E9C">
        <w:rPr>
          <w:rFonts w:cstheme="minorHAnsi"/>
          <w:sz w:val="24"/>
          <w:szCs w:val="24"/>
        </w:rPr>
        <w:t>Verba</w:t>
      </w:r>
      <w:proofErr w:type="spellEnd"/>
      <w:r w:rsidRPr="001E3E9C">
        <w:rPr>
          <w:rFonts w:cstheme="minorHAnsi"/>
          <w:sz w:val="24"/>
          <w:szCs w:val="24"/>
        </w:rPr>
        <w:t xml:space="preserve">, and Henry E. Brady. 2012. </w:t>
      </w:r>
      <w:r w:rsidRPr="001E3E9C">
        <w:rPr>
          <w:rFonts w:cstheme="minorHAnsi"/>
          <w:i/>
          <w:iCs/>
          <w:sz w:val="24"/>
          <w:szCs w:val="24"/>
        </w:rPr>
        <w:t>The Unheavenly Chorus: Unequal Political Participation and the Broken Promise of American Democracy</w:t>
      </w:r>
      <w:r w:rsidRPr="001E3E9C">
        <w:rPr>
          <w:rFonts w:cstheme="minorHAnsi"/>
          <w:sz w:val="24"/>
          <w:szCs w:val="24"/>
        </w:rPr>
        <w:t>. Princeton: Princeton University Press.</w:t>
      </w:r>
    </w:p>
    <w:p w14:paraId="30CB5499" w14:textId="3F30DE63" w:rsidR="001E3E9C" w:rsidRPr="001E3E9C" w:rsidRDefault="001E3E9C" w:rsidP="00B11DA6">
      <w:pPr>
        <w:spacing w:after="0"/>
        <w:ind w:left="720" w:hanging="720"/>
        <w:rPr>
          <w:rFonts w:cstheme="minorHAnsi"/>
          <w:sz w:val="24"/>
          <w:szCs w:val="24"/>
        </w:rPr>
      </w:pPr>
      <w:r w:rsidRPr="00137823">
        <w:rPr>
          <w:rFonts w:cstheme="minorHAnsi"/>
          <w:i/>
          <w:iCs/>
          <w:sz w:val="24"/>
          <w:szCs w:val="24"/>
        </w:rPr>
        <w:t>SpeechNow.org</w:t>
      </w:r>
      <w:r w:rsidRPr="001E3E9C">
        <w:rPr>
          <w:rFonts w:cstheme="minorHAnsi"/>
          <w:i/>
          <w:iCs/>
          <w:sz w:val="24"/>
          <w:szCs w:val="24"/>
        </w:rPr>
        <w:t xml:space="preserve"> v. Federal Election Commission</w:t>
      </w:r>
      <w:r w:rsidRPr="001E3E9C">
        <w:rPr>
          <w:rFonts w:cstheme="minorHAnsi"/>
          <w:sz w:val="24"/>
          <w:szCs w:val="24"/>
        </w:rPr>
        <w:t>. 2010. 599 F.3d 686 (D.C. Cir.).</w:t>
      </w:r>
    </w:p>
    <w:p w14:paraId="5BB7694A" w14:textId="77777777" w:rsidR="001E3E9C" w:rsidRPr="001E3E9C" w:rsidRDefault="001E3E9C" w:rsidP="00B11DA6">
      <w:pPr>
        <w:spacing w:after="0"/>
        <w:ind w:left="720" w:hanging="720"/>
        <w:rPr>
          <w:rFonts w:cstheme="minorHAnsi"/>
          <w:sz w:val="24"/>
          <w:szCs w:val="24"/>
        </w:rPr>
      </w:pPr>
      <w:r w:rsidRPr="001E3E9C">
        <w:rPr>
          <w:rFonts w:cstheme="minorHAnsi"/>
          <w:sz w:val="24"/>
          <w:szCs w:val="24"/>
        </w:rPr>
        <w:t>Spencer, Douglas M., and Abby K. Wood. 2014. “</w:t>
      </w:r>
      <w:r w:rsidRPr="001E3E9C">
        <w:rPr>
          <w:rFonts w:cstheme="minorHAnsi"/>
          <w:i/>
          <w:iCs/>
          <w:sz w:val="24"/>
          <w:szCs w:val="24"/>
        </w:rPr>
        <w:t>Citizens United</w:t>
      </w:r>
      <w:r w:rsidRPr="001E3E9C">
        <w:rPr>
          <w:rFonts w:cstheme="minorHAnsi"/>
          <w:sz w:val="24"/>
          <w:szCs w:val="24"/>
        </w:rPr>
        <w:t xml:space="preserve">, States Divided: An Empirical Analysis of Independent Political Spending.” </w:t>
      </w:r>
      <w:r w:rsidRPr="001E3E9C">
        <w:rPr>
          <w:rFonts w:cstheme="minorHAnsi"/>
          <w:i/>
          <w:iCs/>
          <w:sz w:val="24"/>
          <w:szCs w:val="24"/>
        </w:rPr>
        <w:t>Indiana Law Journal</w:t>
      </w:r>
      <w:r w:rsidRPr="001E3E9C">
        <w:rPr>
          <w:rFonts w:cstheme="minorHAnsi"/>
          <w:sz w:val="24"/>
          <w:szCs w:val="24"/>
        </w:rPr>
        <w:t xml:space="preserve"> 89, no. 1: 315–72.</w:t>
      </w:r>
    </w:p>
    <w:p w14:paraId="4517D3D3" w14:textId="77777777" w:rsidR="001E3E9C" w:rsidRPr="001E3E9C" w:rsidRDefault="001E3E9C" w:rsidP="00B11DA6">
      <w:pPr>
        <w:spacing w:after="0"/>
        <w:ind w:left="720" w:hanging="720"/>
        <w:rPr>
          <w:rFonts w:cstheme="minorHAnsi"/>
          <w:sz w:val="24"/>
          <w:szCs w:val="24"/>
        </w:rPr>
      </w:pPr>
      <w:r w:rsidRPr="001E3E9C">
        <w:rPr>
          <w:rFonts w:cstheme="minorHAnsi"/>
          <w:sz w:val="24"/>
          <w:szCs w:val="24"/>
        </w:rPr>
        <w:t xml:space="preserve">Stone, Ronald H. 2012a. </w:t>
      </w:r>
      <w:r w:rsidRPr="001E3E9C">
        <w:rPr>
          <w:rFonts w:cstheme="minorHAnsi"/>
          <w:i/>
          <w:iCs/>
          <w:sz w:val="24"/>
          <w:szCs w:val="24"/>
        </w:rPr>
        <w:t>Politics and Faith: Reinhold Niebuhr and Paul Tillich at Union Seminary in New York</w:t>
      </w:r>
      <w:r w:rsidRPr="001E3E9C">
        <w:rPr>
          <w:rFonts w:cstheme="minorHAnsi"/>
          <w:sz w:val="24"/>
          <w:szCs w:val="24"/>
        </w:rPr>
        <w:t>. Macon: Mercer University Press.</w:t>
      </w:r>
    </w:p>
    <w:p w14:paraId="579E75ED" w14:textId="77777777" w:rsidR="001E3E9C" w:rsidRPr="001E3E9C" w:rsidRDefault="001E3E9C" w:rsidP="00B11DA6">
      <w:pPr>
        <w:spacing w:after="0"/>
        <w:ind w:left="720" w:hanging="720"/>
        <w:rPr>
          <w:rFonts w:cstheme="minorHAnsi"/>
          <w:sz w:val="24"/>
          <w:szCs w:val="24"/>
        </w:rPr>
      </w:pPr>
      <w:r w:rsidRPr="001E3E9C">
        <w:rPr>
          <w:rFonts w:cstheme="minorHAnsi"/>
          <w:sz w:val="24"/>
          <w:szCs w:val="24"/>
        </w:rPr>
        <w:t xml:space="preserve">———. 2012b. “Reinhold Niebuhr and the Feminist Critique of Universal Sin.” </w:t>
      </w:r>
      <w:r w:rsidRPr="001E3E9C">
        <w:rPr>
          <w:rFonts w:cstheme="minorHAnsi"/>
          <w:i/>
          <w:iCs/>
          <w:sz w:val="24"/>
          <w:szCs w:val="24"/>
        </w:rPr>
        <w:t>Journal of Feminist Studies in Religion</w:t>
      </w:r>
      <w:r w:rsidRPr="001E3E9C">
        <w:rPr>
          <w:rFonts w:cstheme="minorHAnsi"/>
          <w:sz w:val="24"/>
          <w:szCs w:val="24"/>
        </w:rPr>
        <w:t xml:space="preserve"> 28, no. 1 (Spring): 91–96.</w:t>
      </w:r>
    </w:p>
    <w:p w14:paraId="3F9189DF" w14:textId="77777777" w:rsidR="001E3E9C" w:rsidRPr="001E3E9C" w:rsidRDefault="001E3E9C" w:rsidP="00B11DA6">
      <w:pPr>
        <w:spacing w:after="0"/>
        <w:ind w:left="720" w:hanging="720"/>
        <w:rPr>
          <w:rFonts w:cstheme="minorHAnsi"/>
          <w:sz w:val="24"/>
          <w:szCs w:val="24"/>
        </w:rPr>
      </w:pPr>
      <w:r w:rsidRPr="001E3E9C">
        <w:rPr>
          <w:rFonts w:cstheme="minorHAnsi"/>
          <w:sz w:val="24"/>
          <w:szCs w:val="24"/>
        </w:rPr>
        <w:t xml:space="preserve">Tracy, David. 1981. </w:t>
      </w:r>
      <w:r w:rsidRPr="001E3E9C">
        <w:rPr>
          <w:rFonts w:cstheme="minorHAnsi"/>
          <w:i/>
          <w:iCs/>
          <w:sz w:val="24"/>
          <w:szCs w:val="24"/>
        </w:rPr>
        <w:t>The Analogical Imagination: Christian Theology and the Culture of Pluralism</w:t>
      </w:r>
      <w:r w:rsidRPr="001E3E9C">
        <w:rPr>
          <w:rFonts w:cstheme="minorHAnsi"/>
          <w:sz w:val="24"/>
          <w:szCs w:val="24"/>
        </w:rPr>
        <w:t>. New York: Crossroad.</w:t>
      </w:r>
    </w:p>
    <w:p w14:paraId="6D04B047" w14:textId="311CF7C9" w:rsidR="001E3E9C" w:rsidRPr="001E3E9C" w:rsidRDefault="001E3E9C" w:rsidP="00B11DA6">
      <w:pPr>
        <w:spacing w:after="0"/>
        <w:ind w:left="720" w:hanging="720"/>
        <w:rPr>
          <w:rFonts w:cstheme="minorHAnsi"/>
          <w:sz w:val="24"/>
          <w:szCs w:val="24"/>
        </w:rPr>
      </w:pPr>
      <w:r w:rsidRPr="001E3E9C">
        <w:rPr>
          <w:rFonts w:cstheme="minorHAnsi"/>
          <w:sz w:val="24"/>
          <w:szCs w:val="24"/>
        </w:rPr>
        <w:t xml:space="preserve">Witte, Ryan Benjamin. 2009. “The Judge as Author/The Author as Judge.” </w:t>
      </w:r>
      <w:r w:rsidRPr="001E3E9C">
        <w:rPr>
          <w:rFonts w:cstheme="minorHAnsi"/>
          <w:i/>
          <w:iCs/>
          <w:sz w:val="24"/>
          <w:szCs w:val="24"/>
        </w:rPr>
        <w:t>Golden Gate University Law Review</w:t>
      </w:r>
      <w:r w:rsidRPr="001E3E9C">
        <w:rPr>
          <w:rFonts w:cstheme="minorHAnsi"/>
          <w:sz w:val="24"/>
          <w:szCs w:val="24"/>
        </w:rPr>
        <w:t xml:space="preserve"> 40, no. 1 (Fall): 37–66.</w:t>
      </w:r>
      <w:r w:rsidRPr="001E3E9C">
        <w:rPr>
          <w:rFonts w:cstheme="minorHAnsi"/>
          <w:b/>
          <w:bCs/>
          <w:sz w:val="24"/>
          <w:szCs w:val="24"/>
        </w:rPr>
        <w:t xml:space="preserve"> </w:t>
      </w:r>
    </w:p>
    <w:p w14:paraId="72AC0B60" w14:textId="77777777" w:rsidR="00A31FBD" w:rsidRPr="00A31FBD" w:rsidRDefault="00A31FBD" w:rsidP="00A31FBD">
      <w:pPr>
        <w:rPr>
          <w:rFonts w:cstheme="minorHAnsi"/>
          <w:sz w:val="24"/>
          <w:szCs w:val="24"/>
        </w:rPr>
      </w:pPr>
    </w:p>
    <w:p w14:paraId="654BD0AE" w14:textId="77777777" w:rsidR="00A31FBD" w:rsidRPr="00A31FBD" w:rsidRDefault="00A31FBD" w:rsidP="002E5B84">
      <w:pPr>
        <w:rPr>
          <w:rFonts w:cstheme="minorHAnsi"/>
          <w:sz w:val="24"/>
          <w:szCs w:val="24"/>
        </w:rPr>
      </w:pPr>
    </w:p>
    <w:sectPr w:rsidR="00A31FBD" w:rsidRPr="00A31FBD" w:rsidSect="00013176">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eiryo">
    <w:altName w:val="メイリオ"/>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4A5118"/>
    <w:multiLevelType w:val="multilevel"/>
    <w:tmpl w:val="B3CE87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96F12C0"/>
    <w:multiLevelType w:val="multilevel"/>
    <w:tmpl w:val="F44A5E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BFC61A5"/>
    <w:multiLevelType w:val="multilevel"/>
    <w:tmpl w:val="87F8C9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4ED6E2C"/>
    <w:multiLevelType w:val="multilevel"/>
    <w:tmpl w:val="C016B5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208E0FFE"/>
    <w:multiLevelType w:val="multilevel"/>
    <w:tmpl w:val="88BAC8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26A66BA5"/>
    <w:multiLevelType w:val="multilevel"/>
    <w:tmpl w:val="B31606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8B56212"/>
    <w:multiLevelType w:val="multilevel"/>
    <w:tmpl w:val="4224DB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345156CB"/>
    <w:multiLevelType w:val="multilevel"/>
    <w:tmpl w:val="F92221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363834C2"/>
    <w:multiLevelType w:val="multilevel"/>
    <w:tmpl w:val="6C2067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3A3A0592"/>
    <w:multiLevelType w:val="multilevel"/>
    <w:tmpl w:val="D51879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45367845"/>
    <w:multiLevelType w:val="multilevel"/>
    <w:tmpl w:val="8F52D0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45D71487"/>
    <w:multiLevelType w:val="multilevel"/>
    <w:tmpl w:val="5590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46660A4D"/>
    <w:multiLevelType w:val="multilevel"/>
    <w:tmpl w:val="A53C9B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B472103"/>
    <w:multiLevelType w:val="multilevel"/>
    <w:tmpl w:val="3A68F4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517A011B"/>
    <w:multiLevelType w:val="multilevel"/>
    <w:tmpl w:val="3E3603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5A24706C"/>
    <w:multiLevelType w:val="multilevel"/>
    <w:tmpl w:val="42949A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5CA91A97"/>
    <w:multiLevelType w:val="multilevel"/>
    <w:tmpl w:val="96E66C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524446637">
    <w:abstractNumId w:val="11"/>
  </w:num>
  <w:num w:numId="2" w16cid:durableId="160394351">
    <w:abstractNumId w:val="1"/>
  </w:num>
  <w:num w:numId="3" w16cid:durableId="227612212">
    <w:abstractNumId w:val="2"/>
  </w:num>
  <w:num w:numId="4" w16cid:durableId="2014674526">
    <w:abstractNumId w:val="13"/>
  </w:num>
  <w:num w:numId="5" w16cid:durableId="1189415935">
    <w:abstractNumId w:val="14"/>
  </w:num>
  <w:num w:numId="6" w16cid:durableId="930431669">
    <w:abstractNumId w:val="10"/>
  </w:num>
  <w:num w:numId="7" w16cid:durableId="2117095127">
    <w:abstractNumId w:val="6"/>
  </w:num>
  <w:num w:numId="8" w16cid:durableId="1300452452">
    <w:abstractNumId w:val="7"/>
  </w:num>
  <w:num w:numId="9" w16cid:durableId="1623851589">
    <w:abstractNumId w:val="4"/>
  </w:num>
  <w:num w:numId="10" w16cid:durableId="30888115">
    <w:abstractNumId w:val="9"/>
  </w:num>
  <w:num w:numId="11" w16cid:durableId="1662125684">
    <w:abstractNumId w:val="8"/>
  </w:num>
  <w:num w:numId="12" w16cid:durableId="2003502271">
    <w:abstractNumId w:val="15"/>
  </w:num>
  <w:num w:numId="13" w16cid:durableId="1340767863">
    <w:abstractNumId w:val="16"/>
  </w:num>
  <w:num w:numId="14" w16cid:durableId="523132718">
    <w:abstractNumId w:val="3"/>
  </w:num>
  <w:num w:numId="15" w16cid:durableId="542710592">
    <w:abstractNumId w:val="0"/>
  </w:num>
  <w:num w:numId="16" w16cid:durableId="436757200">
    <w:abstractNumId w:val="5"/>
  </w:num>
  <w:num w:numId="17" w16cid:durableId="2132170105">
    <w:abstractNumId w:val="12"/>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ocumentProtection w:edit="readOnly" w:formatting="1" w:enforcement="1" w:cryptProviderType="rsaAES" w:cryptAlgorithmClass="hash" w:cryptAlgorithmType="typeAny" w:cryptAlgorithmSid="14" w:cryptSpinCount="100000" w:hash="SH8aka6WHTysY4z/utGxOeLgnIE1lQ4pc7mcFVphz2DTmLhWge+91uNNZEuCpXE832YyqLvrYb7GoWIn5cVf4w==" w:salt="vIlzgtKd3t80nIULHzltwA=="/>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646B"/>
    <w:rsid w:val="0000729D"/>
    <w:rsid w:val="00007B8C"/>
    <w:rsid w:val="0001072F"/>
    <w:rsid w:val="00013176"/>
    <w:rsid w:val="00014F38"/>
    <w:rsid w:val="00020194"/>
    <w:rsid w:val="000233C1"/>
    <w:rsid w:val="00024048"/>
    <w:rsid w:val="00024FA1"/>
    <w:rsid w:val="00026BC7"/>
    <w:rsid w:val="0003036D"/>
    <w:rsid w:val="00034205"/>
    <w:rsid w:val="00035704"/>
    <w:rsid w:val="000372ED"/>
    <w:rsid w:val="00041C27"/>
    <w:rsid w:val="000437DE"/>
    <w:rsid w:val="00043C8E"/>
    <w:rsid w:val="00044EBA"/>
    <w:rsid w:val="0004637E"/>
    <w:rsid w:val="0004717F"/>
    <w:rsid w:val="000525F1"/>
    <w:rsid w:val="0005413F"/>
    <w:rsid w:val="00054285"/>
    <w:rsid w:val="00056258"/>
    <w:rsid w:val="00057D20"/>
    <w:rsid w:val="000606A8"/>
    <w:rsid w:val="00061102"/>
    <w:rsid w:val="00064ECB"/>
    <w:rsid w:val="00071537"/>
    <w:rsid w:val="00071950"/>
    <w:rsid w:val="00072612"/>
    <w:rsid w:val="000735D6"/>
    <w:rsid w:val="00074B64"/>
    <w:rsid w:val="000769FD"/>
    <w:rsid w:val="00077000"/>
    <w:rsid w:val="000774D8"/>
    <w:rsid w:val="00077828"/>
    <w:rsid w:val="00082637"/>
    <w:rsid w:val="00083102"/>
    <w:rsid w:val="000845A8"/>
    <w:rsid w:val="000846CC"/>
    <w:rsid w:val="00084D4C"/>
    <w:rsid w:val="00085797"/>
    <w:rsid w:val="00087367"/>
    <w:rsid w:val="0009064A"/>
    <w:rsid w:val="00091815"/>
    <w:rsid w:val="00092DFF"/>
    <w:rsid w:val="00093C1A"/>
    <w:rsid w:val="00095651"/>
    <w:rsid w:val="00097FBC"/>
    <w:rsid w:val="000A0975"/>
    <w:rsid w:val="000A15E2"/>
    <w:rsid w:val="000A266C"/>
    <w:rsid w:val="000A3667"/>
    <w:rsid w:val="000A6287"/>
    <w:rsid w:val="000A7622"/>
    <w:rsid w:val="000A7F84"/>
    <w:rsid w:val="000B1EEB"/>
    <w:rsid w:val="000B22D3"/>
    <w:rsid w:val="000B2768"/>
    <w:rsid w:val="000B3464"/>
    <w:rsid w:val="000B389E"/>
    <w:rsid w:val="000B501D"/>
    <w:rsid w:val="000B5152"/>
    <w:rsid w:val="000B5170"/>
    <w:rsid w:val="000C0E5B"/>
    <w:rsid w:val="000C15D5"/>
    <w:rsid w:val="000C6BA7"/>
    <w:rsid w:val="000D3573"/>
    <w:rsid w:val="000D4F0B"/>
    <w:rsid w:val="000D6BF2"/>
    <w:rsid w:val="000E69EF"/>
    <w:rsid w:val="000E74E7"/>
    <w:rsid w:val="000E7C46"/>
    <w:rsid w:val="000F0449"/>
    <w:rsid w:val="000F08DA"/>
    <w:rsid w:val="000F14F0"/>
    <w:rsid w:val="000F1D5E"/>
    <w:rsid w:val="000F33D0"/>
    <w:rsid w:val="000F7ED4"/>
    <w:rsid w:val="00101A98"/>
    <w:rsid w:val="00104CE6"/>
    <w:rsid w:val="00107EA8"/>
    <w:rsid w:val="00114114"/>
    <w:rsid w:val="00117F89"/>
    <w:rsid w:val="00120313"/>
    <w:rsid w:val="001233A5"/>
    <w:rsid w:val="00123BC0"/>
    <w:rsid w:val="00123E80"/>
    <w:rsid w:val="00131A15"/>
    <w:rsid w:val="00131C28"/>
    <w:rsid w:val="00134CF7"/>
    <w:rsid w:val="00134D4D"/>
    <w:rsid w:val="00137823"/>
    <w:rsid w:val="0014182B"/>
    <w:rsid w:val="0014490B"/>
    <w:rsid w:val="00146A5C"/>
    <w:rsid w:val="00146E50"/>
    <w:rsid w:val="00147E89"/>
    <w:rsid w:val="001500F0"/>
    <w:rsid w:val="00150DB6"/>
    <w:rsid w:val="00154C62"/>
    <w:rsid w:val="00154D34"/>
    <w:rsid w:val="00160CBF"/>
    <w:rsid w:val="00160E1F"/>
    <w:rsid w:val="00161372"/>
    <w:rsid w:val="001622DB"/>
    <w:rsid w:val="001637E0"/>
    <w:rsid w:val="00163F71"/>
    <w:rsid w:val="00171DCB"/>
    <w:rsid w:val="00173556"/>
    <w:rsid w:val="0018114F"/>
    <w:rsid w:val="00181ADF"/>
    <w:rsid w:val="00183A38"/>
    <w:rsid w:val="001854EA"/>
    <w:rsid w:val="00185C26"/>
    <w:rsid w:val="00186B37"/>
    <w:rsid w:val="00187B68"/>
    <w:rsid w:val="00196C7C"/>
    <w:rsid w:val="001A1C71"/>
    <w:rsid w:val="001A1DF4"/>
    <w:rsid w:val="001A34C4"/>
    <w:rsid w:val="001A577F"/>
    <w:rsid w:val="001A7C39"/>
    <w:rsid w:val="001B32A5"/>
    <w:rsid w:val="001B4185"/>
    <w:rsid w:val="001B6E76"/>
    <w:rsid w:val="001C3A3F"/>
    <w:rsid w:val="001D1087"/>
    <w:rsid w:val="001D2448"/>
    <w:rsid w:val="001D2701"/>
    <w:rsid w:val="001D3ADE"/>
    <w:rsid w:val="001D3BC5"/>
    <w:rsid w:val="001D5333"/>
    <w:rsid w:val="001D58D3"/>
    <w:rsid w:val="001D776C"/>
    <w:rsid w:val="001D7BCC"/>
    <w:rsid w:val="001E18FE"/>
    <w:rsid w:val="001E30C9"/>
    <w:rsid w:val="001E3E9C"/>
    <w:rsid w:val="001F70BC"/>
    <w:rsid w:val="001F7FBE"/>
    <w:rsid w:val="002016B1"/>
    <w:rsid w:val="00201875"/>
    <w:rsid w:val="00201AFD"/>
    <w:rsid w:val="00201FDC"/>
    <w:rsid w:val="002022D8"/>
    <w:rsid w:val="002055E4"/>
    <w:rsid w:val="00205AB5"/>
    <w:rsid w:val="00206486"/>
    <w:rsid w:val="002069B5"/>
    <w:rsid w:val="00206CC8"/>
    <w:rsid w:val="00211422"/>
    <w:rsid w:val="00212109"/>
    <w:rsid w:val="0021761E"/>
    <w:rsid w:val="00217966"/>
    <w:rsid w:val="00224240"/>
    <w:rsid w:val="00226FA2"/>
    <w:rsid w:val="00233BB2"/>
    <w:rsid w:val="0024134B"/>
    <w:rsid w:val="002474A9"/>
    <w:rsid w:val="00250633"/>
    <w:rsid w:val="00251132"/>
    <w:rsid w:val="00251173"/>
    <w:rsid w:val="002535DF"/>
    <w:rsid w:val="002558EB"/>
    <w:rsid w:val="00255B43"/>
    <w:rsid w:val="00255BDC"/>
    <w:rsid w:val="00255BEA"/>
    <w:rsid w:val="00261403"/>
    <w:rsid w:val="00261F59"/>
    <w:rsid w:val="002707A2"/>
    <w:rsid w:val="00271B61"/>
    <w:rsid w:val="00272AF4"/>
    <w:rsid w:val="0027699C"/>
    <w:rsid w:val="00276C06"/>
    <w:rsid w:val="00280198"/>
    <w:rsid w:val="00280EB7"/>
    <w:rsid w:val="00282094"/>
    <w:rsid w:val="00283F92"/>
    <w:rsid w:val="002843BC"/>
    <w:rsid w:val="00284A84"/>
    <w:rsid w:val="0029129F"/>
    <w:rsid w:val="00296B90"/>
    <w:rsid w:val="00297296"/>
    <w:rsid w:val="002A0668"/>
    <w:rsid w:val="002A0CCE"/>
    <w:rsid w:val="002A1619"/>
    <w:rsid w:val="002A6B8B"/>
    <w:rsid w:val="002A7CE4"/>
    <w:rsid w:val="002A7EC8"/>
    <w:rsid w:val="002A7FBB"/>
    <w:rsid w:val="002B09A8"/>
    <w:rsid w:val="002B1ED8"/>
    <w:rsid w:val="002B45EC"/>
    <w:rsid w:val="002B62C6"/>
    <w:rsid w:val="002C12EA"/>
    <w:rsid w:val="002C17A7"/>
    <w:rsid w:val="002C2DA5"/>
    <w:rsid w:val="002C3E8B"/>
    <w:rsid w:val="002C4714"/>
    <w:rsid w:val="002C4EB5"/>
    <w:rsid w:val="002C6160"/>
    <w:rsid w:val="002D02F2"/>
    <w:rsid w:val="002D28EA"/>
    <w:rsid w:val="002D3D3A"/>
    <w:rsid w:val="002D51BB"/>
    <w:rsid w:val="002D5BAE"/>
    <w:rsid w:val="002D5DDC"/>
    <w:rsid w:val="002D6AA3"/>
    <w:rsid w:val="002E5B84"/>
    <w:rsid w:val="002E5C33"/>
    <w:rsid w:val="002E5C4F"/>
    <w:rsid w:val="002E5D29"/>
    <w:rsid w:val="002E6E4B"/>
    <w:rsid w:val="002F538B"/>
    <w:rsid w:val="00300EE4"/>
    <w:rsid w:val="0030197F"/>
    <w:rsid w:val="0030223E"/>
    <w:rsid w:val="00303A1E"/>
    <w:rsid w:val="00303BBD"/>
    <w:rsid w:val="00313440"/>
    <w:rsid w:val="00314FCD"/>
    <w:rsid w:val="0032274D"/>
    <w:rsid w:val="00323F17"/>
    <w:rsid w:val="00324290"/>
    <w:rsid w:val="00331737"/>
    <w:rsid w:val="0033243D"/>
    <w:rsid w:val="003332F4"/>
    <w:rsid w:val="0033652E"/>
    <w:rsid w:val="00340617"/>
    <w:rsid w:val="00340B13"/>
    <w:rsid w:val="00340CDB"/>
    <w:rsid w:val="003427C6"/>
    <w:rsid w:val="00343472"/>
    <w:rsid w:val="003455AA"/>
    <w:rsid w:val="003467E7"/>
    <w:rsid w:val="0034700D"/>
    <w:rsid w:val="00347634"/>
    <w:rsid w:val="00351E90"/>
    <w:rsid w:val="00360206"/>
    <w:rsid w:val="003624EE"/>
    <w:rsid w:val="003632E1"/>
    <w:rsid w:val="00363CD3"/>
    <w:rsid w:val="003656A9"/>
    <w:rsid w:val="00366852"/>
    <w:rsid w:val="003706EF"/>
    <w:rsid w:val="00370BE4"/>
    <w:rsid w:val="00371D56"/>
    <w:rsid w:val="0037291D"/>
    <w:rsid w:val="00375C74"/>
    <w:rsid w:val="0037755D"/>
    <w:rsid w:val="00381F0E"/>
    <w:rsid w:val="0038549B"/>
    <w:rsid w:val="0038628A"/>
    <w:rsid w:val="0038634F"/>
    <w:rsid w:val="00391C48"/>
    <w:rsid w:val="00394337"/>
    <w:rsid w:val="00394569"/>
    <w:rsid w:val="00395896"/>
    <w:rsid w:val="00396B15"/>
    <w:rsid w:val="003A15DB"/>
    <w:rsid w:val="003A37AB"/>
    <w:rsid w:val="003A437A"/>
    <w:rsid w:val="003A503E"/>
    <w:rsid w:val="003A6039"/>
    <w:rsid w:val="003B47FA"/>
    <w:rsid w:val="003B6208"/>
    <w:rsid w:val="003B7F8F"/>
    <w:rsid w:val="003C376A"/>
    <w:rsid w:val="003C4172"/>
    <w:rsid w:val="003C437D"/>
    <w:rsid w:val="003C4456"/>
    <w:rsid w:val="003D3301"/>
    <w:rsid w:val="003D3AFC"/>
    <w:rsid w:val="003D4641"/>
    <w:rsid w:val="003E05B7"/>
    <w:rsid w:val="003E0C0A"/>
    <w:rsid w:val="003E3844"/>
    <w:rsid w:val="003E6CFF"/>
    <w:rsid w:val="003F233C"/>
    <w:rsid w:val="003F7F31"/>
    <w:rsid w:val="00400E66"/>
    <w:rsid w:val="004010E3"/>
    <w:rsid w:val="004055B8"/>
    <w:rsid w:val="0040709D"/>
    <w:rsid w:val="004122F9"/>
    <w:rsid w:val="004124D3"/>
    <w:rsid w:val="004139BA"/>
    <w:rsid w:val="00414591"/>
    <w:rsid w:val="0041717B"/>
    <w:rsid w:val="00420CFB"/>
    <w:rsid w:val="00421CBC"/>
    <w:rsid w:val="0043008C"/>
    <w:rsid w:val="00430B91"/>
    <w:rsid w:val="0043209E"/>
    <w:rsid w:val="004374EF"/>
    <w:rsid w:val="00440BC4"/>
    <w:rsid w:val="00440F61"/>
    <w:rsid w:val="004441CB"/>
    <w:rsid w:val="00450DB8"/>
    <w:rsid w:val="00453D2C"/>
    <w:rsid w:val="00454851"/>
    <w:rsid w:val="00456070"/>
    <w:rsid w:val="004567B6"/>
    <w:rsid w:val="00456B26"/>
    <w:rsid w:val="004570E7"/>
    <w:rsid w:val="00460A1D"/>
    <w:rsid w:val="004613DF"/>
    <w:rsid w:val="00461BB2"/>
    <w:rsid w:val="00463F96"/>
    <w:rsid w:val="00465062"/>
    <w:rsid w:val="004660BE"/>
    <w:rsid w:val="0046696C"/>
    <w:rsid w:val="00466DD7"/>
    <w:rsid w:val="00471F7D"/>
    <w:rsid w:val="00473B19"/>
    <w:rsid w:val="00474CB3"/>
    <w:rsid w:val="00474ECD"/>
    <w:rsid w:val="004757B5"/>
    <w:rsid w:val="00475EFA"/>
    <w:rsid w:val="004816ED"/>
    <w:rsid w:val="004830DC"/>
    <w:rsid w:val="004834F0"/>
    <w:rsid w:val="004838B3"/>
    <w:rsid w:val="00487185"/>
    <w:rsid w:val="004873AE"/>
    <w:rsid w:val="00487718"/>
    <w:rsid w:val="00490ABE"/>
    <w:rsid w:val="004932A8"/>
    <w:rsid w:val="00495B8D"/>
    <w:rsid w:val="00497E47"/>
    <w:rsid w:val="004A0368"/>
    <w:rsid w:val="004A2715"/>
    <w:rsid w:val="004A2894"/>
    <w:rsid w:val="004A2B41"/>
    <w:rsid w:val="004A3B3E"/>
    <w:rsid w:val="004B2226"/>
    <w:rsid w:val="004B6BED"/>
    <w:rsid w:val="004B77C2"/>
    <w:rsid w:val="004C0AF2"/>
    <w:rsid w:val="004C0B3D"/>
    <w:rsid w:val="004C0C08"/>
    <w:rsid w:val="004C2D7B"/>
    <w:rsid w:val="004C45D2"/>
    <w:rsid w:val="004C4867"/>
    <w:rsid w:val="004C4C7C"/>
    <w:rsid w:val="004C5EEF"/>
    <w:rsid w:val="004D118A"/>
    <w:rsid w:val="004D1CB9"/>
    <w:rsid w:val="004D21C9"/>
    <w:rsid w:val="004D22F5"/>
    <w:rsid w:val="004D375C"/>
    <w:rsid w:val="004E34F8"/>
    <w:rsid w:val="004E3C84"/>
    <w:rsid w:val="004E528B"/>
    <w:rsid w:val="004E6917"/>
    <w:rsid w:val="004F146C"/>
    <w:rsid w:val="004F1F3C"/>
    <w:rsid w:val="004F3CEF"/>
    <w:rsid w:val="004F52AA"/>
    <w:rsid w:val="004F657B"/>
    <w:rsid w:val="004F73E6"/>
    <w:rsid w:val="0050408D"/>
    <w:rsid w:val="00504C6A"/>
    <w:rsid w:val="00510364"/>
    <w:rsid w:val="005116C9"/>
    <w:rsid w:val="00511BEE"/>
    <w:rsid w:val="00515CF0"/>
    <w:rsid w:val="005175E9"/>
    <w:rsid w:val="00520368"/>
    <w:rsid w:val="0052658A"/>
    <w:rsid w:val="00533270"/>
    <w:rsid w:val="00540146"/>
    <w:rsid w:val="00540B01"/>
    <w:rsid w:val="00543C22"/>
    <w:rsid w:val="0054405B"/>
    <w:rsid w:val="0054567F"/>
    <w:rsid w:val="00546B44"/>
    <w:rsid w:val="00553291"/>
    <w:rsid w:val="005546FF"/>
    <w:rsid w:val="005557D6"/>
    <w:rsid w:val="00556B72"/>
    <w:rsid w:val="00556BA2"/>
    <w:rsid w:val="005605E4"/>
    <w:rsid w:val="00563D7B"/>
    <w:rsid w:val="00563E3B"/>
    <w:rsid w:val="005643C8"/>
    <w:rsid w:val="005673D1"/>
    <w:rsid w:val="00570F38"/>
    <w:rsid w:val="00573955"/>
    <w:rsid w:val="00575AF4"/>
    <w:rsid w:val="00580E33"/>
    <w:rsid w:val="00583225"/>
    <w:rsid w:val="0058724D"/>
    <w:rsid w:val="00596593"/>
    <w:rsid w:val="00596A35"/>
    <w:rsid w:val="005979CD"/>
    <w:rsid w:val="005A12F0"/>
    <w:rsid w:val="005A5291"/>
    <w:rsid w:val="005A6725"/>
    <w:rsid w:val="005A6FD1"/>
    <w:rsid w:val="005B08F1"/>
    <w:rsid w:val="005B47BC"/>
    <w:rsid w:val="005B4879"/>
    <w:rsid w:val="005B5465"/>
    <w:rsid w:val="005C00EC"/>
    <w:rsid w:val="005C15C9"/>
    <w:rsid w:val="005C30E9"/>
    <w:rsid w:val="005C663B"/>
    <w:rsid w:val="005D0017"/>
    <w:rsid w:val="005D1C38"/>
    <w:rsid w:val="005D1ED6"/>
    <w:rsid w:val="005D5C43"/>
    <w:rsid w:val="005D767A"/>
    <w:rsid w:val="005E2628"/>
    <w:rsid w:val="005E5F66"/>
    <w:rsid w:val="005E780E"/>
    <w:rsid w:val="005F46EC"/>
    <w:rsid w:val="005F49C9"/>
    <w:rsid w:val="005F71CE"/>
    <w:rsid w:val="005F7A68"/>
    <w:rsid w:val="005F7D15"/>
    <w:rsid w:val="00601980"/>
    <w:rsid w:val="00601BC6"/>
    <w:rsid w:val="0060332C"/>
    <w:rsid w:val="0060427E"/>
    <w:rsid w:val="00604C5A"/>
    <w:rsid w:val="00607F1D"/>
    <w:rsid w:val="00610ABC"/>
    <w:rsid w:val="00612DE8"/>
    <w:rsid w:val="00615A83"/>
    <w:rsid w:val="0062010E"/>
    <w:rsid w:val="00620314"/>
    <w:rsid w:val="00620EA0"/>
    <w:rsid w:val="00623E47"/>
    <w:rsid w:val="00624CC9"/>
    <w:rsid w:val="00624CD2"/>
    <w:rsid w:val="0062795C"/>
    <w:rsid w:val="00631A06"/>
    <w:rsid w:val="00633D28"/>
    <w:rsid w:val="00633E00"/>
    <w:rsid w:val="00633F1B"/>
    <w:rsid w:val="00634D07"/>
    <w:rsid w:val="00635799"/>
    <w:rsid w:val="00636A32"/>
    <w:rsid w:val="00636A77"/>
    <w:rsid w:val="0064051B"/>
    <w:rsid w:val="00645D2C"/>
    <w:rsid w:val="00650724"/>
    <w:rsid w:val="006517B5"/>
    <w:rsid w:val="00652076"/>
    <w:rsid w:val="00653DA3"/>
    <w:rsid w:val="00654D37"/>
    <w:rsid w:val="006621F0"/>
    <w:rsid w:val="00663EFE"/>
    <w:rsid w:val="006647E7"/>
    <w:rsid w:val="00666FD4"/>
    <w:rsid w:val="00667217"/>
    <w:rsid w:val="006702C6"/>
    <w:rsid w:val="006769E6"/>
    <w:rsid w:val="00676C63"/>
    <w:rsid w:val="00682333"/>
    <w:rsid w:val="006844CA"/>
    <w:rsid w:val="00684B7F"/>
    <w:rsid w:val="006871E0"/>
    <w:rsid w:val="00693B53"/>
    <w:rsid w:val="00697377"/>
    <w:rsid w:val="006A0D31"/>
    <w:rsid w:val="006A1F61"/>
    <w:rsid w:val="006A533C"/>
    <w:rsid w:val="006A5E52"/>
    <w:rsid w:val="006A712D"/>
    <w:rsid w:val="006A7B71"/>
    <w:rsid w:val="006B20FD"/>
    <w:rsid w:val="006B3B2B"/>
    <w:rsid w:val="006C024E"/>
    <w:rsid w:val="006C7ED1"/>
    <w:rsid w:val="006D00CE"/>
    <w:rsid w:val="006D0B6D"/>
    <w:rsid w:val="006D53A1"/>
    <w:rsid w:val="006D732D"/>
    <w:rsid w:val="006D75E1"/>
    <w:rsid w:val="006D7670"/>
    <w:rsid w:val="006E10F4"/>
    <w:rsid w:val="006E10FD"/>
    <w:rsid w:val="006E2996"/>
    <w:rsid w:val="006E2EEC"/>
    <w:rsid w:val="006E471E"/>
    <w:rsid w:val="006E4859"/>
    <w:rsid w:val="006F24E3"/>
    <w:rsid w:val="00703B6D"/>
    <w:rsid w:val="007065D3"/>
    <w:rsid w:val="007071B1"/>
    <w:rsid w:val="00707EC1"/>
    <w:rsid w:val="00710582"/>
    <w:rsid w:val="0071327C"/>
    <w:rsid w:val="00714EE9"/>
    <w:rsid w:val="007227A0"/>
    <w:rsid w:val="007246B0"/>
    <w:rsid w:val="007258CB"/>
    <w:rsid w:val="007262C6"/>
    <w:rsid w:val="00730E29"/>
    <w:rsid w:val="00732FF6"/>
    <w:rsid w:val="00735393"/>
    <w:rsid w:val="007441DA"/>
    <w:rsid w:val="007457BC"/>
    <w:rsid w:val="00745E32"/>
    <w:rsid w:val="007466F7"/>
    <w:rsid w:val="00754D35"/>
    <w:rsid w:val="00757D89"/>
    <w:rsid w:val="0076194B"/>
    <w:rsid w:val="00763676"/>
    <w:rsid w:val="00763830"/>
    <w:rsid w:val="007665FD"/>
    <w:rsid w:val="00772776"/>
    <w:rsid w:val="00776737"/>
    <w:rsid w:val="00776E56"/>
    <w:rsid w:val="00781619"/>
    <w:rsid w:val="00785981"/>
    <w:rsid w:val="0079146B"/>
    <w:rsid w:val="00791DD5"/>
    <w:rsid w:val="00792687"/>
    <w:rsid w:val="00796875"/>
    <w:rsid w:val="0079756E"/>
    <w:rsid w:val="007A1233"/>
    <w:rsid w:val="007A258F"/>
    <w:rsid w:val="007A3B3A"/>
    <w:rsid w:val="007A7539"/>
    <w:rsid w:val="007B0BBA"/>
    <w:rsid w:val="007B3D80"/>
    <w:rsid w:val="007B3D9A"/>
    <w:rsid w:val="007C16F7"/>
    <w:rsid w:val="007D25DB"/>
    <w:rsid w:val="007D51E8"/>
    <w:rsid w:val="007D655B"/>
    <w:rsid w:val="007D762B"/>
    <w:rsid w:val="007D7C64"/>
    <w:rsid w:val="007E0555"/>
    <w:rsid w:val="007E27D3"/>
    <w:rsid w:val="007E2E07"/>
    <w:rsid w:val="007E491C"/>
    <w:rsid w:val="007E534F"/>
    <w:rsid w:val="007E53E2"/>
    <w:rsid w:val="007E5D38"/>
    <w:rsid w:val="007E604C"/>
    <w:rsid w:val="007E714E"/>
    <w:rsid w:val="007F0413"/>
    <w:rsid w:val="007F12C0"/>
    <w:rsid w:val="007F336A"/>
    <w:rsid w:val="007F4E20"/>
    <w:rsid w:val="007F500D"/>
    <w:rsid w:val="007F7A0B"/>
    <w:rsid w:val="0080037D"/>
    <w:rsid w:val="008061E0"/>
    <w:rsid w:val="0080711D"/>
    <w:rsid w:val="00812365"/>
    <w:rsid w:val="0081298E"/>
    <w:rsid w:val="00813292"/>
    <w:rsid w:val="00813E40"/>
    <w:rsid w:val="00815C9F"/>
    <w:rsid w:val="00816489"/>
    <w:rsid w:val="00817C16"/>
    <w:rsid w:val="00820049"/>
    <w:rsid w:val="0082013E"/>
    <w:rsid w:val="00822617"/>
    <w:rsid w:val="00824B15"/>
    <w:rsid w:val="008309A0"/>
    <w:rsid w:val="00830C73"/>
    <w:rsid w:val="008314FC"/>
    <w:rsid w:val="008322E3"/>
    <w:rsid w:val="00833193"/>
    <w:rsid w:val="00834DF7"/>
    <w:rsid w:val="00836F01"/>
    <w:rsid w:val="008406F5"/>
    <w:rsid w:val="00841F1E"/>
    <w:rsid w:val="00842203"/>
    <w:rsid w:val="00850E3E"/>
    <w:rsid w:val="00852775"/>
    <w:rsid w:val="00852972"/>
    <w:rsid w:val="008547CA"/>
    <w:rsid w:val="0086087C"/>
    <w:rsid w:val="00860A70"/>
    <w:rsid w:val="00864432"/>
    <w:rsid w:val="008649A3"/>
    <w:rsid w:val="0086670A"/>
    <w:rsid w:val="00867BDF"/>
    <w:rsid w:val="00870BA1"/>
    <w:rsid w:val="00873CDE"/>
    <w:rsid w:val="00874421"/>
    <w:rsid w:val="00875997"/>
    <w:rsid w:val="0087796C"/>
    <w:rsid w:val="00880932"/>
    <w:rsid w:val="008825B5"/>
    <w:rsid w:val="00885E74"/>
    <w:rsid w:val="00886B14"/>
    <w:rsid w:val="00887F4F"/>
    <w:rsid w:val="008927F4"/>
    <w:rsid w:val="00893B58"/>
    <w:rsid w:val="00894E4C"/>
    <w:rsid w:val="0089642A"/>
    <w:rsid w:val="008A1743"/>
    <w:rsid w:val="008A23DD"/>
    <w:rsid w:val="008A5762"/>
    <w:rsid w:val="008A6C51"/>
    <w:rsid w:val="008B15CF"/>
    <w:rsid w:val="008B2242"/>
    <w:rsid w:val="008B4AD1"/>
    <w:rsid w:val="008B6C91"/>
    <w:rsid w:val="008B6D93"/>
    <w:rsid w:val="008B788F"/>
    <w:rsid w:val="008B7AF1"/>
    <w:rsid w:val="008C0085"/>
    <w:rsid w:val="008C2686"/>
    <w:rsid w:val="008C3543"/>
    <w:rsid w:val="008C5B8E"/>
    <w:rsid w:val="008D0F0D"/>
    <w:rsid w:val="008D0FF2"/>
    <w:rsid w:val="008D14D6"/>
    <w:rsid w:val="008D1D7F"/>
    <w:rsid w:val="008D3526"/>
    <w:rsid w:val="008F0401"/>
    <w:rsid w:val="008F04C1"/>
    <w:rsid w:val="008F2457"/>
    <w:rsid w:val="008F252A"/>
    <w:rsid w:val="008F58C4"/>
    <w:rsid w:val="008F6AFD"/>
    <w:rsid w:val="008F7645"/>
    <w:rsid w:val="0090248F"/>
    <w:rsid w:val="00902F25"/>
    <w:rsid w:val="0090407E"/>
    <w:rsid w:val="00905334"/>
    <w:rsid w:val="00905A10"/>
    <w:rsid w:val="00907ABB"/>
    <w:rsid w:val="00911307"/>
    <w:rsid w:val="00915110"/>
    <w:rsid w:val="009151B5"/>
    <w:rsid w:val="00916ADA"/>
    <w:rsid w:val="00916C64"/>
    <w:rsid w:val="0092216B"/>
    <w:rsid w:val="00922FE3"/>
    <w:rsid w:val="00925107"/>
    <w:rsid w:val="00925421"/>
    <w:rsid w:val="009267EE"/>
    <w:rsid w:val="00927998"/>
    <w:rsid w:val="00932185"/>
    <w:rsid w:val="009346E4"/>
    <w:rsid w:val="00935F23"/>
    <w:rsid w:val="00936752"/>
    <w:rsid w:val="009372D8"/>
    <w:rsid w:val="00937D12"/>
    <w:rsid w:val="00940ED2"/>
    <w:rsid w:val="00944E4A"/>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729A3"/>
    <w:rsid w:val="009732A9"/>
    <w:rsid w:val="00977C0E"/>
    <w:rsid w:val="00977F1D"/>
    <w:rsid w:val="00982217"/>
    <w:rsid w:val="00984B39"/>
    <w:rsid w:val="00986A83"/>
    <w:rsid w:val="00990645"/>
    <w:rsid w:val="00991EFB"/>
    <w:rsid w:val="00993C71"/>
    <w:rsid w:val="009A130B"/>
    <w:rsid w:val="009A23E4"/>
    <w:rsid w:val="009A2639"/>
    <w:rsid w:val="009A397F"/>
    <w:rsid w:val="009A5035"/>
    <w:rsid w:val="009B2B2E"/>
    <w:rsid w:val="009B4F83"/>
    <w:rsid w:val="009B6983"/>
    <w:rsid w:val="009C520F"/>
    <w:rsid w:val="009C5450"/>
    <w:rsid w:val="009C5716"/>
    <w:rsid w:val="009D316A"/>
    <w:rsid w:val="009D3527"/>
    <w:rsid w:val="009D5368"/>
    <w:rsid w:val="009D54DF"/>
    <w:rsid w:val="009D7432"/>
    <w:rsid w:val="009E2846"/>
    <w:rsid w:val="009E56AC"/>
    <w:rsid w:val="009E56AF"/>
    <w:rsid w:val="009E678D"/>
    <w:rsid w:val="009F28E2"/>
    <w:rsid w:val="009F2CC2"/>
    <w:rsid w:val="009F468F"/>
    <w:rsid w:val="009F4BDF"/>
    <w:rsid w:val="009F60BA"/>
    <w:rsid w:val="009F7F44"/>
    <w:rsid w:val="00A01B8D"/>
    <w:rsid w:val="00A034AE"/>
    <w:rsid w:val="00A035F5"/>
    <w:rsid w:val="00A03D50"/>
    <w:rsid w:val="00A10635"/>
    <w:rsid w:val="00A11F34"/>
    <w:rsid w:val="00A1350A"/>
    <w:rsid w:val="00A2308C"/>
    <w:rsid w:val="00A231A4"/>
    <w:rsid w:val="00A24317"/>
    <w:rsid w:val="00A310DA"/>
    <w:rsid w:val="00A31FBD"/>
    <w:rsid w:val="00A32FCB"/>
    <w:rsid w:val="00A3561C"/>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648A4"/>
    <w:rsid w:val="00A650B2"/>
    <w:rsid w:val="00A72316"/>
    <w:rsid w:val="00A7290A"/>
    <w:rsid w:val="00A72B02"/>
    <w:rsid w:val="00A75006"/>
    <w:rsid w:val="00A76653"/>
    <w:rsid w:val="00A81E28"/>
    <w:rsid w:val="00A82932"/>
    <w:rsid w:val="00A82D07"/>
    <w:rsid w:val="00A868FB"/>
    <w:rsid w:val="00A915ED"/>
    <w:rsid w:val="00A91CF2"/>
    <w:rsid w:val="00A930EE"/>
    <w:rsid w:val="00A93754"/>
    <w:rsid w:val="00A93BA4"/>
    <w:rsid w:val="00A9416E"/>
    <w:rsid w:val="00AA060F"/>
    <w:rsid w:val="00AA0DE8"/>
    <w:rsid w:val="00AA493D"/>
    <w:rsid w:val="00AA5ED9"/>
    <w:rsid w:val="00AB17D9"/>
    <w:rsid w:val="00AB2F0A"/>
    <w:rsid w:val="00AB324A"/>
    <w:rsid w:val="00AB4807"/>
    <w:rsid w:val="00AB4813"/>
    <w:rsid w:val="00AC0052"/>
    <w:rsid w:val="00AC04D6"/>
    <w:rsid w:val="00AD0685"/>
    <w:rsid w:val="00AD38C1"/>
    <w:rsid w:val="00AD5A78"/>
    <w:rsid w:val="00AE1517"/>
    <w:rsid w:val="00AE34F1"/>
    <w:rsid w:val="00AE4078"/>
    <w:rsid w:val="00AE4230"/>
    <w:rsid w:val="00AE4F49"/>
    <w:rsid w:val="00AE69D7"/>
    <w:rsid w:val="00AE71AA"/>
    <w:rsid w:val="00AF1374"/>
    <w:rsid w:val="00AF1E8A"/>
    <w:rsid w:val="00AF2DE8"/>
    <w:rsid w:val="00AF5947"/>
    <w:rsid w:val="00AF692A"/>
    <w:rsid w:val="00AF6D69"/>
    <w:rsid w:val="00AF7626"/>
    <w:rsid w:val="00B03D08"/>
    <w:rsid w:val="00B0429D"/>
    <w:rsid w:val="00B05BF7"/>
    <w:rsid w:val="00B079F6"/>
    <w:rsid w:val="00B07F12"/>
    <w:rsid w:val="00B1094A"/>
    <w:rsid w:val="00B11DA6"/>
    <w:rsid w:val="00B129D1"/>
    <w:rsid w:val="00B12F61"/>
    <w:rsid w:val="00B14CBC"/>
    <w:rsid w:val="00B15BD9"/>
    <w:rsid w:val="00B1760D"/>
    <w:rsid w:val="00B17FF0"/>
    <w:rsid w:val="00B222DF"/>
    <w:rsid w:val="00B30468"/>
    <w:rsid w:val="00B32160"/>
    <w:rsid w:val="00B32B07"/>
    <w:rsid w:val="00B336E9"/>
    <w:rsid w:val="00B336EC"/>
    <w:rsid w:val="00B3397D"/>
    <w:rsid w:val="00B3426B"/>
    <w:rsid w:val="00B34F7B"/>
    <w:rsid w:val="00B35999"/>
    <w:rsid w:val="00B36D0C"/>
    <w:rsid w:val="00B40795"/>
    <w:rsid w:val="00B44237"/>
    <w:rsid w:val="00B452C3"/>
    <w:rsid w:val="00B47D09"/>
    <w:rsid w:val="00B50108"/>
    <w:rsid w:val="00B5113B"/>
    <w:rsid w:val="00B525D3"/>
    <w:rsid w:val="00B55B5C"/>
    <w:rsid w:val="00B56290"/>
    <w:rsid w:val="00B61B54"/>
    <w:rsid w:val="00B6351D"/>
    <w:rsid w:val="00B64203"/>
    <w:rsid w:val="00B6519E"/>
    <w:rsid w:val="00B65C95"/>
    <w:rsid w:val="00B66AF1"/>
    <w:rsid w:val="00B70245"/>
    <w:rsid w:val="00B703C2"/>
    <w:rsid w:val="00B74E41"/>
    <w:rsid w:val="00B7740D"/>
    <w:rsid w:val="00B77BB2"/>
    <w:rsid w:val="00B82F58"/>
    <w:rsid w:val="00B839A9"/>
    <w:rsid w:val="00B84C63"/>
    <w:rsid w:val="00B86814"/>
    <w:rsid w:val="00B910CB"/>
    <w:rsid w:val="00B91743"/>
    <w:rsid w:val="00B91D38"/>
    <w:rsid w:val="00B927D2"/>
    <w:rsid w:val="00B935A4"/>
    <w:rsid w:val="00B93980"/>
    <w:rsid w:val="00B945E5"/>
    <w:rsid w:val="00B9636B"/>
    <w:rsid w:val="00B974AD"/>
    <w:rsid w:val="00BA22C6"/>
    <w:rsid w:val="00BA316D"/>
    <w:rsid w:val="00BA5FEF"/>
    <w:rsid w:val="00BA7628"/>
    <w:rsid w:val="00BB2130"/>
    <w:rsid w:val="00BB30B6"/>
    <w:rsid w:val="00BB40CB"/>
    <w:rsid w:val="00BB7C37"/>
    <w:rsid w:val="00BC168F"/>
    <w:rsid w:val="00BC1E95"/>
    <w:rsid w:val="00BC2262"/>
    <w:rsid w:val="00BC3D81"/>
    <w:rsid w:val="00BC420A"/>
    <w:rsid w:val="00BC540B"/>
    <w:rsid w:val="00BC7302"/>
    <w:rsid w:val="00BD01F3"/>
    <w:rsid w:val="00BD0687"/>
    <w:rsid w:val="00BD0D8D"/>
    <w:rsid w:val="00BD439F"/>
    <w:rsid w:val="00BD4F14"/>
    <w:rsid w:val="00BE2644"/>
    <w:rsid w:val="00BE42F3"/>
    <w:rsid w:val="00BE551C"/>
    <w:rsid w:val="00BF6ECD"/>
    <w:rsid w:val="00BF790B"/>
    <w:rsid w:val="00C01E67"/>
    <w:rsid w:val="00C0238E"/>
    <w:rsid w:val="00C04EEC"/>
    <w:rsid w:val="00C05302"/>
    <w:rsid w:val="00C06B6B"/>
    <w:rsid w:val="00C06F37"/>
    <w:rsid w:val="00C0799A"/>
    <w:rsid w:val="00C13438"/>
    <w:rsid w:val="00C13D43"/>
    <w:rsid w:val="00C170FF"/>
    <w:rsid w:val="00C173E1"/>
    <w:rsid w:val="00C2019E"/>
    <w:rsid w:val="00C20831"/>
    <w:rsid w:val="00C20C94"/>
    <w:rsid w:val="00C23760"/>
    <w:rsid w:val="00C2580C"/>
    <w:rsid w:val="00C27AEF"/>
    <w:rsid w:val="00C3110E"/>
    <w:rsid w:val="00C3466C"/>
    <w:rsid w:val="00C355FF"/>
    <w:rsid w:val="00C41162"/>
    <w:rsid w:val="00C41A64"/>
    <w:rsid w:val="00C47122"/>
    <w:rsid w:val="00C47959"/>
    <w:rsid w:val="00C47CEA"/>
    <w:rsid w:val="00C515E0"/>
    <w:rsid w:val="00C531A3"/>
    <w:rsid w:val="00C5533B"/>
    <w:rsid w:val="00C57F24"/>
    <w:rsid w:val="00C61F98"/>
    <w:rsid w:val="00C63EA6"/>
    <w:rsid w:val="00C6619F"/>
    <w:rsid w:val="00C6624A"/>
    <w:rsid w:val="00C71035"/>
    <w:rsid w:val="00C742C3"/>
    <w:rsid w:val="00C75559"/>
    <w:rsid w:val="00C76D88"/>
    <w:rsid w:val="00C77735"/>
    <w:rsid w:val="00C7785D"/>
    <w:rsid w:val="00C77A26"/>
    <w:rsid w:val="00C81552"/>
    <w:rsid w:val="00C85BDD"/>
    <w:rsid w:val="00C86B81"/>
    <w:rsid w:val="00C91557"/>
    <w:rsid w:val="00C92F74"/>
    <w:rsid w:val="00CA1C19"/>
    <w:rsid w:val="00CA204D"/>
    <w:rsid w:val="00CA2E14"/>
    <w:rsid w:val="00CA60CD"/>
    <w:rsid w:val="00CB10E9"/>
    <w:rsid w:val="00CB11D6"/>
    <w:rsid w:val="00CB1401"/>
    <w:rsid w:val="00CB2D09"/>
    <w:rsid w:val="00CB542E"/>
    <w:rsid w:val="00CB5475"/>
    <w:rsid w:val="00CB665E"/>
    <w:rsid w:val="00CB694F"/>
    <w:rsid w:val="00CB6E09"/>
    <w:rsid w:val="00CC09A7"/>
    <w:rsid w:val="00CC0FD9"/>
    <w:rsid w:val="00CC1F8F"/>
    <w:rsid w:val="00CD139B"/>
    <w:rsid w:val="00CD43AA"/>
    <w:rsid w:val="00CD5E59"/>
    <w:rsid w:val="00CD7831"/>
    <w:rsid w:val="00CE05D4"/>
    <w:rsid w:val="00CE4712"/>
    <w:rsid w:val="00CE4AF1"/>
    <w:rsid w:val="00CE672F"/>
    <w:rsid w:val="00CF0E0D"/>
    <w:rsid w:val="00CF1799"/>
    <w:rsid w:val="00CF53EE"/>
    <w:rsid w:val="00D01E5B"/>
    <w:rsid w:val="00D02378"/>
    <w:rsid w:val="00D02BE9"/>
    <w:rsid w:val="00D101DD"/>
    <w:rsid w:val="00D14423"/>
    <w:rsid w:val="00D15F27"/>
    <w:rsid w:val="00D17394"/>
    <w:rsid w:val="00D17B7F"/>
    <w:rsid w:val="00D21541"/>
    <w:rsid w:val="00D229A5"/>
    <w:rsid w:val="00D23FFF"/>
    <w:rsid w:val="00D26E5F"/>
    <w:rsid w:val="00D2778A"/>
    <w:rsid w:val="00D31043"/>
    <w:rsid w:val="00D32077"/>
    <w:rsid w:val="00D324C0"/>
    <w:rsid w:val="00D34A13"/>
    <w:rsid w:val="00D3640D"/>
    <w:rsid w:val="00D3682F"/>
    <w:rsid w:val="00D42AE0"/>
    <w:rsid w:val="00D43F4A"/>
    <w:rsid w:val="00D45330"/>
    <w:rsid w:val="00D45705"/>
    <w:rsid w:val="00D45A48"/>
    <w:rsid w:val="00D45DB8"/>
    <w:rsid w:val="00D45FAE"/>
    <w:rsid w:val="00D47D29"/>
    <w:rsid w:val="00D505CD"/>
    <w:rsid w:val="00D50821"/>
    <w:rsid w:val="00D52D25"/>
    <w:rsid w:val="00D6141E"/>
    <w:rsid w:val="00D65A57"/>
    <w:rsid w:val="00D66306"/>
    <w:rsid w:val="00D66B18"/>
    <w:rsid w:val="00D726DB"/>
    <w:rsid w:val="00D73164"/>
    <w:rsid w:val="00D74A35"/>
    <w:rsid w:val="00D77E53"/>
    <w:rsid w:val="00D8135F"/>
    <w:rsid w:val="00D81DD5"/>
    <w:rsid w:val="00D87BB8"/>
    <w:rsid w:val="00D90BD9"/>
    <w:rsid w:val="00D932C5"/>
    <w:rsid w:val="00D939A7"/>
    <w:rsid w:val="00D95753"/>
    <w:rsid w:val="00D9581C"/>
    <w:rsid w:val="00D95DCB"/>
    <w:rsid w:val="00D96228"/>
    <w:rsid w:val="00DA4D83"/>
    <w:rsid w:val="00DA5459"/>
    <w:rsid w:val="00DA619A"/>
    <w:rsid w:val="00DB0765"/>
    <w:rsid w:val="00DB357A"/>
    <w:rsid w:val="00DB3A42"/>
    <w:rsid w:val="00DB4233"/>
    <w:rsid w:val="00DB5097"/>
    <w:rsid w:val="00DC4F7C"/>
    <w:rsid w:val="00DC7134"/>
    <w:rsid w:val="00DC7C2C"/>
    <w:rsid w:val="00DD2256"/>
    <w:rsid w:val="00DD3B64"/>
    <w:rsid w:val="00DD4B55"/>
    <w:rsid w:val="00DD5871"/>
    <w:rsid w:val="00DE2F66"/>
    <w:rsid w:val="00DE32CE"/>
    <w:rsid w:val="00DE4173"/>
    <w:rsid w:val="00DE4592"/>
    <w:rsid w:val="00DE557F"/>
    <w:rsid w:val="00DE57CF"/>
    <w:rsid w:val="00DE7E6B"/>
    <w:rsid w:val="00DF4AB4"/>
    <w:rsid w:val="00DF6125"/>
    <w:rsid w:val="00E01761"/>
    <w:rsid w:val="00E06141"/>
    <w:rsid w:val="00E07280"/>
    <w:rsid w:val="00E13E05"/>
    <w:rsid w:val="00E15784"/>
    <w:rsid w:val="00E16734"/>
    <w:rsid w:val="00E179BE"/>
    <w:rsid w:val="00E20401"/>
    <w:rsid w:val="00E264D8"/>
    <w:rsid w:val="00E319F9"/>
    <w:rsid w:val="00E331C7"/>
    <w:rsid w:val="00E35240"/>
    <w:rsid w:val="00E36E18"/>
    <w:rsid w:val="00E37099"/>
    <w:rsid w:val="00E40A15"/>
    <w:rsid w:val="00E40CCE"/>
    <w:rsid w:val="00E40D01"/>
    <w:rsid w:val="00E43654"/>
    <w:rsid w:val="00E453FE"/>
    <w:rsid w:val="00E459FA"/>
    <w:rsid w:val="00E45A4B"/>
    <w:rsid w:val="00E46996"/>
    <w:rsid w:val="00E50522"/>
    <w:rsid w:val="00E52F87"/>
    <w:rsid w:val="00E55BBB"/>
    <w:rsid w:val="00E6120D"/>
    <w:rsid w:val="00E61D06"/>
    <w:rsid w:val="00E7043E"/>
    <w:rsid w:val="00E710DE"/>
    <w:rsid w:val="00E747D9"/>
    <w:rsid w:val="00E75D5D"/>
    <w:rsid w:val="00E766CA"/>
    <w:rsid w:val="00E77278"/>
    <w:rsid w:val="00E81F85"/>
    <w:rsid w:val="00E8413D"/>
    <w:rsid w:val="00E84C2A"/>
    <w:rsid w:val="00E87617"/>
    <w:rsid w:val="00E90CA1"/>
    <w:rsid w:val="00E91D25"/>
    <w:rsid w:val="00E95F4D"/>
    <w:rsid w:val="00E97067"/>
    <w:rsid w:val="00EA544F"/>
    <w:rsid w:val="00EA6E8E"/>
    <w:rsid w:val="00EA7978"/>
    <w:rsid w:val="00EA7D19"/>
    <w:rsid w:val="00EB7F70"/>
    <w:rsid w:val="00EC49E8"/>
    <w:rsid w:val="00EC4C2A"/>
    <w:rsid w:val="00EC6764"/>
    <w:rsid w:val="00EC726F"/>
    <w:rsid w:val="00EC7743"/>
    <w:rsid w:val="00EC7B8C"/>
    <w:rsid w:val="00ED2540"/>
    <w:rsid w:val="00ED48A6"/>
    <w:rsid w:val="00ED521A"/>
    <w:rsid w:val="00EE1F48"/>
    <w:rsid w:val="00EE3C5A"/>
    <w:rsid w:val="00EE4E0F"/>
    <w:rsid w:val="00EE504D"/>
    <w:rsid w:val="00EE75E3"/>
    <w:rsid w:val="00EE7777"/>
    <w:rsid w:val="00EF0C86"/>
    <w:rsid w:val="00EF2D7A"/>
    <w:rsid w:val="00EF586D"/>
    <w:rsid w:val="00F00B9A"/>
    <w:rsid w:val="00F0246E"/>
    <w:rsid w:val="00F026DB"/>
    <w:rsid w:val="00F04133"/>
    <w:rsid w:val="00F1073E"/>
    <w:rsid w:val="00F10B7C"/>
    <w:rsid w:val="00F1126D"/>
    <w:rsid w:val="00F12233"/>
    <w:rsid w:val="00F12CE1"/>
    <w:rsid w:val="00F14096"/>
    <w:rsid w:val="00F14820"/>
    <w:rsid w:val="00F247AC"/>
    <w:rsid w:val="00F24CEE"/>
    <w:rsid w:val="00F30DED"/>
    <w:rsid w:val="00F31DB2"/>
    <w:rsid w:val="00F3556C"/>
    <w:rsid w:val="00F37720"/>
    <w:rsid w:val="00F4046D"/>
    <w:rsid w:val="00F40A6C"/>
    <w:rsid w:val="00F4263B"/>
    <w:rsid w:val="00F426E0"/>
    <w:rsid w:val="00F44EA5"/>
    <w:rsid w:val="00F4518D"/>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67922"/>
    <w:rsid w:val="00F74422"/>
    <w:rsid w:val="00F75621"/>
    <w:rsid w:val="00F75EE2"/>
    <w:rsid w:val="00F76222"/>
    <w:rsid w:val="00F83712"/>
    <w:rsid w:val="00F86BEC"/>
    <w:rsid w:val="00F871C4"/>
    <w:rsid w:val="00F87E02"/>
    <w:rsid w:val="00F9447B"/>
    <w:rsid w:val="00F944E0"/>
    <w:rsid w:val="00F95C39"/>
    <w:rsid w:val="00F97BBD"/>
    <w:rsid w:val="00FA132A"/>
    <w:rsid w:val="00FA1FC3"/>
    <w:rsid w:val="00FA431A"/>
    <w:rsid w:val="00FA54C6"/>
    <w:rsid w:val="00FA59D8"/>
    <w:rsid w:val="00FA5E0B"/>
    <w:rsid w:val="00FA7BFA"/>
    <w:rsid w:val="00FB00F5"/>
    <w:rsid w:val="00FB0527"/>
    <w:rsid w:val="00FB28B7"/>
    <w:rsid w:val="00FB3A37"/>
    <w:rsid w:val="00FB52DC"/>
    <w:rsid w:val="00FB58A4"/>
    <w:rsid w:val="00FB61EE"/>
    <w:rsid w:val="00FB635D"/>
    <w:rsid w:val="00FB6BC1"/>
    <w:rsid w:val="00FC0EED"/>
    <w:rsid w:val="00FC11D2"/>
    <w:rsid w:val="00FC1405"/>
    <w:rsid w:val="00FC4104"/>
    <w:rsid w:val="00FD0FFF"/>
    <w:rsid w:val="00FD6BA7"/>
    <w:rsid w:val="00FE2208"/>
    <w:rsid w:val="00FE2769"/>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E4AF1"/>
  </w:style>
  <w:style w:type="paragraph" w:styleId="Heading1">
    <w:name w:val="heading 1"/>
    <w:basedOn w:val="Normal"/>
    <w:next w:val="Normal"/>
    <w:link w:val="Heading1Char"/>
    <w:uiPriority w:val="9"/>
    <w:qFormat/>
    <w:rsid w:val="00CE4AF1"/>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CE4AF1"/>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CE4AF1"/>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CE4AF1"/>
    <w:pPr>
      <w:keepNext/>
      <w:keepLines/>
      <w:spacing w:before="40" w:after="0"/>
      <w:outlineLvl w:val="3"/>
    </w:pPr>
    <w:rPr>
      <w:i/>
      <w:iCs/>
    </w:rPr>
  </w:style>
  <w:style w:type="paragraph" w:styleId="Heading5">
    <w:name w:val="heading 5"/>
    <w:basedOn w:val="Normal"/>
    <w:next w:val="Normal"/>
    <w:link w:val="Heading5Char"/>
    <w:uiPriority w:val="9"/>
    <w:unhideWhenUsed/>
    <w:qFormat/>
    <w:rsid w:val="00CE4AF1"/>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unhideWhenUsed/>
    <w:qFormat/>
    <w:rsid w:val="00CE4AF1"/>
    <w:pPr>
      <w:keepNext/>
      <w:keepLines/>
      <w:spacing w:before="40" w:after="0"/>
      <w:outlineLvl w:val="5"/>
    </w:pPr>
  </w:style>
  <w:style w:type="paragraph" w:styleId="Heading7">
    <w:name w:val="heading 7"/>
    <w:basedOn w:val="Normal"/>
    <w:next w:val="Normal"/>
    <w:link w:val="Heading7Char"/>
    <w:uiPriority w:val="9"/>
    <w:semiHidden/>
    <w:unhideWhenUsed/>
    <w:qFormat/>
    <w:rsid w:val="00CE4AF1"/>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CE4AF1"/>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CE4AF1"/>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E4AF1"/>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CE4AF1"/>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CE4AF1"/>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CE4AF1"/>
    <w:rPr>
      <w:i/>
      <w:iCs/>
    </w:rPr>
  </w:style>
  <w:style w:type="character" w:customStyle="1" w:styleId="Heading5Char">
    <w:name w:val="Heading 5 Char"/>
    <w:basedOn w:val="DefaultParagraphFont"/>
    <w:link w:val="Heading5"/>
    <w:uiPriority w:val="9"/>
    <w:rsid w:val="00CE4AF1"/>
    <w:rPr>
      <w:color w:val="404040" w:themeColor="text1" w:themeTint="BF"/>
    </w:rPr>
  </w:style>
  <w:style w:type="character" w:customStyle="1" w:styleId="Heading6Char">
    <w:name w:val="Heading 6 Char"/>
    <w:basedOn w:val="DefaultParagraphFont"/>
    <w:link w:val="Heading6"/>
    <w:uiPriority w:val="9"/>
    <w:rsid w:val="00CE4AF1"/>
  </w:style>
  <w:style w:type="character" w:customStyle="1" w:styleId="Heading7Char">
    <w:name w:val="Heading 7 Char"/>
    <w:basedOn w:val="DefaultParagraphFont"/>
    <w:link w:val="Heading7"/>
    <w:uiPriority w:val="9"/>
    <w:semiHidden/>
    <w:rsid w:val="00CE4AF1"/>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CE4AF1"/>
    <w:rPr>
      <w:color w:val="262626" w:themeColor="text1" w:themeTint="D9"/>
      <w:sz w:val="21"/>
      <w:szCs w:val="21"/>
    </w:rPr>
  </w:style>
  <w:style w:type="character" w:customStyle="1" w:styleId="Heading9Char">
    <w:name w:val="Heading 9 Char"/>
    <w:basedOn w:val="DefaultParagraphFont"/>
    <w:link w:val="Heading9"/>
    <w:uiPriority w:val="9"/>
    <w:semiHidden/>
    <w:rsid w:val="00CE4AF1"/>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CE4AF1"/>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CE4AF1"/>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CE4AF1"/>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CE4AF1"/>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CE4AF1"/>
    <w:rPr>
      <w:color w:val="5A5A5A" w:themeColor="text1" w:themeTint="A5"/>
      <w:spacing w:val="15"/>
    </w:rPr>
  </w:style>
  <w:style w:type="character" w:styleId="Strong">
    <w:name w:val="Strong"/>
    <w:basedOn w:val="DefaultParagraphFont"/>
    <w:uiPriority w:val="22"/>
    <w:qFormat/>
    <w:rsid w:val="00CE4AF1"/>
    <w:rPr>
      <w:b/>
      <w:bCs/>
      <w:color w:val="auto"/>
    </w:rPr>
  </w:style>
  <w:style w:type="character" w:styleId="Emphasis">
    <w:name w:val="Emphasis"/>
    <w:basedOn w:val="DefaultParagraphFont"/>
    <w:uiPriority w:val="20"/>
    <w:qFormat/>
    <w:rsid w:val="00CE4AF1"/>
    <w:rPr>
      <w:i/>
      <w:iCs/>
      <w:color w:val="auto"/>
    </w:rPr>
  </w:style>
  <w:style w:type="paragraph" w:styleId="NoSpacing">
    <w:name w:val="No Spacing"/>
    <w:uiPriority w:val="1"/>
    <w:qFormat/>
    <w:rsid w:val="00CE4AF1"/>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CE4AF1"/>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CE4AF1"/>
    <w:rPr>
      <w:i/>
      <w:iCs/>
      <w:color w:val="404040" w:themeColor="text1" w:themeTint="BF"/>
    </w:rPr>
  </w:style>
  <w:style w:type="paragraph" w:styleId="IntenseQuote">
    <w:name w:val="Intense Quote"/>
    <w:basedOn w:val="Normal"/>
    <w:next w:val="Normal"/>
    <w:link w:val="IntenseQuoteChar"/>
    <w:uiPriority w:val="30"/>
    <w:qFormat/>
    <w:rsid w:val="00CE4AF1"/>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CE4AF1"/>
    <w:rPr>
      <w:i/>
      <w:iCs/>
      <w:color w:val="404040" w:themeColor="text1" w:themeTint="BF"/>
    </w:rPr>
  </w:style>
  <w:style w:type="character" w:styleId="SubtleEmphasis">
    <w:name w:val="Subtle Emphasis"/>
    <w:basedOn w:val="DefaultParagraphFont"/>
    <w:uiPriority w:val="19"/>
    <w:qFormat/>
    <w:rsid w:val="00CE4AF1"/>
    <w:rPr>
      <w:i/>
      <w:iCs/>
      <w:color w:val="404040" w:themeColor="text1" w:themeTint="BF"/>
    </w:rPr>
  </w:style>
  <w:style w:type="character" w:styleId="IntenseEmphasis">
    <w:name w:val="Intense Emphasis"/>
    <w:basedOn w:val="DefaultParagraphFont"/>
    <w:uiPriority w:val="21"/>
    <w:qFormat/>
    <w:rsid w:val="00CE4AF1"/>
    <w:rPr>
      <w:b/>
      <w:bCs/>
      <w:i/>
      <w:iCs/>
      <w:color w:val="auto"/>
    </w:rPr>
  </w:style>
  <w:style w:type="character" w:styleId="SubtleReference">
    <w:name w:val="Subtle Reference"/>
    <w:basedOn w:val="DefaultParagraphFont"/>
    <w:uiPriority w:val="31"/>
    <w:qFormat/>
    <w:rsid w:val="00CE4AF1"/>
    <w:rPr>
      <w:smallCaps/>
      <w:color w:val="404040" w:themeColor="text1" w:themeTint="BF"/>
    </w:rPr>
  </w:style>
  <w:style w:type="character" w:styleId="IntenseReference">
    <w:name w:val="Intense Reference"/>
    <w:basedOn w:val="DefaultParagraphFont"/>
    <w:uiPriority w:val="32"/>
    <w:qFormat/>
    <w:rsid w:val="00CE4AF1"/>
    <w:rPr>
      <w:b/>
      <w:bCs/>
      <w:smallCaps/>
      <w:color w:val="404040" w:themeColor="text1" w:themeTint="BF"/>
      <w:spacing w:val="5"/>
    </w:rPr>
  </w:style>
  <w:style w:type="character" w:styleId="BookTitle">
    <w:name w:val="Book Title"/>
    <w:basedOn w:val="DefaultParagraphFont"/>
    <w:uiPriority w:val="33"/>
    <w:qFormat/>
    <w:rsid w:val="00CE4AF1"/>
    <w:rPr>
      <w:b/>
      <w:bCs/>
      <w:i/>
      <w:iCs/>
      <w:spacing w:val="5"/>
    </w:rPr>
  </w:style>
  <w:style w:type="paragraph" w:styleId="TOCHeading">
    <w:name w:val="TOC Heading"/>
    <w:basedOn w:val="Heading1"/>
    <w:next w:val="Normal"/>
    <w:uiPriority w:val="39"/>
    <w:semiHidden/>
    <w:unhideWhenUsed/>
    <w:qFormat/>
    <w:rsid w:val="00CE4AF1"/>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j-keyword">
    <w:name w:val="ej-keyword"/>
    <w:basedOn w:val="DefaultParagraphFont"/>
    <w:rsid w:val="00C20831"/>
  </w:style>
  <w:style w:type="paragraph" w:styleId="NormalWeb">
    <w:name w:val="Normal (Web)"/>
    <w:basedOn w:val="Normal"/>
    <w:uiPriority w:val="99"/>
    <w:semiHidden/>
    <w:unhideWhenUsed/>
    <w:rsid w:val="00C20831"/>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C20831"/>
    <w:rPr>
      <w:color w:val="0000FF"/>
      <w:u w:val="single"/>
    </w:rPr>
  </w:style>
  <w:style w:type="character" w:styleId="FollowedHyperlink">
    <w:name w:val="FollowedHyperlink"/>
    <w:basedOn w:val="DefaultParagraphFont"/>
    <w:uiPriority w:val="99"/>
    <w:semiHidden/>
    <w:unhideWhenUsed/>
    <w:rsid w:val="00C20831"/>
    <w:rPr>
      <w:color w:val="800080"/>
      <w:u w:val="single"/>
    </w:rPr>
  </w:style>
  <w:style w:type="paragraph" w:customStyle="1" w:styleId="ejp-article-indicatorslist-item">
    <w:name w:val="ejp-article-indicators__list-item"/>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wk-articlelist-item">
    <w:name w:val="wk-article__list-item"/>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nternal-links">
    <w:name w:val="internal-links"/>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character" w:styleId="UnresolvedMention">
    <w:name w:val="Unresolved Mention"/>
    <w:basedOn w:val="DefaultParagraphFont"/>
    <w:uiPriority w:val="99"/>
    <w:semiHidden/>
    <w:unhideWhenUsed/>
    <w:rsid w:val="00C20831"/>
    <w:rPr>
      <w:color w:val="605E5C"/>
      <w:shd w:val="clear" w:color="auto" w:fill="E1DFDD"/>
    </w:rPr>
  </w:style>
  <w:style w:type="paragraph" w:customStyle="1" w:styleId="previous">
    <w:name w:val="previous"/>
    <w:basedOn w:val="Normal"/>
    <w:rsid w:val="00233BB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utton-alternative-text">
    <w:name w:val="button-alternative-text"/>
    <w:basedOn w:val="DefaultParagraphFont"/>
    <w:rsid w:val="00233BB2"/>
  </w:style>
  <w:style w:type="character" w:customStyle="1" w:styleId="extra-detail-1">
    <w:name w:val="extra-detail-1"/>
    <w:basedOn w:val="DefaultParagraphFont"/>
    <w:rsid w:val="00233BB2"/>
  </w:style>
  <w:style w:type="character" w:customStyle="1" w:styleId="extra-detail-2">
    <w:name w:val="extra-detail-2"/>
    <w:basedOn w:val="DefaultParagraphFont"/>
    <w:rsid w:val="00233BB2"/>
  </w:style>
  <w:style w:type="paragraph" w:customStyle="1" w:styleId="next">
    <w:name w:val="next"/>
    <w:basedOn w:val="Normal"/>
    <w:rsid w:val="00233BB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display">
    <w:name w:val="display"/>
    <w:basedOn w:val="DefaultParagraphFont"/>
    <w:rsid w:val="00233BB2"/>
  </w:style>
  <w:style w:type="character" w:customStyle="1" w:styleId="captions">
    <w:name w:val="captions"/>
    <w:basedOn w:val="DefaultParagraphFont"/>
    <w:rsid w:val="00233BB2"/>
  </w:style>
  <w:style w:type="character" w:customStyle="1" w:styleId="label">
    <w:name w:val="label"/>
    <w:basedOn w:val="DefaultParagraphFont"/>
    <w:rsid w:val="00233BB2"/>
  </w:style>
  <w:style w:type="character" w:customStyle="1" w:styleId="anchor-text">
    <w:name w:val="anchor-text"/>
    <w:basedOn w:val="DefaultParagraphFont"/>
    <w:rsid w:val="00233BB2"/>
  </w:style>
  <w:style w:type="paragraph" w:customStyle="1" w:styleId="body-paragraph">
    <w:name w:val="body-paragraph"/>
    <w:basedOn w:val="Normal"/>
    <w:rsid w:val="009F2CC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edium-bold">
    <w:name w:val="medium-bold"/>
    <w:basedOn w:val="DefaultParagraphFont"/>
    <w:rsid w:val="009F2CC2"/>
  </w:style>
  <w:style w:type="character" w:customStyle="1" w:styleId="centered">
    <w:name w:val="centered"/>
    <w:basedOn w:val="DefaultParagraphFont"/>
    <w:rsid w:val="009F2CC2"/>
  </w:style>
  <w:style w:type="character" w:customStyle="1" w:styleId="figure">
    <w:name w:val="figure"/>
    <w:basedOn w:val="DefaultParagraphFont"/>
    <w:rsid w:val="006D53A1"/>
  </w:style>
  <w:style w:type="character" w:customStyle="1" w:styleId="overlay">
    <w:name w:val="overlay"/>
    <w:basedOn w:val="DefaultParagraphFont"/>
    <w:rsid w:val="006D53A1"/>
  </w:style>
  <w:style w:type="character" w:customStyle="1" w:styleId="captionlabel">
    <w:name w:val="captionlabel"/>
    <w:basedOn w:val="DefaultParagraphFont"/>
    <w:rsid w:val="006D53A1"/>
  </w:style>
  <w:style w:type="character" w:customStyle="1" w:styleId="nlmfn">
    <w:name w:val="nlm_fn"/>
    <w:basedOn w:val="DefaultParagraphFont"/>
    <w:rsid w:val="006D53A1"/>
  </w:style>
  <w:style w:type="character" w:customStyle="1" w:styleId="fn-label">
    <w:name w:val="fn-label"/>
    <w:basedOn w:val="DefaultParagraphFont"/>
    <w:rsid w:val="006D53A1"/>
  </w:style>
  <w:style w:type="character" w:customStyle="1" w:styleId="nlmyear">
    <w:name w:val="nlm_year"/>
    <w:basedOn w:val="DefaultParagraphFont"/>
    <w:rsid w:val="006D53A1"/>
  </w:style>
  <w:style w:type="character" w:customStyle="1" w:styleId="nlmarticle-title">
    <w:name w:val="nlm_article-title"/>
    <w:basedOn w:val="DefaultParagraphFont"/>
    <w:rsid w:val="006D53A1"/>
  </w:style>
  <w:style w:type="character" w:customStyle="1" w:styleId="nlmfpage">
    <w:name w:val="nlm_fpage"/>
    <w:basedOn w:val="DefaultParagraphFont"/>
    <w:rsid w:val="006D53A1"/>
  </w:style>
  <w:style w:type="character" w:customStyle="1" w:styleId="nlmlpage">
    <w:name w:val="nlm_lpage"/>
    <w:basedOn w:val="DefaultParagraphFont"/>
    <w:rsid w:val="006D53A1"/>
  </w:style>
  <w:style w:type="character" w:customStyle="1" w:styleId="ref-google">
    <w:name w:val="ref-google"/>
    <w:basedOn w:val="DefaultParagraphFont"/>
    <w:rsid w:val="006D53A1"/>
  </w:style>
  <w:style w:type="character" w:customStyle="1" w:styleId="ref-xlink">
    <w:name w:val="ref-xlink"/>
    <w:basedOn w:val="DefaultParagraphFont"/>
    <w:rsid w:val="006D53A1"/>
  </w:style>
  <w:style w:type="character" w:customStyle="1" w:styleId="ref-sfxlink">
    <w:name w:val="ref-sfxlink"/>
    <w:basedOn w:val="DefaultParagraphFont"/>
    <w:rsid w:val="006D53A1"/>
  </w:style>
  <w:style w:type="character" w:customStyle="1" w:styleId="nlmpublisher-loc">
    <w:name w:val="nlm_publisher-loc"/>
    <w:basedOn w:val="DefaultParagraphFont"/>
    <w:rsid w:val="006D53A1"/>
  </w:style>
  <w:style w:type="character" w:customStyle="1" w:styleId="nlmpublisher-name">
    <w:name w:val="nlm_publisher-name"/>
    <w:basedOn w:val="DefaultParagraphFont"/>
    <w:rsid w:val="006D53A1"/>
  </w:style>
  <w:style w:type="paragraph" w:customStyle="1" w:styleId="p">
    <w:name w:val="p"/>
    <w:basedOn w:val="Normal"/>
    <w:rsid w:val="0027699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kwd-text">
    <w:name w:val="kwd-text"/>
    <w:basedOn w:val="DefaultParagraphFont"/>
    <w:rsid w:val="0027699C"/>
  </w:style>
  <w:style w:type="character" w:customStyle="1" w:styleId="figpopup-sensitive-area">
    <w:name w:val="figpopup-sensitive-area"/>
    <w:basedOn w:val="DefaultParagraphFont"/>
    <w:rsid w:val="0027699C"/>
  </w:style>
  <w:style w:type="paragraph" w:customStyle="1" w:styleId="fn">
    <w:name w:val="fn"/>
    <w:basedOn w:val="Normal"/>
    <w:rsid w:val="0027699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lement-citation">
    <w:name w:val="element-citation"/>
    <w:basedOn w:val="DefaultParagraphFont"/>
    <w:rsid w:val="0027699C"/>
  </w:style>
  <w:style w:type="character" w:customStyle="1" w:styleId="ref-journal">
    <w:name w:val="ref-journal"/>
    <w:basedOn w:val="DefaultParagraphFont"/>
    <w:rsid w:val="0027699C"/>
  </w:style>
  <w:style w:type="character" w:customStyle="1" w:styleId="ref-vol">
    <w:name w:val="ref-vol"/>
    <w:basedOn w:val="DefaultParagraphFont"/>
    <w:rsid w:val="0027699C"/>
  </w:style>
  <w:style w:type="character" w:customStyle="1" w:styleId="nowrap">
    <w:name w:val="nowrap"/>
    <w:basedOn w:val="DefaultParagraphFont"/>
    <w:rsid w:val="0027699C"/>
  </w:style>
  <w:style w:type="paragraph" w:customStyle="1" w:styleId="continued">
    <w:name w:val="continued"/>
    <w:basedOn w:val="Normal"/>
    <w:rsid w:val="00D9575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learfloat">
    <w:name w:val="clearfloat"/>
    <w:basedOn w:val="Normal"/>
    <w:rsid w:val="00D9575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lminline-graphic">
    <w:name w:val="nlm_inline-graphic"/>
    <w:basedOn w:val="DefaultParagraphFont"/>
    <w:rsid w:val="00944E4A"/>
  </w:style>
  <w:style w:type="character" w:customStyle="1" w:styleId="nlmedition">
    <w:name w:val="nlm_edition"/>
    <w:basedOn w:val="DefaultParagraphFont"/>
    <w:rsid w:val="00944E4A"/>
  </w:style>
  <w:style w:type="character" w:customStyle="1" w:styleId="download-link-title">
    <w:name w:val="download-link-title"/>
    <w:basedOn w:val="DefaultParagraphFont"/>
    <w:rsid w:val="00BD0687"/>
  </w:style>
  <w:style w:type="paragraph" w:customStyle="1" w:styleId="legend">
    <w:name w:val="legend"/>
    <w:basedOn w:val="Normal"/>
    <w:rsid w:val="00BD068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le-text">
    <w:name w:val="title-text"/>
    <w:basedOn w:val="DefaultParagraphFont"/>
    <w:rsid w:val="004830DC"/>
  </w:style>
  <w:style w:type="character" w:customStyle="1" w:styleId="sr-only">
    <w:name w:val="sr-only"/>
    <w:basedOn w:val="DefaultParagraphFont"/>
    <w:rsid w:val="004830DC"/>
  </w:style>
  <w:style w:type="character" w:customStyle="1" w:styleId="content">
    <w:name w:val="content"/>
    <w:basedOn w:val="DefaultParagraphFont"/>
    <w:rsid w:val="004830DC"/>
  </w:style>
  <w:style w:type="character" w:customStyle="1" w:styleId="text">
    <w:name w:val="text"/>
    <w:basedOn w:val="DefaultParagraphFont"/>
    <w:rsid w:val="004830DC"/>
  </w:style>
  <w:style w:type="character" w:customStyle="1" w:styleId="author-ref">
    <w:name w:val="author-ref"/>
    <w:basedOn w:val="DefaultParagraphFont"/>
    <w:rsid w:val="004830DC"/>
  </w:style>
  <w:style w:type="character" w:customStyle="1" w:styleId="button-text">
    <w:name w:val="button-text"/>
    <w:basedOn w:val="DefaultParagraphFont"/>
    <w:rsid w:val="004830DC"/>
  </w:style>
  <w:style w:type="character" w:customStyle="1" w:styleId="button-link-text">
    <w:name w:val="button-link-text"/>
    <w:basedOn w:val="DefaultParagraphFont"/>
    <w:rsid w:val="004830DC"/>
  </w:style>
  <w:style w:type="character" w:customStyle="1" w:styleId="formula">
    <w:name w:val="formula"/>
    <w:basedOn w:val="DefaultParagraphFont"/>
    <w:rsid w:val="000372ED"/>
  </w:style>
  <w:style w:type="character" w:customStyle="1" w:styleId="math">
    <w:name w:val="math"/>
    <w:basedOn w:val="DefaultParagraphFont"/>
    <w:rsid w:val="000372ED"/>
  </w:style>
  <w:style w:type="character" w:customStyle="1" w:styleId="mathjaxpreview">
    <w:name w:val="mathjax_preview"/>
    <w:basedOn w:val="DefaultParagraphFont"/>
    <w:rsid w:val="000372ED"/>
  </w:style>
  <w:style w:type="character" w:customStyle="1" w:styleId="mathjaxsvg">
    <w:name w:val="mathjax_svg"/>
    <w:basedOn w:val="DefaultParagraphFont"/>
    <w:rsid w:val="000372ED"/>
  </w:style>
  <w:style w:type="character" w:customStyle="1" w:styleId="mjxassistivemathml">
    <w:name w:val="mjx_assistive_mathml"/>
    <w:basedOn w:val="DefaultParagraphFont"/>
    <w:rsid w:val="000372ED"/>
  </w:style>
  <w:style w:type="character" w:customStyle="1" w:styleId="e-component">
    <w:name w:val="e-component"/>
    <w:basedOn w:val="DefaultParagraphFont"/>
    <w:rsid w:val="000372ED"/>
  </w:style>
  <w:style w:type="character" w:customStyle="1" w:styleId="article-attachment">
    <w:name w:val="article-attachment"/>
    <w:basedOn w:val="DefaultParagraphFont"/>
    <w:rsid w:val="000372ED"/>
  </w:style>
  <w:style w:type="character" w:customStyle="1" w:styleId="copyright-line">
    <w:name w:val="copyright-line"/>
    <w:basedOn w:val="DefaultParagraphFont"/>
    <w:rsid w:val="00160CBF"/>
  </w:style>
  <w:style w:type="paragraph" w:customStyle="1" w:styleId="here">
    <w:name w:val="here"/>
    <w:basedOn w:val="Normal"/>
    <w:rsid w:val="006A0D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abtext">
    <w:name w:val="tabtext"/>
    <w:basedOn w:val="Normal"/>
    <w:rsid w:val="006A0D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eftext">
    <w:name w:val="$reftext"/>
    <w:basedOn w:val="Normal"/>
    <w:rsid w:val="006A0D3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ighwire-citation-authors">
    <w:name w:val="highwire-citation-authors"/>
    <w:basedOn w:val="DefaultParagraphFont"/>
    <w:rsid w:val="007227A0"/>
  </w:style>
  <w:style w:type="character" w:customStyle="1" w:styleId="highwire-citation-author">
    <w:name w:val="highwire-citation-author"/>
    <w:basedOn w:val="DefaultParagraphFont"/>
    <w:rsid w:val="007227A0"/>
  </w:style>
  <w:style w:type="character" w:customStyle="1" w:styleId="nlm-given-names">
    <w:name w:val="nlm-given-names"/>
    <w:basedOn w:val="DefaultParagraphFont"/>
    <w:rsid w:val="007227A0"/>
  </w:style>
  <w:style w:type="character" w:customStyle="1" w:styleId="nlm-surname">
    <w:name w:val="nlm-surname"/>
    <w:basedOn w:val="DefaultParagraphFont"/>
    <w:rsid w:val="007227A0"/>
  </w:style>
  <w:style w:type="character" w:customStyle="1" w:styleId="Title1">
    <w:name w:val="Title1"/>
    <w:basedOn w:val="DefaultParagraphFont"/>
    <w:rsid w:val="007227A0"/>
  </w:style>
  <w:style w:type="character" w:customStyle="1" w:styleId="highwire-cite-metadata-doi">
    <w:name w:val="highwire-cite-metadata-doi"/>
    <w:basedOn w:val="DefaultParagraphFont"/>
    <w:rsid w:val="007227A0"/>
  </w:style>
  <w:style w:type="paragraph" w:customStyle="1" w:styleId="first">
    <w:name w:val="first"/>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ctive">
    <w:name w:val="active"/>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ast">
    <w:name w:val="last"/>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ighwire-journal-article-marker-start">
    <w:name w:val="highwire-journal-article-marker-start"/>
    <w:basedOn w:val="DefaultParagraphFont"/>
    <w:rsid w:val="007227A0"/>
  </w:style>
  <w:style w:type="character" w:customStyle="1" w:styleId="hw-responsive-img">
    <w:name w:val="hw-responsive-img"/>
    <w:basedOn w:val="DefaultParagraphFont"/>
    <w:rsid w:val="007227A0"/>
  </w:style>
  <w:style w:type="paragraph" w:customStyle="1" w:styleId="download-fig">
    <w:name w:val="download-fig"/>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ew-tab">
    <w:name w:val="new-tab"/>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ig-label">
    <w:name w:val="fig-label"/>
    <w:basedOn w:val="DefaultParagraphFont"/>
    <w:rsid w:val="007227A0"/>
  </w:style>
  <w:style w:type="character" w:customStyle="1" w:styleId="caption-title">
    <w:name w:val="caption-title"/>
    <w:basedOn w:val="DefaultParagraphFont"/>
    <w:rsid w:val="007227A0"/>
  </w:style>
  <w:style w:type="paragraph" w:customStyle="1" w:styleId="view-inline">
    <w:name w:val="view-inline"/>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view-popup">
    <w:name w:val="view-popup"/>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able-label">
    <w:name w:val="table-label"/>
    <w:basedOn w:val="DefaultParagraphFont"/>
    <w:rsid w:val="007227A0"/>
  </w:style>
  <w:style w:type="paragraph" w:customStyle="1" w:styleId="first-child">
    <w:name w:val="first-child"/>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n-other">
    <w:name w:val="fn-other"/>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ef-label">
    <w:name w:val="ref-label"/>
    <w:basedOn w:val="DefaultParagraphFont"/>
    <w:rsid w:val="007227A0"/>
  </w:style>
  <w:style w:type="character" w:styleId="HTMLCite">
    <w:name w:val="HTML Cite"/>
    <w:basedOn w:val="DefaultParagraphFont"/>
    <w:uiPriority w:val="99"/>
    <w:semiHidden/>
    <w:unhideWhenUsed/>
    <w:rsid w:val="007227A0"/>
    <w:rPr>
      <w:i/>
      <w:iCs/>
    </w:rPr>
  </w:style>
  <w:style w:type="character" w:customStyle="1" w:styleId="cit-auth">
    <w:name w:val="cit-auth"/>
    <w:basedOn w:val="DefaultParagraphFont"/>
    <w:rsid w:val="007227A0"/>
  </w:style>
  <w:style w:type="character" w:customStyle="1" w:styleId="cit-name-given-names">
    <w:name w:val="cit-name-given-names"/>
    <w:basedOn w:val="DefaultParagraphFont"/>
    <w:rsid w:val="007227A0"/>
  </w:style>
  <w:style w:type="character" w:customStyle="1" w:styleId="cit-name-surname">
    <w:name w:val="cit-name-surname"/>
    <w:basedOn w:val="DefaultParagraphFont"/>
    <w:rsid w:val="007227A0"/>
  </w:style>
  <w:style w:type="character" w:customStyle="1" w:styleId="cit-etal">
    <w:name w:val="cit-etal"/>
    <w:basedOn w:val="DefaultParagraphFont"/>
    <w:rsid w:val="007227A0"/>
  </w:style>
  <w:style w:type="character" w:customStyle="1" w:styleId="cit-article-title">
    <w:name w:val="cit-article-title"/>
    <w:basedOn w:val="DefaultParagraphFont"/>
    <w:rsid w:val="007227A0"/>
  </w:style>
  <w:style w:type="character" w:customStyle="1" w:styleId="cit-vol">
    <w:name w:val="cit-vol"/>
    <w:basedOn w:val="DefaultParagraphFont"/>
    <w:rsid w:val="007227A0"/>
  </w:style>
  <w:style w:type="character" w:customStyle="1" w:styleId="cit-issue">
    <w:name w:val="cit-issue"/>
    <w:basedOn w:val="DefaultParagraphFont"/>
    <w:rsid w:val="007227A0"/>
  </w:style>
  <w:style w:type="character" w:customStyle="1" w:styleId="cit-fpage">
    <w:name w:val="cit-fpage"/>
    <w:basedOn w:val="DefaultParagraphFont"/>
    <w:rsid w:val="007227A0"/>
  </w:style>
  <w:style w:type="character" w:customStyle="1" w:styleId="cit-lpage">
    <w:name w:val="cit-lpage"/>
    <w:basedOn w:val="DefaultParagraphFont"/>
    <w:rsid w:val="007227A0"/>
  </w:style>
  <w:style w:type="character" w:customStyle="1" w:styleId="cit-month">
    <w:name w:val="cit-month"/>
    <w:basedOn w:val="DefaultParagraphFont"/>
    <w:rsid w:val="007227A0"/>
  </w:style>
  <w:style w:type="character" w:customStyle="1" w:styleId="cit-pub-date">
    <w:name w:val="cit-pub-date"/>
    <w:basedOn w:val="DefaultParagraphFont"/>
    <w:rsid w:val="007227A0"/>
  </w:style>
  <w:style w:type="character" w:customStyle="1" w:styleId="cit-reflinks-abstract">
    <w:name w:val="cit-reflinks-abstract"/>
    <w:basedOn w:val="DefaultParagraphFont"/>
    <w:rsid w:val="007227A0"/>
  </w:style>
  <w:style w:type="character" w:customStyle="1" w:styleId="cit-sep">
    <w:name w:val="cit-sep"/>
    <w:basedOn w:val="DefaultParagraphFont"/>
    <w:rsid w:val="007227A0"/>
  </w:style>
  <w:style w:type="character" w:customStyle="1" w:styleId="cit-reflinks-full-text">
    <w:name w:val="cit-reflinks-full-text"/>
    <w:basedOn w:val="DefaultParagraphFont"/>
    <w:rsid w:val="007227A0"/>
  </w:style>
  <w:style w:type="character" w:customStyle="1" w:styleId="free-full-text">
    <w:name w:val="free-full-text"/>
    <w:basedOn w:val="DefaultParagraphFont"/>
    <w:rsid w:val="007227A0"/>
  </w:style>
  <w:style w:type="character" w:customStyle="1" w:styleId="cit-date-in-citation">
    <w:name w:val="cit-date-in-citation"/>
    <w:basedOn w:val="DefaultParagraphFont"/>
    <w:rsid w:val="007227A0"/>
  </w:style>
  <w:style w:type="character" w:customStyle="1" w:styleId="cit-pub-id-sep">
    <w:name w:val="cit-pub-id-sep"/>
    <w:basedOn w:val="DefaultParagraphFont"/>
    <w:rsid w:val="007227A0"/>
  </w:style>
  <w:style w:type="character" w:customStyle="1" w:styleId="cit-pub-id-scheme">
    <w:name w:val="cit-pub-id-scheme"/>
    <w:basedOn w:val="DefaultParagraphFont"/>
    <w:rsid w:val="007227A0"/>
  </w:style>
  <w:style w:type="character" w:customStyle="1" w:styleId="cit-pub-id">
    <w:name w:val="cit-pub-id"/>
    <w:basedOn w:val="DefaultParagraphFont"/>
    <w:rsid w:val="007227A0"/>
  </w:style>
  <w:style w:type="character" w:customStyle="1" w:styleId="em-link">
    <w:name w:val="em-link"/>
    <w:basedOn w:val="DefaultParagraphFont"/>
    <w:rsid w:val="00E40D01"/>
  </w:style>
  <w:style w:type="character" w:customStyle="1" w:styleId="em-addr">
    <w:name w:val="em-addr"/>
    <w:basedOn w:val="DefaultParagraphFont"/>
    <w:rsid w:val="00E40D01"/>
  </w:style>
  <w:style w:type="character" w:customStyle="1" w:styleId="disp-formula">
    <w:name w:val="disp-formula"/>
    <w:basedOn w:val="DefaultParagraphFont"/>
    <w:rsid w:val="00E40D01"/>
  </w:style>
  <w:style w:type="character" w:customStyle="1" w:styleId="highwire-responsive-lazyload">
    <w:name w:val="highwire-responsive-lazyload"/>
    <w:basedOn w:val="DefaultParagraphFont"/>
    <w:rsid w:val="00E40D01"/>
  </w:style>
  <w:style w:type="character" w:customStyle="1" w:styleId="cit-source">
    <w:name w:val="cit-source"/>
    <w:basedOn w:val="DefaultParagraphFont"/>
    <w:rsid w:val="00E40D01"/>
  </w:style>
  <w:style w:type="character" w:customStyle="1" w:styleId="cit-publ-name">
    <w:name w:val="cit-publ-name"/>
    <w:basedOn w:val="DefaultParagraphFont"/>
    <w:rsid w:val="00E40D01"/>
  </w:style>
  <w:style w:type="character" w:customStyle="1" w:styleId="cit-publ-loc">
    <w:name w:val="cit-publ-loc"/>
    <w:basedOn w:val="DefaultParagraphFont"/>
    <w:rsid w:val="00E40D01"/>
  </w:style>
  <w:style w:type="character" w:customStyle="1" w:styleId="highwire-journal-article-marker-end">
    <w:name w:val="highwire-journal-article-marker-end"/>
    <w:basedOn w:val="DefaultParagraphFont"/>
    <w:rsid w:val="00E40D01"/>
  </w:style>
  <w:style w:type="character" w:customStyle="1" w:styleId="number">
    <w:name w:val="number"/>
    <w:basedOn w:val="DefaultParagraphFont"/>
    <w:rsid w:val="00CE672F"/>
  </w:style>
  <w:style w:type="character" w:customStyle="1" w:styleId="ref-link">
    <w:name w:val="ref-link"/>
    <w:basedOn w:val="DefaultParagraphFont"/>
    <w:rsid w:val="00CE672F"/>
  </w:style>
  <w:style w:type="character" w:customStyle="1" w:styleId="small-caps">
    <w:name w:val="small-caps"/>
    <w:basedOn w:val="DefaultParagraphFont"/>
    <w:rsid w:val="00936752"/>
  </w:style>
  <w:style w:type="character" w:customStyle="1" w:styleId="epub-state">
    <w:name w:val="epub-state"/>
    <w:basedOn w:val="DefaultParagraphFont"/>
    <w:rsid w:val="00465062"/>
  </w:style>
  <w:style w:type="character" w:customStyle="1" w:styleId="epub-date">
    <w:name w:val="epub-date"/>
    <w:basedOn w:val="DefaultParagraphFont"/>
    <w:rsid w:val="00465062"/>
  </w:style>
  <w:style w:type="character" w:customStyle="1" w:styleId="openurl">
    <w:name w:val="openurl"/>
    <w:basedOn w:val="DefaultParagraphFont"/>
    <w:rsid w:val="00465062"/>
  </w:style>
  <w:style w:type="character" w:customStyle="1" w:styleId="table-captionlabel">
    <w:name w:val="table-caption__label"/>
    <w:basedOn w:val="DefaultParagraphFont"/>
    <w:rsid w:val="00465062"/>
  </w:style>
  <w:style w:type="character" w:customStyle="1" w:styleId="sectiontitle">
    <w:name w:val="section__title"/>
    <w:basedOn w:val="DefaultParagraphFont"/>
    <w:rsid w:val="00465062"/>
  </w:style>
  <w:style w:type="character" w:customStyle="1" w:styleId="author">
    <w:name w:val="author"/>
    <w:basedOn w:val="DefaultParagraphFont"/>
    <w:rsid w:val="00465062"/>
  </w:style>
  <w:style w:type="character" w:customStyle="1" w:styleId="pubyear">
    <w:name w:val="pubyear"/>
    <w:basedOn w:val="DefaultParagraphFont"/>
    <w:rsid w:val="00465062"/>
  </w:style>
  <w:style w:type="character" w:customStyle="1" w:styleId="articletitle">
    <w:name w:val="articletitle"/>
    <w:basedOn w:val="DefaultParagraphFont"/>
    <w:rsid w:val="00465062"/>
  </w:style>
  <w:style w:type="character" w:customStyle="1" w:styleId="vol">
    <w:name w:val="vol"/>
    <w:basedOn w:val="DefaultParagraphFont"/>
    <w:rsid w:val="00465062"/>
  </w:style>
  <w:style w:type="character" w:customStyle="1" w:styleId="citedissue">
    <w:name w:val="citedissue"/>
    <w:basedOn w:val="DefaultParagraphFont"/>
    <w:rsid w:val="00465062"/>
  </w:style>
  <w:style w:type="character" w:customStyle="1" w:styleId="pagefirst">
    <w:name w:val="pagefirst"/>
    <w:basedOn w:val="DefaultParagraphFont"/>
    <w:rsid w:val="00465062"/>
  </w:style>
  <w:style w:type="character" w:customStyle="1" w:styleId="pagelast">
    <w:name w:val="pagelast"/>
    <w:basedOn w:val="DefaultParagraphFont"/>
    <w:rsid w:val="00465062"/>
  </w:style>
  <w:style w:type="character" w:customStyle="1" w:styleId="othertitle">
    <w:name w:val="othertitle"/>
    <w:basedOn w:val="DefaultParagraphFont"/>
    <w:rsid w:val="00465062"/>
  </w:style>
  <w:style w:type="character" w:customStyle="1" w:styleId="groupname">
    <w:name w:val="groupname"/>
    <w:basedOn w:val="DefaultParagraphFont"/>
    <w:rsid w:val="00465062"/>
  </w:style>
  <w:style w:type="character" w:customStyle="1" w:styleId="booktitle0">
    <w:name w:val="booktitle"/>
    <w:basedOn w:val="DefaultParagraphFont"/>
    <w:rsid w:val="00465062"/>
  </w:style>
  <w:style w:type="character" w:customStyle="1" w:styleId="publisherlocation">
    <w:name w:val="publisherlocation"/>
    <w:basedOn w:val="DefaultParagraphFont"/>
    <w:rsid w:val="00465062"/>
  </w:style>
  <w:style w:type="character" w:customStyle="1" w:styleId="contribdegrees">
    <w:name w:val="contribdegrees"/>
    <w:basedOn w:val="DefaultParagraphFont"/>
    <w:rsid w:val="00CF1799"/>
  </w:style>
  <w:style w:type="character" w:customStyle="1" w:styleId="degreescomma">
    <w:name w:val="degreescomma"/>
    <w:basedOn w:val="DefaultParagraphFont"/>
    <w:rsid w:val="00CF1799"/>
  </w:style>
  <w:style w:type="character" w:customStyle="1" w:styleId="publicationcontentepubdate">
    <w:name w:val="publicationcontentepubdate"/>
    <w:basedOn w:val="DefaultParagraphFont"/>
    <w:rsid w:val="00CF1799"/>
  </w:style>
  <w:style w:type="character" w:customStyle="1" w:styleId="articletype">
    <w:name w:val="articletype"/>
    <w:basedOn w:val="DefaultParagraphFont"/>
    <w:rsid w:val="00CF1799"/>
  </w:style>
  <w:style w:type="character" w:customStyle="1" w:styleId="crossmark">
    <w:name w:val="crossmark"/>
    <w:basedOn w:val="DefaultParagraphFont"/>
    <w:rsid w:val="00CF1799"/>
  </w:style>
  <w:style w:type="character" w:customStyle="1" w:styleId="doiwidgetlabel">
    <w:name w:val="doiwidgetlabel"/>
    <w:basedOn w:val="DefaultParagraphFont"/>
    <w:rsid w:val="00CF1799"/>
  </w:style>
  <w:style w:type="character" w:customStyle="1" w:styleId="arrow-up">
    <w:name w:val="arrow-up"/>
    <w:basedOn w:val="DefaultParagraphFont"/>
    <w:rsid w:val="00CF1799"/>
  </w:style>
  <w:style w:type="paragraph" w:customStyle="1" w:styleId="fulltext">
    <w:name w:val="fulltext"/>
    <w:basedOn w:val="Normal"/>
    <w:rsid w:val="00CF179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lmsupplement">
    <w:name w:val="nlm_supplement"/>
    <w:basedOn w:val="DefaultParagraphFont"/>
    <w:rsid w:val="00CF1799"/>
  </w:style>
  <w:style w:type="character" w:customStyle="1" w:styleId="fm-affl">
    <w:name w:val="fm-affl"/>
    <w:basedOn w:val="DefaultParagraphFont"/>
    <w:rsid w:val="007B3D9A"/>
  </w:style>
  <w:style w:type="paragraph" w:customStyle="1" w:styleId="links">
    <w:name w:val="links"/>
    <w:basedOn w:val="Normal"/>
    <w:rsid w:val="00E0728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athjax">
    <w:name w:val="mathjax"/>
    <w:basedOn w:val="DefaultParagraphFont"/>
    <w:rsid w:val="00E07280"/>
  </w:style>
  <w:style w:type="character" w:customStyle="1" w:styleId="mrow">
    <w:name w:val="mrow"/>
    <w:basedOn w:val="DefaultParagraphFont"/>
    <w:rsid w:val="00E07280"/>
  </w:style>
  <w:style w:type="character" w:customStyle="1" w:styleId="mtable">
    <w:name w:val="mtable"/>
    <w:basedOn w:val="DefaultParagraphFont"/>
    <w:rsid w:val="00E07280"/>
  </w:style>
  <w:style w:type="character" w:customStyle="1" w:styleId="mtd">
    <w:name w:val="mtd"/>
    <w:basedOn w:val="DefaultParagraphFont"/>
    <w:rsid w:val="00E07280"/>
  </w:style>
  <w:style w:type="character" w:customStyle="1" w:styleId="texatom">
    <w:name w:val="texatom"/>
    <w:basedOn w:val="DefaultParagraphFont"/>
    <w:rsid w:val="00E07280"/>
  </w:style>
  <w:style w:type="character" w:customStyle="1" w:styleId="msubsup">
    <w:name w:val="msubsup"/>
    <w:basedOn w:val="DefaultParagraphFont"/>
    <w:rsid w:val="00E07280"/>
  </w:style>
  <w:style w:type="character" w:customStyle="1" w:styleId="mi">
    <w:name w:val="mi"/>
    <w:basedOn w:val="DefaultParagraphFont"/>
    <w:rsid w:val="00E07280"/>
  </w:style>
  <w:style w:type="character" w:customStyle="1" w:styleId="mo">
    <w:name w:val="mo"/>
    <w:basedOn w:val="DefaultParagraphFont"/>
    <w:rsid w:val="00E07280"/>
  </w:style>
  <w:style w:type="character" w:customStyle="1" w:styleId="mn">
    <w:name w:val="mn"/>
    <w:basedOn w:val="DefaultParagraphFont"/>
    <w:rsid w:val="00E07280"/>
  </w:style>
  <w:style w:type="character" w:customStyle="1" w:styleId="mtext">
    <w:name w:val="mtext"/>
    <w:basedOn w:val="DefaultParagraphFont"/>
    <w:rsid w:val="00E07280"/>
  </w:style>
  <w:style w:type="character" w:customStyle="1" w:styleId="link">
    <w:name w:val="link"/>
    <w:basedOn w:val="DefaultParagraphFont"/>
    <w:rsid w:val="00E07280"/>
  </w:style>
  <w:style w:type="character" w:customStyle="1" w:styleId="munderover">
    <w:name w:val="munderover"/>
    <w:basedOn w:val="DefaultParagraphFont"/>
    <w:rsid w:val="00E07280"/>
  </w:style>
  <w:style w:type="character" w:customStyle="1" w:styleId="mfrac">
    <w:name w:val="mfrac"/>
    <w:basedOn w:val="DefaultParagraphFont"/>
    <w:rsid w:val="00E07280"/>
  </w:style>
  <w:style w:type="character" w:customStyle="1" w:styleId="mstyle">
    <w:name w:val="mstyle"/>
    <w:basedOn w:val="DefaultParagraphFont"/>
    <w:rsid w:val="00E07280"/>
  </w:style>
  <w:style w:type="paragraph" w:customStyle="1" w:styleId="blue-tooltip">
    <w:name w:val="blue-tooltip"/>
    <w:basedOn w:val="Normal"/>
    <w:rsid w:val="00E0728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ef-lnk">
    <w:name w:val="ref-lnk"/>
    <w:basedOn w:val="DefaultParagraphFont"/>
    <w:rsid w:val="00CB2D09"/>
  </w:style>
  <w:style w:type="paragraph" w:customStyle="1" w:styleId="inline">
    <w:name w:val="inline"/>
    <w:basedOn w:val="Normal"/>
    <w:rsid w:val="00CB2D0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old">
    <w:name w:val="bold"/>
    <w:basedOn w:val="DefaultParagraphFont"/>
    <w:rsid w:val="00CB2D09"/>
  </w:style>
  <w:style w:type="character" w:customStyle="1" w:styleId="hlfld-contribauthor">
    <w:name w:val="hlfld-contribauthor"/>
    <w:basedOn w:val="DefaultParagraphFont"/>
    <w:rsid w:val="00CB2D09"/>
  </w:style>
  <w:style w:type="character" w:customStyle="1" w:styleId="nlmgiven-names">
    <w:name w:val="nlm_given-names"/>
    <w:basedOn w:val="DefaultParagraphFont"/>
    <w:rsid w:val="00CB2D09"/>
  </w:style>
  <w:style w:type="character" w:customStyle="1" w:styleId="reflink-block">
    <w:name w:val="reflink-block"/>
    <w:basedOn w:val="DefaultParagraphFont"/>
    <w:rsid w:val="00CB2D09"/>
  </w:style>
  <w:style w:type="character" w:customStyle="1" w:styleId="xlinks-container">
    <w:name w:val="xlinks-container"/>
    <w:basedOn w:val="DefaultParagraphFont"/>
    <w:rsid w:val="00CB2D09"/>
  </w:style>
  <w:style w:type="character" w:customStyle="1" w:styleId="googlescholar-container">
    <w:name w:val="googlescholar-container"/>
    <w:basedOn w:val="DefaultParagraphFont"/>
    <w:rsid w:val="00CB2D09"/>
  </w:style>
  <w:style w:type="character" w:customStyle="1" w:styleId="citation">
    <w:name w:val="citation"/>
    <w:basedOn w:val="DefaultParagraphFont"/>
    <w:rsid w:val="004C0AF2"/>
  </w:style>
  <w:style w:type="paragraph" w:styleId="z-TopofForm">
    <w:name w:val="HTML Top of Form"/>
    <w:basedOn w:val="Normal"/>
    <w:next w:val="Normal"/>
    <w:link w:val="z-TopofFormChar"/>
    <w:hidden/>
    <w:uiPriority w:val="99"/>
    <w:semiHidden/>
    <w:unhideWhenUsed/>
    <w:rsid w:val="00FB61EE"/>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FB61EE"/>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FB61EE"/>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FB61EE"/>
    <w:rPr>
      <w:rFonts w:ascii="Arial" w:eastAsia="Times New Roman" w:hAnsi="Arial" w:cs="Arial"/>
      <w:vanish/>
      <w:sz w:val="16"/>
      <w:szCs w:val="16"/>
    </w:rPr>
  </w:style>
  <w:style w:type="character" w:customStyle="1" w:styleId="switchforhitnav">
    <w:name w:val="switchforhitnav"/>
    <w:basedOn w:val="DefaultParagraphFont"/>
    <w:rsid w:val="00FB61EE"/>
  </w:style>
  <w:style w:type="character" w:customStyle="1" w:styleId="mathjax-tex">
    <w:name w:val="mathjax-tex"/>
    <w:basedOn w:val="DefaultParagraphFont"/>
    <w:rsid w:val="004F52AA"/>
  </w:style>
  <w:style w:type="character" w:customStyle="1" w:styleId="mspace">
    <w:name w:val="mspace"/>
    <w:basedOn w:val="DefaultParagraphFont"/>
    <w:rsid w:val="004F52AA"/>
  </w:style>
  <w:style w:type="paragraph" w:customStyle="1" w:styleId="c-article-referencesitem">
    <w:name w:val="c-article-references__item"/>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article-referencescounter">
    <w:name w:val="c-article-references__counter"/>
    <w:basedOn w:val="DefaultParagraphFont"/>
    <w:rsid w:val="004F52AA"/>
  </w:style>
  <w:style w:type="paragraph" w:customStyle="1" w:styleId="c-article-referencestext">
    <w:name w:val="c-article-references__text"/>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referenceslinks">
    <w:name w:val="c-article-references__links"/>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referencesdownload">
    <w:name w:val="c-article-references__download"/>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author-affiliationaddress">
    <w:name w:val="c-article-author-affiliation__address"/>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author-affiliationauthors-list">
    <w:name w:val="c-article-author-affiliation__authors-list"/>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rights">
    <w:name w:val="c-article-rights"/>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bibliographic-informationcitation">
    <w:name w:val="c-bibliographic-information__citation"/>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bibliographic-informationdownload-citation">
    <w:name w:val="c-bibliographic-information__download-citation"/>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bibliographic-informationlist-item">
    <w:name w:val="c-bibliographic-information__list-item"/>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bibliographic-informationvalue">
    <w:name w:val="c-bibliographic-information__value"/>
    <w:basedOn w:val="DefaultParagraphFont"/>
    <w:rsid w:val="004F52AA"/>
  </w:style>
  <w:style w:type="paragraph" w:customStyle="1" w:styleId="c-article-share-boxdescription">
    <w:name w:val="c-article-share-box__description"/>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js-c-article-share-boxadditional-info">
    <w:name w:val="js-c-article-share-box__additional-info"/>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subject-listsubject">
    <w:name w:val="c-article-subject-list__subject"/>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uthor-listitem">
    <w:name w:val="c-author-list__item"/>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info-details">
    <w:name w:val="c-article-info-details"/>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u-visually-hidden">
    <w:name w:val="u-visually-hidden"/>
    <w:basedOn w:val="DefaultParagraphFont"/>
    <w:rsid w:val="00071950"/>
  </w:style>
  <w:style w:type="paragraph" w:customStyle="1" w:styleId="c-article-metrics-barcount">
    <w:name w:val="c-article-metrics-bar__count"/>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article-metrics-barlabel">
    <w:name w:val="c-article-metrics-bar__label"/>
    <w:basedOn w:val="DefaultParagraphFont"/>
    <w:rsid w:val="00071950"/>
  </w:style>
  <w:style w:type="paragraph" w:customStyle="1" w:styleId="c-article-metrics-baritem">
    <w:name w:val="c-article-metrics-bar__item"/>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metrics-bardetails">
    <w:name w:val="c-article-metrics-bar__details"/>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sqrt">
    <w:name w:val="msqrt"/>
    <w:basedOn w:val="DefaultParagraphFont"/>
    <w:rsid w:val="003C376A"/>
  </w:style>
  <w:style w:type="character" w:customStyle="1" w:styleId="c-stack">
    <w:name w:val="c-stack"/>
    <w:basedOn w:val="DefaultParagraphFont"/>
    <w:rsid w:val="003C376A"/>
  </w:style>
  <w:style w:type="character" w:customStyle="1" w:styleId="inline-equationconstruct">
    <w:name w:val="inline-equation__construct"/>
    <w:basedOn w:val="DefaultParagraphFont"/>
    <w:rsid w:val="00D229A5"/>
  </w:style>
  <w:style w:type="character" w:customStyle="1" w:styleId="inline-equationlabel">
    <w:name w:val="inline-equation__label"/>
    <w:basedOn w:val="DefaultParagraphFont"/>
    <w:rsid w:val="00D229A5"/>
  </w:style>
  <w:style w:type="character" w:customStyle="1" w:styleId="section-footnote">
    <w:name w:val="section-footnote"/>
    <w:basedOn w:val="DefaultParagraphFont"/>
    <w:rsid w:val="00D229A5"/>
  </w:style>
  <w:style w:type="character" w:customStyle="1" w:styleId="figurelink">
    <w:name w:val="figurelink"/>
    <w:basedOn w:val="DefaultParagraphFont"/>
    <w:rsid w:val="00D229A5"/>
  </w:style>
  <w:style w:type="character" w:customStyle="1" w:styleId="chaptertitle">
    <w:name w:val="chaptertitle"/>
    <w:basedOn w:val="DefaultParagraphFont"/>
    <w:rsid w:val="007E27D3"/>
  </w:style>
  <w:style w:type="character" w:customStyle="1" w:styleId="editor">
    <w:name w:val="editor"/>
    <w:basedOn w:val="DefaultParagraphFont"/>
    <w:rsid w:val="007E27D3"/>
  </w:style>
  <w:style w:type="character" w:customStyle="1" w:styleId="edition">
    <w:name w:val="edition"/>
    <w:basedOn w:val="DefaultParagraphFont"/>
    <w:rsid w:val="007E27D3"/>
  </w:style>
  <w:style w:type="character" w:customStyle="1" w:styleId="right">
    <w:name w:val="right"/>
    <w:basedOn w:val="DefaultParagraphFont"/>
    <w:rsid w:val="00DB0765"/>
  </w:style>
  <w:style w:type="character" w:customStyle="1" w:styleId="mjx-chtml">
    <w:name w:val="mjx-chtml"/>
    <w:basedOn w:val="DefaultParagraphFont"/>
    <w:rsid w:val="00DB0765"/>
  </w:style>
  <w:style w:type="character" w:customStyle="1" w:styleId="mjx-math">
    <w:name w:val="mjx-math"/>
    <w:basedOn w:val="DefaultParagraphFont"/>
    <w:rsid w:val="00DB0765"/>
  </w:style>
  <w:style w:type="character" w:customStyle="1" w:styleId="mjx-mrow">
    <w:name w:val="mjx-mrow"/>
    <w:basedOn w:val="DefaultParagraphFont"/>
    <w:rsid w:val="00DB0765"/>
  </w:style>
  <w:style w:type="character" w:customStyle="1" w:styleId="mjx-msub">
    <w:name w:val="mjx-msub"/>
    <w:basedOn w:val="DefaultParagraphFont"/>
    <w:rsid w:val="00DB0765"/>
  </w:style>
  <w:style w:type="character" w:customStyle="1" w:styleId="mjx-base">
    <w:name w:val="mjx-base"/>
    <w:basedOn w:val="DefaultParagraphFont"/>
    <w:rsid w:val="00DB0765"/>
  </w:style>
  <w:style w:type="character" w:customStyle="1" w:styleId="mjx-mi">
    <w:name w:val="mjx-mi"/>
    <w:basedOn w:val="DefaultParagraphFont"/>
    <w:rsid w:val="00DB0765"/>
  </w:style>
  <w:style w:type="character" w:customStyle="1" w:styleId="mjx-char">
    <w:name w:val="mjx-char"/>
    <w:basedOn w:val="DefaultParagraphFont"/>
    <w:rsid w:val="00DB0765"/>
  </w:style>
  <w:style w:type="character" w:customStyle="1" w:styleId="mjx-sub">
    <w:name w:val="mjx-sub"/>
    <w:basedOn w:val="DefaultParagraphFont"/>
    <w:rsid w:val="00DB0765"/>
  </w:style>
  <w:style w:type="character" w:customStyle="1" w:styleId="mjx-mn">
    <w:name w:val="mjx-mn"/>
    <w:basedOn w:val="DefaultParagraphFont"/>
    <w:rsid w:val="00DB0765"/>
  </w:style>
  <w:style w:type="character" w:customStyle="1" w:styleId="doi">
    <w:name w:val="doi"/>
    <w:basedOn w:val="DefaultParagraphFont"/>
    <w:rsid w:val="00DB0765"/>
  </w:style>
  <w:style w:type="character" w:customStyle="1" w:styleId="doi-field">
    <w:name w:val="doi-field"/>
    <w:basedOn w:val="DefaultParagraphFont"/>
    <w:rsid w:val="00DB0765"/>
  </w:style>
  <w:style w:type="character" w:customStyle="1" w:styleId="facet">
    <w:name w:val="facet"/>
    <w:basedOn w:val="DefaultParagraphFont"/>
    <w:rsid w:val="00DB0765"/>
  </w:style>
  <w:style w:type="character" w:customStyle="1" w:styleId="orcid-id-icon">
    <w:name w:val="orcid-id-icon"/>
    <w:basedOn w:val="DefaultParagraphFont"/>
    <w:rsid w:val="00DB0765"/>
  </w:style>
  <w:style w:type="character" w:customStyle="1" w:styleId="inline-formula">
    <w:name w:val="inline-formula"/>
    <w:basedOn w:val="DefaultParagraphFont"/>
    <w:rsid w:val="00DB0765"/>
  </w:style>
  <w:style w:type="character" w:customStyle="1" w:styleId="mjx-mfrac">
    <w:name w:val="mjx-mfrac"/>
    <w:basedOn w:val="DefaultParagraphFont"/>
    <w:rsid w:val="00DB0765"/>
  </w:style>
  <w:style w:type="character" w:customStyle="1" w:styleId="mjx-box">
    <w:name w:val="mjx-box"/>
    <w:basedOn w:val="DefaultParagraphFont"/>
    <w:rsid w:val="00DB0765"/>
  </w:style>
  <w:style w:type="character" w:customStyle="1" w:styleId="mjx-numerator">
    <w:name w:val="mjx-numerator"/>
    <w:basedOn w:val="DefaultParagraphFont"/>
    <w:rsid w:val="00DB0765"/>
  </w:style>
  <w:style w:type="character" w:customStyle="1" w:styleId="mjx-denominator">
    <w:name w:val="mjx-denominator"/>
    <w:basedOn w:val="DefaultParagraphFont"/>
    <w:rsid w:val="00DB0765"/>
  </w:style>
  <w:style w:type="character" w:customStyle="1" w:styleId="mjx-line">
    <w:name w:val="mjx-line"/>
    <w:basedOn w:val="DefaultParagraphFont"/>
    <w:rsid w:val="00DB0765"/>
  </w:style>
  <w:style w:type="character" w:customStyle="1" w:styleId="mjx-vsize">
    <w:name w:val="mjx-vsize"/>
    <w:basedOn w:val="DefaultParagraphFont"/>
    <w:rsid w:val="00DB0765"/>
  </w:style>
  <w:style w:type="character" w:customStyle="1" w:styleId="mjx-mo">
    <w:name w:val="mjx-mo"/>
    <w:basedOn w:val="DefaultParagraphFont"/>
    <w:rsid w:val="00DB0765"/>
  </w:style>
  <w:style w:type="character" w:customStyle="1" w:styleId="mjx-msqrt">
    <w:name w:val="mjx-msqrt"/>
    <w:basedOn w:val="DefaultParagraphFont"/>
    <w:rsid w:val="00DB0765"/>
  </w:style>
  <w:style w:type="character" w:customStyle="1" w:styleId="mjx-surd">
    <w:name w:val="mjx-surd"/>
    <w:basedOn w:val="DefaultParagraphFont"/>
    <w:rsid w:val="00DB0765"/>
  </w:style>
  <w:style w:type="character" w:customStyle="1" w:styleId="mjx-msubsup">
    <w:name w:val="mjx-msubsup"/>
    <w:basedOn w:val="DefaultParagraphFont"/>
    <w:rsid w:val="00DB0765"/>
  </w:style>
  <w:style w:type="character" w:customStyle="1" w:styleId="mjx-stack">
    <w:name w:val="mjx-stack"/>
    <w:basedOn w:val="DefaultParagraphFont"/>
    <w:rsid w:val="00DB0765"/>
  </w:style>
  <w:style w:type="character" w:customStyle="1" w:styleId="mjx-sup">
    <w:name w:val="mjx-sup"/>
    <w:basedOn w:val="DefaultParagraphFont"/>
    <w:rsid w:val="00DB0765"/>
  </w:style>
  <w:style w:type="character" w:customStyle="1" w:styleId="mjx-msup">
    <w:name w:val="mjx-msup"/>
    <w:basedOn w:val="DefaultParagraphFont"/>
    <w:rsid w:val="00DB0765"/>
  </w:style>
  <w:style w:type="character" w:customStyle="1" w:styleId="multi-ref-content">
    <w:name w:val="multi-ref-content"/>
    <w:basedOn w:val="DefaultParagraphFont"/>
    <w:rsid w:val="00DB0765"/>
  </w:style>
  <w:style w:type="character" w:customStyle="1" w:styleId="mjx-mtext">
    <w:name w:val="mjx-mtext"/>
    <w:basedOn w:val="DefaultParagraphFont"/>
    <w:rsid w:val="00DB0765"/>
  </w:style>
  <w:style w:type="character" w:customStyle="1" w:styleId="mjx-charbox">
    <w:name w:val="mjx-charbox"/>
    <w:basedOn w:val="DefaultParagraphFont"/>
    <w:rsid w:val="00DB0765"/>
  </w:style>
  <w:style w:type="character" w:customStyle="1" w:styleId="mjx-mspace">
    <w:name w:val="mjx-mspace"/>
    <w:basedOn w:val="DefaultParagraphFont"/>
    <w:rsid w:val="00DB0765"/>
  </w:style>
  <w:style w:type="character" w:customStyle="1" w:styleId="mjx-delim-v">
    <w:name w:val="mjx-delim-v"/>
    <w:basedOn w:val="DefaultParagraphFont"/>
    <w:rsid w:val="00DB0765"/>
  </w:style>
  <w:style w:type="character" w:customStyle="1" w:styleId="mjx-mtable">
    <w:name w:val="mjx-mtable"/>
    <w:basedOn w:val="DefaultParagraphFont"/>
    <w:rsid w:val="00DB0765"/>
  </w:style>
  <w:style w:type="character" w:customStyle="1" w:styleId="mjx-table">
    <w:name w:val="mjx-table"/>
    <w:basedOn w:val="DefaultParagraphFont"/>
    <w:rsid w:val="00DB0765"/>
  </w:style>
  <w:style w:type="character" w:customStyle="1" w:styleId="mjx-mtr">
    <w:name w:val="mjx-mtr"/>
    <w:basedOn w:val="DefaultParagraphFont"/>
    <w:rsid w:val="00DB0765"/>
  </w:style>
  <w:style w:type="character" w:customStyle="1" w:styleId="mjx-mtd">
    <w:name w:val="mjx-mtd"/>
    <w:basedOn w:val="DefaultParagraphFont"/>
    <w:rsid w:val="00DB0765"/>
  </w:style>
  <w:style w:type="character" w:customStyle="1" w:styleId="mjx-strut">
    <w:name w:val="mjx-strut"/>
    <w:basedOn w:val="DefaultParagraphFont"/>
    <w:rsid w:val="00DB0765"/>
  </w:style>
  <w:style w:type="character" w:customStyle="1" w:styleId="fulltext-label">
    <w:name w:val="fulltext-label"/>
    <w:basedOn w:val="DefaultParagraphFont"/>
    <w:rsid w:val="00DB0765"/>
  </w:style>
  <w:style w:type="character" w:customStyle="1" w:styleId="mjx-munder">
    <w:name w:val="mjx-munder"/>
    <w:basedOn w:val="DefaultParagraphFont"/>
    <w:rsid w:val="00DB0765"/>
  </w:style>
  <w:style w:type="character" w:customStyle="1" w:styleId="mjx-itable">
    <w:name w:val="mjx-itable"/>
    <w:basedOn w:val="DefaultParagraphFont"/>
    <w:rsid w:val="00DB0765"/>
  </w:style>
  <w:style w:type="character" w:customStyle="1" w:styleId="mjx-row">
    <w:name w:val="mjx-row"/>
    <w:basedOn w:val="DefaultParagraphFont"/>
    <w:rsid w:val="00DB0765"/>
  </w:style>
  <w:style w:type="character" w:customStyle="1" w:styleId="mjx-cell">
    <w:name w:val="mjx-cell"/>
    <w:basedOn w:val="DefaultParagraphFont"/>
    <w:rsid w:val="00DB0765"/>
  </w:style>
  <w:style w:type="character" w:customStyle="1" w:styleId="mjx-op">
    <w:name w:val="mjx-op"/>
    <w:basedOn w:val="DefaultParagraphFont"/>
    <w:rsid w:val="00DB0765"/>
  </w:style>
  <w:style w:type="character" w:customStyle="1" w:styleId="mjx-under">
    <w:name w:val="mjx-under"/>
    <w:basedOn w:val="DefaultParagraphFont"/>
    <w:rsid w:val="00DB0765"/>
  </w:style>
  <w:style w:type="character" w:customStyle="1" w:styleId="nlmchapter-title">
    <w:name w:val="nlm_chapter-title"/>
    <w:basedOn w:val="DefaultParagraphFont"/>
    <w:rsid w:val="00703B6D"/>
  </w:style>
  <w:style w:type="paragraph" w:customStyle="1" w:styleId="biotitle">
    <w:name w:val="biotitle"/>
    <w:basedOn w:val="Normal"/>
    <w:rsid w:val="00703B6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rticletitleinfo">
    <w:name w:val="articletitleinfo"/>
    <w:basedOn w:val="DefaultParagraphFont"/>
    <w:rsid w:val="00703B6D"/>
  </w:style>
  <w:style w:type="character" w:customStyle="1" w:styleId="cblinks">
    <w:name w:val="cblinks"/>
    <w:basedOn w:val="DefaultParagraphFont"/>
    <w:rsid w:val="00703B6D"/>
  </w:style>
  <w:style w:type="character" w:customStyle="1" w:styleId="showmoreandless-temis-wrapper">
    <w:name w:val="showmoreandless-temis-wrapper"/>
    <w:basedOn w:val="DefaultParagraphFont"/>
    <w:rsid w:val="00703B6D"/>
  </w:style>
  <w:style w:type="character" w:customStyle="1" w:styleId="show-more-temis">
    <w:name w:val="show-more-temis"/>
    <w:basedOn w:val="DefaultParagraphFont"/>
    <w:rsid w:val="00703B6D"/>
  </w:style>
  <w:style w:type="character" w:customStyle="1" w:styleId="arrowdecoration">
    <w:name w:val="arrowdecoration"/>
    <w:basedOn w:val="DefaultParagraphFont"/>
    <w:rsid w:val="00703B6D"/>
  </w:style>
  <w:style w:type="character" w:customStyle="1" w:styleId="nlmpub-id">
    <w:name w:val="nlm_pub-id"/>
    <w:basedOn w:val="DefaultParagraphFont"/>
    <w:rsid w:val="004D375C"/>
  </w:style>
  <w:style w:type="character" w:customStyle="1" w:styleId="nlmmonth">
    <w:name w:val="nlm_month"/>
    <w:basedOn w:val="DefaultParagraphFont"/>
    <w:rsid w:val="004D375C"/>
  </w:style>
  <w:style w:type="character" w:customStyle="1" w:styleId="nlmday">
    <w:name w:val="nlm_day"/>
    <w:basedOn w:val="DefaultParagraphFont"/>
    <w:rsid w:val="004D375C"/>
  </w:style>
  <w:style w:type="character" w:customStyle="1" w:styleId="hit">
    <w:name w:val="hit"/>
    <w:basedOn w:val="DefaultParagraphFont"/>
    <w:rsid w:val="00852775"/>
  </w:style>
  <w:style w:type="character" w:customStyle="1" w:styleId="input-group-btn">
    <w:name w:val="input-group-btn"/>
    <w:basedOn w:val="DefaultParagraphFont"/>
    <w:rsid w:val="00852775"/>
  </w:style>
  <w:style w:type="character" w:customStyle="1" w:styleId="uxf-icon">
    <w:name w:val="uxf-icon"/>
    <w:basedOn w:val="DefaultParagraphFont"/>
    <w:rsid w:val="00852775"/>
  </w:style>
  <w:style w:type="paragraph" w:customStyle="1" w:styleId="wt-sim-doc-results-item">
    <w:name w:val="wt-sim-doc-results-item"/>
    <w:basedOn w:val="Normal"/>
    <w:rsid w:val="0085277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leauthoretc">
    <w:name w:val="titleauthoretc"/>
    <w:basedOn w:val="DefaultParagraphFont"/>
    <w:rsid w:val="00852775"/>
  </w:style>
  <w:style w:type="paragraph" w:customStyle="1" w:styleId="indexfieldsubheader">
    <w:name w:val="indexfieldsubheader"/>
    <w:basedOn w:val="Normal"/>
    <w:rsid w:val="0085277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tatementtext">
    <w:name w:val="statement__text"/>
    <w:basedOn w:val="Normal"/>
    <w:rsid w:val="00B4079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igurecaption">
    <w:name w:val="figure__caption"/>
    <w:basedOn w:val="DefaultParagraphFont"/>
    <w:rsid w:val="00B40795"/>
  </w:style>
  <w:style w:type="paragraph" w:customStyle="1" w:styleId="explanationtext">
    <w:name w:val="explanation__text"/>
    <w:basedOn w:val="Normal"/>
    <w:rsid w:val="00B4079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eferencesbody">
    <w:name w:val="references__body"/>
    <w:basedOn w:val="Normal"/>
    <w:rsid w:val="00B4079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eferencessuffix">
    <w:name w:val="references__suffix"/>
    <w:basedOn w:val="DefaultParagraphFont"/>
    <w:rsid w:val="00B40795"/>
  </w:style>
  <w:style w:type="character" w:customStyle="1" w:styleId="equationtd">
    <w:name w:val="equationtd"/>
    <w:basedOn w:val="DefaultParagraphFont"/>
    <w:rsid w:val="00323F17"/>
  </w:style>
  <w:style w:type="character" w:customStyle="1" w:styleId="formulalabel">
    <w:name w:val="formulalabel"/>
    <w:basedOn w:val="DefaultParagraphFont"/>
    <w:rsid w:val="00323F17"/>
  </w:style>
  <w:style w:type="character" w:customStyle="1" w:styleId="msup">
    <w:name w:val="msup"/>
    <w:basedOn w:val="DefaultParagraphFont"/>
    <w:rsid w:val="00323F17"/>
  </w:style>
  <w:style w:type="character" w:customStyle="1" w:styleId="head-c">
    <w:name w:val="head-c"/>
    <w:basedOn w:val="DefaultParagraphFont"/>
    <w:rsid w:val="00323F17"/>
  </w:style>
  <w:style w:type="character" w:customStyle="1" w:styleId="msub">
    <w:name w:val="msub"/>
    <w:basedOn w:val="DefaultParagraphFont"/>
    <w:rsid w:val="00323F17"/>
  </w:style>
  <w:style w:type="character" w:customStyle="1" w:styleId="mover">
    <w:name w:val="mover"/>
    <w:basedOn w:val="DefaultParagraphFont"/>
    <w:rsid w:val="00323F17"/>
  </w:style>
  <w:style w:type="character" w:customStyle="1" w:styleId="table-image">
    <w:name w:val="table-image"/>
    <w:basedOn w:val="DefaultParagraphFont"/>
    <w:rsid w:val="00323F17"/>
  </w:style>
  <w:style w:type="character" w:customStyle="1" w:styleId="sectionlabel">
    <w:name w:val="section__label"/>
    <w:basedOn w:val="DefaultParagraphFont"/>
    <w:rsid w:val="00323F17"/>
  </w:style>
  <w:style w:type="character" w:customStyle="1" w:styleId="Title2">
    <w:name w:val="Title2"/>
    <w:basedOn w:val="DefaultParagraphFont"/>
    <w:rsid w:val="00323F17"/>
  </w:style>
  <w:style w:type="character" w:customStyle="1" w:styleId="head-b">
    <w:name w:val="head-b"/>
    <w:basedOn w:val="DefaultParagraphFont"/>
    <w:rsid w:val="00323F17"/>
  </w:style>
  <w:style w:type="character" w:customStyle="1" w:styleId="icon-download">
    <w:name w:val="icon-download"/>
    <w:basedOn w:val="DefaultParagraphFont"/>
    <w:rsid w:val="00323F17"/>
  </w:style>
  <w:style w:type="paragraph" w:customStyle="1" w:styleId="reflinks">
    <w:name w:val="reflinks"/>
    <w:basedOn w:val="Normal"/>
    <w:rsid w:val="001E3E9C"/>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93758">
      <w:bodyDiv w:val="1"/>
      <w:marLeft w:val="0"/>
      <w:marRight w:val="0"/>
      <w:marTop w:val="0"/>
      <w:marBottom w:val="0"/>
      <w:divBdr>
        <w:top w:val="none" w:sz="0" w:space="0" w:color="auto"/>
        <w:left w:val="none" w:sz="0" w:space="0" w:color="auto"/>
        <w:bottom w:val="none" w:sz="0" w:space="0" w:color="auto"/>
        <w:right w:val="none" w:sz="0" w:space="0" w:color="auto"/>
      </w:divBdr>
      <w:divsChild>
        <w:div w:id="1552304770">
          <w:marLeft w:val="0"/>
          <w:marRight w:val="0"/>
          <w:marTop w:val="150"/>
          <w:marBottom w:val="225"/>
          <w:divBdr>
            <w:top w:val="none" w:sz="0" w:space="0" w:color="auto"/>
            <w:left w:val="none" w:sz="0" w:space="0" w:color="auto"/>
            <w:bottom w:val="none" w:sz="0" w:space="0" w:color="auto"/>
            <w:right w:val="none" w:sz="0" w:space="0" w:color="auto"/>
          </w:divBdr>
        </w:div>
      </w:divsChild>
    </w:div>
    <w:div w:id="10182594">
      <w:bodyDiv w:val="1"/>
      <w:marLeft w:val="0"/>
      <w:marRight w:val="0"/>
      <w:marTop w:val="0"/>
      <w:marBottom w:val="0"/>
      <w:divBdr>
        <w:top w:val="none" w:sz="0" w:space="0" w:color="auto"/>
        <w:left w:val="none" w:sz="0" w:space="0" w:color="auto"/>
        <w:bottom w:val="none" w:sz="0" w:space="0" w:color="auto"/>
        <w:right w:val="none" w:sz="0" w:space="0" w:color="auto"/>
      </w:divBdr>
      <w:divsChild>
        <w:div w:id="274950585">
          <w:marLeft w:val="0"/>
          <w:marRight w:val="0"/>
          <w:marTop w:val="180"/>
          <w:marBottom w:val="0"/>
          <w:divBdr>
            <w:top w:val="none" w:sz="0" w:space="0" w:color="auto"/>
            <w:left w:val="none" w:sz="0" w:space="0" w:color="auto"/>
            <w:bottom w:val="none" w:sz="0" w:space="0" w:color="auto"/>
            <w:right w:val="none" w:sz="0" w:space="0" w:color="auto"/>
          </w:divBdr>
          <w:divsChild>
            <w:div w:id="10224917">
              <w:marLeft w:val="0"/>
              <w:marRight w:val="0"/>
              <w:marTop w:val="0"/>
              <w:marBottom w:val="0"/>
              <w:divBdr>
                <w:top w:val="none" w:sz="0" w:space="0" w:color="auto"/>
                <w:left w:val="none" w:sz="0" w:space="0" w:color="auto"/>
                <w:bottom w:val="none" w:sz="0" w:space="0" w:color="auto"/>
                <w:right w:val="none" w:sz="0" w:space="0" w:color="auto"/>
              </w:divBdr>
              <w:divsChild>
                <w:div w:id="380254655">
                  <w:marLeft w:val="0"/>
                  <w:marRight w:val="0"/>
                  <w:marTop w:val="0"/>
                  <w:marBottom w:val="0"/>
                  <w:divBdr>
                    <w:top w:val="none" w:sz="0" w:space="0" w:color="auto"/>
                    <w:left w:val="none" w:sz="0" w:space="0" w:color="auto"/>
                    <w:bottom w:val="none" w:sz="0" w:space="0" w:color="auto"/>
                    <w:right w:val="none" w:sz="0" w:space="0" w:color="auto"/>
                  </w:divBdr>
                  <w:divsChild>
                    <w:div w:id="1537884552">
                      <w:marLeft w:val="0"/>
                      <w:marRight w:val="0"/>
                      <w:marTop w:val="0"/>
                      <w:marBottom w:val="0"/>
                      <w:divBdr>
                        <w:top w:val="none" w:sz="0" w:space="0" w:color="auto"/>
                        <w:left w:val="none" w:sz="0" w:space="0" w:color="auto"/>
                        <w:bottom w:val="none" w:sz="0" w:space="0" w:color="auto"/>
                        <w:right w:val="none" w:sz="0" w:space="0" w:color="auto"/>
                      </w:divBdr>
                      <w:divsChild>
                        <w:div w:id="1671642565">
                          <w:marLeft w:val="0"/>
                          <w:marRight w:val="0"/>
                          <w:marTop w:val="0"/>
                          <w:marBottom w:val="0"/>
                          <w:divBdr>
                            <w:top w:val="none" w:sz="0" w:space="0" w:color="auto"/>
                            <w:left w:val="none" w:sz="0" w:space="0" w:color="auto"/>
                            <w:bottom w:val="none" w:sz="0" w:space="0" w:color="auto"/>
                            <w:right w:val="none" w:sz="0" w:space="0" w:color="auto"/>
                          </w:divBdr>
                          <w:divsChild>
                            <w:div w:id="2082021524">
                              <w:marLeft w:val="0"/>
                              <w:marRight w:val="0"/>
                              <w:marTop w:val="0"/>
                              <w:marBottom w:val="0"/>
                              <w:divBdr>
                                <w:top w:val="none" w:sz="0" w:space="0" w:color="auto"/>
                                <w:left w:val="none" w:sz="0" w:space="0" w:color="auto"/>
                                <w:bottom w:val="none" w:sz="0" w:space="0" w:color="auto"/>
                                <w:right w:val="none" w:sz="0" w:space="0" w:color="auto"/>
                              </w:divBdr>
                              <w:divsChild>
                                <w:div w:id="1857962972">
                                  <w:marLeft w:val="0"/>
                                  <w:marRight w:val="0"/>
                                  <w:marTop w:val="0"/>
                                  <w:marBottom w:val="0"/>
                                  <w:divBdr>
                                    <w:top w:val="none" w:sz="0" w:space="0" w:color="auto"/>
                                    <w:left w:val="none" w:sz="0" w:space="0" w:color="auto"/>
                                    <w:bottom w:val="none" w:sz="0" w:space="0" w:color="auto"/>
                                    <w:right w:val="none" w:sz="0" w:space="0" w:color="auto"/>
                                  </w:divBdr>
                                  <w:divsChild>
                                    <w:div w:id="368530677">
                                      <w:marLeft w:val="0"/>
                                      <w:marRight w:val="0"/>
                                      <w:marTop w:val="0"/>
                                      <w:marBottom w:val="0"/>
                                      <w:divBdr>
                                        <w:top w:val="none" w:sz="0" w:space="0" w:color="auto"/>
                                        <w:left w:val="none" w:sz="0" w:space="0" w:color="auto"/>
                                        <w:bottom w:val="none" w:sz="0" w:space="0" w:color="auto"/>
                                        <w:right w:val="none" w:sz="0" w:space="0" w:color="auto"/>
                                      </w:divBdr>
                                      <w:divsChild>
                                        <w:div w:id="2063015755">
                                          <w:marLeft w:val="0"/>
                                          <w:marRight w:val="0"/>
                                          <w:marTop w:val="0"/>
                                          <w:marBottom w:val="0"/>
                                          <w:divBdr>
                                            <w:top w:val="none" w:sz="0" w:space="0" w:color="auto"/>
                                            <w:left w:val="none" w:sz="0" w:space="0" w:color="auto"/>
                                            <w:bottom w:val="none" w:sz="0" w:space="0" w:color="auto"/>
                                            <w:right w:val="none" w:sz="0" w:space="0" w:color="auto"/>
                                          </w:divBdr>
                                          <w:divsChild>
                                            <w:div w:id="1857037883">
                                              <w:marLeft w:val="0"/>
                                              <w:marRight w:val="0"/>
                                              <w:marTop w:val="0"/>
                                              <w:marBottom w:val="0"/>
                                              <w:divBdr>
                                                <w:top w:val="none" w:sz="0" w:space="0" w:color="auto"/>
                                                <w:left w:val="none" w:sz="0" w:space="0" w:color="auto"/>
                                                <w:bottom w:val="none" w:sz="0" w:space="0" w:color="auto"/>
                                                <w:right w:val="none" w:sz="0" w:space="0" w:color="auto"/>
                                              </w:divBdr>
                                              <w:divsChild>
                                                <w:div w:id="620379653">
                                                  <w:marLeft w:val="0"/>
                                                  <w:marRight w:val="0"/>
                                                  <w:marTop w:val="0"/>
                                                  <w:marBottom w:val="0"/>
                                                  <w:divBdr>
                                                    <w:top w:val="none" w:sz="0" w:space="0" w:color="auto"/>
                                                    <w:left w:val="none" w:sz="0" w:space="0" w:color="auto"/>
                                                    <w:bottom w:val="none" w:sz="0" w:space="0" w:color="auto"/>
                                                    <w:right w:val="none" w:sz="0" w:space="0" w:color="auto"/>
                                                  </w:divBdr>
                                                  <w:divsChild>
                                                    <w:div w:id="319771328">
                                                      <w:marLeft w:val="0"/>
                                                      <w:marRight w:val="0"/>
                                                      <w:marTop w:val="0"/>
                                                      <w:marBottom w:val="0"/>
                                                      <w:divBdr>
                                                        <w:top w:val="none" w:sz="0" w:space="0" w:color="auto"/>
                                                        <w:left w:val="none" w:sz="0" w:space="0" w:color="auto"/>
                                                        <w:bottom w:val="none" w:sz="0" w:space="0" w:color="auto"/>
                                                        <w:right w:val="none" w:sz="0" w:space="0" w:color="auto"/>
                                                      </w:divBdr>
                                                      <w:divsChild>
                                                        <w:div w:id="1465346493">
                                                          <w:marLeft w:val="0"/>
                                                          <w:marRight w:val="0"/>
                                                          <w:marTop w:val="0"/>
                                                          <w:marBottom w:val="0"/>
                                                          <w:divBdr>
                                                            <w:top w:val="none" w:sz="0" w:space="0" w:color="auto"/>
                                                            <w:left w:val="none" w:sz="0" w:space="0" w:color="auto"/>
                                                            <w:bottom w:val="none" w:sz="0" w:space="0" w:color="auto"/>
                                                            <w:right w:val="none" w:sz="0" w:space="0" w:color="auto"/>
                                                          </w:divBdr>
                                                          <w:divsChild>
                                                            <w:div w:id="11955603">
                                                              <w:marLeft w:val="0"/>
                                                              <w:marRight w:val="0"/>
                                                              <w:marTop w:val="0"/>
                                                              <w:marBottom w:val="0"/>
                                                              <w:divBdr>
                                                                <w:top w:val="none" w:sz="0" w:space="0" w:color="auto"/>
                                                                <w:left w:val="none" w:sz="0" w:space="0" w:color="auto"/>
                                                                <w:bottom w:val="none" w:sz="0" w:space="0" w:color="auto"/>
                                                                <w:right w:val="none" w:sz="0" w:space="0" w:color="auto"/>
                                                              </w:divBdr>
                                                              <w:divsChild>
                                                                <w:div w:id="1197743309">
                                                                  <w:marLeft w:val="0"/>
                                                                  <w:marRight w:val="0"/>
                                                                  <w:marTop w:val="0"/>
                                                                  <w:marBottom w:val="0"/>
                                                                  <w:divBdr>
                                                                    <w:top w:val="none" w:sz="0" w:space="0" w:color="auto"/>
                                                                    <w:left w:val="none" w:sz="0" w:space="0" w:color="auto"/>
                                                                    <w:bottom w:val="none" w:sz="0" w:space="0" w:color="auto"/>
                                                                    <w:right w:val="none" w:sz="0" w:space="0" w:color="auto"/>
                                                                  </w:divBdr>
                                                                  <w:divsChild>
                                                                    <w:div w:id="699668727">
                                                                      <w:marLeft w:val="0"/>
                                                                      <w:marRight w:val="0"/>
                                                                      <w:marTop w:val="0"/>
                                                                      <w:marBottom w:val="0"/>
                                                                      <w:divBdr>
                                                                        <w:top w:val="none" w:sz="0" w:space="0" w:color="auto"/>
                                                                        <w:left w:val="none" w:sz="0" w:space="0" w:color="auto"/>
                                                                        <w:bottom w:val="none" w:sz="0" w:space="0" w:color="auto"/>
                                                                        <w:right w:val="none" w:sz="0" w:space="0" w:color="auto"/>
                                                                      </w:divBdr>
                                                                      <w:divsChild>
                                                                        <w:div w:id="932933434">
                                                                          <w:marLeft w:val="60"/>
                                                                          <w:marRight w:val="60"/>
                                                                          <w:marTop w:val="0"/>
                                                                          <w:marBottom w:val="0"/>
                                                                          <w:divBdr>
                                                                            <w:top w:val="none" w:sz="0" w:space="0" w:color="auto"/>
                                                                            <w:left w:val="none" w:sz="0" w:space="0" w:color="auto"/>
                                                                            <w:bottom w:val="none" w:sz="0" w:space="0" w:color="auto"/>
                                                                            <w:right w:val="none" w:sz="0" w:space="0" w:color="auto"/>
                                                                          </w:divBdr>
                                                                          <w:divsChild>
                                                                            <w:div w:id="905607458">
                                                                              <w:marLeft w:val="0"/>
                                                                              <w:marRight w:val="0"/>
                                                                              <w:marTop w:val="0"/>
                                                                              <w:marBottom w:val="0"/>
                                                                              <w:divBdr>
                                                                                <w:top w:val="none" w:sz="0" w:space="0" w:color="auto"/>
                                                                                <w:left w:val="none" w:sz="0" w:space="0" w:color="auto"/>
                                                                                <w:bottom w:val="none" w:sz="0" w:space="0" w:color="auto"/>
                                                                                <w:right w:val="none" w:sz="0" w:space="0" w:color="auto"/>
                                                                              </w:divBdr>
                                                                              <w:divsChild>
                                                                                <w:div w:id="1096367175">
                                                                                  <w:marLeft w:val="0"/>
                                                                                  <w:marRight w:val="0"/>
                                                                                  <w:marTop w:val="0"/>
                                                                                  <w:marBottom w:val="0"/>
                                                                                  <w:divBdr>
                                                                                    <w:top w:val="none" w:sz="0" w:space="0" w:color="auto"/>
                                                                                    <w:left w:val="none" w:sz="0" w:space="0" w:color="auto"/>
                                                                                    <w:bottom w:val="none" w:sz="0" w:space="0" w:color="auto"/>
                                                                                    <w:right w:val="none" w:sz="0" w:space="0" w:color="auto"/>
                                                                                  </w:divBdr>
                                                                                  <w:divsChild>
                                                                                    <w:div w:id="217477063">
                                                                                      <w:marLeft w:val="0"/>
                                                                                      <w:marRight w:val="0"/>
                                                                                      <w:marTop w:val="0"/>
                                                                                      <w:marBottom w:val="0"/>
                                                                                      <w:divBdr>
                                                                                        <w:top w:val="none" w:sz="0" w:space="0" w:color="auto"/>
                                                                                        <w:left w:val="none" w:sz="0" w:space="0" w:color="auto"/>
                                                                                        <w:bottom w:val="none" w:sz="0" w:space="0" w:color="auto"/>
                                                                                        <w:right w:val="none" w:sz="0" w:space="0" w:color="auto"/>
                                                                                      </w:divBdr>
                                                                                      <w:divsChild>
                                                                                        <w:div w:id="562720686">
                                                                                          <w:marLeft w:val="0"/>
                                                                                          <w:marRight w:val="0"/>
                                                                                          <w:marTop w:val="0"/>
                                                                                          <w:marBottom w:val="0"/>
                                                                                          <w:divBdr>
                                                                                            <w:top w:val="none" w:sz="0" w:space="0" w:color="auto"/>
                                                                                            <w:left w:val="none" w:sz="0" w:space="0" w:color="auto"/>
                                                                                            <w:bottom w:val="none" w:sz="0" w:space="0" w:color="auto"/>
                                                                                            <w:right w:val="none" w:sz="0" w:space="0" w:color="auto"/>
                                                                                          </w:divBdr>
                                                                                          <w:divsChild>
                                                                                            <w:div w:id="606274734">
                                                                                              <w:marLeft w:val="0"/>
                                                                                              <w:marRight w:val="0"/>
                                                                                              <w:marTop w:val="0"/>
                                                                                              <w:marBottom w:val="0"/>
                                                                                              <w:divBdr>
                                                                                                <w:top w:val="none" w:sz="0" w:space="0" w:color="auto"/>
                                                                                                <w:left w:val="none" w:sz="0" w:space="0" w:color="auto"/>
                                                                                                <w:bottom w:val="none" w:sz="0" w:space="0" w:color="auto"/>
                                                                                                <w:right w:val="none" w:sz="0" w:space="0" w:color="auto"/>
                                                                                              </w:divBdr>
                                                                                              <w:divsChild>
                                                                                                <w:div w:id="2041855388">
                                                                                                  <w:marLeft w:val="0"/>
                                                                                                  <w:marRight w:val="0"/>
                                                                                                  <w:marTop w:val="0"/>
                                                                                                  <w:marBottom w:val="0"/>
                                                                                                  <w:divBdr>
                                                                                                    <w:top w:val="none" w:sz="0" w:space="0" w:color="auto"/>
                                                                                                    <w:left w:val="none" w:sz="0" w:space="0" w:color="auto"/>
                                                                                                    <w:bottom w:val="none" w:sz="0" w:space="0" w:color="auto"/>
                                                                                                    <w:right w:val="none" w:sz="0" w:space="0" w:color="auto"/>
                                                                                                  </w:divBdr>
                                                                                                  <w:divsChild>
                                                                                                    <w:div w:id="507645969">
                                                                                                      <w:marLeft w:val="0"/>
                                                                                                      <w:marRight w:val="0"/>
                                                                                                      <w:marTop w:val="0"/>
                                                                                                      <w:marBottom w:val="0"/>
                                                                                                      <w:divBdr>
                                                                                                        <w:top w:val="none" w:sz="0" w:space="0" w:color="auto"/>
                                                                                                        <w:left w:val="none" w:sz="0" w:space="0" w:color="auto"/>
                                                                                                        <w:bottom w:val="none" w:sz="0" w:space="0" w:color="auto"/>
                                                                                                        <w:right w:val="none" w:sz="0" w:space="0" w:color="auto"/>
                                                                                                      </w:divBdr>
                                                                                                      <w:divsChild>
                                                                                                        <w:div w:id="65494964">
                                                                                                          <w:marLeft w:val="0"/>
                                                                                                          <w:marRight w:val="0"/>
                                                                                                          <w:marTop w:val="0"/>
                                                                                                          <w:marBottom w:val="0"/>
                                                                                                          <w:divBdr>
                                                                                                            <w:top w:val="none" w:sz="0" w:space="0" w:color="auto"/>
                                                                                                            <w:left w:val="none" w:sz="0" w:space="0" w:color="auto"/>
                                                                                                            <w:bottom w:val="none" w:sz="0" w:space="0" w:color="auto"/>
                                                                                                            <w:right w:val="none" w:sz="0" w:space="0" w:color="auto"/>
                                                                                                          </w:divBdr>
                                                                                                          <w:divsChild>
                                                                                                            <w:div w:id="2024087746">
                                                                                                              <w:marLeft w:val="0"/>
                                                                                                              <w:marRight w:val="0"/>
                                                                                                              <w:marTop w:val="75"/>
                                                                                                              <w:marBottom w:val="0"/>
                                                                                                              <w:divBdr>
                                                                                                                <w:top w:val="none" w:sz="0" w:space="0" w:color="auto"/>
                                                                                                                <w:left w:val="none" w:sz="0" w:space="0" w:color="auto"/>
                                                                                                                <w:bottom w:val="none" w:sz="0" w:space="0" w:color="auto"/>
                                                                                                                <w:right w:val="none" w:sz="0" w:space="0" w:color="auto"/>
                                                                                                              </w:divBdr>
                                                                                                              <w:divsChild>
                                                                                                                <w:div w:id="707219890">
                                                                                                                  <w:marLeft w:val="0"/>
                                                                                                                  <w:marRight w:val="0"/>
                                                                                                                  <w:marTop w:val="0"/>
                                                                                                                  <w:marBottom w:val="0"/>
                                                                                                                  <w:divBdr>
                                                                                                                    <w:top w:val="none" w:sz="0" w:space="0" w:color="auto"/>
                                                                                                                    <w:left w:val="none" w:sz="0" w:space="0" w:color="auto"/>
                                                                                                                    <w:bottom w:val="none" w:sz="0" w:space="0" w:color="auto"/>
                                                                                                                    <w:right w:val="none" w:sz="0" w:space="0" w:color="auto"/>
                                                                                                                  </w:divBdr>
                                                                                                                </w:div>
                                                                                                                <w:div w:id="939025662">
                                                                                                                  <w:marLeft w:val="0"/>
                                                                                                                  <w:marRight w:val="0"/>
                                                                                                                  <w:marTop w:val="0"/>
                                                                                                                  <w:marBottom w:val="0"/>
                                                                                                                  <w:divBdr>
                                                                                                                    <w:top w:val="none" w:sz="0" w:space="0" w:color="auto"/>
                                                                                                                    <w:left w:val="none" w:sz="0" w:space="0" w:color="auto"/>
                                                                                                                    <w:bottom w:val="none" w:sz="0" w:space="0" w:color="auto"/>
                                                                                                                    <w:right w:val="none" w:sz="0" w:space="0" w:color="auto"/>
                                                                                                                  </w:divBdr>
                                                                                                                </w:div>
                                                                                                              </w:divsChild>
                                                                                                            </w:div>
                                                                                                            <w:div w:id="546113041">
                                                                                                              <w:marLeft w:val="0"/>
                                                                                                              <w:marRight w:val="0"/>
                                                                                                              <w:marTop w:val="0"/>
                                                                                                              <w:marBottom w:val="150"/>
                                                                                                              <w:divBdr>
                                                                                                                <w:top w:val="none" w:sz="0" w:space="0" w:color="auto"/>
                                                                                                                <w:left w:val="none" w:sz="0" w:space="0" w:color="auto"/>
                                                                                                                <w:bottom w:val="single" w:sz="6" w:space="0" w:color="CCCCCC"/>
                                                                                                                <w:right w:val="none" w:sz="0" w:space="0" w:color="auto"/>
                                                                                                              </w:divBdr>
                                                                                                              <w:divsChild>
                                                                                                                <w:div w:id="1371996654">
                                                                                                                  <w:marLeft w:val="300"/>
                                                                                                                  <w:marRight w:val="0"/>
                                                                                                                  <w:marTop w:val="0"/>
                                                                                                                  <w:marBottom w:val="450"/>
                                                                                                                  <w:divBdr>
                                                                                                                    <w:top w:val="none" w:sz="0" w:space="0" w:color="auto"/>
                                                                                                                    <w:left w:val="none" w:sz="0" w:space="0" w:color="auto"/>
                                                                                                                    <w:bottom w:val="none" w:sz="0" w:space="0" w:color="auto"/>
                                                                                                                    <w:right w:val="none" w:sz="0" w:space="0" w:color="auto"/>
                                                                                                                  </w:divBdr>
                                                                                                                </w:div>
                                                                                                              </w:divsChild>
                                                                                                            </w:div>
                                                                                                            <w:div w:id="61026487">
                                                                                                              <w:marLeft w:val="0"/>
                                                                                                              <w:marRight w:val="0"/>
                                                                                                              <w:marTop w:val="0"/>
                                                                                                              <w:marBottom w:val="0"/>
                                                                                                              <w:divBdr>
                                                                                                                <w:top w:val="none" w:sz="0" w:space="0" w:color="auto"/>
                                                                                                                <w:left w:val="none" w:sz="0" w:space="0" w:color="auto"/>
                                                                                                                <w:bottom w:val="none" w:sz="0" w:space="0" w:color="auto"/>
                                                                                                                <w:right w:val="none" w:sz="0" w:space="0" w:color="auto"/>
                                                                                                              </w:divBdr>
                                                                                                              <w:divsChild>
                                                                                                                <w:div w:id="1130441198">
                                                                                                                  <w:marLeft w:val="0"/>
                                                                                                                  <w:marRight w:val="0"/>
                                                                                                                  <w:marTop w:val="0"/>
                                                                                                                  <w:marBottom w:val="0"/>
                                                                                                                  <w:divBdr>
                                                                                                                    <w:top w:val="none" w:sz="0" w:space="0" w:color="auto"/>
                                                                                                                    <w:left w:val="none" w:sz="0" w:space="0" w:color="auto"/>
                                                                                                                    <w:bottom w:val="none" w:sz="0" w:space="0" w:color="auto"/>
                                                                                                                    <w:right w:val="none" w:sz="0" w:space="0" w:color="auto"/>
                                                                                                                  </w:divBdr>
                                                                                                                  <w:divsChild>
                                                                                                                    <w:div w:id="1386249406">
                                                                                                                      <w:marLeft w:val="0"/>
                                                                                                                      <w:marRight w:val="0"/>
                                                                                                                      <w:marTop w:val="0"/>
                                                                                                                      <w:marBottom w:val="0"/>
                                                                                                                      <w:divBdr>
                                                                                                                        <w:top w:val="none" w:sz="0" w:space="0" w:color="auto"/>
                                                                                                                        <w:left w:val="none" w:sz="0" w:space="0" w:color="auto"/>
                                                                                                                        <w:bottom w:val="none" w:sz="0" w:space="0" w:color="auto"/>
                                                                                                                        <w:right w:val="none" w:sz="0" w:space="0" w:color="auto"/>
                                                                                                                      </w:divBdr>
                                                                                                                    </w:div>
                                                                                                                  </w:divsChild>
                                                                                                                </w:div>
                                                                                                                <w:div w:id="573593177">
                                                                                                                  <w:marLeft w:val="0"/>
                                                                                                                  <w:marRight w:val="0"/>
                                                                                                                  <w:marTop w:val="0"/>
                                                                                                                  <w:marBottom w:val="0"/>
                                                                                                                  <w:divBdr>
                                                                                                                    <w:top w:val="none" w:sz="0" w:space="0" w:color="auto"/>
                                                                                                                    <w:left w:val="none" w:sz="0" w:space="0" w:color="auto"/>
                                                                                                                    <w:bottom w:val="none" w:sz="0" w:space="0" w:color="auto"/>
                                                                                                                    <w:right w:val="none" w:sz="0" w:space="0" w:color="auto"/>
                                                                                                                  </w:divBdr>
                                                                                                                  <w:divsChild>
                                                                                                                    <w:div w:id="612708476">
                                                                                                                      <w:marLeft w:val="0"/>
                                                                                                                      <w:marRight w:val="0"/>
                                                                                                                      <w:marTop w:val="0"/>
                                                                                                                      <w:marBottom w:val="0"/>
                                                                                                                      <w:divBdr>
                                                                                                                        <w:top w:val="none" w:sz="0" w:space="0" w:color="auto"/>
                                                                                                                        <w:left w:val="none" w:sz="0" w:space="0" w:color="auto"/>
                                                                                                                        <w:bottom w:val="none" w:sz="0" w:space="0" w:color="auto"/>
                                                                                                                        <w:right w:val="none" w:sz="0" w:space="0" w:color="auto"/>
                                                                                                                      </w:divBdr>
                                                                                                                    </w:div>
                                                                                                                  </w:divsChild>
                                                                                                                </w:div>
                                                                                                                <w:div w:id="1999528388">
                                                                                                                  <w:marLeft w:val="0"/>
                                                                                                                  <w:marRight w:val="0"/>
                                                                                                                  <w:marTop w:val="0"/>
                                                                                                                  <w:marBottom w:val="0"/>
                                                                                                                  <w:divBdr>
                                                                                                                    <w:top w:val="none" w:sz="0" w:space="0" w:color="auto"/>
                                                                                                                    <w:left w:val="none" w:sz="0" w:space="0" w:color="auto"/>
                                                                                                                    <w:bottom w:val="none" w:sz="0" w:space="0" w:color="auto"/>
                                                                                                                    <w:right w:val="none" w:sz="0" w:space="0" w:color="auto"/>
                                                                                                                  </w:divBdr>
                                                                                                                  <w:divsChild>
                                                                                                                    <w:div w:id="1069772726">
                                                                                                                      <w:marLeft w:val="0"/>
                                                                                                                      <w:marRight w:val="0"/>
                                                                                                                      <w:marTop w:val="0"/>
                                                                                                                      <w:marBottom w:val="0"/>
                                                                                                                      <w:divBdr>
                                                                                                                        <w:top w:val="none" w:sz="0" w:space="0" w:color="auto"/>
                                                                                                                        <w:left w:val="none" w:sz="0" w:space="0" w:color="auto"/>
                                                                                                                        <w:bottom w:val="none" w:sz="0" w:space="0" w:color="auto"/>
                                                                                                                        <w:right w:val="none" w:sz="0" w:space="0" w:color="auto"/>
                                                                                                                      </w:divBdr>
                                                                                                                    </w:div>
                                                                                                                    <w:div w:id="1147169368">
                                                                                                                      <w:marLeft w:val="0"/>
                                                                                                                      <w:marRight w:val="0"/>
                                                                                                                      <w:marTop w:val="0"/>
                                                                                                                      <w:marBottom w:val="0"/>
                                                                                                                      <w:divBdr>
                                                                                                                        <w:top w:val="none" w:sz="0" w:space="0" w:color="auto"/>
                                                                                                                        <w:left w:val="none" w:sz="0" w:space="0" w:color="auto"/>
                                                                                                                        <w:bottom w:val="none" w:sz="0" w:space="0" w:color="auto"/>
                                                                                                                        <w:right w:val="none" w:sz="0" w:space="0" w:color="auto"/>
                                                                                                                      </w:divBdr>
                                                                                                                      <w:divsChild>
                                                                                                                        <w:div w:id="928663585">
                                                                                                                          <w:marLeft w:val="300"/>
                                                                                                                          <w:marRight w:val="0"/>
                                                                                                                          <w:marTop w:val="0"/>
                                                                                                                          <w:marBottom w:val="0"/>
                                                                                                                          <w:divBdr>
                                                                                                                            <w:top w:val="none" w:sz="0" w:space="0" w:color="auto"/>
                                                                                                                            <w:left w:val="none" w:sz="0" w:space="0" w:color="auto"/>
                                                                                                                            <w:bottom w:val="none" w:sz="0" w:space="0" w:color="auto"/>
                                                                                                                            <w:right w:val="none" w:sz="0" w:space="0" w:color="auto"/>
                                                                                                                          </w:divBdr>
                                                                                                                        </w:div>
                                                                                                                      </w:divsChild>
                                                                                                                    </w:div>
                                                                                                                    <w:div w:id="51278399">
                                                                                                                      <w:marLeft w:val="0"/>
                                                                                                                      <w:marRight w:val="0"/>
                                                                                                                      <w:marTop w:val="0"/>
                                                                                                                      <w:marBottom w:val="0"/>
                                                                                                                      <w:divBdr>
                                                                                                                        <w:top w:val="none" w:sz="0" w:space="0" w:color="auto"/>
                                                                                                                        <w:left w:val="none" w:sz="0" w:space="0" w:color="auto"/>
                                                                                                                        <w:bottom w:val="none" w:sz="0" w:space="0" w:color="auto"/>
                                                                                                                        <w:right w:val="none" w:sz="0" w:space="0" w:color="auto"/>
                                                                                                                      </w:divBdr>
                                                                                                                      <w:divsChild>
                                                                                                                        <w:div w:id="1576547947">
                                                                                                                          <w:marLeft w:val="300"/>
                                                                                                                          <w:marRight w:val="0"/>
                                                                                                                          <w:marTop w:val="0"/>
                                                                                                                          <w:marBottom w:val="0"/>
                                                                                                                          <w:divBdr>
                                                                                                                            <w:top w:val="none" w:sz="0" w:space="0" w:color="auto"/>
                                                                                                                            <w:left w:val="none" w:sz="0" w:space="0" w:color="auto"/>
                                                                                                                            <w:bottom w:val="none" w:sz="0" w:space="0" w:color="auto"/>
                                                                                                                            <w:right w:val="none" w:sz="0" w:space="0" w:color="auto"/>
                                                                                                                          </w:divBdr>
                                                                                                                        </w:div>
                                                                                                                        <w:div w:id="1158883776">
                                                                                                                          <w:marLeft w:val="0"/>
                                                                                                                          <w:marRight w:val="0"/>
                                                                                                                          <w:marTop w:val="0"/>
                                                                                                                          <w:marBottom w:val="0"/>
                                                                                                                          <w:divBdr>
                                                                                                                            <w:top w:val="none" w:sz="0" w:space="0" w:color="auto"/>
                                                                                                                            <w:left w:val="none" w:sz="0" w:space="0" w:color="auto"/>
                                                                                                                            <w:bottom w:val="none" w:sz="0" w:space="0" w:color="auto"/>
                                                                                                                            <w:right w:val="none" w:sz="0" w:space="0" w:color="auto"/>
                                                                                                                          </w:divBdr>
                                                                                                                        </w:div>
                                                                                                                        <w:div w:id="1302416611">
                                                                                                                          <w:marLeft w:val="0"/>
                                                                                                                          <w:marRight w:val="0"/>
                                                                                                                          <w:marTop w:val="0"/>
                                                                                                                          <w:marBottom w:val="0"/>
                                                                                                                          <w:divBdr>
                                                                                                                            <w:top w:val="none" w:sz="0" w:space="0" w:color="auto"/>
                                                                                                                            <w:left w:val="none" w:sz="0" w:space="0" w:color="auto"/>
                                                                                                                            <w:bottom w:val="none" w:sz="0" w:space="0" w:color="auto"/>
                                                                                                                            <w:right w:val="none" w:sz="0" w:space="0" w:color="auto"/>
                                                                                                                          </w:divBdr>
                                                                                                                        </w:div>
                                                                                                                        <w:div w:id="2070687200">
                                                                                                                          <w:marLeft w:val="375"/>
                                                                                                                          <w:marRight w:val="375"/>
                                                                                                                          <w:marTop w:val="0"/>
                                                                                                                          <w:marBottom w:val="0"/>
                                                                                                                          <w:divBdr>
                                                                                                                            <w:top w:val="none" w:sz="0" w:space="0" w:color="auto"/>
                                                                                                                            <w:left w:val="none" w:sz="0" w:space="0" w:color="auto"/>
                                                                                                                            <w:bottom w:val="none" w:sz="0" w:space="0" w:color="auto"/>
                                                                                                                            <w:right w:val="none" w:sz="0" w:space="0" w:color="auto"/>
                                                                                                                          </w:divBdr>
                                                                                                                          <w:divsChild>
                                                                                                                            <w:div w:id="2141915003">
                                                                                                                              <w:marLeft w:val="0"/>
                                                                                                                              <w:marRight w:val="0"/>
                                                                                                                              <w:marTop w:val="0"/>
                                                                                                                              <w:marBottom w:val="0"/>
                                                                                                                              <w:divBdr>
                                                                                                                                <w:top w:val="none" w:sz="0" w:space="0" w:color="auto"/>
                                                                                                                                <w:left w:val="none" w:sz="0" w:space="0" w:color="auto"/>
                                                                                                                                <w:bottom w:val="none" w:sz="0" w:space="0" w:color="auto"/>
                                                                                                                                <w:right w:val="none" w:sz="0" w:space="0" w:color="auto"/>
                                                                                                                              </w:divBdr>
                                                                                                                            </w:div>
                                                                                                                            <w:div w:id="90512946">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1036732880">
                                                                                                                  <w:marLeft w:val="0"/>
                                                                                                                  <w:marRight w:val="0"/>
                                                                                                                  <w:marTop w:val="0"/>
                                                                                                                  <w:marBottom w:val="0"/>
                                                                                                                  <w:divBdr>
                                                                                                                    <w:top w:val="none" w:sz="0" w:space="0" w:color="auto"/>
                                                                                                                    <w:left w:val="none" w:sz="0" w:space="0" w:color="auto"/>
                                                                                                                    <w:bottom w:val="none" w:sz="0" w:space="0" w:color="auto"/>
                                                                                                                    <w:right w:val="none" w:sz="0" w:space="0" w:color="auto"/>
                                                                                                                  </w:divBdr>
                                                                                                                  <w:divsChild>
                                                                                                                    <w:div w:id="1140197407">
                                                                                                                      <w:marLeft w:val="0"/>
                                                                                                                      <w:marRight w:val="0"/>
                                                                                                                      <w:marTop w:val="0"/>
                                                                                                                      <w:marBottom w:val="0"/>
                                                                                                                      <w:divBdr>
                                                                                                                        <w:top w:val="none" w:sz="0" w:space="0" w:color="auto"/>
                                                                                                                        <w:left w:val="none" w:sz="0" w:space="0" w:color="auto"/>
                                                                                                                        <w:bottom w:val="none" w:sz="0" w:space="0" w:color="auto"/>
                                                                                                                        <w:right w:val="none" w:sz="0" w:space="0" w:color="auto"/>
                                                                                                                      </w:divBdr>
                                                                                                                    </w:div>
                                                                                                                    <w:div w:id="289556459">
                                                                                                                      <w:marLeft w:val="0"/>
                                                                                                                      <w:marRight w:val="0"/>
                                                                                                                      <w:marTop w:val="0"/>
                                                                                                                      <w:marBottom w:val="0"/>
                                                                                                                      <w:divBdr>
                                                                                                                        <w:top w:val="none" w:sz="0" w:space="0" w:color="auto"/>
                                                                                                                        <w:left w:val="none" w:sz="0" w:space="0" w:color="auto"/>
                                                                                                                        <w:bottom w:val="none" w:sz="0" w:space="0" w:color="auto"/>
                                                                                                                        <w:right w:val="none" w:sz="0" w:space="0" w:color="auto"/>
                                                                                                                      </w:divBdr>
                                                                                                                    </w:div>
                                                                                                                    <w:div w:id="450127147">
                                                                                                                      <w:marLeft w:val="0"/>
                                                                                                                      <w:marRight w:val="0"/>
                                                                                                                      <w:marTop w:val="0"/>
                                                                                                                      <w:marBottom w:val="0"/>
                                                                                                                      <w:divBdr>
                                                                                                                        <w:top w:val="none" w:sz="0" w:space="0" w:color="auto"/>
                                                                                                                        <w:left w:val="none" w:sz="0" w:space="0" w:color="auto"/>
                                                                                                                        <w:bottom w:val="none" w:sz="0" w:space="0" w:color="auto"/>
                                                                                                                        <w:right w:val="none" w:sz="0" w:space="0" w:color="auto"/>
                                                                                                                      </w:divBdr>
                                                                                                                    </w:div>
                                                                                                                    <w:div w:id="1226799174">
                                                                                                                      <w:marLeft w:val="375"/>
                                                                                                                      <w:marRight w:val="375"/>
                                                                                                                      <w:marTop w:val="0"/>
                                                                                                                      <w:marBottom w:val="0"/>
                                                                                                                      <w:divBdr>
                                                                                                                        <w:top w:val="none" w:sz="0" w:space="0" w:color="auto"/>
                                                                                                                        <w:left w:val="none" w:sz="0" w:space="0" w:color="auto"/>
                                                                                                                        <w:bottom w:val="none" w:sz="0" w:space="0" w:color="auto"/>
                                                                                                                        <w:right w:val="none" w:sz="0" w:space="0" w:color="auto"/>
                                                                                                                      </w:divBdr>
                                                                                                                      <w:divsChild>
                                                                                                                        <w:div w:id="2094668795">
                                                                                                                          <w:marLeft w:val="0"/>
                                                                                                                          <w:marRight w:val="0"/>
                                                                                                                          <w:marTop w:val="0"/>
                                                                                                                          <w:marBottom w:val="0"/>
                                                                                                                          <w:divBdr>
                                                                                                                            <w:top w:val="none" w:sz="0" w:space="0" w:color="auto"/>
                                                                                                                            <w:left w:val="none" w:sz="0" w:space="0" w:color="auto"/>
                                                                                                                            <w:bottom w:val="none" w:sz="0" w:space="0" w:color="auto"/>
                                                                                                                            <w:right w:val="none" w:sz="0" w:space="0" w:color="auto"/>
                                                                                                                          </w:divBdr>
                                                                                                                        </w:div>
                                                                                                                        <w:div w:id="1818454222">
                                                                                                                          <w:marLeft w:val="0"/>
                                                                                                                          <w:marRight w:val="0"/>
                                                                                                                          <w:marTop w:val="150"/>
                                                                                                                          <w:marBottom w:val="0"/>
                                                                                                                          <w:divBdr>
                                                                                                                            <w:top w:val="none" w:sz="0" w:space="0" w:color="auto"/>
                                                                                                                            <w:left w:val="none" w:sz="0" w:space="0" w:color="auto"/>
                                                                                                                            <w:bottom w:val="none" w:sz="0" w:space="0" w:color="auto"/>
                                                                                                                            <w:right w:val="none" w:sz="0" w:space="0" w:color="auto"/>
                                                                                                                          </w:divBdr>
                                                                                                                        </w:div>
                                                                                                                      </w:divsChild>
                                                                                                                    </w:div>
                                                                                                                    <w:div w:id="1320965976">
                                                                                                                      <w:marLeft w:val="0"/>
                                                                                                                      <w:marRight w:val="0"/>
                                                                                                                      <w:marTop w:val="0"/>
                                                                                                                      <w:marBottom w:val="0"/>
                                                                                                                      <w:divBdr>
                                                                                                                        <w:top w:val="none" w:sz="0" w:space="0" w:color="auto"/>
                                                                                                                        <w:left w:val="none" w:sz="0" w:space="0" w:color="auto"/>
                                                                                                                        <w:bottom w:val="none" w:sz="0" w:space="0" w:color="auto"/>
                                                                                                                        <w:right w:val="none" w:sz="0" w:space="0" w:color="auto"/>
                                                                                                                      </w:divBdr>
                                                                                                                      <w:divsChild>
                                                                                                                        <w:div w:id="1313145872">
                                                                                                                          <w:marLeft w:val="300"/>
                                                                                                                          <w:marRight w:val="0"/>
                                                                                                                          <w:marTop w:val="0"/>
                                                                                                                          <w:marBottom w:val="0"/>
                                                                                                                          <w:divBdr>
                                                                                                                            <w:top w:val="none" w:sz="0" w:space="0" w:color="auto"/>
                                                                                                                            <w:left w:val="none" w:sz="0" w:space="0" w:color="auto"/>
                                                                                                                            <w:bottom w:val="none" w:sz="0" w:space="0" w:color="auto"/>
                                                                                                                            <w:right w:val="none" w:sz="0" w:space="0" w:color="auto"/>
                                                                                                                          </w:divBdr>
                                                                                                                        </w:div>
                                                                                                                        <w:div w:id="1462456550">
                                                                                                                          <w:marLeft w:val="0"/>
                                                                                                                          <w:marRight w:val="0"/>
                                                                                                                          <w:marTop w:val="0"/>
                                                                                                                          <w:marBottom w:val="0"/>
                                                                                                                          <w:divBdr>
                                                                                                                            <w:top w:val="none" w:sz="0" w:space="0" w:color="auto"/>
                                                                                                                            <w:left w:val="none" w:sz="0" w:space="0" w:color="auto"/>
                                                                                                                            <w:bottom w:val="none" w:sz="0" w:space="0" w:color="auto"/>
                                                                                                                            <w:right w:val="none" w:sz="0" w:space="0" w:color="auto"/>
                                                                                                                          </w:divBdr>
                                                                                                                        </w:div>
                                                                                                                        <w:div w:id="354968415">
                                                                                                                          <w:marLeft w:val="0"/>
                                                                                                                          <w:marRight w:val="0"/>
                                                                                                                          <w:marTop w:val="0"/>
                                                                                                                          <w:marBottom w:val="0"/>
                                                                                                                          <w:divBdr>
                                                                                                                            <w:top w:val="none" w:sz="0" w:space="0" w:color="auto"/>
                                                                                                                            <w:left w:val="none" w:sz="0" w:space="0" w:color="auto"/>
                                                                                                                            <w:bottom w:val="none" w:sz="0" w:space="0" w:color="auto"/>
                                                                                                                            <w:right w:val="none" w:sz="0" w:space="0" w:color="auto"/>
                                                                                                                          </w:divBdr>
                                                                                                                        </w:div>
                                                                                                                      </w:divsChild>
                                                                                                                    </w:div>
                                                                                                                    <w:div w:id="1374187585">
                                                                                                                      <w:marLeft w:val="0"/>
                                                                                                                      <w:marRight w:val="0"/>
                                                                                                                      <w:marTop w:val="0"/>
                                                                                                                      <w:marBottom w:val="0"/>
                                                                                                                      <w:divBdr>
                                                                                                                        <w:top w:val="none" w:sz="0" w:space="0" w:color="auto"/>
                                                                                                                        <w:left w:val="none" w:sz="0" w:space="0" w:color="auto"/>
                                                                                                                        <w:bottom w:val="none" w:sz="0" w:space="0" w:color="auto"/>
                                                                                                                        <w:right w:val="none" w:sz="0" w:space="0" w:color="auto"/>
                                                                                                                      </w:divBdr>
                                                                                                                      <w:divsChild>
                                                                                                                        <w:div w:id="1991326025">
                                                                                                                          <w:marLeft w:val="300"/>
                                                                                                                          <w:marRight w:val="0"/>
                                                                                                                          <w:marTop w:val="0"/>
                                                                                                                          <w:marBottom w:val="0"/>
                                                                                                                          <w:divBdr>
                                                                                                                            <w:top w:val="none" w:sz="0" w:space="0" w:color="auto"/>
                                                                                                                            <w:left w:val="none" w:sz="0" w:space="0" w:color="auto"/>
                                                                                                                            <w:bottom w:val="none" w:sz="0" w:space="0" w:color="auto"/>
                                                                                                                            <w:right w:val="none" w:sz="0" w:space="0" w:color="auto"/>
                                                                                                                          </w:divBdr>
                                                                                                                        </w:div>
                                                                                                                        <w:div w:id="815151402">
                                                                                                                          <w:marLeft w:val="0"/>
                                                                                                                          <w:marRight w:val="0"/>
                                                                                                                          <w:marTop w:val="0"/>
                                                                                                                          <w:marBottom w:val="0"/>
                                                                                                                          <w:divBdr>
                                                                                                                            <w:top w:val="none" w:sz="0" w:space="0" w:color="auto"/>
                                                                                                                            <w:left w:val="none" w:sz="0" w:space="0" w:color="auto"/>
                                                                                                                            <w:bottom w:val="none" w:sz="0" w:space="0" w:color="auto"/>
                                                                                                                            <w:right w:val="none" w:sz="0" w:space="0" w:color="auto"/>
                                                                                                                          </w:divBdr>
                                                                                                                        </w:div>
                                                                                                                        <w:div w:id="337999184">
                                                                                                                          <w:marLeft w:val="0"/>
                                                                                                                          <w:marRight w:val="0"/>
                                                                                                                          <w:marTop w:val="0"/>
                                                                                                                          <w:marBottom w:val="0"/>
                                                                                                                          <w:divBdr>
                                                                                                                            <w:top w:val="none" w:sz="0" w:space="0" w:color="auto"/>
                                                                                                                            <w:left w:val="none" w:sz="0" w:space="0" w:color="auto"/>
                                                                                                                            <w:bottom w:val="none" w:sz="0" w:space="0" w:color="auto"/>
                                                                                                                            <w:right w:val="none" w:sz="0" w:space="0" w:color="auto"/>
                                                                                                                          </w:divBdr>
                                                                                                                        </w:div>
                                                                                                                        <w:div w:id="486629308">
                                                                                                                          <w:marLeft w:val="0"/>
                                                                                                                          <w:marRight w:val="0"/>
                                                                                                                          <w:marTop w:val="0"/>
                                                                                                                          <w:marBottom w:val="0"/>
                                                                                                                          <w:divBdr>
                                                                                                                            <w:top w:val="none" w:sz="0" w:space="0" w:color="auto"/>
                                                                                                                            <w:left w:val="none" w:sz="0" w:space="0" w:color="auto"/>
                                                                                                                            <w:bottom w:val="none" w:sz="0" w:space="0" w:color="auto"/>
                                                                                                                            <w:right w:val="none" w:sz="0" w:space="0" w:color="auto"/>
                                                                                                                          </w:divBdr>
                                                                                                                        </w:div>
                                                                                                                        <w:div w:id="1126702788">
                                                                                                                          <w:marLeft w:val="0"/>
                                                                                                                          <w:marRight w:val="0"/>
                                                                                                                          <w:marTop w:val="0"/>
                                                                                                                          <w:marBottom w:val="0"/>
                                                                                                                          <w:divBdr>
                                                                                                                            <w:top w:val="none" w:sz="0" w:space="0" w:color="auto"/>
                                                                                                                            <w:left w:val="none" w:sz="0" w:space="0" w:color="auto"/>
                                                                                                                            <w:bottom w:val="none" w:sz="0" w:space="0" w:color="auto"/>
                                                                                                                            <w:right w:val="none" w:sz="0" w:space="0" w:color="auto"/>
                                                                                                                          </w:divBdr>
                                                                                                                        </w:div>
                                                                                                                        <w:div w:id="1272057680">
                                                                                                                          <w:marLeft w:val="0"/>
                                                                                                                          <w:marRight w:val="0"/>
                                                                                                                          <w:marTop w:val="0"/>
                                                                                                                          <w:marBottom w:val="0"/>
                                                                                                                          <w:divBdr>
                                                                                                                            <w:top w:val="none" w:sz="0" w:space="0" w:color="auto"/>
                                                                                                                            <w:left w:val="none" w:sz="0" w:space="0" w:color="auto"/>
                                                                                                                            <w:bottom w:val="none" w:sz="0" w:space="0" w:color="auto"/>
                                                                                                                            <w:right w:val="none" w:sz="0" w:space="0" w:color="auto"/>
                                                                                                                          </w:divBdr>
                                                                                                                        </w:div>
                                                                                                                        <w:div w:id="2125493553">
                                                                                                                          <w:marLeft w:val="0"/>
                                                                                                                          <w:marRight w:val="0"/>
                                                                                                                          <w:marTop w:val="0"/>
                                                                                                                          <w:marBottom w:val="0"/>
                                                                                                                          <w:divBdr>
                                                                                                                            <w:top w:val="none" w:sz="0" w:space="0" w:color="auto"/>
                                                                                                                            <w:left w:val="none" w:sz="0" w:space="0" w:color="auto"/>
                                                                                                                            <w:bottom w:val="none" w:sz="0" w:space="0" w:color="auto"/>
                                                                                                                            <w:right w:val="none" w:sz="0" w:space="0" w:color="auto"/>
                                                                                                                          </w:divBdr>
                                                                                                                        </w:div>
                                                                                                                        <w:div w:id="137457127">
                                                                                                                          <w:marLeft w:val="0"/>
                                                                                                                          <w:marRight w:val="0"/>
                                                                                                                          <w:marTop w:val="0"/>
                                                                                                                          <w:marBottom w:val="0"/>
                                                                                                                          <w:divBdr>
                                                                                                                            <w:top w:val="none" w:sz="0" w:space="0" w:color="auto"/>
                                                                                                                            <w:left w:val="none" w:sz="0" w:space="0" w:color="auto"/>
                                                                                                                            <w:bottom w:val="none" w:sz="0" w:space="0" w:color="auto"/>
                                                                                                                            <w:right w:val="none" w:sz="0" w:space="0" w:color="auto"/>
                                                                                                                          </w:divBdr>
                                                                                                                        </w:div>
                                                                                                                      </w:divsChild>
                                                                                                                    </w:div>
                                                                                                                    <w:div w:id="319386303">
                                                                                                                      <w:marLeft w:val="0"/>
                                                                                                                      <w:marRight w:val="0"/>
                                                                                                                      <w:marTop w:val="0"/>
                                                                                                                      <w:marBottom w:val="0"/>
                                                                                                                      <w:divBdr>
                                                                                                                        <w:top w:val="none" w:sz="0" w:space="0" w:color="auto"/>
                                                                                                                        <w:left w:val="none" w:sz="0" w:space="0" w:color="auto"/>
                                                                                                                        <w:bottom w:val="none" w:sz="0" w:space="0" w:color="auto"/>
                                                                                                                        <w:right w:val="none" w:sz="0" w:space="0" w:color="auto"/>
                                                                                                                      </w:divBdr>
                                                                                                                      <w:divsChild>
                                                                                                                        <w:div w:id="298652094">
                                                                                                                          <w:marLeft w:val="300"/>
                                                                                                                          <w:marRight w:val="0"/>
                                                                                                                          <w:marTop w:val="0"/>
                                                                                                                          <w:marBottom w:val="0"/>
                                                                                                                          <w:divBdr>
                                                                                                                            <w:top w:val="none" w:sz="0" w:space="0" w:color="auto"/>
                                                                                                                            <w:left w:val="none" w:sz="0" w:space="0" w:color="auto"/>
                                                                                                                            <w:bottom w:val="none" w:sz="0" w:space="0" w:color="auto"/>
                                                                                                                            <w:right w:val="none" w:sz="0" w:space="0" w:color="auto"/>
                                                                                                                          </w:divBdr>
                                                                                                                        </w:div>
                                                                                                                        <w:div w:id="1002121607">
                                                                                                                          <w:marLeft w:val="0"/>
                                                                                                                          <w:marRight w:val="0"/>
                                                                                                                          <w:marTop w:val="0"/>
                                                                                                                          <w:marBottom w:val="0"/>
                                                                                                                          <w:divBdr>
                                                                                                                            <w:top w:val="none" w:sz="0" w:space="0" w:color="auto"/>
                                                                                                                            <w:left w:val="none" w:sz="0" w:space="0" w:color="auto"/>
                                                                                                                            <w:bottom w:val="none" w:sz="0" w:space="0" w:color="auto"/>
                                                                                                                            <w:right w:val="none" w:sz="0" w:space="0" w:color="auto"/>
                                                                                                                          </w:divBdr>
                                                                                                                        </w:div>
                                                                                                                        <w:div w:id="1152478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4856520">
                                                                                                                  <w:marLeft w:val="0"/>
                                                                                                                  <w:marRight w:val="0"/>
                                                                                                                  <w:marTop w:val="0"/>
                                                                                                                  <w:marBottom w:val="0"/>
                                                                                                                  <w:divBdr>
                                                                                                                    <w:top w:val="none" w:sz="0" w:space="0" w:color="auto"/>
                                                                                                                    <w:left w:val="none" w:sz="0" w:space="0" w:color="auto"/>
                                                                                                                    <w:bottom w:val="none" w:sz="0" w:space="0" w:color="auto"/>
                                                                                                                    <w:right w:val="none" w:sz="0" w:space="0" w:color="auto"/>
                                                                                                                  </w:divBdr>
                                                                                                                  <w:divsChild>
                                                                                                                    <w:div w:id="1032027485">
                                                                                                                      <w:marLeft w:val="0"/>
                                                                                                                      <w:marRight w:val="0"/>
                                                                                                                      <w:marTop w:val="0"/>
                                                                                                                      <w:marBottom w:val="0"/>
                                                                                                                      <w:divBdr>
                                                                                                                        <w:top w:val="none" w:sz="0" w:space="0" w:color="auto"/>
                                                                                                                        <w:left w:val="none" w:sz="0" w:space="0" w:color="auto"/>
                                                                                                                        <w:bottom w:val="none" w:sz="0" w:space="0" w:color="auto"/>
                                                                                                                        <w:right w:val="none" w:sz="0" w:space="0" w:color="auto"/>
                                                                                                                      </w:divBdr>
                                                                                                                    </w:div>
                                                                                                                    <w:div w:id="1237784877">
                                                                                                                      <w:marLeft w:val="0"/>
                                                                                                                      <w:marRight w:val="0"/>
                                                                                                                      <w:marTop w:val="0"/>
                                                                                                                      <w:marBottom w:val="0"/>
                                                                                                                      <w:divBdr>
                                                                                                                        <w:top w:val="none" w:sz="0" w:space="0" w:color="auto"/>
                                                                                                                        <w:left w:val="none" w:sz="0" w:space="0" w:color="auto"/>
                                                                                                                        <w:bottom w:val="none" w:sz="0" w:space="0" w:color="auto"/>
                                                                                                                        <w:right w:val="none" w:sz="0" w:space="0" w:color="auto"/>
                                                                                                                      </w:divBdr>
                                                                                                                      <w:divsChild>
                                                                                                                        <w:div w:id="126440562">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841582538">
                                                                                                                  <w:marLeft w:val="0"/>
                                                                                                                  <w:marRight w:val="0"/>
                                                                                                                  <w:marTop w:val="0"/>
                                                                                                                  <w:marBottom w:val="0"/>
                                                                                                                  <w:divBdr>
                                                                                                                    <w:top w:val="none" w:sz="0" w:space="0" w:color="auto"/>
                                                                                                                    <w:left w:val="none" w:sz="0" w:space="0" w:color="auto"/>
                                                                                                                    <w:bottom w:val="none" w:sz="0" w:space="0" w:color="auto"/>
                                                                                                                    <w:right w:val="none" w:sz="0" w:space="0" w:color="auto"/>
                                                                                                                  </w:divBdr>
                                                                                                                  <w:divsChild>
                                                                                                                    <w:div w:id="244268086">
                                                                                                                      <w:marLeft w:val="0"/>
                                                                                                                      <w:marRight w:val="0"/>
                                                                                                                      <w:marTop w:val="0"/>
                                                                                                                      <w:marBottom w:val="0"/>
                                                                                                                      <w:divBdr>
                                                                                                                        <w:top w:val="none" w:sz="0" w:space="0" w:color="auto"/>
                                                                                                                        <w:left w:val="none" w:sz="0" w:space="0" w:color="auto"/>
                                                                                                                        <w:bottom w:val="none" w:sz="0" w:space="0" w:color="auto"/>
                                                                                                                        <w:right w:val="none" w:sz="0" w:space="0" w:color="auto"/>
                                                                                                                      </w:divBdr>
                                                                                                                    </w:div>
                                                                                                                  </w:divsChild>
                                                                                                                </w:div>
                                                                                                                <w:div w:id="128792744">
                                                                                                                  <w:marLeft w:val="0"/>
                                                                                                                  <w:marRight w:val="0"/>
                                                                                                                  <w:marTop w:val="0"/>
                                                                                                                  <w:marBottom w:val="0"/>
                                                                                                                  <w:divBdr>
                                                                                                                    <w:top w:val="none" w:sz="0" w:space="0" w:color="auto"/>
                                                                                                                    <w:left w:val="none" w:sz="0" w:space="0" w:color="auto"/>
                                                                                                                    <w:bottom w:val="none" w:sz="0" w:space="0" w:color="auto"/>
                                                                                                                    <w:right w:val="none" w:sz="0" w:space="0" w:color="auto"/>
                                                                                                                  </w:divBdr>
                                                                                                                  <w:divsChild>
                                                                                                                    <w:div w:id="1559588185">
                                                                                                                      <w:marLeft w:val="0"/>
                                                                                                                      <w:marRight w:val="0"/>
                                                                                                                      <w:marTop w:val="0"/>
                                                                                                                      <w:marBottom w:val="0"/>
                                                                                                                      <w:divBdr>
                                                                                                                        <w:top w:val="none" w:sz="0" w:space="0" w:color="auto"/>
                                                                                                                        <w:left w:val="none" w:sz="0" w:space="0" w:color="auto"/>
                                                                                                                        <w:bottom w:val="none" w:sz="0" w:space="0" w:color="auto"/>
                                                                                                                        <w:right w:val="none" w:sz="0" w:space="0" w:color="auto"/>
                                                                                                                      </w:divBdr>
                                                                                                                      <w:divsChild>
                                                                                                                        <w:div w:id="1335184062">
                                                                                                                          <w:marLeft w:val="0"/>
                                                                                                                          <w:marRight w:val="0"/>
                                                                                                                          <w:marTop w:val="0"/>
                                                                                                                          <w:marBottom w:val="0"/>
                                                                                                                          <w:divBdr>
                                                                                                                            <w:top w:val="none" w:sz="0" w:space="0" w:color="auto"/>
                                                                                                                            <w:left w:val="none" w:sz="0" w:space="0" w:color="auto"/>
                                                                                                                            <w:bottom w:val="none" w:sz="0" w:space="0" w:color="auto"/>
                                                                                                                            <w:right w:val="none" w:sz="0" w:space="0" w:color="auto"/>
                                                                                                                          </w:divBdr>
                                                                                                                        </w:div>
                                                                                                                        <w:div w:id="503514288">
                                                                                                                          <w:marLeft w:val="0"/>
                                                                                                                          <w:marRight w:val="0"/>
                                                                                                                          <w:marTop w:val="0"/>
                                                                                                                          <w:marBottom w:val="0"/>
                                                                                                                          <w:divBdr>
                                                                                                                            <w:top w:val="none" w:sz="0" w:space="0" w:color="auto"/>
                                                                                                                            <w:left w:val="none" w:sz="0" w:space="0" w:color="auto"/>
                                                                                                                            <w:bottom w:val="none" w:sz="0" w:space="0" w:color="auto"/>
                                                                                                                            <w:right w:val="none" w:sz="0" w:space="0" w:color="auto"/>
                                                                                                                          </w:divBdr>
                                                                                                                          <w:divsChild>
                                                                                                                            <w:div w:id="1974821604">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7011784">
                                                                                                                  <w:marLeft w:val="0"/>
                                                                                                                  <w:marRight w:val="0"/>
                                                                                                                  <w:marTop w:val="0"/>
                                                                                                                  <w:marBottom w:val="0"/>
                                                                                                                  <w:divBdr>
                                                                                                                    <w:top w:val="none" w:sz="0" w:space="0" w:color="auto"/>
                                                                                                                    <w:left w:val="none" w:sz="0" w:space="0" w:color="auto"/>
                                                                                                                    <w:bottom w:val="none" w:sz="0" w:space="0" w:color="auto"/>
                                                                                                                    <w:right w:val="none" w:sz="0" w:space="0" w:color="auto"/>
                                                                                                                  </w:divBdr>
                                                                                                                </w:div>
                                                                                                                <w:div w:id="473722057">
                                                                                                                  <w:marLeft w:val="0"/>
                                                                                                                  <w:marRight w:val="0"/>
                                                                                                                  <w:marTop w:val="0"/>
                                                                                                                  <w:marBottom w:val="0"/>
                                                                                                                  <w:divBdr>
                                                                                                                    <w:top w:val="none" w:sz="0" w:space="0" w:color="auto"/>
                                                                                                                    <w:left w:val="none" w:sz="0" w:space="0" w:color="auto"/>
                                                                                                                    <w:bottom w:val="none" w:sz="0" w:space="0" w:color="auto"/>
                                                                                                                    <w:right w:val="none" w:sz="0" w:space="0" w:color="auto"/>
                                                                                                                  </w:divBdr>
                                                                                                                  <w:divsChild>
                                                                                                                    <w:div w:id="257443612">
                                                                                                                      <w:marLeft w:val="0"/>
                                                                                                                      <w:marRight w:val="0"/>
                                                                                                                      <w:marTop w:val="0"/>
                                                                                                                      <w:marBottom w:val="0"/>
                                                                                                                      <w:divBdr>
                                                                                                                        <w:top w:val="none" w:sz="0" w:space="0" w:color="auto"/>
                                                                                                                        <w:left w:val="none" w:sz="0" w:space="0" w:color="auto"/>
                                                                                                                        <w:bottom w:val="none" w:sz="0" w:space="0" w:color="auto"/>
                                                                                                                        <w:right w:val="none" w:sz="0" w:space="0" w:color="auto"/>
                                                                                                                      </w:divBdr>
                                                                                                                    </w:div>
                                                                                                                  </w:divsChild>
                                                                                                                </w:div>
                                                                                                                <w:div w:id="376467050">
                                                                                                                  <w:marLeft w:val="0"/>
                                                                                                                  <w:marRight w:val="0"/>
                                                                                                                  <w:marTop w:val="0"/>
                                                                                                                  <w:marBottom w:val="0"/>
                                                                                                                  <w:divBdr>
                                                                                                                    <w:top w:val="none" w:sz="0" w:space="0" w:color="auto"/>
                                                                                                                    <w:left w:val="none" w:sz="0" w:space="0" w:color="auto"/>
                                                                                                                    <w:bottom w:val="none" w:sz="0" w:space="0" w:color="auto"/>
                                                                                                                    <w:right w:val="none" w:sz="0" w:space="0" w:color="auto"/>
                                                                                                                  </w:divBdr>
                                                                                                                </w:div>
                                                                                                                <w:div w:id="319162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76163983">
                                                                                  <w:marLeft w:val="105"/>
                                                                                  <w:marRight w:val="105"/>
                                                                                  <w:marTop w:val="105"/>
                                                                                  <w:marBottom w:val="105"/>
                                                                                  <w:divBdr>
                                                                                    <w:top w:val="none" w:sz="0" w:space="0" w:color="auto"/>
                                                                                    <w:left w:val="none" w:sz="0" w:space="0" w:color="auto"/>
                                                                                    <w:bottom w:val="none" w:sz="0" w:space="0" w:color="auto"/>
                                                                                    <w:right w:val="none" w:sz="0" w:space="0" w:color="auto"/>
                                                                                  </w:divBdr>
                                                                                  <w:divsChild>
                                                                                    <w:div w:id="79063607">
                                                                                      <w:marLeft w:val="0"/>
                                                                                      <w:marRight w:val="0"/>
                                                                                      <w:marTop w:val="0"/>
                                                                                      <w:marBottom w:val="0"/>
                                                                                      <w:divBdr>
                                                                                        <w:top w:val="none" w:sz="0" w:space="0" w:color="auto"/>
                                                                                        <w:left w:val="none" w:sz="0" w:space="0" w:color="auto"/>
                                                                                        <w:bottom w:val="none" w:sz="0" w:space="0" w:color="auto"/>
                                                                                        <w:right w:val="none" w:sz="0" w:space="0" w:color="auto"/>
                                                                                      </w:divBdr>
                                                                                      <w:divsChild>
                                                                                        <w:div w:id="241646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441801771">
                                              <w:marLeft w:val="0"/>
                                              <w:marRight w:val="0"/>
                                              <w:marTop w:val="0"/>
                                              <w:marBottom w:val="0"/>
                                              <w:divBdr>
                                                <w:top w:val="none" w:sz="0" w:space="0" w:color="auto"/>
                                                <w:left w:val="none" w:sz="0" w:space="0" w:color="auto"/>
                                                <w:bottom w:val="none" w:sz="0" w:space="0" w:color="auto"/>
                                                <w:right w:val="none" w:sz="0" w:space="0" w:color="auto"/>
                                              </w:divBdr>
                                              <w:divsChild>
                                                <w:div w:id="45765321">
                                                  <w:marLeft w:val="0"/>
                                                  <w:marRight w:val="0"/>
                                                  <w:marTop w:val="0"/>
                                                  <w:marBottom w:val="0"/>
                                                  <w:divBdr>
                                                    <w:top w:val="none" w:sz="0" w:space="0" w:color="auto"/>
                                                    <w:left w:val="none" w:sz="0" w:space="0" w:color="auto"/>
                                                    <w:bottom w:val="none" w:sz="0" w:space="0" w:color="auto"/>
                                                    <w:right w:val="none" w:sz="0" w:space="0" w:color="auto"/>
                                                  </w:divBdr>
                                                  <w:divsChild>
                                                    <w:div w:id="1039747694">
                                                      <w:marLeft w:val="0"/>
                                                      <w:marRight w:val="0"/>
                                                      <w:marTop w:val="0"/>
                                                      <w:marBottom w:val="0"/>
                                                      <w:divBdr>
                                                        <w:top w:val="none" w:sz="0" w:space="0" w:color="auto"/>
                                                        <w:left w:val="none" w:sz="0" w:space="0" w:color="auto"/>
                                                        <w:bottom w:val="none" w:sz="0" w:space="0" w:color="auto"/>
                                                        <w:right w:val="none" w:sz="0" w:space="0" w:color="auto"/>
                                                      </w:divBdr>
                                                      <w:divsChild>
                                                        <w:div w:id="2125298491">
                                                          <w:marLeft w:val="0"/>
                                                          <w:marRight w:val="0"/>
                                                          <w:marTop w:val="0"/>
                                                          <w:marBottom w:val="0"/>
                                                          <w:divBdr>
                                                            <w:top w:val="none" w:sz="0" w:space="0" w:color="auto"/>
                                                            <w:left w:val="none" w:sz="0" w:space="0" w:color="auto"/>
                                                            <w:bottom w:val="none" w:sz="0" w:space="0" w:color="auto"/>
                                                            <w:right w:val="none" w:sz="0" w:space="0" w:color="auto"/>
                                                          </w:divBdr>
                                                          <w:divsChild>
                                                            <w:div w:id="1040399668">
                                                              <w:marLeft w:val="0"/>
                                                              <w:marRight w:val="0"/>
                                                              <w:marTop w:val="0"/>
                                                              <w:marBottom w:val="0"/>
                                                              <w:divBdr>
                                                                <w:top w:val="none" w:sz="0" w:space="0" w:color="auto"/>
                                                                <w:left w:val="none" w:sz="0" w:space="0" w:color="auto"/>
                                                                <w:bottom w:val="none" w:sz="0" w:space="0" w:color="auto"/>
                                                                <w:right w:val="none" w:sz="0" w:space="0" w:color="auto"/>
                                                              </w:divBdr>
                                                              <w:divsChild>
                                                                <w:div w:id="1309171243">
                                                                  <w:marLeft w:val="0"/>
                                                                  <w:marRight w:val="0"/>
                                                                  <w:marTop w:val="0"/>
                                                                  <w:marBottom w:val="0"/>
                                                                  <w:divBdr>
                                                                    <w:top w:val="none" w:sz="0" w:space="0" w:color="auto"/>
                                                                    <w:left w:val="none" w:sz="0" w:space="0" w:color="auto"/>
                                                                    <w:bottom w:val="none" w:sz="0" w:space="0" w:color="auto"/>
                                                                    <w:right w:val="none" w:sz="0" w:space="0" w:color="auto"/>
                                                                  </w:divBdr>
                                                                  <w:divsChild>
                                                                    <w:div w:id="1517621648">
                                                                      <w:marLeft w:val="0"/>
                                                                      <w:marRight w:val="0"/>
                                                                      <w:marTop w:val="0"/>
                                                                      <w:marBottom w:val="0"/>
                                                                      <w:divBdr>
                                                                        <w:top w:val="none" w:sz="0" w:space="0" w:color="auto"/>
                                                                        <w:left w:val="none" w:sz="0" w:space="0" w:color="auto"/>
                                                                        <w:bottom w:val="none" w:sz="0" w:space="0" w:color="auto"/>
                                                                        <w:right w:val="none" w:sz="0" w:space="0" w:color="auto"/>
                                                                      </w:divBdr>
                                                                      <w:divsChild>
                                                                        <w:div w:id="848131986">
                                                                          <w:marLeft w:val="0"/>
                                                                          <w:marRight w:val="0"/>
                                                                          <w:marTop w:val="0"/>
                                                                          <w:marBottom w:val="0"/>
                                                                          <w:divBdr>
                                                                            <w:top w:val="none" w:sz="0" w:space="0" w:color="auto"/>
                                                                            <w:left w:val="none" w:sz="0" w:space="0" w:color="auto"/>
                                                                            <w:bottom w:val="none" w:sz="0" w:space="0" w:color="auto"/>
                                                                            <w:right w:val="none" w:sz="0" w:space="0" w:color="auto"/>
                                                                          </w:divBdr>
                                                                          <w:divsChild>
                                                                            <w:div w:id="1547984230">
                                                                              <w:marLeft w:val="300"/>
                                                                              <w:marRight w:val="0"/>
                                                                              <w:marTop w:val="0"/>
                                                                              <w:marBottom w:val="0"/>
                                                                              <w:divBdr>
                                                                                <w:top w:val="none" w:sz="0" w:space="0" w:color="auto"/>
                                                                                <w:left w:val="none" w:sz="0" w:space="0" w:color="auto"/>
                                                                                <w:bottom w:val="none" w:sz="0" w:space="0" w:color="auto"/>
                                                                                <w:right w:val="none" w:sz="0" w:space="0" w:color="auto"/>
                                                                              </w:divBdr>
                                                                              <w:divsChild>
                                                                                <w:div w:id="1949896314">
                                                                                  <w:marLeft w:val="0"/>
                                                                                  <w:marRight w:val="0"/>
                                                                                  <w:marTop w:val="0"/>
                                                                                  <w:marBottom w:val="0"/>
                                                                                  <w:divBdr>
                                                                                    <w:top w:val="none" w:sz="0" w:space="0" w:color="auto"/>
                                                                                    <w:left w:val="none" w:sz="0" w:space="0" w:color="auto"/>
                                                                                    <w:bottom w:val="none" w:sz="0" w:space="0" w:color="auto"/>
                                                                                    <w:right w:val="none" w:sz="0" w:space="0" w:color="auto"/>
                                                                                  </w:divBdr>
                                                                                  <w:divsChild>
                                                                                    <w:div w:id="951668945">
                                                                                      <w:marLeft w:val="0"/>
                                                                                      <w:marRight w:val="0"/>
                                                                                      <w:marTop w:val="0"/>
                                                                                      <w:marBottom w:val="0"/>
                                                                                      <w:divBdr>
                                                                                        <w:top w:val="none" w:sz="0" w:space="0" w:color="auto"/>
                                                                                        <w:left w:val="none" w:sz="0" w:space="0" w:color="auto"/>
                                                                                        <w:bottom w:val="none" w:sz="0" w:space="0" w:color="auto"/>
                                                                                        <w:right w:val="none" w:sz="0" w:space="0" w:color="auto"/>
                                                                                      </w:divBdr>
                                                                                      <w:divsChild>
                                                                                        <w:div w:id="576593056">
                                                                                          <w:marLeft w:val="0"/>
                                                                                          <w:marRight w:val="0"/>
                                                                                          <w:marTop w:val="0"/>
                                                                                          <w:marBottom w:val="0"/>
                                                                                          <w:divBdr>
                                                                                            <w:top w:val="none" w:sz="0" w:space="0" w:color="auto"/>
                                                                                            <w:left w:val="none" w:sz="0" w:space="0" w:color="auto"/>
                                                                                            <w:bottom w:val="none" w:sz="0" w:space="0" w:color="auto"/>
                                                                                            <w:right w:val="none" w:sz="0" w:space="0" w:color="auto"/>
                                                                                          </w:divBdr>
                                                                                          <w:divsChild>
                                                                                            <w:div w:id="1902517448">
                                                                                              <w:marLeft w:val="0"/>
                                                                                              <w:marRight w:val="0"/>
                                                                                              <w:marTop w:val="0"/>
                                                                                              <w:marBottom w:val="0"/>
                                                                                              <w:divBdr>
                                                                                                <w:top w:val="none" w:sz="0" w:space="0" w:color="auto"/>
                                                                                                <w:left w:val="none" w:sz="0" w:space="0" w:color="auto"/>
                                                                                                <w:bottom w:val="none" w:sz="0" w:space="0" w:color="auto"/>
                                                                                                <w:right w:val="none" w:sz="0" w:space="0" w:color="auto"/>
                                                                                              </w:divBdr>
                                                                                              <w:divsChild>
                                                                                                <w:div w:id="1777214519">
                                                                                                  <w:marLeft w:val="0"/>
                                                                                                  <w:marRight w:val="0"/>
                                                                                                  <w:marTop w:val="0"/>
                                                                                                  <w:marBottom w:val="0"/>
                                                                                                  <w:divBdr>
                                                                                                    <w:top w:val="none" w:sz="0" w:space="0" w:color="auto"/>
                                                                                                    <w:left w:val="none" w:sz="0" w:space="0" w:color="auto"/>
                                                                                                    <w:bottom w:val="none" w:sz="0" w:space="0" w:color="auto"/>
                                                                                                    <w:right w:val="none" w:sz="0" w:space="0" w:color="auto"/>
                                                                                                  </w:divBdr>
                                                                                                  <w:divsChild>
                                                                                                    <w:div w:id="1706560609">
                                                                                                      <w:marLeft w:val="0"/>
                                                                                                      <w:marRight w:val="0"/>
                                                                                                      <w:marTop w:val="0"/>
                                                                                                      <w:marBottom w:val="0"/>
                                                                                                      <w:divBdr>
                                                                                                        <w:top w:val="none" w:sz="0" w:space="0" w:color="auto"/>
                                                                                                        <w:left w:val="none" w:sz="0" w:space="0" w:color="auto"/>
                                                                                                        <w:bottom w:val="none" w:sz="0" w:space="0" w:color="auto"/>
                                                                                                        <w:right w:val="none" w:sz="0" w:space="0" w:color="auto"/>
                                                                                                      </w:divBdr>
                                                                                                      <w:divsChild>
                                                                                                        <w:div w:id="102500121">
                                                                                                          <w:marLeft w:val="0"/>
                                                                                                          <w:marRight w:val="0"/>
                                                                                                          <w:marTop w:val="0"/>
                                                                                                          <w:marBottom w:val="0"/>
                                                                                                          <w:divBdr>
                                                                                                            <w:top w:val="none" w:sz="0" w:space="0" w:color="auto"/>
                                                                                                            <w:left w:val="none" w:sz="0" w:space="0" w:color="auto"/>
                                                                                                            <w:bottom w:val="none" w:sz="0" w:space="0" w:color="auto"/>
                                                                                                            <w:right w:val="none" w:sz="0" w:space="0" w:color="auto"/>
                                                                                                          </w:divBdr>
                                                                                                          <w:divsChild>
                                                                                                            <w:div w:id="1011684867">
                                                                                                              <w:marLeft w:val="0"/>
                                                                                                              <w:marRight w:val="0"/>
                                                                                                              <w:marTop w:val="0"/>
                                                                                                              <w:marBottom w:val="150"/>
                                                                                                              <w:divBdr>
                                                                                                                <w:top w:val="single" w:sz="6" w:space="0" w:color="CCCCCC"/>
                                                                                                                <w:left w:val="single" w:sz="6" w:space="0" w:color="CCCCCC"/>
                                                                                                                <w:bottom w:val="single" w:sz="6" w:space="0" w:color="CCCCCC"/>
                                                                                                                <w:right w:val="single" w:sz="6" w:space="0" w:color="CCCCCC"/>
                                                                                                              </w:divBdr>
                                                                                                              <w:divsChild>
                                                                                                                <w:div w:id="1738474871">
                                                                                                                  <w:marLeft w:val="0"/>
                                                                                                                  <w:marRight w:val="0"/>
                                                                                                                  <w:marTop w:val="0"/>
                                                                                                                  <w:marBottom w:val="0"/>
                                                                                                                  <w:divBdr>
                                                                                                                    <w:top w:val="none" w:sz="0" w:space="0" w:color="auto"/>
                                                                                                                    <w:left w:val="none" w:sz="0" w:space="0" w:color="auto"/>
                                                                                                                    <w:bottom w:val="none" w:sz="0" w:space="0" w:color="auto"/>
                                                                                                                    <w:right w:val="none" w:sz="0" w:space="0" w:color="auto"/>
                                                                                                                  </w:divBdr>
                                                                                                                  <w:divsChild>
                                                                                                                    <w:div w:id="1805006007">
                                                                                                                      <w:marLeft w:val="0"/>
                                                                                                                      <w:marRight w:val="0"/>
                                                                                                                      <w:marTop w:val="0"/>
                                                                                                                      <w:marBottom w:val="0"/>
                                                                                                                      <w:divBdr>
                                                                                                                        <w:top w:val="none" w:sz="0" w:space="0" w:color="auto"/>
                                                                                                                        <w:left w:val="none" w:sz="0" w:space="0" w:color="auto"/>
                                                                                                                        <w:bottom w:val="none" w:sz="0" w:space="0" w:color="auto"/>
                                                                                                                        <w:right w:val="none" w:sz="0" w:space="0" w:color="auto"/>
                                                                                                                      </w:divBdr>
                                                                                                                      <w:divsChild>
                                                                                                                        <w:div w:id="678393667">
                                                                                                                          <w:marLeft w:val="0"/>
                                                                                                                          <w:marRight w:val="0"/>
                                                                                                                          <w:marTop w:val="0"/>
                                                                                                                          <w:marBottom w:val="0"/>
                                                                                                                          <w:divBdr>
                                                                                                                            <w:top w:val="none" w:sz="0" w:space="0" w:color="auto"/>
                                                                                                                            <w:left w:val="none" w:sz="0" w:space="0" w:color="auto"/>
                                                                                                                            <w:bottom w:val="none" w:sz="0" w:space="0" w:color="auto"/>
                                                                                                                            <w:right w:val="none" w:sz="0" w:space="0" w:color="auto"/>
                                                                                                                          </w:divBdr>
                                                                                                                          <w:divsChild>
                                                                                                                            <w:div w:id="1141851822">
                                                                                                                              <w:marLeft w:val="0"/>
                                                                                                                              <w:marRight w:val="0"/>
                                                                                                                              <w:marTop w:val="0"/>
                                                                                                                              <w:marBottom w:val="0"/>
                                                                                                                              <w:divBdr>
                                                                                                                                <w:top w:val="none" w:sz="0" w:space="0" w:color="auto"/>
                                                                                                                                <w:left w:val="none" w:sz="0" w:space="0" w:color="auto"/>
                                                                                                                                <w:bottom w:val="none" w:sz="0" w:space="0" w:color="auto"/>
                                                                                                                                <w:right w:val="none" w:sz="0" w:space="0" w:color="auto"/>
                                                                                                                              </w:divBdr>
                                                                                                                              <w:divsChild>
                                                                                                                                <w:div w:id="414668067">
                                                                                                                                  <w:marLeft w:val="0"/>
                                                                                                                                  <w:marRight w:val="0"/>
                                                                                                                                  <w:marTop w:val="0"/>
                                                                                                                                  <w:marBottom w:val="0"/>
                                                                                                                                  <w:divBdr>
                                                                                                                                    <w:top w:val="none" w:sz="0" w:space="0" w:color="auto"/>
                                                                                                                                    <w:left w:val="none" w:sz="0" w:space="0" w:color="auto"/>
                                                                                                                                    <w:bottom w:val="none" w:sz="0" w:space="0" w:color="auto"/>
                                                                                                                                    <w:right w:val="none" w:sz="0" w:space="0" w:color="auto"/>
                                                                                                                                  </w:divBdr>
                                                                                                                                  <w:divsChild>
                                                                                                                                    <w:div w:id="118958587">
                                                                                                                                      <w:marLeft w:val="0"/>
                                                                                                                                      <w:marRight w:val="0"/>
                                                                                                                                      <w:marTop w:val="0"/>
                                                                                                                                      <w:marBottom w:val="0"/>
                                                                                                                                      <w:divBdr>
                                                                                                                                        <w:top w:val="none" w:sz="0" w:space="0" w:color="auto"/>
                                                                                                                                        <w:left w:val="none" w:sz="0" w:space="0" w:color="auto"/>
                                                                                                                                        <w:bottom w:val="none" w:sz="0" w:space="0" w:color="auto"/>
                                                                                                                                        <w:right w:val="none" w:sz="0" w:space="0" w:color="auto"/>
                                                                                                                                      </w:divBdr>
                                                                                                                                      <w:divsChild>
                                                                                                                                        <w:div w:id="1363555769">
                                                                                                                                          <w:marLeft w:val="0"/>
                                                                                                                                          <w:marRight w:val="0"/>
                                                                                                                                          <w:marTop w:val="0"/>
                                                                                                                                          <w:marBottom w:val="0"/>
                                                                                                                                          <w:divBdr>
                                                                                                                                            <w:top w:val="none" w:sz="0" w:space="0" w:color="auto"/>
                                                                                                                                            <w:left w:val="none" w:sz="0" w:space="0" w:color="auto"/>
                                                                                                                                            <w:bottom w:val="none" w:sz="0" w:space="0" w:color="auto"/>
                                                                                                                                            <w:right w:val="none" w:sz="0" w:space="0" w:color="auto"/>
                                                                                                                                          </w:divBdr>
                                                                                                                                          <w:divsChild>
                                                                                                                                            <w:div w:id="442918484">
                                                                                                                                              <w:marLeft w:val="0"/>
                                                                                                                                              <w:marRight w:val="0"/>
                                                                                                                                              <w:marTop w:val="0"/>
                                                                                                                                              <w:marBottom w:val="0"/>
                                                                                                                                              <w:divBdr>
                                                                                                                                                <w:top w:val="none" w:sz="0" w:space="0" w:color="auto"/>
                                                                                                                                                <w:left w:val="none" w:sz="0" w:space="0" w:color="auto"/>
                                                                                                                                                <w:bottom w:val="none" w:sz="0" w:space="0" w:color="auto"/>
                                                                                                                                                <w:right w:val="none" w:sz="0" w:space="0" w:color="auto"/>
                                                                                                                                              </w:divBdr>
                                                                                                                                              <w:divsChild>
                                                                                                                                                <w:div w:id="306278098">
                                                                                                                                                  <w:marLeft w:val="0"/>
                                                                                                                                                  <w:marRight w:val="0"/>
                                                                                                                                                  <w:marTop w:val="0"/>
                                                                                                                                                  <w:marBottom w:val="0"/>
                                                                                                                                                  <w:divBdr>
                                                                                                                                                    <w:top w:val="none" w:sz="0" w:space="0" w:color="auto"/>
                                                                                                                                                    <w:left w:val="none" w:sz="0" w:space="0" w:color="auto"/>
                                                                                                                                                    <w:bottom w:val="none" w:sz="0" w:space="0" w:color="auto"/>
                                                                                                                                                    <w:right w:val="none" w:sz="0" w:space="0" w:color="auto"/>
                                                                                                                                                  </w:divBdr>
                                                                                                                                                  <w:divsChild>
                                                                                                                                                    <w:div w:id="1489983432">
                                                                                                                                                      <w:marLeft w:val="0"/>
                                                                                                                                                      <w:marRight w:val="0"/>
                                                                                                                                                      <w:marTop w:val="0"/>
                                                                                                                                                      <w:marBottom w:val="0"/>
                                                                                                                                                      <w:divBdr>
                                                                                                                                                        <w:top w:val="none" w:sz="0" w:space="0" w:color="auto"/>
                                                                                                                                                        <w:left w:val="none" w:sz="0" w:space="0" w:color="auto"/>
                                                                                                                                                        <w:bottom w:val="none" w:sz="0" w:space="0" w:color="auto"/>
                                                                                                                                                        <w:right w:val="none" w:sz="0" w:space="0" w:color="auto"/>
                                                                                                                                                      </w:divBdr>
                                                                                                                                                      <w:divsChild>
                                                                                                                                                        <w:div w:id="2088380478">
                                                                                                                                                          <w:marLeft w:val="0"/>
                                                                                                                                                          <w:marRight w:val="0"/>
                                                                                                                                                          <w:marTop w:val="0"/>
                                                                                                                                                          <w:marBottom w:val="0"/>
                                                                                                                                                          <w:divBdr>
                                                                                                                                                            <w:top w:val="none" w:sz="0" w:space="0" w:color="auto"/>
                                                                                                                                                            <w:left w:val="none" w:sz="0" w:space="0" w:color="auto"/>
                                                                                                                                                            <w:bottom w:val="none" w:sz="0" w:space="0" w:color="auto"/>
                                                                                                                                                            <w:right w:val="none" w:sz="0" w:space="0" w:color="auto"/>
                                                                                                                                                          </w:divBdr>
                                                                                                                                                          <w:divsChild>
                                                                                                                                                            <w:div w:id="1268079826">
                                                                                                                                                              <w:marLeft w:val="0"/>
                                                                                                                                                              <w:marRight w:val="0"/>
                                                                                                                                                              <w:marTop w:val="0"/>
                                                                                                                                                              <w:marBottom w:val="0"/>
                                                                                                                                                              <w:divBdr>
                                                                                                                                                                <w:top w:val="none" w:sz="0" w:space="0" w:color="auto"/>
                                                                                                                                                                <w:left w:val="none" w:sz="0" w:space="0" w:color="auto"/>
                                                                                                                                                                <w:bottom w:val="none" w:sz="0" w:space="0" w:color="auto"/>
                                                                                                                                                                <w:right w:val="none" w:sz="0" w:space="0" w:color="auto"/>
                                                                                                                                                              </w:divBdr>
                                                                                                                                                              <w:divsChild>
                                                                                                                                                                <w:div w:id="934481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05532476">
                                                                                  <w:marLeft w:val="0"/>
                                                                                  <w:marRight w:val="0"/>
                                                                                  <w:marTop w:val="150"/>
                                                                                  <w:marBottom w:val="0"/>
                                                                                  <w:divBdr>
                                                                                    <w:top w:val="none" w:sz="0" w:space="0" w:color="auto"/>
                                                                                    <w:left w:val="none" w:sz="0" w:space="0" w:color="auto"/>
                                                                                    <w:bottom w:val="none" w:sz="0" w:space="0" w:color="auto"/>
                                                                                    <w:right w:val="none" w:sz="0" w:space="0" w:color="auto"/>
                                                                                  </w:divBdr>
                                                                                  <w:divsChild>
                                                                                    <w:div w:id="782653348">
                                                                                      <w:marLeft w:val="0"/>
                                                                                      <w:marRight w:val="0"/>
                                                                                      <w:marTop w:val="300"/>
                                                                                      <w:marBottom w:val="150"/>
                                                                                      <w:divBdr>
                                                                                        <w:top w:val="single" w:sz="6" w:space="0" w:color="CCCCCC"/>
                                                                                        <w:left w:val="single" w:sz="6" w:space="0" w:color="CCCCCC"/>
                                                                                        <w:bottom w:val="single" w:sz="6" w:space="0" w:color="CCCCCC"/>
                                                                                        <w:right w:val="single" w:sz="6" w:space="0" w:color="CCCCCC"/>
                                                                                      </w:divBdr>
                                                                                      <w:divsChild>
                                                                                        <w:div w:id="819272407">
                                                                                          <w:marLeft w:val="0"/>
                                                                                          <w:marRight w:val="0"/>
                                                                                          <w:marTop w:val="0"/>
                                                                                          <w:marBottom w:val="0"/>
                                                                                          <w:divBdr>
                                                                                            <w:top w:val="none" w:sz="0" w:space="0" w:color="auto"/>
                                                                                            <w:left w:val="none" w:sz="0" w:space="0" w:color="auto"/>
                                                                                            <w:bottom w:val="none" w:sz="0" w:space="0" w:color="auto"/>
                                                                                            <w:right w:val="none" w:sz="0" w:space="0" w:color="auto"/>
                                                                                          </w:divBdr>
                                                                                          <w:divsChild>
                                                                                            <w:div w:id="2142964781">
                                                                                              <w:marLeft w:val="0"/>
                                                                                              <w:marRight w:val="0"/>
                                                                                              <w:marTop w:val="0"/>
                                                                                              <w:marBottom w:val="0"/>
                                                                                              <w:divBdr>
                                                                                                <w:top w:val="none" w:sz="0" w:space="0" w:color="auto"/>
                                                                                                <w:left w:val="none" w:sz="0" w:space="0" w:color="auto"/>
                                                                                                <w:bottom w:val="none" w:sz="0" w:space="0" w:color="auto"/>
                                                                                                <w:right w:val="none" w:sz="0" w:space="0" w:color="auto"/>
                                                                                              </w:divBdr>
                                                                                              <w:divsChild>
                                                                                                <w:div w:id="294338541">
                                                                                                  <w:marLeft w:val="0"/>
                                                                                                  <w:marRight w:val="0"/>
                                                                                                  <w:marTop w:val="0"/>
                                                                                                  <w:marBottom w:val="0"/>
                                                                                                  <w:divBdr>
                                                                                                    <w:top w:val="none" w:sz="0" w:space="0" w:color="auto"/>
                                                                                                    <w:left w:val="none" w:sz="0" w:space="0" w:color="auto"/>
                                                                                                    <w:bottom w:val="none" w:sz="0" w:space="0" w:color="auto"/>
                                                                                                    <w:right w:val="none" w:sz="0" w:space="0" w:color="auto"/>
                                                                                                  </w:divBdr>
                                                                                                  <w:divsChild>
                                                                                                    <w:div w:id="407919716">
                                                                                                      <w:marLeft w:val="0"/>
                                                                                                      <w:marRight w:val="0"/>
                                                                                                      <w:marTop w:val="0"/>
                                                                                                      <w:marBottom w:val="0"/>
                                                                                                      <w:divBdr>
                                                                                                        <w:top w:val="none" w:sz="0" w:space="0" w:color="auto"/>
                                                                                                        <w:left w:val="none" w:sz="0" w:space="0" w:color="auto"/>
                                                                                                        <w:bottom w:val="none" w:sz="0" w:space="0" w:color="auto"/>
                                                                                                        <w:right w:val="none" w:sz="0" w:space="0" w:color="auto"/>
                                                                                                      </w:divBdr>
                                                                                                      <w:divsChild>
                                                                                                        <w:div w:id="383213358">
                                                                                                          <w:marLeft w:val="0"/>
                                                                                                          <w:marRight w:val="0"/>
                                                                                                          <w:marTop w:val="0"/>
                                                                                                          <w:marBottom w:val="0"/>
                                                                                                          <w:divBdr>
                                                                                                            <w:top w:val="none" w:sz="0" w:space="0" w:color="auto"/>
                                                                                                            <w:left w:val="none" w:sz="0" w:space="0" w:color="auto"/>
                                                                                                            <w:bottom w:val="none" w:sz="0" w:space="0" w:color="auto"/>
                                                                                                            <w:right w:val="none" w:sz="0" w:space="0" w:color="auto"/>
                                                                                                          </w:divBdr>
                                                                                                          <w:divsChild>
                                                                                                            <w:div w:id="1437753244">
                                                                                                              <w:marLeft w:val="0"/>
                                                                                                              <w:marRight w:val="0"/>
                                                                                                              <w:marTop w:val="300"/>
                                                                                                              <w:marBottom w:val="0"/>
                                                                                                              <w:divBdr>
                                                                                                                <w:top w:val="none" w:sz="0" w:space="0" w:color="auto"/>
                                                                                                                <w:left w:val="none" w:sz="0" w:space="0" w:color="auto"/>
                                                                                                                <w:bottom w:val="none" w:sz="0" w:space="0" w:color="auto"/>
                                                                                                                <w:right w:val="none" w:sz="0" w:space="0" w:color="auto"/>
                                                                                                              </w:divBdr>
                                                                                                              <w:divsChild>
                                                                                                                <w:div w:id="1045912434">
                                                                                                                  <w:marLeft w:val="0"/>
                                                                                                                  <w:marRight w:val="0"/>
                                                                                                                  <w:marTop w:val="0"/>
                                                                                                                  <w:marBottom w:val="0"/>
                                                                                                                  <w:divBdr>
                                                                                                                    <w:top w:val="none" w:sz="0" w:space="0" w:color="auto"/>
                                                                                                                    <w:left w:val="none" w:sz="0" w:space="0" w:color="auto"/>
                                                                                                                    <w:bottom w:val="none" w:sz="0" w:space="0" w:color="auto"/>
                                                                                                                    <w:right w:val="none" w:sz="0" w:space="0" w:color="auto"/>
                                                                                                                  </w:divBdr>
                                                                                                                  <w:divsChild>
                                                                                                                    <w:div w:id="696467152">
                                                                                                                      <w:marLeft w:val="0"/>
                                                                                                                      <w:marRight w:val="0"/>
                                                                                                                      <w:marTop w:val="0"/>
                                                                                                                      <w:marBottom w:val="0"/>
                                                                                                                      <w:divBdr>
                                                                                                                        <w:top w:val="none" w:sz="0" w:space="0" w:color="auto"/>
                                                                                                                        <w:left w:val="none" w:sz="0" w:space="0" w:color="auto"/>
                                                                                                                        <w:bottom w:val="none" w:sz="0" w:space="0" w:color="auto"/>
                                                                                                                        <w:right w:val="none" w:sz="0" w:space="0" w:color="auto"/>
                                                                                                                      </w:divBdr>
                                                                                                                      <w:divsChild>
                                                                                                                        <w:div w:id="1537498657">
                                                                                                                          <w:marLeft w:val="0"/>
                                                                                                                          <w:marRight w:val="0"/>
                                                                                                                          <w:marTop w:val="0"/>
                                                                                                                          <w:marBottom w:val="0"/>
                                                                                                                          <w:divBdr>
                                                                                                                            <w:top w:val="none" w:sz="0" w:space="0" w:color="auto"/>
                                                                                                                            <w:left w:val="none" w:sz="0" w:space="0" w:color="auto"/>
                                                                                                                            <w:bottom w:val="none" w:sz="0" w:space="0" w:color="auto"/>
                                                                                                                            <w:right w:val="none" w:sz="0" w:space="0" w:color="auto"/>
                                                                                                                          </w:divBdr>
                                                                                                                          <w:divsChild>
                                                                                                                            <w:div w:id="224024418">
                                                                                                                              <w:marLeft w:val="0"/>
                                                                                                                              <w:marRight w:val="0"/>
                                                                                                                              <w:marTop w:val="0"/>
                                                                                                                              <w:marBottom w:val="0"/>
                                                                                                                              <w:divBdr>
                                                                                                                                <w:top w:val="none" w:sz="0" w:space="0" w:color="auto"/>
                                                                                                                                <w:left w:val="none" w:sz="0" w:space="0" w:color="auto"/>
                                                                                                                                <w:bottom w:val="none" w:sz="0" w:space="0" w:color="auto"/>
                                                                                                                                <w:right w:val="none" w:sz="0" w:space="0" w:color="auto"/>
                                                                                                                              </w:divBdr>
                                                                                                                              <w:divsChild>
                                                                                                                                <w:div w:id="1637566269">
                                                                                                                                  <w:marLeft w:val="0"/>
                                                                                                                                  <w:marRight w:val="0"/>
                                                                                                                                  <w:marTop w:val="0"/>
                                                                                                                                  <w:marBottom w:val="0"/>
                                                                                                                                  <w:divBdr>
                                                                                                                                    <w:top w:val="none" w:sz="0" w:space="0" w:color="auto"/>
                                                                                                                                    <w:left w:val="none" w:sz="0" w:space="0" w:color="auto"/>
                                                                                                                                    <w:bottom w:val="none" w:sz="0" w:space="0" w:color="auto"/>
                                                                                                                                    <w:right w:val="none" w:sz="0" w:space="0" w:color="auto"/>
                                                                                                                                  </w:divBdr>
                                                                                                                                  <w:divsChild>
                                                                                                                                    <w:div w:id="463277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85139693">
          <w:marLeft w:val="0"/>
          <w:marRight w:val="0"/>
          <w:marTop w:val="0"/>
          <w:marBottom w:val="0"/>
          <w:divBdr>
            <w:top w:val="none" w:sz="0" w:space="0" w:color="auto"/>
            <w:left w:val="none" w:sz="0" w:space="0" w:color="auto"/>
            <w:bottom w:val="none" w:sz="0" w:space="0" w:color="auto"/>
            <w:right w:val="none" w:sz="0" w:space="0" w:color="auto"/>
          </w:divBdr>
          <w:divsChild>
            <w:div w:id="1005090181">
              <w:marLeft w:val="0"/>
              <w:marRight w:val="0"/>
              <w:marTop w:val="0"/>
              <w:marBottom w:val="0"/>
              <w:divBdr>
                <w:top w:val="none" w:sz="0" w:space="0" w:color="auto"/>
                <w:left w:val="none" w:sz="0" w:space="0" w:color="auto"/>
                <w:bottom w:val="none" w:sz="0" w:space="0" w:color="auto"/>
                <w:right w:val="none" w:sz="0" w:space="0" w:color="auto"/>
              </w:divBdr>
              <w:divsChild>
                <w:div w:id="997806841">
                  <w:marLeft w:val="0"/>
                  <w:marRight w:val="0"/>
                  <w:marTop w:val="0"/>
                  <w:marBottom w:val="0"/>
                  <w:divBdr>
                    <w:top w:val="none" w:sz="0" w:space="0" w:color="auto"/>
                    <w:left w:val="none" w:sz="0" w:space="0" w:color="auto"/>
                    <w:bottom w:val="none" w:sz="0" w:space="0" w:color="auto"/>
                    <w:right w:val="none" w:sz="0" w:space="0" w:color="auto"/>
                  </w:divBdr>
                  <w:divsChild>
                    <w:div w:id="754321086">
                      <w:marLeft w:val="0"/>
                      <w:marRight w:val="0"/>
                      <w:marTop w:val="0"/>
                      <w:marBottom w:val="0"/>
                      <w:divBdr>
                        <w:top w:val="none" w:sz="0" w:space="0" w:color="auto"/>
                        <w:left w:val="none" w:sz="0" w:space="0" w:color="auto"/>
                        <w:bottom w:val="none" w:sz="0" w:space="0" w:color="auto"/>
                        <w:right w:val="none" w:sz="0" w:space="0" w:color="auto"/>
                      </w:divBdr>
                      <w:divsChild>
                        <w:div w:id="1439331257">
                          <w:marLeft w:val="0"/>
                          <w:marRight w:val="0"/>
                          <w:marTop w:val="0"/>
                          <w:marBottom w:val="0"/>
                          <w:divBdr>
                            <w:top w:val="none" w:sz="0" w:space="0" w:color="auto"/>
                            <w:left w:val="none" w:sz="0" w:space="0" w:color="auto"/>
                            <w:bottom w:val="none" w:sz="0" w:space="0" w:color="auto"/>
                            <w:right w:val="none" w:sz="0" w:space="0" w:color="auto"/>
                          </w:divBdr>
                          <w:divsChild>
                            <w:div w:id="429277067">
                              <w:marLeft w:val="0"/>
                              <w:marRight w:val="0"/>
                              <w:marTop w:val="0"/>
                              <w:marBottom w:val="0"/>
                              <w:divBdr>
                                <w:top w:val="none" w:sz="0" w:space="0" w:color="auto"/>
                                <w:left w:val="none" w:sz="0" w:space="0" w:color="auto"/>
                                <w:bottom w:val="none" w:sz="0" w:space="0" w:color="auto"/>
                                <w:right w:val="none" w:sz="0" w:space="0" w:color="auto"/>
                              </w:divBdr>
                              <w:divsChild>
                                <w:div w:id="1073283269">
                                  <w:marLeft w:val="0"/>
                                  <w:marRight w:val="0"/>
                                  <w:marTop w:val="0"/>
                                  <w:marBottom w:val="0"/>
                                  <w:divBdr>
                                    <w:top w:val="none" w:sz="0" w:space="0" w:color="auto"/>
                                    <w:left w:val="none" w:sz="0" w:space="0" w:color="auto"/>
                                    <w:bottom w:val="none" w:sz="0" w:space="0" w:color="auto"/>
                                    <w:right w:val="none" w:sz="0" w:space="0" w:color="auto"/>
                                  </w:divBdr>
                                  <w:divsChild>
                                    <w:div w:id="1633906040">
                                      <w:marLeft w:val="0"/>
                                      <w:marRight w:val="0"/>
                                      <w:marTop w:val="0"/>
                                      <w:marBottom w:val="0"/>
                                      <w:divBdr>
                                        <w:top w:val="none" w:sz="0" w:space="0" w:color="auto"/>
                                        <w:left w:val="none" w:sz="0" w:space="0" w:color="auto"/>
                                        <w:bottom w:val="none" w:sz="0" w:space="0" w:color="auto"/>
                                        <w:right w:val="none" w:sz="0" w:space="0" w:color="auto"/>
                                      </w:divBdr>
                                      <w:divsChild>
                                        <w:div w:id="2118480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159144">
      <w:bodyDiv w:val="1"/>
      <w:marLeft w:val="0"/>
      <w:marRight w:val="0"/>
      <w:marTop w:val="0"/>
      <w:marBottom w:val="0"/>
      <w:divBdr>
        <w:top w:val="none" w:sz="0" w:space="0" w:color="auto"/>
        <w:left w:val="none" w:sz="0" w:space="0" w:color="auto"/>
        <w:bottom w:val="none" w:sz="0" w:space="0" w:color="auto"/>
        <w:right w:val="none" w:sz="0" w:space="0" w:color="auto"/>
      </w:divBdr>
      <w:divsChild>
        <w:div w:id="398286139">
          <w:marLeft w:val="0"/>
          <w:marRight w:val="0"/>
          <w:marTop w:val="0"/>
          <w:marBottom w:val="600"/>
          <w:divBdr>
            <w:top w:val="none" w:sz="0" w:space="0" w:color="auto"/>
            <w:left w:val="none" w:sz="0" w:space="0" w:color="auto"/>
            <w:bottom w:val="none" w:sz="0" w:space="0" w:color="auto"/>
            <w:right w:val="none" w:sz="0" w:space="0" w:color="auto"/>
          </w:divBdr>
          <w:divsChild>
            <w:div w:id="1637829644">
              <w:marLeft w:val="0"/>
              <w:marRight w:val="0"/>
              <w:marTop w:val="0"/>
              <w:marBottom w:val="0"/>
              <w:divBdr>
                <w:top w:val="none" w:sz="0" w:space="0" w:color="auto"/>
                <w:left w:val="none" w:sz="0" w:space="0" w:color="auto"/>
                <w:bottom w:val="none" w:sz="0" w:space="0" w:color="auto"/>
                <w:right w:val="none" w:sz="0" w:space="0" w:color="auto"/>
              </w:divBdr>
              <w:divsChild>
                <w:div w:id="992374527">
                  <w:marLeft w:val="0"/>
                  <w:marRight w:val="0"/>
                  <w:marTop w:val="0"/>
                  <w:marBottom w:val="0"/>
                  <w:divBdr>
                    <w:top w:val="none" w:sz="0" w:space="0" w:color="auto"/>
                    <w:left w:val="none" w:sz="0" w:space="0" w:color="auto"/>
                    <w:bottom w:val="none" w:sz="0" w:space="0" w:color="auto"/>
                    <w:right w:val="none" w:sz="0" w:space="0" w:color="auto"/>
                  </w:divBdr>
                  <w:divsChild>
                    <w:div w:id="599993532">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 w:id="1747726209">
          <w:marLeft w:val="0"/>
          <w:marRight w:val="0"/>
          <w:marTop w:val="0"/>
          <w:marBottom w:val="0"/>
          <w:divBdr>
            <w:top w:val="none" w:sz="0" w:space="0" w:color="auto"/>
            <w:left w:val="none" w:sz="0" w:space="0" w:color="auto"/>
            <w:bottom w:val="none" w:sz="0" w:space="0" w:color="auto"/>
            <w:right w:val="none" w:sz="0" w:space="0" w:color="auto"/>
          </w:divBdr>
          <w:divsChild>
            <w:div w:id="1268275156">
              <w:marLeft w:val="0"/>
              <w:marRight w:val="0"/>
              <w:marTop w:val="0"/>
              <w:marBottom w:val="0"/>
              <w:divBdr>
                <w:top w:val="none" w:sz="0" w:space="0" w:color="auto"/>
                <w:left w:val="none" w:sz="0" w:space="0" w:color="auto"/>
                <w:bottom w:val="none" w:sz="0" w:space="0" w:color="auto"/>
                <w:right w:val="none" w:sz="0" w:space="0" w:color="auto"/>
              </w:divBdr>
              <w:divsChild>
                <w:div w:id="988359248">
                  <w:marLeft w:val="0"/>
                  <w:marRight w:val="0"/>
                  <w:marTop w:val="0"/>
                  <w:marBottom w:val="600"/>
                  <w:divBdr>
                    <w:top w:val="none" w:sz="0" w:space="0" w:color="auto"/>
                    <w:left w:val="none" w:sz="0" w:space="0" w:color="auto"/>
                    <w:bottom w:val="none" w:sz="0" w:space="0" w:color="auto"/>
                    <w:right w:val="none" w:sz="0" w:space="0" w:color="auto"/>
                  </w:divBdr>
                </w:div>
              </w:divsChild>
            </w:div>
            <w:div w:id="1395355181">
              <w:marLeft w:val="0"/>
              <w:marRight w:val="0"/>
              <w:marTop w:val="0"/>
              <w:marBottom w:val="0"/>
              <w:divBdr>
                <w:top w:val="none" w:sz="0" w:space="0" w:color="auto"/>
                <w:left w:val="none" w:sz="0" w:space="0" w:color="auto"/>
                <w:bottom w:val="none" w:sz="0" w:space="0" w:color="auto"/>
                <w:right w:val="none" w:sz="0" w:space="0" w:color="auto"/>
              </w:divBdr>
              <w:divsChild>
                <w:div w:id="276181955">
                  <w:marLeft w:val="0"/>
                  <w:marRight w:val="0"/>
                  <w:marTop w:val="0"/>
                  <w:marBottom w:val="600"/>
                  <w:divBdr>
                    <w:top w:val="none" w:sz="0" w:space="0" w:color="auto"/>
                    <w:left w:val="none" w:sz="0" w:space="0" w:color="auto"/>
                    <w:bottom w:val="none" w:sz="0" w:space="0" w:color="auto"/>
                    <w:right w:val="none" w:sz="0" w:space="0" w:color="auto"/>
                  </w:divBdr>
                </w:div>
              </w:divsChild>
            </w:div>
            <w:div w:id="1080712714">
              <w:marLeft w:val="0"/>
              <w:marRight w:val="0"/>
              <w:marTop w:val="0"/>
              <w:marBottom w:val="0"/>
              <w:divBdr>
                <w:top w:val="none" w:sz="0" w:space="0" w:color="auto"/>
                <w:left w:val="none" w:sz="0" w:space="0" w:color="auto"/>
                <w:bottom w:val="none" w:sz="0" w:space="0" w:color="auto"/>
                <w:right w:val="none" w:sz="0" w:space="0" w:color="auto"/>
              </w:divBdr>
              <w:divsChild>
                <w:div w:id="1016927518">
                  <w:marLeft w:val="0"/>
                  <w:marRight w:val="0"/>
                  <w:marTop w:val="0"/>
                  <w:marBottom w:val="600"/>
                  <w:divBdr>
                    <w:top w:val="none" w:sz="0" w:space="0" w:color="auto"/>
                    <w:left w:val="none" w:sz="0" w:space="0" w:color="auto"/>
                    <w:bottom w:val="none" w:sz="0" w:space="0" w:color="auto"/>
                    <w:right w:val="none" w:sz="0" w:space="0" w:color="auto"/>
                  </w:divBdr>
                  <w:divsChild>
                    <w:div w:id="214901117">
                      <w:marLeft w:val="0"/>
                      <w:marRight w:val="0"/>
                      <w:marTop w:val="0"/>
                      <w:marBottom w:val="360"/>
                      <w:divBdr>
                        <w:top w:val="none" w:sz="0" w:space="0" w:color="auto"/>
                        <w:left w:val="none" w:sz="0" w:space="0" w:color="auto"/>
                        <w:bottom w:val="none" w:sz="0" w:space="0" w:color="auto"/>
                        <w:right w:val="none" w:sz="0" w:space="0" w:color="auto"/>
                      </w:divBdr>
                      <w:divsChild>
                        <w:div w:id="1749309273">
                          <w:marLeft w:val="0"/>
                          <w:marRight w:val="0"/>
                          <w:marTop w:val="180"/>
                          <w:marBottom w:val="240"/>
                          <w:divBdr>
                            <w:top w:val="none" w:sz="0" w:space="0" w:color="auto"/>
                            <w:left w:val="none" w:sz="0" w:space="0" w:color="auto"/>
                            <w:bottom w:val="none" w:sz="0" w:space="0" w:color="auto"/>
                            <w:right w:val="none" w:sz="0" w:space="0" w:color="auto"/>
                          </w:divBdr>
                        </w:div>
                      </w:divsChild>
                    </w:div>
                    <w:div w:id="1250165067">
                      <w:marLeft w:val="0"/>
                      <w:marRight w:val="0"/>
                      <w:marTop w:val="0"/>
                      <w:marBottom w:val="360"/>
                      <w:divBdr>
                        <w:top w:val="none" w:sz="0" w:space="0" w:color="auto"/>
                        <w:left w:val="none" w:sz="0" w:space="0" w:color="auto"/>
                        <w:bottom w:val="none" w:sz="0" w:space="0" w:color="auto"/>
                        <w:right w:val="none" w:sz="0" w:space="0" w:color="auto"/>
                      </w:divBdr>
                      <w:divsChild>
                        <w:div w:id="1032733359">
                          <w:marLeft w:val="0"/>
                          <w:marRight w:val="0"/>
                          <w:marTop w:val="180"/>
                          <w:marBottom w:val="240"/>
                          <w:divBdr>
                            <w:top w:val="none" w:sz="0" w:space="0" w:color="auto"/>
                            <w:left w:val="none" w:sz="0" w:space="0" w:color="auto"/>
                            <w:bottom w:val="none" w:sz="0" w:space="0" w:color="auto"/>
                            <w:right w:val="none" w:sz="0" w:space="0" w:color="auto"/>
                          </w:divBdr>
                        </w:div>
                      </w:divsChild>
                    </w:div>
                    <w:div w:id="1691494812">
                      <w:marLeft w:val="0"/>
                      <w:marRight w:val="0"/>
                      <w:marTop w:val="0"/>
                      <w:marBottom w:val="360"/>
                      <w:divBdr>
                        <w:top w:val="none" w:sz="0" w:space="0" w:color="auto"/>
                        <w:left w:val="none" w:sz="0" w:space="0" w:color="auto"/>
                        <w:bottom w:val="none" w:sz="0" w:space="0" w:color="auto"/>
                        <w:right w:val="none" w:sz="0" w:space="0" w:color="auto"/>
                      </w:divBdr>
                      <w:divsChild>
                        <w:div w:id="747700593">
                          <w:marLeft w:val="0"/>
                          <w:marRight w:val="0"/>
                          <w:marTop w:val="180"/>
                          <w:marBottom w:val="240"/>
                          <w:divBdr>
                            <w:top w:val="none" w:sz="0" w:space="0" w:color="auto"/>
                            <w:left w:val="none" w:sz="0" w:space="0" w:color="auto"/>
                            <w:bottom w:val="none" w:sz="0" w:space="0" w:color="auto"/>
                            <w:right w:val="none" w:sz="0" w:space="0" w:color="auto"/>
                          </w:divBdr>
                        </w:div>
                      </w:divsChild>
                    </w:div>
                    <w:div w:id="2004501866">
                      <w:marLeft w:val="0"/>
                      <w:marRight w:val="0"/>
                      <w:marTop w:val="0"/>
                      <w:marBottom w:val="360"/>
                      <w:divBdr>
                        <w:top w:val="none" w:sz="0" w:space="0" w:color="auto"/>
                        <w:left w:val="none" w:sz="0" w:space="0" w:color="auto"/>
                        <w:bottom w:val="none" w:sz="0" w:space="0" w:color="auto"/>
                        <w:right w:val="none" w:sz="0" w:space="0" w:color="auto"/>
                      </w:divBdr>
                      <w:divsChild>
                        <w:div w:id="1333215109">
                          <w:marLeft w:val="0"/>
                          <w:marRight w:val="0"/>
                          <w:marTop w:val="180"/>
                          <w:marBottom w:val="240"/>
                          <w:divBdr>
                            <w:top w:val="none" w:sz="0" w:space="0" w:color="auto"/>
                            <w:left w:val="none" w:sz="0" w:space="0" w:color="auto"/>
                            <w:bottom w:val="none" w:sz="0" w:space="0" w:color="auto"/>
                            <w:right w:val="none" w:sz="0" w:space="0" w:color="auto"/>
                          </w:divBdr>
                        </w:div>
                      </w:divsChild>
                    </w:div>
                    <w:div w:id="300114401">
                      <w:marLeft w:val="0"/>
                      <w:marRight w:val="0"/>
                      <w:marTop w:val="0"/>
                      <w:marBottom w:val="360"/>
                      <w:divBdr>
                        <w:top w:val="none" w:sz="0" w:space="0" w:color="auto"/>
                        <w:left w:val="none" w:sz="0" w:space="0" w:color="auto"/>
                        <w:bottom w:val="none" w:sz="0" w:space="0" w:color="auto"/>
                        <w:right w:val="none" w:sz="0" w:space="0" w:color="auto"/>
                      </w:divBdr>
                      <w:divsChild>
                        <w:div w:id="485973656">
                          <w:marLeft w:val="0"/>
                          <w:marRight w:val="0"/>
                          <w:marTop w:val="180"/>
                          <w:marBottom w:val="240"/>
                          <w:divBdr>
                            <w:top w:val="none" w:sz="0" w:space="0" w:color="auto"/>
                            <w:left w:val="none" w:sz="0" w:space="0" w:color="auto"/>
                            <w:bottom w:val="none" w:sz="0" w:space="0" w:color="auto"/>
                            <w:right w:val="none" w:sz="0" w:space="0" w:color="auto"/>
                          </w:divBdr>
                        </w:div>
                      </w:divsChild>
                    </w:div>
                    <w:div w:id="583073802">
                      <w:marLeft w:val="0"/>
                      <w:marRight w:val="0"/>
                      <w:marTop w:val="0"/>
                      <w:marBottom w:val="360"/>
                      <w:divBdr>
                        <w:top w:val="none" w:sz="0" w:space="0" w:color="auto"/>
                        <w:left w:val="none" w:sz="0" w:space="0" w:color="auto"/>
                        <w:bottom w:val="none" w:sz="0" w:space="0" w:color="auto"/>
                        <w:right w:val="none" w:sz="0" w:space="0" w:color="auto"/>
                      </w:divBdr>
                      <w:divsChild>
                        <w:div w:id="265696164">
                          <w:marLeft w:val="0"/>
                          <w:marRight w:val="0"/>
                          <w:marTop w:val="180"/>
                          <w:marBottom w:val="240"/>
                          <w:divBdr>
                            <w:top w:val="none" w:sz="0" w:space="0" w:color="auto"/>
                            <w:left w:val="none" w:sz="0" w:space="0" w:color="auto"/>
                            <w:bottom w:val="none" w:sz="0" w:space="0" w:color="auto"/>
                            <w:right w:val="none" w:sz="0" w:space="0" w:color="auto"/>
                          </w:divBdr>
                        </w:div>
                      </w:divsChild>
                    </w:div>
                    <w:div w:id="806169129">
                      <w:marLeft w:val="0"/>
                      <w:marRight w:val="0"/>
                      <w:marTop w:val="0"/>
                      <w:marBottom w:val="360"/>
                      <w:divBdr>
                        <w:top w:val="none" w:sz="0" w:space="0" w:color="auto"/>
                        <w:left w:val="none" w:sz="0" w:space="0" w:color="auto"/>
                        <w:bottom w:val="none" w:sz="0" w:space="0" w:color="auto"/>
                        <w:right w:val="none" w:sz="0" w:space="0" w:color="auto"/>
                      </w:divBdr>
                      <w:divsChild>
                        <w:div w:id="115098957">
                          <w:marLeft w:val="0"/>
                          <w:marRight w:val="0"/>
                          <w:marTop w:val="180"/>
                          <w:marBottom w:val="240"/>
                          <w:divBdr>
                            <w:top w:val="none" w:sz="0" w:space="0" w:color="auto"/>
                            <w:left w:val="none" w:sz="0" w:space="0" w:color="auto"/>
                            <w:bottom w:val="none" w:sz="0" w:space="0" w:color="auto"/>
                            <w:right w:val="none" w:sz="0" w:space="0" w:color="auto"/>
                          </w:divBdr>
                        </w:div>
                      </w:divsChild>
                    </w:div>
                    <w:div w:id="1782021966">
                      <w:marLeft w:val="0"/>
                      <w:marRight w:val="0"/>
                      <w:marTop w:val="0"/>
                      <w:marBottom w:val="360"/>
                      <w:divBdr>
                        <w:top w:val="single" w:sz="36" w:space="15" w:color="D5D5D5"/>
                        <w:left w:val="single" w:sz="36" w:space="8" w:color="D5D5D5"/>
                        <w:bottom w:val="single" w:sz="36" w:space="15" w:color="D5D5D5"/>
                        <w:right w:val="single" w:sz="36" w:space="8" w:color="D5D5D5"/>
                      </w:divBdr>
                    </w:div>
                    <w:div w:id="204828457">
                      <w:marLeft w:val="0"/>
                      <w:marRight w:val="0"/>
                      <w:marTop w:val="0"/>
                      <w:marBottom w:val="360"/>
                      <w:divBdr>
                        <w:top w:val="single" w:sz="36" w:space="15" w:color="D5D5D5"/>
                        <w:left w:val="single" w:sz="36" w:space="8" w:color="D5D5D5"/>
                        <w:bottom w:val="single" w:sz="36" w:space="15" w:color="D5D5D5"/>
                        <w:right w:val="single" w:sz="36" w:space="8" w:color="D5D5D5"/>
                      </w:divBdr>
                    </w:div>
                    <w:div w:id="1129014294">
                      <w:marLeft w:val="0"/>
                      <w:marRight w:val="0"/>
                      <w:marTop w:val="0"/>
                      <w:marBottom w:val="360"/>
                      <w:divBdr>
                        <w:top w:val="none" w:sz="0" w:space="0" w:color="auto"/>
                        <w:left w:val="none" w:sz="0" w:space="0" w:color="auto"/>
                        <w:bottom w:val="none" w:sz="0" w:space="0" w:color="auto"/>
                        <w:right w:val="none" w:sz="0" w:space="0" w:color="auto"/>
                      </w:divBdr>
                      <w:divsChild>
                        <w:div w:id="434794042">
                          <w:marLeft w:val="0"/>
                          <w:marRight w:val="0"/>
                          <w:marTop w:val="180"/>
                          <w:marBottom w:val="240"/>
                          <w:divBdr>
                            <w:top w:val="none" w:sz="0" w:space="0" w:color="auto"/>
                            <w:left w:val="none" w:sz="0" w:space="0" w:color="auto"/>
                            <w:bottom w:val="none" w:sz="0" w:space="0" w:color="auto"/>
                            <w:right w:val="none" w:sz="0" w:space="0" w:color="auto"/>
                          </w:divBdr>
                        </w:div>
                      </w:divsChild>
                    </w:div>
                    <w:div w:id="1353998188">
                      <w:marLeft w:val="0"/>
                      <w:marRight w:val="0"/>
                      <w:marTop w:val="0"/>
                      <w:marBottom w:val="360"/>
                      <w:divBdr>
                        <w:top w:val="single" w:sz="36" w:space="15" w:color="D5D5D5"/>
                        <w:left w:val="single" w:sz="36" w:space="8" w:color="D5D5D5"/>
                        <w:bottom w:val="single" w:sz="36" w:space="15" w:color="D5D5D5"/>
                        <w:right w:val="single" w:sz="36" w:space="8" w:color="D5D5D5"/>
                      </w:divBdr>
                    </w:div>
                    <w:div w:id="143739486">
                      <w:marLeft w:val="0"/>
                      <w:marRight w:val="0"/>
                      <w:marTop w:val="0"/>
                      <w:marBottom w:val="360"/>
                      <w:divBdr>
                        <w:top w:val="none" w:sz="0" w:space="0" w:color="auto"/>
                        <w:left w:val="none" w:sz="0" w:space="0" w:color="auto"/>
                        <w:bottom w:val="none" w:sz="0" w:space="0" w:color="auto"/>
                        <w:right w:val="none" w:sz="0" w:space="0" w:color="auto"/>
                      </w:divBdr>
                      <w:divsChild>
                        <w:div w:id="1258170047">
                          <w:marLeft w:val="0"/>
                          <w:marRight w:val="0"/>
                          <w:marTop w:val="180"/>
                          <w:marBottom w:val="240"/>
                          <w:divBdr>
                            <w:top w:val="none" w:sz="0" w:space="0" w:color="auto"/>
                            <w:left w:val="none" w:sz="0" w:space="0" w:color="auto"/>
                            <w:bottom w:val="none" w:sz="0" w:space="0" w:color="auto"/>
                            <w:right w:val="none" w:sz="0" w:space="0" w:color="auto"/>
                          </w:divBdr>
                        </w:div>
                      </w:divsChild>
                    </w:div>
                    <w:div w:id="1818574727">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17934535">
                          <w:marLeft w:val="0"/>
                          <w:marRight w:val="0"/>
                          <w:marTop w:val="0"/>
                          <w:marBottom w:val="240"/>
                          <w:divBdr>
                            <w:top w:val="none" w:sz="0" w:space="0" w:color="auto"/>
                            <w:left w:val="none" w:sz="0" w:space="0" w:color="auto"/>
                            <w:bottom w:val="none" w:sz="0" w:space="0" w:color="auto"/>
                            <w:right w:val="none" w:sz="0" w:space="0" w:color="auto"/>
                          </w:divBdr>
                          <w:divsChild>
                            <w:div w:id="458039601">
                              <w:marLeft w:val="0"/>
                              <w:marRight w:val="0"/>
                              <w:marTop w:val="0"/>
                              <w:marBottom w:val="0"/>
                              <w:divBdr>
                                <w:top w:val="none" w:sz="0" w:space="0" w:color="auto"/>
                                <w:left w:val="none" w:sz="0" w:space="0" w:color="auto"/>
                                <w:bottom w:val="none" w:sz="0" w:space="0" w:color="auto"/>
                                <w:right w:val="none" w:sz="0" w:space="0" w:color="auto"/>
                              </w:divBdr>
                            </w:div>
                            <w:div w:id="1710107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3101737">
                      <w:marLeft w:val="0"/>
                      <w:marRight w:val="0"/>
                      <w:marTop w:val="0"/>
                      <w:marBottom w:val="360"/>
                      <w:divBdr>
                        <w:top w:val="none" w:sz="0" w:space="0" w:color="auto"/>
                        <w:left w:val="none" w:sz="0" w:space="0" w:color="auto"/>
                        <w:bottom w:val="none" w:sz="0" w:space="0" w:color="auto"/>
                        <w:right w:val="none" w:sz="0" w:space="0" w:color="auto"/>
                      </w:divBdr>
                      <w:divsChild>
                        <w:div w:id="781000597">
                          <w:marLeft w:val="0"/>
                          <w:marRight w:val="0"/>
                          <w:marTop w:val="180"/>
                          <w:marBottom w:val="240"/>
                          <w:divBdr>
                            <w:top w:val="none" w:sz="0" w:space="0" w:color="auto"/>
                            <w:left w:val="none" w:sz="0" w:space="0" w:color="auto"/>
                            <w:bottom w:val="none" w:sz="0" w:space="0" w:color="auto"/>
                            <w:right w:val="none" w:sz="0" w:space="0" w:color="auto"/>
                          </w:divBdr>
                        </w:div>
                      </w:divsChild>
                    </w:div>
                    <w:div w:id="426391974">
                      <w:marLeft w:val="0"/>
                      <w:marRight w:val="0"/>
                      <w:marTop w:val="0"/>
                      <w:marBottom w:val="360"/>
                      <w:divBdr>
                        <w:top w:val="none" w:sz="0" w:space="0" w:color="auto"/>
                        <w:left w:val="none" w:sz="0" w:space="0" w:color="auto"/>
                        <w:bottom w:val="none" w:sz="0" w:space="0" w:color="auto"/>
                        <w:right w:val="none" w:sz="0" w:space="0" w:color="auto"/>
                      </w:divBdr>
                      <w:divsChild>
                        <w:div w:id="289090380">
                          <w:marLeft w:val="0"/>
                          <w:marRight w:val="0"/>
                          <w:marTop w:val="180"/>
                          <w:marBottom w:val="240"/>
                          <w:divBdr>
                            <w:top w:val="none" w:sz="0" w:space="0" w:color="auto"/>
                            <w:left w:val="none" w:sz="0" w:space="0" w:color="auto"/>
                            <w:bottom w:val="none" w:sz="0" w:space="0" w:color="auto"/>
                            <w:right w:val="none" w:sz="0" w:space="0" w:color="auto"/>
                          </w:divBdr>
                        </w:div>
                      </w:divsChild>
                    </w:div>
                    <w:div w:id="2128428391">
                      <w:marLeft w:val="0"/>
                      <w:marRight w:val="0"/>
                      <w:marTop w:val="0"/>
                      <w:marBottom w:val="360"/>
                      <w:divBdr>
                        <w:top w:val="none" w:sz="0" w:space="0" w:color="auto"/>
                        <w:left w:val="none" w:sz="0" w:space="0" w:color="auto"/>
                        <w:bottom w:val="none" w:sz="0" w:space="0" w:color="auto"/>
                        <w:right w:val="none" w:sz="0" w:space="0" w:color="auto"/>
                      </w:divBdr>
                      <w:divsChild>
                        <w:div w:id="657533915">
                          <w:marLeft w:val="0"/>
                          <w:marRight w:val="0"/>
                          <w:marTop w:val="180"/>
                          <w:marBottom w:val="240"/>
                          <w:divBdr>
                            <w:top w:val="none" w:sz="0" w:space="0" w:color="auto"/>
                            <w:left w:val="none" w:sz="0" w:space="0" w:color="auto"/>
                            <w:bottom w:val="none" w:sz="0" w:space="0" w:color="auto"/>
                            <w:right w:val="none" w:sz="0" w:space="0" w:color="auto"/>
                          </w:divBdr>
                        </w:div>
                      </w:divsChild>
                    </w:div>
                    <w:div w:id="1151407696">
                      <w:marLeft w:val="0"/>
                      <w:marRight w:val="0"/>
                      <w:marTop w:val="0"/>
                      <w:marBottom w:val="360"/>
                      <w:divBdr>
                        <w:top w:val="none" w:sz="0" w:space="0" w:color="auto"/>
                        <w:left w:val="none" w:sz="0" w:space="0" w:color="auto"/>
                        <w:bottom w:val="none" w:sz="0" w:space="0" w:color="auto"/>
                        <w:right w:val="none" w:sz="0" w:space="0" w:color="auto"/>
                      </w:divBdr>
                      <w:divsChild>
                        <w:div w:id="859052402">
                          <w:marLeft w:val="0"/>
                          <w:marRight w:val="0"/>
                          <w:marTop w:val="180"/>
                          <w:marBottom w:val="240"/>
                          <w:divBdr>
                            <w:top w:val="none" w:sz="0" w:space="0" w:color="auto"/>
                            <w:left w:val="none" w:sz="0" w:space="0" w:color="auto"/>
                            <w:bottom w:val="none" w:sz="0" w:space="0" w:color="auto"/>
                            <w:right w:val="none" w:sz="0" w:space="0" w:color="auto"/>
                          </w:divBdr>
                        </w:div>
                      </w:divsChild>
                    </w:div>
                    <w:div w:id="1055078742">
                      <w:marLeft w:val="0"/>
                      <w:marRight w:val="0"/>
                      <w:marTop w:val="0"/>
                      <w:marBottom w:val="360"/>
                      <w:divBdr>
                        <w:top w:val="none" w:sz="0" w:space="0" w:color="auto"/>
                        <w:left w:val="none" w:sz="0" w:space="0" w:color="auto"/>
                        <w:bottom w:val="none" w:sz="0" w:space="0" w:color="auto"/>
                        <w:right w:val="none" w:sz="0" w:space="0" w:color="auto"/>
                      </w:divBdr>
                      <w:divsChild>
                        <w:div w:id="359015278">
                          <w:marLeft w:val="0"/>
                          <w:marRight w:val="0"/>
                          <w:marTop w:val="180"/>
                          <w:marBottom w:val="240"/>
                          <w:divBdr>
                            <w:top w:val="none" w:sz="0" w:space="0" w:color="auto"/>
                            <w:left w:val="none" w:sz="0" w:space="0" w:color="auto"/>
                            <w:bottom w:val="none" w:sz="0" w:space="0" w:color="auto"/>
                            <w:right w:val="none" w:sz="0" w:space="0" w:color="auto"/>
                          </w:divBdr>
                        </w:div>
                      </w:divsChild>
                    </w:div>
                    <w:div w:id="176949589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407970244">
                          <w:marLeft w:val="0"/>
                          <w:marRight w:val="0"/>
                          <w:marTop w:val="0"/>
                          <w:marBottom w:val="240"/>
                          <w:divBdr>
                            <w:top w:val="none" w:sz="0" w:space="0" w:color="auto"/>
                            <w:left w:val="none" w:sz="0" w:space="0" w:color="auto"/>
                            <w:bottom w:val="none" w:sz="0" w:space="0" w:color="auto"/>
                            <w:right w:val="none" w:sz="0" w:space="0" w:color="auto"/>
                          </w:divBdr>
                          <w:divsChild>
                            <w:div w:id="876622557">
                              <w:marLeft w:val="0"/>
                              <w:marRight w:val="0"/>
                              <w:marTop w:val="0"/>
                              <w:marBottom w:val="0"/>
                              <w:divBdr>
                                <w:top w:val="none" w:sz="0" w:space="0" w:color="auto"/>
                                <w:left w:val="none" w:sz="0" w:space="0" w:color="auto"/>
                                <w:bottom w:val="none" w:sz="0" w:space="0" w:color="auto"/>
                                <w:right w:val="none" w:sz="0" w:space="0" w:color="auto"/>
                              </w:divBdr>
                            </w:div>
                            <w:div w:id="1318412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2614710">
              <w:marLeft w:val="0"/>
              <w:marRight w:val="0"/>
              <w:marTop w:val="0"/>
              <w:marBottom w:val="0"/>
              <w:divBdr>
                <w:top w:val="none" w:sz="0" w:space="0" w:color="auto"/>
                <w:left w:val="none" w:sz="0" w:space="0" w:color="auto"/>
                <w:bottom w:val="none" w:sz="0" w:space="0" w:color="auto"/>
                <w:right w:val="none" w:sz="0" w:space="0" w:color="auto"/>
              </w:divBdr>
              <w:divsChild>
                <w:div w:id="2029061354">
                  <w:marLeft w:val="0"/>
                  <w:marRight w:val="0"/>
                  <w:marTop w:val="0"/>
                  <w:marBottom w:val="600"/>
                  <w:divBdr>
                    <w:top w:val="none" w:sz="0" w:space="0" w:color="auto"/>
                    <w:left w:val="none" w:sz="0" w:space="0" w:color="auto"/>
                    <w:bottom w:val="none" w:sz="0" w:space="0" w:color="auto"/>
                    <w:right w:val="none" w:sz="0" w:space="0" w:color="auto"/>
                  </w:divBdr>
                  <w:divsChild>
                    <w:div w:id="1406495527">
                      <w:marLeft w:val="0"/>
                      <w:marRight w:val="0"/>
                      <w:marTop w:val="0"/>
                      <w:marBottom w:val="360"/>
                      <w:divBdr>
                        <w:top w:val="none" w:sz="0" w:space="0" w:color="auto"/>
                        <w:left w:val="none" w:sz="0" w:space="0" w:color="auto"/>
                        <w:bottom w:val="none" w:sz="0" w:space="0" w:color="auto"/>
                        <w:right w:val="none" w:sz="0" w:space="0" w:color="auto"/>
                      </w:divBdr>
                      <w:divsChild>
                        <w:div w:id="1235818299">
                          <w:marLeft w:val="0"/>
                          <w:marRight w:val="0"/>
                          <w:marTop w:val="180"/>
                          <w:marBottom w:val="240"/>
                          <w:divBdr>
                            <w:top w:val="none" w:sz="0" w:space="0" w:color="auto"/>
                            <w:left w:val="none" w:sz="0" w:space="0" w:color="auto"/>
                            <w:bottom w:val="none" w:sz="0" w:space="0" w:color="auto"/>
                            <w:right w:val="none" w:sz="0" w:space="0" w:color="auto"/>
                          </w:divBdr>
                        </w:div>
                      </w:divsChild>
                    </w:div>
                    <w:div w:id="1564485904">
                      <w:marLeft w:val="0"/>
                      <w:marRight w:val="0"/>
                      <w:marTop w:val="0"/>
                      <w:marBottom w:val="360"/>
                      <w:divBdr>
                        <w:top w:val="none" w:sz="0" w:space="0" w:color="auto"/>
                        <w:left w:val="none" w:sz="0" w:space="0" w:color="auto"/>
                        <w:bottom w:val="none" w:sz="0" w:space="0" w:color="auto"/>
                        <w:right w:val="none" w:sz="0" w:space="0" w:color="auto"/>
                      </w:divBdr>
                      <w:divsChild>
                        <w:div w:id="1600410045">
                          <w:marLeft w:val="0"/>
                          <w:marRight w:val="0"/>
                          <w:marTop w:val="180"/>
                          <w:marBottom w:val="240"/>
                          <w:divBdr>
                            <w:top w:val="none" w:sz="0" w:space="0" w:color="auto"/>
                            <w:left w:val="none" w:sz="0" w:space="0" w:color="auto"/>
                            <w:bottom w:val="none" w:sz="0" w:space="0" w:color="auto"/>
                            <w:right w:val="none" w:sz="0" w:space="0" w:color="auto"/>
                          </w:divBdr>
                        </w:div>
                      </w:divsChild>
                    </w:div>
                    <w:div w:id="2120102806">
                      <w:marLeft w:val="0"/>
                      <w:marRight w:val="0"/>
                      <w:marTop w:val="0"/>
                      <w:marBottom w:val="360"/>
                      <w:divBdr>
                        <w:top w:val="none" w:sz="0" w:space="0" w:color="auto"/>
                        <w:left w:val="none" w:sz="0" w:space="0" w:color="auto"/>
                        <w:bottom w:val="none" w:sz="0" w:space="0" w:color="auto"/>
                        <w:right w:val="none" w:sz="0" w:space="0" w:color="auto"/>
                      </w:divBdr>
                      <w:divsChild>
                        <w:div w:id="1568686268">
                          <w:marLeft w:val="0"/>
                          <w:marRight w:val="0"/>
                          <w:marTop w:val="180"/>
                          <w:marBottom w:val="240"/>
                          <w:divBdr>
                            <w:top w:val="none" w:sz="0" w:space="0" w:color="auto"/>
                            <w:left w:val="none" w:sz="0" w:space="0" w:color="auto"/>
                            <w:bottom w:val="none" w:sz="0" w:space="0" w:color="auto"/>
                            <w:right w:val="none" w:sz="0" w:space="0" w:color="auto"/>
                          </w:divBdr>
                        </w:div>
                      </w:divsChild>
                    </w:div>
                    <w:div w:id="8530198">
                      <w:marLeft w:val="0"/>
                      <w:marRight w:val="0"/>
                      <w:marTop w:val="0"/>
                      <w:marBottom w:val="360"/>
                      <w:divBdr>
                        <w:top w:val="none" w:sz="0" w:space="0" w:color="auto"/>
                        <w:left w:val="none" w:sz="0" w:space="0" w:color="auto"/>
                        <w:bottom w:val="none" w:sz="0" w:space="0" w:color="auto"/>
                        <w:right w:val="none" w:sz="0" w:space="0" w:color="auto"/>
                      </w:divBdr>
                      <w:divsChild>
                        <w:div w:id="211313030">
                          <w:marLeft w:val="0"/>
                          <w:marRight w:val="0"/>
                          <w:marTop w:val="180"/>
                          <w:marBottom w:val="240"/>
                          <w:divBdr>
                            <w:top w:val="none" w:sz="0" w:space="0" w:color="auto"/>
                            <w:left w:val="none" w:sz="0" w:space="0" w:color="auto"/>
                            <w:bottom w:val="none" w:sz="0" w:space="0" w:color="auto"/>
                            <w:right w:val="none" w:sz="0" w:space="0" w:color="auto"/>
                          </w:divBdr>
                        </w:div>
                      </w:divsChild>
                    </w:div>
                    <w:div w:id="981620671">
                      <w:marLeft w:val="0"/>
                      <w:marRight w:val="0"/>
                      <w:marTop w:val="0"/>
                      <w:marBottom w:val="360"/>
                      <w:divBdr>
                        <w:top w:val="none" w:sz="0" w:space="0" w:color="auto"/>
                        <w:left w:val="none" w:sz="0" w:space="0" w:color="auto"/>
                        <w:bottom w:val="none" w:sz="0" w:space="0" w:color="auto"/>
                        <w:right w:val="none" w:sz="0" w:space="0" w:color="auto"/>
                      </w:divBdr>
                      <w:divsChild>
                        <w:div w:id="1309439536">
                          <w:marLeft w:val="0"/>
                          <w:marRight w:val="0"/>
                          <w:marTop w:val="180"/>
                          <w:marBottom w:val="240"/>
                          <w:divBdr>
                            <w:top w:val="none" w:sz="0" w:space="0" w:color="auto"/>
                            <w:left w:val="none" w:sz="0" w:space="0" w:color="auto"/>
                            <w:bottom w:val="none" w:sz="0" w:space="0" w:color="auto"/>
                            <w:right w:val="none" w:sz="0" w:space="0" w:color="auto"/>
                          </w:divBdr>
                        </w:div>
                      </w:divsChild>
                    </w:div>
                    <w:div w:id="293025233">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309866703">
                          <w:marLeft w:val="0"/>
                          <w:marRight w:val="0"/>
                          <w:marTop w:val="0"/>
                          <w:marBottom w:val="240"/>
                          <w:divBdr>
                            <w:top w:val="none" w:sz="0" w:space="0" w:color="auto"/>
                            <w:left w:val="none" w:sz="0" w:space="0" w:color="auto"/>
                            <w:bottom w:val="none" w:sz="0" w:space="0" w:color="auto"/>
                            <w:right w:val="none" w:sz="0" w:space="0" w:color="auto"/>
                          </w:divBdr>
                          <w:divsChild>
                            <w:div w:id="1623875428">
                              <w:marLeft w:val="0"/>
                              <w:marRight w:val="0"/>
                              <w:marTop w:val="0"/>
                              <w:marBottom w:val="0"/>
                              <w:divBdr>
                                <w:top w:val="none" w:sz="0" w:space="0" w:color="auto"/>
                                <w:left w:val="none" w:sz="0" w:space="0" w:color="auto"/>
                                <w:bottom w:val="none" w:sz="0" w:space="0" w:color="auto"/>
                                <w:right w:val="none" w:sz="0" w:space="0" w:color="auto"/>
                              </w:divBdr>
                            </w:div>
                            <w:div w:id="508640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0805363">
                      <w:marLeft w:val="0"/>
                      <w:marRight w:val="0"/>
                      <w:marTop w:val="0"/>
                      <w:marBottom w:val="360"/>
                      <w:divBdr>
                        <w:top w:val="none" w:sz="0" w:space="0" w:color="auto"/>
                        <w:left w:val="none" w:sz="0" w:space="0" w:color="auto"/>
                        <w:bottom w:val="none" w:sz="0" w:space="0" w:color="auto"/>
                        <w:right w:val="none" w:sz="0" w:space="0" w:color="auto"/>
                      </w:divBdr>
                      <w:divsChild>
                        <w:div w:id="513610918">
                          <w:marLeft w:val="0"/>
                          <w:marRight w:val="0"/>
                          <w:marTop w:val="180"/>
                          <w:marBottom w:val="240"/>
                          <w:divBdr>
                            <w:top w:val="none" w:sz="0" w:space="0" w:color="auto"/>
                            <w:left w:val="none" w:sz="0" w:space="0" w:color="auto"/>
                            <w:bottom w:val="none" w:sz="0" w:space="0" w:color="auto"/>
                            <w:right w:val="none" w:sz="0" w:space="0" w:color="auto"/>
                          </w:divBdr>
                        </w:div>
                      </w:divsChild>
                    </w:div>
                    <w:div w:id="616331226">
                      <w:marLeft w:val="0"/>
                      <w:marRight w:val="0"/>
                      <w:marTop w:val="0"/>
                      <w:marBottom w:val="360"/>
                      <w:divBdr>
                        <w:top w:val="none" w:sz="0" w:space="0" w:color="auto"/>
                        <w:left w:val="none" w:sz="0" w:space="0" w:color="auto"/>
                        <w:bottom w:val="none" w:sz="0" w:space="0" w:color="auto"/>
                        <w:right w:val="none" w:sz="0" w:space="0" w:color="auto"/>
                      </w:divBdr>
                      <w:divsChild>
                        <w:div w:id="559287575">
                          <w:marLeft w:val="0"/>
                          <w:marRight w:val="0"/>
                          <w:marTop w:val="180"/>
                          <w:marBottom w:val="240"/>
                          <w:divBdr>
                            <w:top w:val="none" w:sz="0" w:space="0" w:color="auto"/>
                            <w:left w:val="none" w:sz="0" w:space="0" w:color="auto"/>
                            <w:bottom w:val="none" w:sz="0" w:space="0" w:color="auto"/>
                            <w:right w:val="none" w:sz="0" w:space="0" w:color="auto"/>
                          </w:divBdr>
                        </w:div>
                      </w:divsChild>
                    </w:div>
                    <w:div w:id="191210985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60835574">
                          <w:marLeft w:val="0"/>
                          <w:marRight w:val="0"/>
                          <w:marTop w:val="0"/>
                          <w:marBottom w:val="240"/>
                          <w:divBdr>
                            <w:top w:val="none" w:sz="0" w:space="0" w:color="auto"/>
                            <w:left w:val="none" w:sz="0" w:space="0" w:color="auto"/>
                            <w:bottom w:val="none" w:sz="0" w:space="0" w:color="auto"/>
                            <w:right w:val="none" w:sz="0" w:space="0" w:color="auto"/>
                          </w:divBdr>
                          <w:divsChild>
                            <w:div w:id="204369974">
                              <w:marLeft w:val="0"/>
                              <w:marRight w:val="0"/>
                              <w:marTop w:val="0"/>
                              <w:marBottom w:val="0"/>
                              <w:divBdr>
                                <w:top w:val="none" w:sz="0" w:space="0" w:color="auto"/>
                                <w:left w:val="none" w:sz="0" w:space="0" w:color="auto"/>
                                <w:bottom w:val="none" w:sz="0" w:space="0" w:color="auto"/>
                                <w:right w:val="none" w:sz="0" w:space="0" w:color="auto"/>
                              </w:divBdr>
                            </w:div>
                            <w:div w:id="1821070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6050717">
              <w:marLeft w:val="0"/>
              <w:marRight w:val="0"/>
              <w:marTop w:val="0"/>
              <w:marBottom w:val="0"/>
              <w:divBdr>
                <w:top w:val="none" w:sz="0" w:space="0" w:color="auto"/>
                <w:left w:val="none" w:sz="0" w:space="0" w:color="auto"/>
                <w:bottom w:val="none" w:sz="0" w:space="0" w:color="auto"/>
                <w:right w:val="none" w:sz="0" w:space="0" w:color="auto"/>
              </w:divBdr>
              <w:divsChild>
                <w:div w:id="366033324">
                  <w:marLeft w:val="0"/>
                  <w:marRight w:val="0"/>
                  <w:marTop w:val="0"/>
                  <w:marBottom w:val="600"/>
                  <w:divBdr>
                    <w:top w:val="none" w:sz="0" w:space="0" w:color="auto"/>
                    <w:left w:val="none" w:sz="0" w:space="0" w:color="auto"/>
                    <w:bottom w:val="none" w:sz="0" w:space="0" w:color="auto"/>
                    <w:right w:val="none" w:sz="0" w:space="0" w:color="auto"/>
                  </w:divBdr>
                  <w:divsChild>
                    <w:div w:id="1848596498">
                      <w:marLeft w:val="0"/>
                      <w:marRight w:val="0"/>
                      <w:marTop w:val="0"/>
                      <w:marBottom w:val="360"/>
                      <w:divBdr>
                        <w:top w:val="none" w:sz="0" w:space="0" w:color="auto"/>
                        <w:left w:val="none" w:sz="0" w:space="0" w:color="auto"/>
                        <w:bottom w:val="none" w:sz="0" w:space="0" w:color="auto"/>
                        <w:right w:val="none" w:sz="0" w:space="0" w:color="auto"/>
                      </w:divBdr>
                      <w:divsChild>
                        <w:div w:id="1623998081">
                          <w:marLeft w:val="0"/>
                          <w:marRight w:val="0"/>
                          <w:marTop w:val="180"/>
                          <w:marBottom w:val="240"/>
                          <w:divBdr>
                            <w:top w:val="none" w:sz="0" w:space="0" w:color="auto"/>
                            <w:left w:val="none" w:sz="0" w:space="0" w:color="auto"/>
                            <w:bottom w:val="none" w:sz="0" w:space="0" w:color="auto"/>
                            <w:right w:val="none" w:sz="0" w:space="0" w:color="auto"/>
                          </w:divBdr>
                        </w:div>
                      </w:divsChild>
                    </w:div>
                    <w:div w:id="1217624503">
                      <w:marLeft w:val="0"/>
                      <w:marRight w:val="0"/>
                      <w:marTop w:val="0"/>
                      <w:marBottom w:val="360"/>
                      <w:divBdr>
                        <w:top w:val="none" w:sz="0" w:space="0" w:color="auto"/>
                        <w:left w:val="none" w:sz="0" w:space="0" w:color="auto"/>
                        <w:bottom w:val="none" w:sz="0" w:space="0" w:color="auto"/>
                        <w:right w:val="none" w:sz="0" w:space="0" w:color="auto"/>
                      </w:divBdr>
                      <w:divsChild>
                        <w:div w:id="1270820028">
                          <w:marLeft w:val="0"/>
                          <w:marRight w:val="0"/>
                          <w:marTop w:val="180"/>
                          <w:marBottom w:val="240"/>
                          <w:divBdr>
                            <w:top w:val="none" w:sz="0" w:space="0" w:color="auto"/>
                            <w:left w:val="none" w:sz="0" w:space="0" w:color="auto"/>
                            <w:bottom w:val="none" w:sz="0" w:space="0" w:color="auto"/>
                            <w:right w:val="none" w:sz="0" w:space="0" w:color="auto"/>
                          </w:divBdr>
                        </w:div>
                      </w:divsChild>
                    </w:div>
                    <w:div w:id="491872807">
                      <w:marLeft w:val="0"/>
                      <w:marRight w:val="0"/>
                      <w:marTop w:val="0"/>
                      <w:marBottom w:val="360"/>
                      <w:divBdr>
                        <w:top w:val="none" w:sz="0" w:space="0" w:color="auto"/>
                        <w:left w:val="none" w:sz="0" w:space="0" w:color="auto"/>
                        <w:bottom w:val="none" w:sz="0" w:space="0" w:color="auto"/>
                        <w:right w:val="none" w:sz="0" w:space="0" w:color="auto"/>
                      </w:divBdr>
                    </w:div>
                    <w:div w:id="629940639">
                      <w:marLeft w:val="0"/>
                      <w:marRight w:val="0"/>
                      <w:marTop w:val="0"/>
                      <w:marBottom w:val="360"/>
                      <w:divBdr>
                        <w:top w:val="single" w:sz="36" w:space="15" w:color="D5D5D5"/>
                        <w:left w:val="single" w:sz="36" w:space="8" w:color="D5D5D5"/>
                        <w:bottom w:val="single" w:sz="36" w:space="15" w:color="D5D5D5"/>
                        <w:right w:val="single" w:sz="36" w:space="8" w:color="D5D5D5"/>
                      </w:divBdr>
                    </w:div>
                    <w:div w:id="11634003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584296424">
                          <w:marLeft w:val="0"/>
                          <w:marRight w:val="0"/>
                          <w:marTop w:val="0"/>
                          <w:marBottom w:val="240"/>
                          <w:divBdr>
                            <w:top w:val="none" w:sz="0" w:space="0" w:color="auto"/>
                            <w:left w:val="none" w:sz="0" w:space="0" w:color="auto"/>
                            <w:bottom w:val="none" w:sz="0" w:space="0" w:color="auto"/>
                            <w:right w:val="none" w:sz="0" w:space="0" w:color="auto"/>
                          </w:divBdr>
                          <w:divsChild>
                            <w:div w:id="1511018946">
                              <w:marLeft w:val="0"/>
                              <w:marRight w:val="0"/>
                              <w:marTop w:val="0"/>
                              <w:marBottom w:val="0"/>
                              <w:divBdr>
                                <w:top w:val="none" w:sz="0" w:space="0" w:color="auto"/>
                                <w:left w:val="none" w:sz="0" w:space="0" w:color="auto"/>
                                <w:bottom w:val="none" w:sz="0" w:space="0" w:color="auto"/>
                                <w:right w:val="none" w:sz="0" w:space="0" w:color="auto"/>
                              </w:divBdr>
                            </w:div>
                            <w:div w:id="780035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5744927">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547226163">
                          <w:marLeft w:val="0"/>
                          <w:marRight w:val="0"/>
                          <w:marTop w:val="0"/>
                          <w:marBottom w:val="240"/>
                          <w:divBdr>
                            <w:top w:val="none" w:sz="0" w:space="0" w:color="auto"/>
                            <w:left w:val="none" w:sz="0" w:space="0" w:color="auto"/>
                            <w:bottom w:val="none" w:sz="0" w:space="0" w:color="auto"/>
                            <w:right w:val="none" w:sz="0" w:space="0" w:color="auto"/>
                          </w:divBdr>
                          <w:divsChild>
                            <w:div w:id="633680204">
                              <w:marLeft w:val="0"/>
                              <w:marRight w:val="0"/>
                              <w:marTop w:val="0"/>
                              <w:marBottom w:val="0"/>
                              <w:divBdr>
                                <w:top w:val="none" w:sz="0" w:space="0" w:color="auto"/>
                                <w:left w:val="none" w:sz="0" w:space="0" w:color="auto"/>
                                <w:bottom w:val="none" w:sz="0" w:space="0" w:color="auto"/>
                                <w:right w:val="none" w:sz="0" w:space="0" w:color="auto"/>
                              </w:divBdr>
                            </w:div>
                            <w:div w:id="1184130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234290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10632056">
                          <w:marLeft w:val="0"/>
                          <w:marRight w:val="0"/>
                          <w:marTop w:val="0"/>
                          <w:marBottom w:val="240"/>
                          <w:divBdr>
                            <w:top w:val="none" w:sz="0" w:space="0" w:color="auto"/>
                            <w:left w:val="none" w:sz="0" w:space="0" w:color="auto"/>
                            <w:bottom w:val="none" w:sz="0" w:space="0" w:color="auto"/>
                            <w:right w:val="none" w:sz="0" w:space="0" w:color="auto"/>
                          </w:divBdr>
                          <w:divsChild>
                            <w:div w:id="310182424">
                              <w:marLeft w:val="0"/>
                              <w:marRight w:val="0"/>
                              <w:marTop w:val="0"/>
                              <w:marBottom w:val="0"/>
                              <w:divBdr>
                                <w:top w:val="none" w:sz="0" w:space="0" w:color="auto"/>
                                <w:left w:val="none" w:sz="0" w:space="0" w:color="auto"/>
                                <w:bottom w:val="none" w:sz="0" w:space="0" w:color="auto"/>
                                <w:right w:val="none" w:sz="0" w:space="0" w:color="auto"/>
                              </w:divBdr>
                            </w:div>
                            <w:div w:id="1708680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89741724">
              <w:marLeft w:val="0"/>
              <w:marRight w:val="0"/>
              <w:marTop w:val="0"/>
              <w:marBottom w:val="0"/>
              <w:divBdr>
                <w:top w:val="none" w:sz="0" w:space="0" w:color="auto"/>
                <w:left w:val="none" w:sz="0" w:space="0" w:color="auto"/>
                <w:bottom w:val="none" w:sz="0" w:space="0" w:color="auto"/>
                <w:right w:val="none" w:sz="0" w:space="0" w:color="auto"/>
              </w:divBdr>
              <w:divsChild>
                <w:div w:id="1151674883">
                  <w:marLeft w:val="0"/>
                  <w:marRight w:val="0"/>
                  <w:marTop w:val="0"/>
                  <w:marBottom w:val="600"/>
                  <w:divBdr>
                    <w:top w:val="none" w:sz="0" w:space="0" w:color="auto"/>
                    <w:left w:val="none" w:sz="0" w:space="0" w:color="auto"/>
                    <w:bottom w:val="none" w:sz="0" w:space="0" w:color="auto"/>
                    <w:right w:val="none" w:sz="0" w:space="0" w:color="auto"/>
                  </w:divBdr>
                </w:div>
              </w:divsChild>
            </w:div>
            <w:div w:id="1648631838">
              <w:marLeft w:val="0"/>
              <w:marRight w:val="0"/>
              <w:marTop w:val="0"/>
              <w:marBottom w:val="0"/>
              <w:divBdr>
                <w:top w:val="none" w:sz="0" w:space="0" w:color="auto"/>
                <w:left w:val="none" w:sz="0" w:space="0" w:color="auto"/>
                <w:bottom w:val="none" w:sz="0" w:space="0" w:color="auto"/>
                <w:right w:val="none" w:sz="0" w:space="0" w:color="auto"/>
              </w:divBdr>
              <w:divsChild>
                <w:div w:id="563879727">
                  <w:marLeft w:val="0"/>
                  <w:marRight w:val="0"/>
                  <w:marTop w:val="0"/>
                  <w:marBottom w:val="600"/>
                  <w:divBdr>
                    <w:top w:val="none" w:sz="0" w:space="0" w:color="auto"/>
                    <w:left w:val="none" w:sz="0" w:space="0" w:color="auto"/>
                    <w:bottom w:val="none" w:sz="0" w:space="0" w:color="auto"/>
                    <w:right w:val="none" w:sz="0" w:space="0" w:color="auto"/>
                  </w:divBdr>
                  <w:divsChild>
                    <w:div w:id="974333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3840013">
              <w:marLeft w:val="0"/>
              <w:marRight w:val="0"/>
              <w:marTop w:val="0"/>
              <w:marBottom w:val="0"/>
              <w:divBdr>
                <w:top w:val="none" w:sz="0" w:space="0" w:color="auto"/>
                <w:left w:val="none" w:sz="0" w:space="0" w:color="auto"/>
                <w:bottom w:val="none" w:sz="0" w:space="0" w:color="auto"/>
                <w:right w:val="none" w:sz="0" w:space="0" w:color="auto"/>
              </w:divBdr>
              <w:divsChild>
                <w:div w:id="1030573619">
                  <w:marLeft w:val="0"/>
                  <w:marRight w:val="0"/>
                  <w:marTop w:val="0"/>
                  <w:marBottom w:val="600"/>
                  <w:divBdr>
                    <w:top w:val="none" w:sz="0" w:space="0" w:color="auto"/>
                    <w:left w:val="none" w:sz="0" w:space="0" w:color="auto"/>
                    <w:bottom w:val="none" w:sz="0" w:space="0" w:color="auto"/>
                    <w:right w:val="none" w:sz="0" w:space="0" w:color="auto"/>
                  </w:divBdr>
                </w:div>
              </w:divsChild>
            </w:div>
            <w:div w:id="1913005067">
              <w:marLeft w:val="0"/>
              <w:marRight w:val="0"/>
              <w:marTop w:val="0"/>
              <w:marBottom w:val="0"/>
              <w:divBdr>
                <w:top w:val="none" w:sz="0" w:space="0" w:color="auto"/>
                <w:left w:val="none" w:sz="0" w:space="0" w:color="auto"/>
                <w:bottom w:val="none" w:sz="0" w:space="0" w:color="auto"/>
                <w:right w:val="none" w:sz="0" w:space="0" w:color="auto"/>
              </w:divBdr>
              <w:divsChild>
                <w:div w:id="131338064">
                  <w:marLeft w:val="0"/>
                  <w:marRight w:val="0"/>
                  <w:marTop w:val="0"/>
                  <w:marBottom w:val="600"/>
                  <w:divBdr>
                    <w:top w:val="none" w:sz="0" w:space="0" w:color="auto"/>
                    <w:left w:val="none" w:sz="0" w:space="0" w:color="auto"/>
                    <w:bottom w:val="none" w:sz="0" w:space="0" w:color="auto"/>
                    <w:right w:val="none" w:sz="0" w:space="0" w:color="auto"/>
                  </w:divBdr>
                </w:div>
              </w:divsChild>
            </w:div>
            <w:div w:id="313871882">
              <w:marLeft w:val="0"/>
              <w:marRight w:val="0"/>
              <w:marTop w:val="0"/>
              <w:marBottom w:val="0"/>
              <w:divBdr>
                <w:top w:val="none" w:sz="0" w:space="0" w:color="auto"/>
                <w:left w:val="none" w:sz="0" w:space="0" w:color="auto"/>
                <w:bottom w:val="none" w:sz="0" w:space="0" w:color="auto"/>
                <w:right w:val="none" w:sz="0" w:space="0" w:color="auto"/>
              </w:divBdr>
              <w:divsChild>
                <w:div w:id="1861041497">
                  <w:marLeft w:val="0"/>
                  <w:marRight w:val="0"/>
                  <w:marTop w:val="0"/>
                  <w:marBottom w:val="600"/>
                  <w:divBdr>
                    <w:top w:val="none" w:sz="0" w:space="0" w:color="auto"/>
                    <w:left w:val="none" w:sz="0" w:space="0" w:color="auto"/>
                    <w:bottom w:val="none" w:sz="0" w:space="0" w:color="auto"/>
                    <w:right w:val="none" w:sz="0" w:space="0" w:color="auto"/>
                  </w:divBdr>
                  <w:divsChild>
                    <w:div w:id="1358001286">
                      <w:marLeft w:val="0"/>
                      <w:marRight w:val="0"/>
                      <w:marTop w:val="0"/>
                      <w:marBottom w:val="0"/>
                      <w:divBdr>
                        <w:top w:val="none" w:sz="0" w:space="0" w:color="auto"/>
                        <w:left w:val="none" w:sz="0" w:space="0" w:color="auto"/>
                        <w:bottom w:val="none" w:sz="0" w:space="0" w:color="auto"/>
                        <w:right w:val="none" w:sz="0" w:space="0" w:color="auto"/>
                      </w:divBdr>
                      <w:divsChild>
                        <w:div w:id="1901818953">
                          <w:marLeft w:val="0"/>
                          <w:marRight w:val="0"/>
                          <w:marTop w:val="0"/>
                          <w:marBottom w:val="0"/>
                          <w:divBdr>
                            <w:top w:val="none" w:sz="0" w:space="0" w:color="auto"/>
                            <w:left w:val="none" w:sz="0" w:space="0" w:color="auto"/>
                            <w:bottom w:val="none" w:sz="0" w:space="0" w:color="auto"/>
                            <w:right w:val="none" w:sz="0" w:space="0" w:color="auto"/>
                          </w:divBdr>
                          <w:divsChild>
                            <w:div w:id="1208183414">
                              <w:marLeft w:val="0"/>
                              <w:marRight w:val="0"/>
                              <w:marTop w:val="0"/>
                              <w:marBottom w:val="0"/>
                              <w:divBdr>
                                <w:top w:val="none" w:sz="0" w:space="0" w:color="auto"/>
                                <w:left w:val="none" w:sz="0" w:space="0" w:color="auto"/>
                                <w:bottom w:val="none" w:sz="0" w:space="0" w:color="auto"/>
                                <w:right w:val="none" w:sz="0" w:space="0" w:color="auto"/>
                              </w:divBdr>
                              <w:divsChild>
                                <w:div w:id="835681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235617">
      <w:bodyDiv w:val="1"/>
      <w:marLeft w:val="0"/>
      <w:marRight w:val="0"/>
      <w:marTop w:val="0"/>
      <w:marBottom w:val="0"/>
      <w:divBdr>
        <w:top w:val="none" w:sz="0" w:space="0" w:color="auto"/>
        <w:left w:val="none" w:sz="0" w:space="0" w:color="auto"/>
        <w:bottom w:val="none" w:sz="0" w:space="0" w:color="auto"/>
        <w:right w:val="none" w:sz="0" w:space="0" w:color="auto"/>
      </w:divBdr>
      <w:divsChild>
        <w:div w:id="975068416">
          <w:marLeft w:val="0"/>
          <w:marRight w:val="0"/>
          <w:marTop w:val="0"/>
          <w:marBottom w:val="0"/>
          <w:divBdr>
            <w:top w:val="none" w:sz="0" w:space="0" w:color="auto"/>
            <w:left w:val="none" w:sz="0" w:space="0" w:color="auto"/>
            <w:bottom w:val="none" w:sz="0" w:space="0" w:color="auto"/>
            <w:right w:val="none" w:sz="0" w:space="0" w:color="auto"/>
          </w:divBdr>
        </w:div>
      </w:divsChild>
    </w:div>
    <w:div w:id="20859336">
      <w:bodyDiv w:val="1"/>
      <w:marLeft w:val="0"/>
      <w:marRight w:val="0"/>
      <w:marTop w:val="0"/>
      <w:marBottom w:val="0"/>
      <w:divBdr>
        <w:top w:val="none" w:sz="0" w:space="0" w:color="auto"/>
        <w:left w:val="none" w:sz="0" w:space="0" w:color="auto"/>
        <w:bottom w:val="none" w:sz="0" w:space="0" w:color="auto"/>
        <w:right w:val="none" w:sz="0" w:space="0" w:color="auto"/>
      </w:divBdr>
      <w:divsChild>
        <w:div w:id="1204516887">
          <w:marLeft w:val="0"/>
          <w:marRight w:val="0"/>
          <w:marTop w:val="0"/>
          <w:marBottom w:val="0"/>
          <w:divBdr>
            <w:top w:val="none" w:sz="0" w:space="0" w:color="auto"/>
            <w:left w:val="none" w:sz="0" w:space="0" w:color="auto"/>
            <w:bottom w:val="none" w:sz="0" w:space="0" w:color="auto"/>
            <w:right w:val="none" w:sz="0" w:space="0" w:color="auto"/>
          </w:divBdr>
          <w:divsChild>
            <w:div w:id="245503383">
              <w:marLeft w:val="0"/>
              <w:marRight w:val="0"/>
              <w:marTop w:val="0"/>
              <w:marBottom w:val="0"/>
              <w:divBdr>
                <w:top w:val="none" w:sz="0" w:space="0" w:color="auto"/>
                <w:left w:val="none" w:sz="0" w:space="0" w:color="auto"/>
                <w:bottom w:val="none" w:sz="0" w:space="0" w:color="auto"/>
                <w:right w:val="none" w:sz="0" w:space="0" w:color="auto"/>
              </w:divBdr>
              <w:divsChild>
                <w:div w:id="849300749">
                  <w:marLeft w:val="0"/>
                  <w:marRight w:val="0"/>
                  <w:marTop w:val="0"/>
                  <w:marBottom w:val="0"/>
                  <w:divBdr>
                    <w:top w:val="none" w:sz="0" w:space="0" w:color="auto"/>
                    <w:left w:val="none" w:sz="0" w:space="0" w:color="auto"/>
                    <w:bottom w:val="none" w:sz="0" w:space="0" w:color="auto"/>
                    <w:right w:val="none" w:sz="0" w:space="0" w:color="auto"/>
                  </w:divBdr>
                  <w:divsChild>
                    <w:div w:id="1096097719">
                      <w:marLeft w:val="-225"/>
                      <w:marRight w:val="-225"/>
                      <w:marTop w:val="100"/>
                      <w:marBottom w:val="0"/>
                      <w:divBdr>
                        <w:top w:val="none" w:sz="0" w:space="0" w:color="auto"/>
                        <w:left w:val="none" w:sz="0" w:space="0" w:color="auto"/>
                        <w:bottom w:val="none" w:sz="0" w:space="0" w:color="auto"/>
                        <w:right w:val="none" w:sz="0" w:space="0" w:color="auto"/>
                      </w:divBdr>
                      <w:divsChild>
                        <w:div w:id="1613130991">
                          <w:marLeft w:val="0"/>
                          <w:marRight w:val="0"/>
                          <w:marTop w:val="0"/>
                          <w:marBottom w:val="0"/>
                          <w:divBdr>
                            <w:top w:val="none" w:sz="0" w:space="0" w:color="auto"/>
                            <w:left w:val="none" w:sz="0" w:space="0" w:color="auto"/>
                            <w:bottom w:val="none" w:sz="0" w:space="0" w:color="auto"/>
                            <w:right w:val="none" w:sz="0" w:space="0" w:color="auto"/>
                          </w:divBdr>
                          <w:divsChild>
                            <w:div w:id="1111515789">
                              <w:marLeft w:val="-225"/>
                              <w:marRight w:val="-225"/>
                              <w:marTop w:val="0"/>
                              <w:marBottom w:val="0"/>
                              <w:divBdr>
                                <w:top w:val="none" w:sz="0" w:space="0" w:color="auto"/>
                                <w:left w:val="none" w:sz="0" w:space="0" w:color="auto"/>
                                <w:bottom w:val="none" w:sz="0" w:space="0" w:color="auto"/>
                                <w:right w:val="none" w:sz="0" w:space="0" w:color="auto"/>
                              </w:divBdr>
                              <w:divsChild>
                                <w:div w:id="1445735003">
                                  <w:marLeft w:val="0"/>
                                  <w:marRight w:val="0"/>
                                  <w:marTop w:val="0"/>
                                  <w:marBottom w:val="0"/>
                                  <w:divBdr>
                                    <w:top w:val="none" w:sz="0" w:space="0" w:color="auto"/>
                                    <w:left w:val="none" w:sz="0" w:space="0" w:color="auto"/>
                                    <w:bottom w:val="none" w:sz="0" w:space="0" w:color="auto"/>
                                    <w:right w:val="none" w:sz="0" w:space="0" w:color="auto"/>
                                  </w:divBdr>
                                  <w:divsChild>
                                    <w:div w:id="1239289062">
                                      <w:marLeft w:val="0"/>
                                      <w:marRight w:val="0"/>
                                      <w:marTop w:val="0"/>
                                      <w:marBottom w:val="0"/>
                                      <w:divBdr>
                                        <w:top w:val="none" w:sz="0" w:space="0" w:color="auto"/>
                                        <w:left w:val="none" w:sz="0" w:space="0" w:color="auto"/>
                                        <w:bottom w:val="none" w:sz="0" w:space="0" w:color="auto"/>
                                        <w:right w:val="none" w:sz="0" w:space="0" w:color="auto"/>
                                      </w:divBdr>
                                      <w:divsChild>
                                        <w:div w:id="1978562193">
                                          <w:marLeft w:val="0"/>
                                          <w:marRight w:val="0"/>
                                          <w:marTop w:val="0"/>
                                          <w:marBottom w:val="300"/>
                                          <w:divBdr>
                                            <w:top w:val="single" w:sz="6" w:space="11" w:color="E7E7E7"/>
                                            <w:left w:val="single" w:sz="6" w:space="11" w:color="E7E7E7"/>
                                            <w:bottom w:val="single" w:sz="6" w:space="11" w:color="E7E7E7"/>
                                            <w:right w:val="single" w:sz="6" w:space="11" w:color="E7E7E7"/>
                                          </w:divBdr>
                                          <w:divsChild>
                                            <w:div w:id="1838108644">
                                              <w:marLeft w:val="0"/>
                                              <w:marRight w:val="0"/>
                                              <w:marTop w:val="0"/>
                                              <w:marBottom w:val="0"/>
                                              <w:divBdr>
                                                <w:top w:val="none" w:sz="0" w:space="0" w:color="auto"/>
                                                <w:left w:val="none" w:sz="0" w:space="0" w:color="auto"/>
                                                <w:bottom w:val="none" w:sz="0" w:space="0" w:color="auto"/>
                                                <w:right w:val="none" w:sz="0" w:space="0" w:color="auto"/>
                                              </w:divBdr>
                                              <w:divsChild>
                                                <w:div w:id="143162056">
                                                  <w:marLeft w:val="0"/>
                                                  <w:marRight w:val="0"/>
                                                  <w:marTop w:val="0"/>
                                                  <w:marBottom w:val="0"/>
                                                  <w:divBdr>
                                                    <w:top w:val="none" w:sz="0" w:space="0" w:color="auto"/>
                                                    <w:left w:val="none" w:sz="0" w:space="0" w:color="auto"/>
                                                    <w:bottom w:val="none" w:sz="0" w:space="0" w:color="auto"/>
                                                    <w:right w:val="none" w:sz="0" w:space="0" w:color="auto"/>
                                                  </w:divBdr>
                                                  <w:divsChild>
                                                    <w:div w:id="133791203">
                                                      <w:marLeft w:val="0"/>
                                                      <w:marRight w:val="0"/>
                                                      <w:marTop w:val="0"/>
                                                      <w:marBottom w:val="0"/>
                                                      <w:divBdr>
                                                        <w:top w:val="none" w:sz="0" w:space="0" w:color="auto"/>
                                                        <w:left w:val="none" w:sz="0" w:space="0" w:color="auto"/>
                                                        <w:bottom w:val="none" w:sz="0" w:space="0" w:color="auto"/>
                                                        <w:right w:val="none" w:sz="0" w:space="0" w:color="auto"/>
                                                      </w:divBdr>
                                                      <w:divsChild>
                                                        <w:div w:id="2146972412">
                                                          <w:marLeft w:val="0"/>
                                                          <w:marRight w:val="0"/>
                                                          <w:marTop w:val="0"/>
                                                          <w:marBottom w:val="0"/>
                                                          <w:divBdr>
                                                            <w:top w:val="none" w:sz="0" w:space="0" w:color="auto"/>
                                                            <w:left w:val="none" w:sz="0" w:space="0" w:color="auto"/>
                                                            <w:bottom w:val="none" w:sz="0" w:space="0" w:color="auto"/>
                                                            <w:right w:val="none" w:sz="0" w:space="0" w:color="auto"/>
                                                          </w:divBdr>
                                                          <w:divsChild>
                                                            <w:div w:id="1604141844">
                                                              <w:marLeft w:val="0"/>
                                                              <w:marRight w:val="0"/>
                                                              <w:marTop w:val="0"/>
                                                              <w:marBottom w:val="0"/>
                                                              <w:divBdr>
                                                                <w:top w:val="none" w:sz="0" w:space="0" w:color="auto"/>
                                                                <w:left w:val="none" w:sz="0" w:space="0" w:color="auto"/>
                                                                <w:bottom w:val="none" w:sz="0" w:space="0" w:color="auto"/>
                                                                <w:right w:val="none" w:sz="0" w:space="0" w:color="auto"/>
                                                              </w:divBdr>
                                                              <w:divsChild>
                                                                <w:div w:id="1192113998">
                                                                  <w:marLeft w:val="0"/>
                                                                  <w:marRight w:val="0"/>
                                                                  <w:marTop w:val="0"/>
                                                                  <w:marBottom w:val="0"/>
                                                                  <w:divBdr>
                                                                    <w:top w:val="none" w:sz="0" w:space="0" w:color="auto"/>
                                                                    <w:left w:val="none" w:sz="0" w:space="0" w:color="auto"/>
                                                                    <w:bottom w:val="none" w:sz="0" w:space="0" w:color="auto"/>
                                                                    <w:right w:val="none" w:sz="0" w:space="0" w:color="auto"/>
                                                                  </w:divBdr>
                                                                </w:div>
                                                                <w:div w:id="1562405945">
                                                                  <w:marLeft w:val="0"/>
                                                                  <w:marRight w:val="0"/>
                                                                  <w:marTop w:val="0"/>
                                                                  <w:marBottom w:val="0"/>
                                                                  <w:divBdr>
                                                                    <w:top w:val="none" w:sz="0" w:space="0" w:color="auto"/>
                                                                    <w:left w:val="none" w:sz="0" w:space="0" w:color="auto"/>
                                                                    <w:bottom w:val="none" w:sz="0" w:space="0" w:color="auto"/>
                                                                    <w:right w:val="none" w:sz="0" w:space="0" w:color="auto"/>
                                                                  </w:divBdr>
                                                                  <w:divsChild>
                                                                    <w:div w:id="880021384">
                                                                      <w:marLeft w:val="0"/>
                                                                      <w:marRight w:val="0"/>
                                                                      <w:marTop w:val="0"/>
                                                                      <w:marBottom w:val="0"/>
                                                                      <w:divBdr>
                                                                        <w:top w:val="none" w:sz="0" w:space="0" w:color="auto"/>
                                                                        <w:left w:val="none" w:sz="0" w:space="0" w:color="auto"/>
                                                                        <w:bottom w:val="none" w:sz="0" w:space="0" w:color="auto"/>
                                                                        <w:right w:val="none" w:sz="0" w:space="0" w:color="auto"/>
                                                                      </w:divBdr>
                                                                    </w:div>
                                                                    <w:div w:id="1594781803">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1354114010">
                                                              <w:marLeft w:val="0"/>
                                                              <w:marRight w:val="0"/>
                                                              <w:marTop w:val="75"/>
                                                              <w:marBottom w:val="0"/>
                                                              <w:divBdr>
                                                                <w:top w:val="none" w:sz="0" w:space="0" w:color="auto"/>
                                                                <w:left w:val="none" w:sz="0" w:space="0" w:color="auto"/>
                                                                <w:bottom w:val="none" w:sz="0" w:space="0" w:color="auto"/>
                                                                <w:right w:val="none" w:sz="0" w:space="0" w:color="auto"/>
                                                              </w:divBdr>
                                                              <w:divsChild>
                                                                <w:div w:id="510535458">
                                                                  <w:marLeft w:val="0"/>
                                                                  <w:marRight w:val="0"/>
                                                                  <w:marTop w:val="0"/>
                                                                  <w:marBottom w:val="0"/>
                                                                  <w:divBdr>
                                                                    <w:top w:val="none" w:sz="0" w:space="0" w:color="auto"/>
                                                                    <w:left w:val="none" w:sz="0" w:space="0" w:color="auto"/>
                                                                    <w:bottom w:val="none" w:sz="0" w:space="0" w:color="auto"/>
                                                                    <w:right w:val="none" w:sz="0" w:space="0" w:color="auto"/>
                                                                  </w:divBdr>
                                                                  <w:divsChild>
                                                                    <w:div w:id="50034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3284345">
                                                          <w:marLeft w:val="0"/>
                                                          <w:marRight w:val="0"/>
                                                          <w:marTop w:val="0"/>
                                                          <w:marBottom w:val="0"/>
                                                          <w:divBdr>
                                                            <w:top w:val="none" w:sz="0" w:space="0" w:color="auto"/>
                                                            <w:left w:val="none" w:sz="0" w:space="0" w:color="auto"/>
                                                            <w:bottom w:val="none" w:sz="0" w:space="0" w:color="auto"/>
                                                            <w:right w:val="none" w:sz="0" w:space="0" w:color="auto"/>
                                                          </w:divBdr>
                                                          <w:divsChild>
                                                            <w:div w:id="209853492">
                                                              <w:marLeft w:val="0"/>
                                                              <w:marRight w:val="0"/>
                                                              <w:marTop w:val="0"/>
                                                              <w:marBottom w:val="0"/>
                                                              <w:divBdr>
                                                                <w:top w:val="none" w:sz="0" w:space="0" w:color="auto"/>
                                                                <w:left w:val="none" w:sz="0" w:space="0" w:color="auto"/>
                                                                <w:bottom w:val="none" w:sz="0" w:space="0" w:color="auto"/>
                                                                <w:right w:val="none" w:sz="0" w:space="0" w:color="auto"/>
                                                              </w:divBdr>
                                                            </w:div>
                                                            <w:div w:id="1641611556">
                                                              <w:marLeft w:val="0"/>
                                                              <w:marRight w:val="0"/>
                                                              <w:marTop w:val="0"/>
                                                              <w:marBottom w:val="0"/>
                                                              <w:divBdr>
                                                                <w:top w:val="none" w:sz="0" w:space="0" w:color="auto"/>
                                                                <w:left w:val="none" w:sz="0" w:space="0" w:color="auto"/>
                                                                <w:bottom w:val="none" w:sz="0" w:space="0" w:color="auto"/>
                                                                <w:right w:val="none" w:sz="0" w:space="0" w:color="auto"/>
                                                              </w:divBdr>
                                                              <w:divsChild>
                                                                <w:div w:id="1490631156">
                                                                  <w:marLeft w:val="0"/>
                                                                  <w:marRight w:val="0"/>
                                                                  <w:marTop w:val="0"/>
                                                                  <w:marBottom w:val="0"/>
                                                                  <w:divBdr>
                                                                    <w:top w:val="none" w:sz="0" w:space="0" w:color="auto"/>
                                                                    <w:left w:val="none" w:sz="0" w:space="0" w:color="auto"/>
                                                                    <w:bottom w:val="none" w:sz="0" w:space="0" w:color="auto"/>
                                                                    <w:right w:val="none" w:sz="0" w:space="0" w:color="auto"/>
                                                                  </w:divBdr>
                                                                  <w:divsChild>
                                                                    <w:div w:id="2130081623">
                                                                      <w:marLeft w:val="0"/>
                                                                      <w:marRight w:val="0"/>
                                                                      <w:marTop w:val="0"/>
                                                                      <w:marBottom w:val="0"/>
                                                                      <w:divBdr>
                                                                        <w:top w:val="none" w:sz="0" w:space="0" w:color="auto"/>
                                                                        <w:left w:val="none" w:sz="0" w:space="0" w:color="auto"/>
                                                                        <w:bottom w:val="none" w:sz="0" w:space="0" w:color="auto"/>
                                                                        <w:right w:val="none" w:sz="0" w:space="0" w:color="auto"/>
                                                                      </w:divBdr>
                                                                    </w:div>
                                                                    <w:div w:id="44958576">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1296638414">
                                                              <w:marLeft w:val="0"/>
                                                              <w:marRight w:val="0"/>
                                                              <w:marTop w:val="0"/>
                                                              <w:marBottom w:val="0"/>
                                                              <w:divBdr>
                                                                <w:top w:val="none" w:sz="0" w:space="0" w:color="auto"/>
                                                                <w:left w:val="none" w:sz="0" w:space="0" w:color="auto"/>
                                                                <w:bottom w:val="none" w:sz="0" w:space="0" w:color="auto"/>
                                                                <w:right w:val="none" w:sz="0" w:space="0" w:color="auto"/>
                                                              </w:divBdr>
                                                            </w:div>
                                                          </w:divsChild>
                                                        </w:div>
                                                        <w:div w:id="1195770957">
                                                          <w:marLeft w:val="0"/>
                                                          <w:marRight w:val="0"/>
                                                          <w:marTop w:val="0"/>
                                                          <w:marBottom w:val="0"/>
                                                          <w:divBdr>
                                                            <w:top w:val="none" w:sz="0" w:space="0" w:color="auto"/>
                                                            <w:left w:val="none" w:sz="0" w:space="0" w:color="auto"/>
                                                            <w:bottom w:val="none" w:sz="0" w:space="0" w:color="auto"/>
                                                            <w:right w:val="none" w:sz="0" w:space="0" w:color="auto"/>
                                                          </w:divBdr>
                                                          <w:divsChild>
                                                            <w:div w:id="480197161">
                                                              <w:marLeft w:val="0"/>
                                                              <w:marRight w:val="0"/>
                                                              <w:marTop w:val="75"/>
                                                              <w:marBottom w:val="0"/>
                                                              <w:divBdr>
                                                                <w:top w:val="none" w:sz="0" w:space="0" w:color="auto"/>
                                                                <w:left w:val="none" w:sz="0" w:space="0" w:color="auto"/>
                                                                <w:bottom w:val="none" w:sz="0" w:space="0" w:color="auto"/>
                                                                <w:right w:val="none" w:sz="0" w:space="0" w:color="auto"/>
                                                              </w:divBdr>
                                                              <w:divsChild>
                                                                <w:div w:id="518282080">
                                                                  <w:marLeft w:val="0"/>
                                                                  <w:marRight w:val="0"/>
                                                                  <w:marTop w:val="0"/>
                                                                  <w:marBottom w:val="0"/>
                                                                  <w:divBdr>
                                                                    <w:top w:val="none" w:sz="0" w:space="0" w:color="auto"/>
                                                                    <w:left w:val="none" w:sz="0" w:space="0" w:color="auto"/>
                                                                    <w:bottom w:val="none" w:sz="0" w:space="0" w:color="auto"/>
                                                                    <w:right w:val="none" w:sz="0" w:space="0" w:color="auto"/>
                                                                  </w:divBdr>
                                                                  <w:divsChild>
                                                                    <w:div w:id="2048142193">
                                                                      <w:marLeft w:val="0"/>
                                                                      <w:marRight w:val="0"/>
                                                                      <w:marTop w:val="0"/>
                                                                      <w:marBottom w:val="0"/>
                                                                      <w:divBdr>
                                                                        <w:top w:val="none" w:sz="0" w:space="0" w:color="auto"/>
                                                                        <w:left w:val="none" w:sz="0" w:space="0" w:color="auto"/>
                                                                        <w:bottom w:val="none" w:sz="0" w:space="0" w:color="auto"/>
                                                                        <w:right w:val="none" w:sz="0" w:space="0" w:color="auto"/>
                                                                      </w:divBdr>
                                                                      <w:divsChild>
                                                                        <w:div w:id="1610317006">
                                                                          <w:marLeft w:val="0"/>
                                                                          <w:marRight w:val="0"/>
                                                                          <w:marTop w:val="0"/>
                                                                          <w:marBottom w:val="0"/>
                                                                          <w:divBdr>
                                                                            <w:top w:val="none" w:sz="0" w:space="0" w:color="auto"/>
                                                                            <w:left w:val="none" w:sz="0" w:space="0" w:color="auto"/>
                                                                            <w:bottom w:val="none" w:sz="0" w:space="0" w:color="auto"/>
                                                                            <w:right w:val="none" w:sz="0" w:space="0" w:color="auto"/>
                                                                          </w:divBdr>
                                                                        </w:div>
                                                                        <w:div w:id="580603451">
                                                                          <w:marLeft w:val="0"/>
                                                                          <w:marRight w:val="0"/>
                                                                          <w:marTop w:val="0"/>
                                                                          <w:marBottom w:val="0"/>
                                                                          <w:divBdr>
                                                                            <w:top w:val="none" w:sz="0" w:space="0" w:color="auto"/>
                                                                            <w:left w:val="none" w:sz="0" w:space="0" w:color="auto"/>
                                                                            <w:bottom w:val="none" w:sz="0" w:space="0" w:color="auto"/>
                                                                            <w:right w:val="none" w:sz="0" w:space="0" w:color="auto"/>
                                                                          </w:divBdr>
                                                                          <w:divsChild>
                                                                            <w:div w:id="364791550">
                                                                              <w:marLeft w:val="0"/>
                                                                              <w:marRight w:val="0"/>
                                                                              <w:marTop w:val="0"/>
                                                                              <w:marBottom w:val="0"/>
                                                                              <w:divBdr>
                                                                                <w:top w:val="none" w:sz="0" w:space="0" w:color="auto"/>
                                                                                <w:left w:val="none" w:sz="0" w:space="0" w:color="auto"/>
                                                                                <w:bottom w:val="none" w:sz="0" w:space="0" w:color="auto"/>
                                                                                <w:right w:val="none" w:sz="0" w:space="0" w:color="auto"/>
                                                                              </w:divBdr>
                                                                            </w:div>
                                                                          </w:divsChild>
                                                                        </w:div>
                                                                        <w:div w:id="980578465">
                                                                          <w:marLeft w:val="0"/>
                                                                          <w:marRight w:val="0"/>
                                                                          <w:marTop w:val="0"/>
                                                                          <w:marBottom w:val="0"/>
                                                                          <w:divBdr>
                                                                            <w:top w:val="none" w:sz="0" w:space="0" w:color="auto"/>
                                                                            <w:left w:val="none" w:sz="0" w:space="0" w:color="auto"/>
                                                                            <w:bottom w:val="none" w:sz="0" w:space="0" w:color="auto"/>
                                                                            <w:right w:val="none" w:sz="0" w:space="0" w:color="auto"/>
                                                                          </w:divBdr>
                                                                        </w:div>
                                                                        <w:div w:id="369959561">
                                                                          <w:marLeft w:val="0"/>
                                                                          <w:marRight w:val="0"/>
                                                                          <w:marTop w:val="0"/>
                                                                          <w:marBottom w:val="0"/>
                                                                          <w:divBdr>
                                                                            <w:top w:val="none" w:sz="0" w:space="0" w:color="auto"/>
                                                                            <w:left w:val="none" w:sz="0" w:space="0" w:color="auto"/>
                                                                            <w:bottom w:val="none" w:sz="0" w:space="0" w:color="auto"/>
                                                                            <w:right w:val="none" w:sz="0" w:space="0" w:color="auto"/>
                                                                          </w:divBdr>
                                                                          <w:divsChild>
                                                                            <w:div w:id="1732116550">
                                                                              <w:marLeft w:val="0"/>
                                                                              <w:marRight w:val="0"/>
                                                                              <w:marTop w:val="0"/>
                                                                              <w:marBottom w:val="0"/>
                                                                              <w:divBdr>
                                                                                <w:top w:val="none" w:sz="0" w:space="0" w:color="auto"/>
                                                                                <w:left w:val="none" w:sz="0" w:space="0" w:color="auto"/>
                                                                                <w:bottom w:val="none" w:sz="0" w:space="0" w:color="auto"/>
                                                                                <w:right w:val="none" w:sz="0" w:space="0" w:color="auto"/>
                                                                              </w:divBdr>
                                                                            </w:div>
                                                                          </w:divsChild>
                                                                        </w:div>
                                                                        <w:div w:id="1954361573">
                                                                          <w:marLeft w:val="0"/>
                                                                          <w:marRight w:val="0"/>
                                                                          <w:marTop w:val="0"/>
                                                                          <w:marBottom w:val="0"/>
                                                                          <w:divBdr>
                                                                            <w:top w:val="none" w:sz="0" w:space="0" w:color="auto"/>
                                                                            <w:left w:val="none" w:sz="0" w:space="0" w:color="auto"/>
                                                                            <w:bottom w:val="none" w:sz="0" w:space="0" w:color="auto"/>
                                                                            <w:right w:val="none" w:sz="0" w:space="0" w:color="auto"/>
                                                                          </w:divBdr>
                                                                        </w:div>
                                                                        <w:div w:id="2005232099">
                                                                          <w:marLeft w:val="0"/>
                                                                          <w:marRight w:val="0"/>
                                                                          <w:marTop w:val="0"/>
                                                                          <w:marBottom w:val="0"/>
                                                                          <w:divBdr>
                                                                            <w:top w:val="none" w:sz="0" w:space="0" w:color="auto"/>
                                                                            <w:left w:val="none" w:sz="0" w:space="0" w:color="auto"/>
                                                                            <w:bottom w:val="none" w:sz="0" w:space="0" w:color="auto"/>
                                                                            <w:right w:val="none" w:sz="0" w:space="0" w:color="auto"/>
                                                                          </w:divBdr>
                                                                          <w:divsChild>
                                                                            <w:div w:id="1784423463">
                                                                              <w:marLeft w:val="0"/>
                                                                              <w:marRight w:val="0"/>
                                                                              <w:marTop w:val="0"/>
                                                                              <w:marBottom w:val="0"/>
                                                                              <w:divBdr>
                                                                                <w:top w:val="none" w:sz="0" w:space="0" w:color="auto"/>
                                                                                <w:left w:val="none" w:sz="0" w:space="0" w:color="auto"/>
                                                                                <w:bottom w:val="none" w:sz="0" w:space="0" w:color="auto"/>
                                                                                <w:right w:val="none" w:sz="0" w:space="0" w:color="auto"/>
                                                                              </w:divBdr>
                                                                            </w:div>
                                                                          </w:divsChild>
                                                                        </w:div>
                                                                        <w:div w:id="1117262224">
                                                                          <w:marLeft w:val="0"/>
                                                                          <w:marRight w:val="0"/>
                                                                          <w:marTop w:val="0"/>
                                                                          <w:marBottom w:val="0"/>
                                                                          <w:divBdr>
                                                                            <w:top w:val="none" w:sz="0" w:space="0" w:color="auto"/>
                                                                            <w:left w:val="none" w:sz="0" w:space="0" w:color="auto"/>
                                                                            <w:bottom w:val="none" w:sz="0" w:space="0" w:color="auto"/>
                                                                            <w:right w:val="none" w:sz="0" w:space="0" w:color="auto"/>
                                                                          </w:divBdr>
                                                                        </w:div>
                                                                        <w:div w:id="1344669000">
                                                                          <w:marLeft w:val="0"/>
                                                                          <w:marRight w:val="0"/>
                                                                          <w:marTop w:val="0"/>
                                                                          <w:marBottom w:val="0"/>
                                                                          <w:divBdr>
                                                                            <w:top w:val="none" w:sz="0" w:space="0" w:color="auto"/>
                                                                            <w:left w:val="none" w:sz="0" w:space="0" w:color="auto"/>
                                                                            <w:bottom w:val="none" w:sz="0" w:space="0" w:color="auto"/>
                                                                            <w:right w:val="none" w:sz="0" w:space="0" w:color="auto"/>
                                                                          </w:divBdr>
                                                                          <w:divsChild>
                                                                            <w:div w:id="1166559082">
                                                                              <w:marLeft w:val="0"/>
                                                                              <w:marRight w:val="0"/>
                                                                              <w:marTop w:val="0"/>
                                                                              <w:marBottom w:val="0"/>
                                                                              <w:divBdr>
                                                                                <w:top w:val="none" w:sz="0" w:space="0" w:color="auto"/>
                                                                                <w:left w:val="none" w:sz="0" w:space="0" w:color="auto"/>
                                                                                <w:bottom w:val="none" w:sz="0" w:space="0" w:color="auto"/>
                                                                                <w:right w:val="none" w:sz="0" w:space="0" w:color="auto"/>
                                                                              </w:divBdr>
                                                                            </w:div>
                                                                          </w:divsChild>
                                                                        </w:div>
                                                                        <w:div w:id="884681928">
                                                                          <w:marLeft w:val="0"/>
                                                                          <w:marRight w:val="0"/>
                                                                          <w:marTop w:val="0"/>
                                                                          <w:marBottom w:val="0"/>
                                                                          <w:divBdr>
                                                                            <w:top w:val="none" w:sz="0" w:space="0" w:color="auto"/>
                                                                            <w:left w:val="none" w:sz="0" w:space="0" w:color="auto"/>
                                                                            <w:bottom w:val="none" w:sz="0" w:space="0" w:color="auto"/>
                                                                            <w:right w:val="none" w:sz="0" w:space="0" w:color="auto"/>
                                                                          </w:divBdr>
                                                                          <w:divsChild>
                                                                            <w:div w:id="706835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523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92374727">
                                  <w:marLeft w:val="0"/>
                                  <w:marRight w:val="0"/>
                                  <w:marTop w:val="0"/>
                                  <w:marBottom w:val="0"/>
                                  <w:divBdr>
                                    <w:top w:val="none" w:sz="0" w:space="0" w:color="auto"/>
                                    <w:left w:val="none" w:sz="0" w:space="0" w:color="auto"/>
                                    <w:bottom w:val="none" w:sz="0" w:space="0" w:color="auto"/>
                                    <w:right w:val="none" w:sz="0" w:space="0" w:color="auto"/>
                                  </w:divBdr>
                                  <w:divsChild>
                                    <w:div w:id="626857490">
                                      <w:marLeft w:val="0"/>
                                      <w:marRight w:val="0"/>
                                      <w:marTop w:val="0"/>
                                      <w:marBottom w:val="0"/>
                                      <w:divBdr>
                                        <w:top w:val="none" w:sz="0" w:space="0" w:color="auto"/>
                                        <w:left w:val="none" w:sz="0" w:space="0" w:color="auto"/>
                                        <w:bottom w:val="none" w:sz="0" w:space="0" w:color="auto"/>
                                        <w:right w:val="none" w:sz="0" w:space="0" w:color="auto"/>
                                      </w:divBdr>
                                      <w:divsChild>
                                        <w:div w:id="1735156901">
                                          <w:marLeft w:val="0"/>
                                          <w:marRight w:val="0"/>
                                          <w:marTop w:val="0"/>
                                          <w:marBottom w:val="0"/>
                                          <w:divBdr>
                                            <w:top w:val="none" w:sz="0" w:space="0" w:color="auto"/>
                                            <w:left w:val="none" w:sz="0" w:space="0" w:color="auto"/>
                                            <w:bottom w:val="none" w:sz="0" w:space="0" w:color="auto"/>
                                            <w:right w:val="none" w:sz="0" w:space="0" w:color="auto"/>
                                          </w:divBdr>
                                          <w:divsChild>
                                            <w:div w:id="1596133853">
                                              <w:marLeft w:val="0"/>
                                              <w:marRight w:val="0"/>
                                              <w:marTop w:val="0"/>
                                              <w:marBottom w:val="0"/>
                                              <w:divBdr>
                                                <w:top w:val="none" w:sz="0" w:space="0" w:color="auto"/>
                                                <w:left w:val="none" w:sz="0" w:space="0" w:color="auto"/>
                                                <w:bottom w:val="none" w:sz="0" w:space="0" w:color="auto"/>
                                                <w:right w:val="none" w:sz="0" w:space="0" w:color="auto"/>
                                              </w:divBdr>
                                              <w:divsChild>
                                                <w:div w:id="935478426">
                                                  <w:marLeft w:val="0"/>
                                                  <w:marRight w:val="0"/>
                                                  <w:marTop w:val="0"/>
                                                  <w:marBottom w:val="0"/>
                                                  <w:divBdr>
                                                    <w:top w:val="none" w:sz="0" w:space="0" w:color="auto"/>
                                                    <w:left w:val="none" w:sz="0" w:space="0" w:color="auto"/>
                                                    <w:bottom w:val="none" w:sz="0" w:space="0" w:color="auto"/>
                                                    <w:right w:val="none" w:sz="0" w:space="0" w:color="auto"/>
                                                  </w:divBdr>
                                                  <w:divsChild>
                                                    <w:div w:id="1994602474">
                                                      <w:marLeft w:val="0"/>
                                                      <w:marRight w:val="0"/>
                                                      <w:marTop w:val="0"/>
                                                      <w:marBottom w:val="0"/>
                                                      <w:divBdr>
                                                        <w:top w:val="none" w:sz="0" w:space="0" w:color="auto"/>
                                                        <w:left w:val="none" w:sz="0" w:space="0" w:color="auto"/>
                                                        <w:bottom w:val="none" w:sz="0" w:space="0" w:color="auto"/>
                                                        <w:right w:val="none" w:sz="0" w:space="0" w:color="auto"/>
                                                      </w:divBdr>
                                                    </w:div>
                                                  </w:divsChild>
                                                </w:div>
                                                <w:div w:id="509754309">
                                                  <w:marLeft w:val="0"/>
                                                  <w:marRight w:val="0"/>
                                                  <w:marTop w:val="0"/>
                                                  <w:marBottom w:val="0"/>
                                                  <w:divBdr>
                                                    <w:top w:val="none" w:sz="0" w:space="0" w:color="auto"/>
                                                    <w:left w:val="none" w:sz="0" w:space="0" w:color="auto"/>
                                                    <w:bottom w:val="none" w:sz="0" w:space="0" w:color="auto"/>
                                                    <w:right w:val="none" w:sz="0" w:space="0" w:color="auto"/>
                                                  </w:divBdr>
                                                  <w:divsChild>
                                                    <w:div w:id="646132623">
                                                      <w:marLeft w:val="0"/>
                                                      <w:marRight w:val="0"/>
                                                      <w:marTop w:val="0"/>
                                                      <w:marBottom w:val="0"/>
                                                      <w:divBdr>
                                                        <w:top w:val="none" w:sz="0" w:space="0" w:color="auto"/>
                                                        <w:left w:val="none" w:sz="0" w:space="0" w:color="auto"/>
                                                        <w:bottom w:val="none" w:sz="0" w:space="0" w:color="auto"/>
                                                        <w:right w:val="none" w:sz="0" w:space="0" w:color="auto"/>
                                                      </w:divBdr>
                                                      <w:divsChild>
                                                        <w:div w:id="148053453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667246679">
                                                  <w:marLeft w:val="0"/>
                                                  <w:marRight w:val="0"/>
                                                  <w:marTop w:val="0"/>
                                                  <w:marBottom w:val="300"/>
                                                  <w:divBdr>
                                                    <w:top w:val="single" w:sz="6" w:space="0" w:color="E7E7E7"/>
                                                    <w:left w:val="single" w:sz="6" w:space="0" w:color="E7E7E7"/>
                                                    <w:bottom w:val="single" w:sz="6" w:space="0" w:color="E7E7E7"/>
                                                    <w:right w:val="single" w:sz="6" w:space="0" w:color="E7E7E7"/>
                                                  </w:divBdr>
                                                  <w:divsChild>
                                                    <w:div w:id="788278606">
                                                      <w:marLeft w:val="0"/>
                                                      <w:marRight w:val="0"/>
                                                      <w:marTop w:val="0"/>
                                                      <w:marBottom w:val="0"/>
                                                      <w:divBdr>
                                                        <w:top w:val="none" w:sz="0" w:space="0" w:color="auto"/>
                                                        <w:left w:val="none" w:sz="0" w:space="0" w:color="auto"/>
                                                        <w:bottom w:val="none" w:sz="0" w:space="0" w:color="auto"/>
                                                        <w:right w:val="none" w:sz="0" w:space="0" w:color="auto"/>
                                                      </w:divBdr>
                                                      <w:divsChild>
                                                        <w:div w:id="1549879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2749216">
                                                  <w:marLeft w:val="0"/>
                                                  <w:marRight w:val="0"/>
                                                  <w:marTop w:val="0"/>
                                                  <w:marBottom w:val="300"/>
                                                  <w:divBdr>
                                                    <w:top w:val="single" w:sz="6" w:space="0" w:color="E7E7E7"/>
                                                    <w:left w:val="single" w:sz="6" w:space="0" w:color="E7E7E7"/>
                                                    <w:bottom w:val="single" w:sz="6" w:space="0" w:color="E7E7E7"/>
                                                    <w:right w:val="single" w:sz="6" w:space="0" w:color="E7E7E7"/>
                                                  </w:divBdr>
                                                  <w:divsChild>
                                                    <w:div w:id="1090544811">
                                                      <w:marLeft w:val="0"/>
                                                      <w:marRight w:val="0"/>
                                                      <w:marTop w:val="0"/>
                                                      <w:marBottom w:val="0"/>
                                                      <w:divBdr>
                                                        <w:top w:val="none" w:sz="0" w:space="0" w:color="auto"/>
                                                        <w:left w:val="none" w:sz="0" w:space="0" w:color="auto"/>
                                                        <w:bottom w:val="none" w:sz="0" w:space="0" w:color="auto"/>
                                                        <w:right w:val="none" w:sz="0" w:space="0" w:color="auto"/>
                                                      </w:divBdr>
                                                      <w:divsChild>
                                                        <w:div w:id="460078359">
                                                          <w:marLeft w:val="0"/>
                                                          <w:marRight w:val="0"/>
                                                          <w:marTop w:val="0"/>
                                                          <w:marBottom w:val="0"/>
                                                          <w:divBdr>
                                                            <w:top w:val="none" w:sz="0" w:space="0" w:color="auto"/>
                                                            <w:left w:val="none" w:sz="0" w:space="0" w:color="auto"/>
                                                            <w:bottom w:val="none" w:sz="0" w:space="0" w:color="auto"/>
                                                            <w:right w:val="none" w:sz="0" w:space="0" w:color="auto"/>
                                                          </w:divBdr>
                                                        </w:div>
                                                      </w:divsChild>
                                                    </w:div>
                                                    <w:div w:id="71203840">
                                                      <w:marLeft w:val="0"/>
                                                      <w:marRight w:val="0"/>
                                                      <w:marTop w:val="0"/>
                                                      <w:marBottom w:val="0"/>
                                                      <w:divBdr>
                                                        <w:top w:val="none" w:sz="0" w:space="0" w:color="auto"/>
                                                        <w:left w:val="none" w:sz="0" w:space="0" w:color="auto"/>
                                                        <w:bottom w:val="none" w:sz="0" w:space="0" w:color="auto"/>
                                                        <w:right w:val="none" w:sz="0" w:space="0" w:color="auto"/>
                                                      </w:divBdr>
                                                      <w:divsChild>
                                                        <w:div w:id="1580287111">
                                                          <w:marLeft w:val="0"/>
                                                          <w:marRight w:val="0"/>
                                                          <w:marTop w:val="0"/>
                                                          <w:marBottom w:val="0"/>
                                                          <w:divBdr>
                                                            <w:top w:val="none" w:sz="0" w:space="0" w:color="auto"/>
                                                            <w:left w:val="none" w:sz="0" w:space="0" w:color="auto"/>
                                                            <w:bottom w:val="none" w:sz="0" w:space="0" w:color="auto"/>
                                                            <w:right w:val="none" w:sz="0" w:space="0" w:color="auto"/>
                                                          </w:divBdr>
                                                          <w:divsChild>
                                                            <w:div w:id="1198087227">
                                                              <w:marLeft w:val="0"/>
                                                              <w:marRight w:val="0"/>
                                                              <w:marTop w:val="0"/>
                                                              <w:marBottom w:val="0"/>
                                                              <w:divBdr>
                                                                <w:top w:val="none" w:sz="0" w:space="0" w:color="auto"/>
                                                                <w:left w:val="none" w:sz="0" w:space="0" w:color="auto"/>
                                                                <w:bottom w:val="none" w:sz="0" w:space="0" w:color="auto"/>
                                                                <w:right w:val="none" w:sz="0" w:space="0" w:color="auto"/>
                                                              </w:divBdr>
                                                              <w:divsChild>
                                                                <w:div w:id="498543844">
                                                                  <w:marLeft w:val="0"/>
                                                                  <w:marRight w:val="0"/>
                                                                  <w:marTop w:val="0"/>
                                                                  <w:marBottom w:val="0"/>
                                                                  <w:divBdr>
                                                                    <w:top w:val="none" w:sz="0" w:space="0" w:color="auto"/>
                                                                    <w:left w:val="none" w:sz="0" w:space="0" w:color="auto"/>
                                                                    <w:bottom w:val="none" w:sz="0" w:space="0" w:color="auto"/>
                                                                    <w:right w:val="none" w:sz="0" w:space="0" w:color="auto"/>
                                                                  </w:divBdr>
                                                                  <w:divsChild>
                                                                    <w:div w:id="1791513332">
                                                                      <w:marLeft w:val="0"/>
                                                                      <w:marRight w:val="0"/>
                                                                      <w:marTop w:val="0"/>
                                                                      <w:marBottom w:val="0"/>
                                                                      <w:divBdr>
                                                                        <w:top w:val="none" w:sz="0" w:space="0" w:color="auto"/>
                                                                        <w:left w:val="none" w:sz="0" w:space="0" w:color="auto"/>
                                                                        <w:bottom w:val="none" w:sz="0" w:space="0" w:color="auto"/>
                                                                        <w:right w:val="none" w:sz="0" w:space="0" w:color="auto"/>
                                                                      </w:divBdr>
                                                                      <w:divsChild>
                                                                        <w:div w:id="390159656">
                                                                          <w:marLeft w:val="0"/>
                                                                          <w:marRight w:val="-240"/>
                                                                          <w:marTop w:val="0"/>
                                                                          <w:marBottom w:val="0"/>
                                                                          <w:divBdr>
                                                                            <w:top w:val="none" w:sz="0" w:space="0" w:color="auto"/>
                                                                            <w:left w:val="none" w:sz="0" w:space="0" w:color="auto"/>
                                                                            <w:bottom w:val="none" w:sz="0" w:space="0" w:color="auto"/>
                                                                            <w:right w:val="none" w:sz="0" w:space="0" w:color="auto"/>
                                                                          </w:divBdr>
                                                                        </w:div>
                                                                      </w:divsChild>
                                                                    </w:div>
                                                                    <w:div w:id="202719633">
                                                                      <w:marLeft w:val="0"/>
                                                                      <w:marRight w:val="0"/>
                                                                      <w:marTop w:val="0"/>
                                                                      <w:marBottom w:val="0"/>
                                                                      <w:divBdr>
                                                                        <w:top w:val="none" w:sz="0" w:space="0" w:color="auto"/>
                                                                        <w:left w:val="none" w:sz="0" w:space="0" w:color="auto"/>
                                                                        <w:bottom w:val="none" w:sz="0" w:space="0" w:color="auto"/>
                                                                        <w:right w:val="none" w:sz="0" w:space="0" w:color="auto"/>
                                                                      </w:divBdr>
                                                                      <w:divsChild>
                                                                        <w:div w:id="1371422631">
                                                                          <w:marLeft w:val="0"/>
                                                                          <w:marRight w:val="-240"/>
                                                                          <w:marTop w:val="0"/>
                                                                          <w:marBottom w:val="0"/>
                                                                          <w:divBdr>
                                                                            <w:top w:val="none" w:sz="0" w:space="0" w:color="auto"/>
                                                                            <w:left w:val="none" w:sz="0" w:space="0" w:color="auto"/>
                                                                            <w:bottom w:val="none" w:sz="0" w:space="0" w:color="auto"/>
                                                                            <w:right w:val="none" w:sz="0" w:space="0" w:color="auto"/>
                                                                          </w:divBdr>
                                                                        </w:div>
                                                                      </w:divsChild>
                                                                    </w:div>
                                                                    <w:div w:id="152986819">
                                                                      <w:marLeft w:val="0"/>
                                                                      <w:marRight w:val="0"/>
                                                                      <w:marTop w:val="0"/>
                                                                      <w:marBottom w:val="0"/>
                                                                      <w:divBdr>
                                                                        <w:top w:val="none" w:sz="0" w:space="0" w:color="auto"/>
                                                                        <w:left w:val="none" w:sz="0" w:space="0" w:color="auto"/>
                                                                        <w:bottom w:val="none" w:sz="0" w:space="0" w:color="auto"/>
                                                                        <w:right w:val="none" w:sz="0" w:space="0" w:color="auto"/>
                                                                      </w:divBdr>
                                                                      <w:divsChild>
                                                                        <w:div w:id="1634023365">
                                                                          <w:marLeft w:val="0"/>
                                                                          <w:marRight w:val="-240"/>
                                                                          <w:marTop w:val="0"/>
                                                                          <w:marBottom w:val="0"/>
                                                                          <w:divBdr>
                                                                            <w:top w:val="none" w:sz="0" w:space="0" w:color="auto"/>
                                                                            <w:left w:val="none" w:sz="0" w:space="0" w:color="auto"/>
                                                                            <w:bottom w:val="none" w:sz="0" w:space="0" w:color="auto"/>
                                                                            <w:right w:val="none" w:sz="0" w:space="0" w:color="auto"/>
                                                                          </w:divBdr>
                                                                        </w:div>
                                                                      </w:divsChild>
                                                                    </w:div>
                                                                    <w:div w:id="1385179050">
                                                                      <w:marLeft w:val="0"/>
                                                                      <w:marRight w:val="0"/>
                                                                      <w:marTop w:val="0"/>
                                                                      <w:marBottom w:val="0"/>
                                                                      <w:divBdr>
                                                                        <w:top w:val="none" w:sz="0" w:space="0" w:color="auto"/>
                                                                        <w:left w:val="none" w:sz="0" w:space="0" w:color="auto"/>
                                                                        <w:bottom w:val="none" w:sz="0" w:space="0" w:color="auto"/>
                                                                        <w:right w:val="none" w:sz="0" w:space="0" w:color="auto"/>
                                                                      </w:divBdr>
                                                                      <w:divsChild>
                                                                        <w:div w:id="1176387624">
                                                                          <w:marLeft w:val="0"/>
                                                                          <w:marRight w:val="-240"/>
                                                                          <w:marTop w:val="0"/>
                                                                          <w:marBottom w:val="0"/>
                                                                          <w:divBdr>
                                                                            <w:top w:val="none" w:sz="0" w:space="0" w:color="auto"/>
                                                                            <w:left w:val="none" w:sz="0" w:space="0" w:color="auto"/>
                                                                            <w:bottom w:val="none" w:sz="0" w:space="0" w:color="auto"/>
                                                                            <w:right w:val="none" w:sz="0" w:space="0" w:color="auto"/>
                                                                          </w:divBdr>
                                                                        </w:div>
                                                                      </w:divsChild>
                                                                    </w:div>
                                                                    <w:div w:id="157573571">
                                                                      <w:marLeft w:val="0"/>
                                                                      <w:marRight w:val="0"/>
                                                                      <w:marTop w:val="0"/>
                                                                      <w:marBottom w:val="0"/>
                                                                      <w:divBdr>
                                                                        <w:top w:val="none" w:sz="0" w:space="0" w:color="auto"/>
                                                                        <w:left w:val="none" w:sz="0" w:space="0" w:color="auto"/>
                                                                        <w:bottom w:val="none" w:sz="0" w:space="0" w:color="auto"/>
                                                                        <w:right w:val="none" w:sz="0" w:space="0" w:color="auto"/>
                                                                      </w:divBdr>
                                                                      <w:divsChild>
                                                                        <w:div w:id="743454484">
                                                                          <w:marLeft w:val="0"/>
                                                                          <w:marRight w:val="-24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67206490">
                                                  <w:marLeft w:val="0"/>
                                                  <w:marRight w:val="0"/>
                                                  <w:marTop w:val="0"/>
                                                  <w:marBottom w:val="300"/>
                                                  <w:divBdr>
                                                    <w:top w:val="single" w:sz="6" w:space="0" w:color="E7E7E7"/>
                                                    <w:left w:val="single" w:sz="6" w:space="0" w:color="E7E7E7"/>
                                                    <w:bottom w:val="single" w:sz="6" w:space="0" w:color="E7E7E7"/>
                                                    <w:right w:val="single" w:sz="6" w:space="0" w:color="E7E7E7"/>
                                                  </w:divBdr>
                                                  <w:divsChild>
                                                    <w:div w:id="666590201">
                                                      <w:marLeft w:val="0"/>
                                                      <w:marRight w:val="0"/>
                                                      <w:marTop w:val="0"/>
                                                      <w:marBottom w:val="0"/>
                                                      <w:divBdr>
                                                        <w:top w:val="none" w:sz="0" w:space="0" w:color="auto"/>
                                                        <w:left w:val="none" w:sz="0" w:space="0" w:color="auto"/>
                                                        <w:bottom w:val="none" w:sz="0" w:space="0" w:color="auto"/>
                                                        <w:right w:val="none" w:sz="0" w:space="0" w:color="auto"/>
                                                      </w:divBdr>
                                                    </w:div>
                                                    <w:div w:id="1146631104">
                                                      <w:marLeft w:val="0"/>
                                                      <w:marRight w:val="0"/>
                                                      <w:marTop w:val="0"/>
                                                      <w:marBottom w:val="0"/>
                                                      <w:divBdr>
                                                        <w:top w:val="none" w:sz="0" w:space="0" w:color="auto"/>
                                                        <w:left w:val="none" w:sz="0" w:space="0" w:color="auto"/>
                                                        <w:bottom w:val="none" w:sz="0" w:space="0" w:color="auto"/>
                                                        <w:right w:val="none" w:sz="0" w:space="0" w:color="auto"/>
                                                      </w:divBdr>
                                                      <w:divsChild>
                                                        <w:div w:id="427890428">
                                                          <w:marLeft w:val="0"/>
                                                          <w:marRight w:val="0"/>
                                                          <w:marTop w:val="0"/>
                                                          <w:marBottom w:val="0"/>
                                                          <w:divBdr>
                                                            <w:top w:val="none" w:sz="0" w:space="0" w:color="auto"/>
                                                            <w:left w:val="none" w:sz="0" w:space="0" w:color="auto"/>
                                                            <w:bottom w:val="none" w:sz="0" w:space="0" w:color="auto"/>
                                                            <w:right w:val="none" w:sz="0" w:space="0" w:color="auto"/>
                                                          </w:divBdr>
                                                          <w:divsChild>
                                                            <w:div w:id="1528106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33390463">
      <w:bodyDiv w:val="1"/>
      <w:marLeft w:val="0"/>
      <w:marRight w:val="0"/>
      <w:marTop w:val="0"/>
      <w:marBottom w:val="0"/>
      <w:divBdr>
        <w:top w:val="none" w:sz="0" w:space="0" w:color="auto"/>
        <w:left w:val="none" w:sz="0" w:space="0" w:color="auto"/>
        <w:bottom w:val="none" w:sz="0" w:space="0" w:color="auto"/>
        <w:right w:val="none" w:sz="0" w:space="0" w:color="auto"/>
      </w:divBdr>
      <w:divsChild>
        <w:div w:id="1053894386">
          <w:marLeft w:val="0"/>
          <w:marRight w:val="0"/>
          <w:marTop w:val="180"/>
          <w:marBottom w:val="0"/>
          <w:divBdr>
            <w:top w:val="none" w:sz="0" w:space="0" w:color="auto"/>
            <w:left w:val="none" w:sz="0" w:space="0" w:color="auto"/>
            <w:bottom w:val="none" w:sz="0" w:space="0" w:color="auto"/>
            <w:right w:val="none" w:sz="0" w:space="0" w:color="auto"/>
          </w:divBdr>
          <w:divsChild>
            <w:div w:id="950358630">
              <w:marLeft w:val="0"/>
              <w:marRight w:val="0"/>
              <w:marTop w:val="0"/>
              <w:marBottom w:val="0"/>
              <w:divBdr>
                <w:top w:val="none" w:sz="0" w:space="0" w:color="auto"/>
                <w:left w:val="none" w:sz="0" w:space="0" w:color="auto"/>
                <w:bottom w:val="none" w:sz="0" w:space="0" w:color="auto"/>
                <w:right w:val="none" w:sz="0" w:space="0" w:color="auto"/>
              </w:divBdr>
              <w:divsChild>
                <w:div w:id="1699239136">
                  <w:marLeft w:val="0"/>
                  <w:marRight w:val="0"/>
                  <w:marTop w:val="0"/>
                  <w:marBottom w:val="0"/>
                  <w:divBdr>
                    <w:top w:val="none" w:sz="0" w:space="0" w:color="auto"/>
                    <w:left w:val="none" w:sz="0" w:space="0" w:color="auto"/>
                    <w:bottom w:val="none" w:sz="0" w:space="0" w:color="auto"/>
                    <w:right w:val="none" w:sz="0" w:space="0" w:color="auto"/>
                  </w:divBdr>
                  <w:divsChild>
                    <w:div w:id="2025129120">
                      <w:marLeft w:val="0"/>
                      <w:marRight w:val="0"/>
                      <w:marTop w:val="0"/>
                      <w:marBottom w:val="0"/>
                      <w:divBdr>
                        <w:top w:val="none" w:sz="0" w:space="0" w:color="auto"/>
                        <w:left w:val="none" w:sz="0" w:space="0" w:color="auto"/>
                        <w:bottom w:val="none" w:sz="0" w:space="0" w:color="auto"/>
                        <w:right w:val="none" w:sz="0" w:space="0" w:color="auto"/>
                      </w:divBdr>
                      <w:divsChild>
                        <w:div w:id="1131241685">
                          <w:marLeft w:val="0"/>
                          <w:marRight w:val="0"/>
                          <w:marTop w:val="0"/>
                          <w:marBottom w:val="0"/>
                          <w:divBdr>
                            <w:top w:val="none" w:sz="0" w:space="0" w:color="auto"/>
                            <w:left w:val="none" w:sz="0" w:space="0" w:color="auto"/>
                            <w:bottom w:val="none" w:sz="0" w:space="0" w:color="auto"/>
                            <w:right w:val="none" w:sz="0" w:space="0" w:color="auto"/>
                          </w:divBdr>
                          <w:divsChild>
                            <w:div w:id="1323776186">
                              <w:marLeft w:val="0"/>
                              <w:marRight w:val="0"/>
                              <w:marTop w:val="0"/>
                              <w:marBottom w:val="0"/>
                              <w:divBdr>
                                <w:top w:val="none" w:sz="0" w:space="0" w:color="auto"/>
                                <w:left w:val="none" w:sz="0" w:space="0" w:color="auto"/>
                                <w:bottom w:val="none" w:sz="0" w:space="0" w:color="auto"/>
                                <w:right w:val="none" w:sz="0" w:space="0" w:color="auto"/>
                              </w:divBdr>
                              <w:divsChild>
                                <w:div w:id="1617448334">
                                  <w:marLeft w:val="0"/>
                                  <w:marRight w:val="0"/>
                                  <w:marTop w:val="0"/>
                                  <w:marBottom w:val="0"/>
                                  <w:divBdr>
                                    <w:top w:val="none" w:sz="0" w:space="0" w:color="auto"/>
                                    <w:left w:val="none" w:sz="0" w:space="0" w:color="auto"/>
                                    <w:bottom w:val="none" w:sz="0" w:space="0" w:color="auto"/>
                                    <w:right w:val="none" w:sz="0" w:space="0" w:color="auto"/>
                                  </w:divBdr>
                                  <w:divsChild>
                                    <w:div w:id="1652250052">
                                      <w:marLeft w:val="0"/>
                                      <w:marRight w:val="0"/>
                                      <w:marTop w:val="0"/>
                                      <w:marBottom w:val="0"/>
                                      <w:divBdr>
                                        <w:top w:val="none" w:sz="0" w:space="0" w:color="auto"/>
                                        <w:left w:val="none" w:sz="0" w:space="0" w:color="auto"/>
                                        <w:bottom w:val="none" w:sz="0" w:space="0" w:color="auto"/>
                                        <w:right w:val="none" w:sz="0" w:space="0" w:color="auto"/>
                                      </w:divBdr>
                                      <w:divsChild>
                                        <w:div w:id="1510759106">
                                          <w:marLeft w:val="0"/>
                                          <w:marRight w:val="0"/>
                                          <w:marTop w:val="0"/>
                                          <w:marBottom w:val="0"/>
                                          <w:divBdr>
                                            <w:top w:val="none" w:sz="0" w:space="0" w:color="auto"/>
                                            <w:left w:val="none" w:sz="0" w:space="0" w:color="auto"/>
                                            <w:bottom w:val="none" w:sz="0" w:space="0" w:color="auto"/>
                                            <w:right w:val="none" w:sz="0" w:space="0" w:color="auto"/>
                                          </w:divBdr>
                                          <w:divsChild>
                                            <w:div w:id="1428967143">
                                              <w:marLeft w:val="0"/>
                                              <w:marRight w:val="0"/>
                                              <w:marTop w:val="0"/>
                                              <w:marBottom w:val="0"/>
                                              <w:divBdr>
                                                <w:top w:val="none" w:sz="0" w:space="0" w:color="auto"/>
                                                <w:left w:val="none" w:sz="0" w:space="0" w:color="auto"/>
                                                <w:bottom w:val="none" w:sz="0" w:space="0" w:color="auto"/>
                                                <w:right w:val="none" w:sz="0" w:space="0" w:color="auto"/>
                                              </w:divBdr>
                                              <w:divsChild>
                                                <w:div w:id="1058407126">
                                                  <w:marLeft w:val="0"/>
                                                  <w:marRight w:val="0"/>
                                                  <w:marTop w:val="0"/>
                                                  <w:marBottom w:val="0"/>
                                                  <w:divBdr>
                                                    <w:top w:val="none" w:sz="0" w:space="0" w:color="auto"/>
                                                    <w:left w:val="none" w:sz="0" w:space="0" w:color="auto"/>
                                                    <w:bottom w:val="none" w:sz="0" w:space="0" w:color="auto"/>
                                                    <w:right w:val="none" w:sz="0" w:space="0" w:color="auto"/>
                                                  </w:divBdr>
                                                  <w:divsChild>
                                                    <w:div w:id="1466973947">
                                                      <w:marLeft w:val="0"/>
                                                      <w:marRight w:val="0"/>
                                                      <w:marTop w:val="0"/>
                                                      <w:marBottom w:val="0"/>
                                                      <w:divBdr>
                                                        <w:top w:val="none" w:sz="0" w:space="0" w:color="auto"/>
                                                        <w:left w:val="none" w:sz="0" w:space="0" w:color="auto"/>
                                                        <w:bottom w:val="none" w:sz="0" w:space="0" w:color="auto"/>
                                                        <w:right w:val="none" w:sz="0" w:space="0" w:color="auto"/>
                                                      </w:divBdr>
                                                      <w:divsChild>
                                                        <w:div w:id="1928071911">
                                                          <w:marLeft w:val="0"/>
                                                          <w:marRight w:val="0"/>
                                                          <w:marTop w:val="0"/>
                                                          <w:marBottom w:val="0"/>
                                                          <w:divBdr>
                                                            <w:top w:val="none" w:sz="0" w:space="0" w:color="auto"/>
                                                            <w:left w:val="none" w:sz="0" w:space="0" w:color="auto"/>
                                                            <w:bottom w:val="none" w:sz="0" w:space="0" w:color="auto"/>
                                                            <w:right w:val="none" w:sz="0" w:space="0" w:color="auto"/>
                                                          </w:divBdr>
                                                          <w:divsChild>
                                                            <w:div w:id="315450204">
                                                              <w:marLeft w:val="0"/>
                                                              <w:marRight w:val="0"/>
                                                              <w:marTop w:val="0"/>
                                                              <w:marBottom w:val="0"/>
                                                              <w:divBdr>
                                                                <w:top w:val="none" w:sz="0" w:space="0" w:color="auto"/>
                                                                <w:left w:val="none" w:sz="0" w:space="0" w:color="auto"/>
                                                                <w:bottom w:val="none" w:sz="0" w:space="0" w:color="auto"/>
                                                                <w:right w:val="none" w:sz="0" w:space="0" w:color="auto"/>
                                                              </w:divBdr>
                                                              <w:divsChild>
                                                                <w:div w:id="620766124">
                                                                  <w:marLeft w:val="0"/>
                                                                  <w:marRight w:val="0"/>
                                                                  <w:marTop w:val="0"/>
                                                                  <w:marBottom w:val="0"/>
                                                                  <w:divBdr>
                                                                    <w:top w:val="none" w:sz="0" w:space="0" w:color="auto"/>
                                                                    <w:left w:val="none" w:sz="0" w:space="0" w:color="auto"/>
                                                                    <w:bottom w:val="none" w:sz="0" w:space="0" w:color="auto"/>
                                                                    <w:right w:val="none" w:sz="0" w:space="0" w:color="auto"/>
                                                                  </w:divBdr>
                                                                  <w:divsChild>
                                                                    <w:div w:id="710034888">
                                                                      <w:marLeft w:val="0"/>
                                                                      <w:marRight w:val="0"/>
                                                                      <w:marTop w:val="0"/>
                                                                      <w:marBottom w:val="0"/>
                                                                      <w:divBdr>
                                                                        <w:top w:val="none" w:sz="0" w:space="0" w:color="auto"/>
                                                                        <w:left w:val="none" w:sz="0" w:space="0" w:color="auto"/>
                                                                        <w:bottom w:val="none" w:sz="0" w:space="0" w:color="auto"/>
                                                                        <w:right w:val="none" w:sz="0" w:space="0" w:color="auto"/>
                                                                      </w:divBdr>
                                                                      <w:divsChild>
                                                                        <w:div w:id="1929532857">
                                                                          <w:marLeft w:val="60"/>
                                                                          <w:marRight w:val="60"/>
                                                                          <w:marTop w:val="0"/>
                                                                          <w:marBottom w:val="0"/>
                                                                          <w:divBdr>
                                                                            <w:top w:val="none" w:sz="0" w:space="0" w:color="auto"/>
                                                                            <w:left w:val="none" w:sz="0" w:space="0" w:color="auto"/>
                                                                            <w:bottom w:val="none" w:sz="0" w:space="0" w:color="auto"/>
                                                                            <w:right w:val="none" w:sz="0" w:space="0" w:color="auto"/>
                                                                          </w:divBdr>
                                                                          <w:divsChild>
                                                                            <w:div w:id="622419237">
                                                                              <w:marLeft w:val="0"/>
                                                                              <w:marRight w:val="0"/>
                                                                              <w:marTop w:val="0"/>
                                                                              <w:marBottom w:val="0"/>
                                                                              <w:divBdr>
                                                                                <w:top w:val="none" w:sz="0" w:space="0" w:color="auto"/>
                                                                                <w:left w:val="none" w:sz="0" w:space="0" w:color="auto"/>
                                                                                <w:bottom w:val="none" w:sz="0" w:space="0" w:color="auto"/>
                                                                                <w:right w:val="none" w:sz="0" w:space="0" w:color="auto"/>
                                                                              </w:divBdr>
                                                                              <w:divsChild>
                                                                                <w:div w:id="289824077">
                                                                                  <w:marLeft w:val="0"/>
                                                                                  <w:marRight w:val="0"/>
                                                                                  <w:marTop w:val="0"/>
                                                                                  <w:marBottom w:val="0"/>
                                                                                  <w:divBdr>
                                                                                    <w:top w:val="none" w:sz="0" w:space="0" w:color="auto"/>
                                                                                    <w:left w:val="none" w:sz="0" w:space="0" w:color="auto"/>
                                                                                    <w:bottom w:val="none" w:sz="0" w:space="0" w:color="auto"/>
                                                                                    <w:right w:val="none" w:sz="0" w:space="0" w:color="auto"/>
                                                                                  </w:divBdr>
                                                                                  <w:divsChild>
                                                                                    <w:div w:id="1878733327">
                                                                                      <w:marLeft w:val="0"/>
                                                                                      <w:marRight w:val="0"/>
                                                                                      <w:marTop w:val="0"/>
                                                                                      <w:marBottom w:val="0"/>
                                                                                      <w:divBdr>
                                                                                        <w:top w:val="none" w:sz="0" w:space="0" w:color="auto"/>
                                                                                        <w:left w:val="none" w:sz="0" w:space="0" w:color="auto"/>
                                                                                        <w:bottom w:val="none" w:sz="0" w:space="0" w:color="auto"/>
                                                                                        <w:right w:val="none" w:sz="0" w:space="0" w:color="auto"/>
                                                                                      </w:divBdr>
                                                                                      <w:divsChild>
                                                                                        <w:div w:id="204025121">
                                                                                          <w:marLeft w:val="0"/>
                                                                                          <w:marRight w:val="0"/>
                                                                                          <w:marTop w:val="0"/>
                                                                                          <w:marBottom w:val="0"/>
                                                                                          <w:divBdr>
                                                                                            <w:top w:val="none" w:sz="0" w:space="0" w:color="auto"/>
                                                                                            <w:left w:val="none" w:sz="0" w:space="0" w:color="auto"/>
                                                                                            <w:bottom w:val="none" w:sz="0" w:space="0" w:color="auto"/>
                                                                                            <w:right w:val="none" w:sz="0" w:space="0" w:color="auto"/>
                                                                                          </w:divBdr>
                                                                                          <w:divsChild>
                                                                                            <w:div w:id="1675037163">
                                                                                              <w:marLeft w:val="0"/>
                                                                                              <w:marRight w:val="0"/>
                                                                                              <w:marTop w:val="0"/>
                                                                                              <w:marBottom w:val="0"/>
                                                                                              <w:divBdr>
                                                                                                <w:top w:val="none" w:sz="0" w:space="0" w:color="auto"/>
                                                                                                <w:left w:val="none" w:sz="0" w:space="0" w:color="auto"/>
                                                                                                <w:bottom w:val="none" w:sz="0" w:space="0" w:color="auto"/>
                                                                                                <w:right w:val="none" w:sz="0" w:space="0" w:color="auto"/>
                                                                                              </w:divBdr>
                                                                                              <w:divsChild>
                                                                                                <w:div w:id="1768961884">
                                                                                                  <w:marLeft w:val="0"/>
                                                                                                  <w:marRight w:val="0"/>
                                                                                                  <w:marTop w:val="0"/>
                                                                                                  <w:marBottom w:val="0"/>
                                                                                                  <w:divBdr>
                                                                                                    <w:top w:val="none" w:sz="0" w:space="0" w:color="auto"/>
                                                                                                    <w:left w:val="none" w:sz="0" w:space="0" w:color="auto"/>
                                                                                                    <w:bottom w:val="none" w:sz="0" w:space="0" w:color="auto"/>
                                                                                                    <w:right w:val="none" w:sz="0" w:space="0" w:color="auto"/>
                                                                                                  </w:divBdr>
                                                                                                  <w:divsChild>
                                                                                                    <w:div w:id="393553041">
                                                                                                      <w:marLeft w:val="0"/>
                                                                                                      <w:marRight w:val="0"/>
                                                                                                      <w:marTop w:val="0"/>
                                                                                                      <w:marBottom w:val="0"/>
                                                                                                      <w:divBdr>
                                                                                                        <w:top w:val="none" w:sz="0" w:space="0" w:color="auto"/>
                                                                                                        <w:left w:val="none" w:sz="0" w:space="0" w:color="auto"/>
                                                                                                        <w:bottom w:val="none" w:sz="0" w:space="0" w:color="auto"/>
                                                                                                        <w:right w:val="none" w:sz="0" w:space="0" w:color="auto"/>
                                                                                                      </w:divBdr>
                                                                                                      <w:divsChild>
                                                                                                        <w:div w:id="599794744">
                                                                                                          <w:marLeft w:val="0"/>
                                                                                                          <w:marRight w:val="0"/>
                                                                                                          <w:marTop w:val="0"/>
                                                                                                          <w:marBottom w:val="0"/>
                                                                                                          <w:divBdr>
                                                                                                            <w:top w:val="none" w:sz="0" w:space="0" w:color="auto"/>
                                                                                                            <w:left w:val="none" w:sz="0" w:space="0" w:color="auto"/>
                                                                                                            <w:bottom w:val="none" w:sz="0" w:space="0" w:color="auto"/>
                                                                                                            <w:right w:val="none" w:sz="0" w:space="0" w:color="auto"/>
                                                                                                          </w:divBdr>
                                                                                                          <w:divsChild>
                                                                                                            <w:div w:id="506485805">
                                                                                                              <w:marLeft w:val="0"/>
                                                                                                              <w:marRight w:val="0"/>
                                                                                                              <w:marTop w:val="75"/>
                                                                                                              <w:marBottom w:val="0"/>
                                                                                                              <w:divBdr>
                                                                                                                <w:top w:val="none" w:sz="0" w:space="0" w:color="auto"/>
                                                                                                                <w:left w:val="none" w:sz="0" w:space="0" w:color="auto"/>
                                                                                                                <w:bottom w:val="none" w:sz="0" w:space="0" w:color="auto"/>
                                                                                                                <w:right w:val="none" w:sz="0" w:space="0" w:color="auto"/>
                                                                                                              </w:divBdr>
                                                                                                              <w:divsChild>
                                                                                                                <w:div w:id="641348727">
                                                                                                                  <w:marLeft w:val="0"/>
                                                                                                                  <w:marRight w:val="0"/>
                                                                                                                  <w:marTop w:val="0"/>
                                                                                                                  <w:marBottom w:val="0"/>
                                                                                                                  <w:divBdr>
                                                                                                                    <w:top w:val="none" w:sz="0" w:space="0" w:color="auto"/>
                                                                                                                    <w:left w:val="none" w:sz="0" w:space="0" w:color="auto"/>
                                                                                                                    <w:bottom w:val="none" w:sz="0" w:space="0" w:color="auto"/>
                                                                                                                    <w:right w:val="none" w:sz="0" w:space="0" w:color="auto"/>
                                                                                                                  </w:divBdr>
                                                                                                                </w:div>
                                                                                                                <w:div w:id="1210459796">
                                                                                                                  <w:marLeft w:val="0"/>
                                                                                                                  <w:marRight w:val="0"/>
                                                                                                                  <w:marTop w:val="0"/>
                                                                                                                  <w:marBottom w:val="0"/>
                                                                                                                  <w:divBdr>
                                                                                                                    <w:top w:val="none" w:sz="0" w:space="0" w:color="auto"/>
                                                                                                                    <w:left w:val="none" w:sz="0" w:space="0" w:color="auto"/>
                                                                                                                    <w:bottom w:val="none" w:sz="0" w:space="0" w:color="auto"/>
                                                                                                                    <w:right w:val="none" w:sz="0" w:space="0" w:color="auto"/>
                                                                                                                  </w:divBdr>
                                                                                                                </w:div>
                                                                                                              </w:divsChild>
                                                                                                            </w:div>
                                                                                                            <w:div w:id="899248292">
                                                                                                              <w:marLeft w:val="0"/>
                                                                                                              <w:marRight w:val="0"/>
                                                                                                              <w:marTop w:val="0"/>
                                                                                                              <w:marBottom w:val="150"/>
                                                                                                              <w:divBdr>
                                                                                                                <w:top w:val="none" w:sz="0" w:space="0" w:color="auto"/>
                                                                                                                <w:left w:val="none" w:sz="0" w:space="0" w:color="auto"/>
                                                                                                                <w:bottom w:val="single" w:sz="6" w:space="0" w:color="CCCCCC"/>
                                                                                                                <w:right w:val="none" w:sz="0" w:space="0" w:color="auto"/>
                                                                                                              </w:divBdr>
                                                                                                              <w:divsChild>
                                                                                                                <w:div w:id="1427574383">
                                                                                                                  <w:marLeft w:val="300"/>
                                                                                                                  <w:marRight w:val="0"/>
                                                                                                                  <w:marTop w:val="0"/>
                                                                                                                  <w:marBottom w:val="450"/>
                                                                                                                  <w:divBdr>
                                                                                                                    <w:top w:val="none" w:sz="0" w:space="0" w:color="auto"/>
                                                                                                                    <w:left w:val="none" w:sz="0" w:space="0" w:color="auto"/>
                                                                                                                    <w:bottom w:val="none" w:sz="0" w:space="0" w:color="auto"/>
                                                                                                                    <w:right w:val="none" w:sz="0" w:space="0" w:color="auto"/>
                                                                                                                  </w:divBdr>
                                                                                                                </w:div>
                                                                                                              </w:divsChild>
                                                                                                            </w:div>
                                                                                                            <w:div w:id="1743403777">
                                                                                                              <w:marLeft w:val="0"/>
                                                                                                              <w:marRight w:val="0"/>
                                                                                                              <w:marTop w:val="0"/>
                                                                                                              <w:marBottom w:val="0"/>
                                                                                                              <w:divBdr>
                                                                                                                <w:top w:val="none" w:sz="0" w:space="0" w:color="auto"/>
                                                                                                                <w:left w:val="none" w:sz="0" w:space="0" w:color="auto"/>
                                                                                                                <w:bottom w:val="none" w:sz="0" w:space="0" w:color="auto"/>
                                                                                                                <w:right w:val="none" w:sz="0" w:space="0" w:color="auto"/>
                                                                                                              </w:divBdr>
                                                                                                              <w:divsChild>
                                                                                                                <w:div w:id="1577088816">
                                                                                                                  <w:marLeft w:val="0"/>
                                                                                                                  <w:marRight w:val="0"/>
                                                                                                                  <w:marTop w:val="0"/>
                                                                                                                  <w:marBottom w:val="0"/>
                                                                                                                  <w:divBdr>
                                                                                                                    <w:top w:val="none" w:sz="0" w:space="0" w:color="auto"/>
                                                                                                                    <w:left w:val="none" w:sz="0" w:space="0" w:color="auto"/>
                                                                                                                    <w:bottom w:val="none" w:sz="0" w:space="0" w:color="auto"/>
                                                                                                                    <w:right w:val="none" w:sz="0" w:space="0" w:color="auto"/>
                                                                                                                  </w:divBdr>
                                                                                                                  <w:divsChild>
                                                                                                                    <w:div w:id="1745301226">
                                                                                                                      <w:marLeft w:val="0"/>
                                                                                                                      <w:marRight w:val="0"/>
                                                                                                                      <w:marTop w:val="0"/>
                                                                                                                      <w:marBottom w:val="0"/>
                                                                                                                      <w:divBdr>
                                                                                                                        <w:top w:val="none" w:sz="0" w:space="0" w:color="auto"/>
                                                                                                                        <w:left w:val="none" w:sz="0" w:space="0" w:color="auto"/>
                                                                                                                        <w:bottom w:val="none" w:sz="0" w:space="0" w:color="auto"/>
                                                                                                                        <w:right w:val="none" w:sz="0" w:space="0" w:color="auto"/>
                                                                                                                      </w:divBdr>
                                                                                                                    </w:div>
                                                                                                                  </w:divsChild>
                                                                                                                </w:div>
                                                                                                                <w:div w:id="1025211670">
                                                                                                                  <w:marLeft w:val="0"/>
                                                                                                                  <w:marRight w:val="0"/>
                                                                                                                  <w:marTop w:val="0"/>
                                                                                                                  <w:marBottom w:val="0"/>
                                                                                                                  <w:divBdr>
                                                                                                                    <w:top w:val="none" w:sz="0" w:space="0" w:color="auto"/>
                                                                                                                    <w:left w:val="none" w:sz="0" w:space="0" w:color="auto"/>
                                                                                                                    <w:bottom w:val="none" w:sz="0" w:space="0" w:color="auto"/>
                                                                                                                    <w:right w:val="none" w:sz="0" w:space="0" w:color="auto"/>
                                                                                                                  </w:divBdr>
                                                                                                                  <w:divsChild>
                                                                                                                    <w:div w:id="197280667">
                                                                                                                      <w:marLeft w:val="0"/>
                                                                                                                      <w:marRight w:val="0"/>
                                                                                                                      <w:marTop w:val="0"/>
                                                                                                                      <w:marBottom w:val="0"/>
                                                                                                                      <w:divBdr>
                                                                                                                        <w:top w:val="none" w:sz="0" w:space="0" w:color="auto"/>
                                                                                                                        <w:left w:val="none" w:sz="0" w:space="0" w:color="auto"/>
                                                                                                                        <w:bottom w:val="none" w:sz="0" w:space="0" w:color="auto"/>
                                                                                                                        <w:right w:val="none" w:sz="0" w:space="0" w:color="auto"/>
                                                                                                                      </w:divBdr>
                                                                                                                    </w:div>
                                                                                                                  </w:divsChild>
                                                                                                                </w:div>
                                                                                                                <w:div w:id="575820741">
                                                                                                                  <w:marLeft w:val="0"/>
                                                                                                                  <w:marRight w:val="0"/>
                                                                                                                  <w:marTop w:val="0"/>
                                                                                                                  <w:marBottom w:val="0"/>
                                                                                                                  <w:divBdr>
                                                                                                                    <w:top w:val="none" w:sz="0" w:space="0" w:color="auto"/>
                                                                                                                    <w:left w:val="none" w:sz="0" w:space="0" w:color="auto"/>
                                                                                                                    <w:bottom w:val="none" w:sz="0" w:space="0" w:color="auto"/>
                                                                                                                    <w:right w:val="none" w:sz="0" w:space="0" w:color="auto"/>
                                                                                                                  </w:divBdr>
                                                                                                                  <w:divsChild>
                                                                                                                    <w:div w:id="1575243465">
                                                                                                                      <w:marLeft w:val="0"/>
                                                                                                                      <w:marRight w:val="0"/>
                                                                                                                      <w:marTop w:val="0"/>
                                                                                                                      <w:marBottom w:val="0"/>
                                                                                                                      <w:divBdr>
                                                                                                                        <w:top w:val="none" w:sz="0" w:space="0" w:color="auto"/>
                                                                                                                        <w:left w:val="none" w:sz="0" w:space="0" w:color="auto"/>
                                                                                                                        <w:bottom w:val="none" w:sz="0" w:space="0" w:color="auto"/>
                                                                                                                        <w:right w:val="none" w:sz="0" w:space="0" w:color="auto"/>
                                                                                                                      </w:divBdr>
                                                                                                                    </w:div>
                                                                                                                    <w:div w:id="251932446">
                                                                                                                      <w:marLeft w:val="0"/>
                                                                                                                      <w:marRight w:val="0"/>
                                                                                                                      <w:marTop w:val="0"/>
                                                                                                                      <w:marBottom w:val="0"/>
                                                                                                                      <w:divBdr>
                                                                                                                        <w:top w:val="none" w:sz="0" w:space="0" w:color="auto"/>
                                                                                                                        <w:left w:val="none" w:sz="0" w:space="0" w:color="auto"/>
                                                                                                                        <w:bottom w:val="none" w:sz="0" w:space="0" w:color="auto"/>
                                                                                                                        <w:right w:val="none" w:sz="0" w:space="0" w:color="auto"/>
                                                                                                                      </w:divBdr>
                                                                                                                      <w:divsChild>
                                                                                                                        <w:div w:id="243415965">
                                                                                                                          <w:marLeft w:val="300"/>
                                                                                                                          <w:marRight w:val="0"/>
                                                                                                                          <w:marTop w:val="0"/>
                                                                                                                          <w:marBottom w:val="0"/>
                                                                                                                          <w:divBdr>
                                                                                                                            <w:top w:val="none" w:sz="0" w:space="0" w:color="auto"/>
                                                                                                                            <w:left w:val="none" w:sz="0" w:space="0" w:color="auto"/>
                                                                                                                            <w:bottom w:val="none" w:sz="0" w:space="0" w:color="auto"/>
                                                                                                                            <w:right w:val="none" w:sz="0" w:space="0" w:color="auto"/>
                                                                                                                          </w:divBdr>
                                                                                                                        </w:div>
                                                                                                                      </w:divsChild>
                                                                                                                    </w:div>
                                                                                                                    <w:div w:id="1341618355">
                                                                                                                      <w:marLeft w:val="0"/>
                                                                                                                      <w:marRight w:val="0"/>
                                                                                                                      <w:marTop w:val="0"/>
                                                                                                                      <w:marBottom w:val="0"/>
                                                                                                                      <w:divBdr>
                                                                                                                        <w:top w:val="none" w:sz="0" w:space="0" w:color="auto"/>
                                                                                                                        <w:left w:val="none" w:sz="0" w:space="0" w:color="auto"/>
                                                                                                                        <w:bottom w:val="none" w:sz="0" w:space="0" w:color="auto"/>
                                                                                                                        <w:right w:val="none" w:sz="0" w:space="0" w:color="auto"/>
                                                                                                                      </w:divBdr>
                                                                                                                      <w:divsChild>
                                                                                                                        <w:div w:id="382683683">
                                                                                                                          <w:marLeft w:val="300"/>
                                                                                                                          <w:marRight w:val="0"/>
                                                                                                                          <w:marTop w:val="0"/>
                                                                                                                          <w:marBottom w:val="0"/>
                                                                                                                          <w:divBdr>
                                                                                                                            <w:top w:val="none" w:sz="0" w:space="0" w:color="auto"/>
                                                                                                                            <w:left w:val="none" w:sz="0" w:space="0" w:color="auto"/>
                                                                                                                            <w:bottom w:val="none" w:sz="0" w:space="0" w:color="auto"/>
                                                                                                                            <w:right w:val="none" w:sz="0" w:space="0" w:color="auto"/>
                                                                                                                          </w:divBdr>
                                                                                                                        </w:div>
                                                                                                                        <w:div w:id="812718429">
                                                                                                                          <w:marLeft w:val="0"/>
                                                                                                                          <w:marRight w:val="0"/>
                                                                                                                          <w:marTop w:val="0"/>
                                                                                                                          <w:marBottom w:val="0"/>
                                                                                                                          <w:divBdr>
                                                                                                                            <w:top w:val="none" w:sz="0" w:space="0" w:color="auto"/>
                                                                                                                            <w:left w:val="none" w:sz="0" w:space="0" w:color="auto"/>
                                                                                                                            <w:bottom w:val="none" w:sz="0" w:space="0" w:color="auto"/>
                                                                                                                            <w:right w:val="none" w:sz="0" w:space="0" w:color="auto"/>
                                                                                                                          </w:divBdr>
                                                                                                                        </w:div>
                                                                                                                        <w:div w:id="367921594">
                                                                                                                          <w:marLeft w:val="0"/>
                                                                                                                          <w:marRight w:val="0"/>
                                                                                                                          <w:marTop w:val="0"/>
                                                                                                                          <w:marBottom w:val="0"/>
                                                                                                                          <w:divBdr>
                                                                                                                            <w:top w:val="none" w:sz="0" w:space="0" w:color="auto"/>
                                                                                                                            <w:left w:val="none" w:sz="0" w:space="0" w:color="auto"/>
                                                                                                                            <w:bottom w:val="none" w:sz="0" w:space="0" w:color="auto"/>
                                                                                                                            <w:right w:val="none" w:sz="0" w:space="0" w:color="auto"/>
                                                                                                                          </w:divBdr>
                                                                                                                        </w:div>
                                                                                                                        <w:div w:id="1632436483">
                                                                                                                          <w:marLeft w:val="375"/>
                                                                                                                          <w:marRight w:val="375"/>
                                                                                                                          <w:marTop w:val="0"/>
                                                                                                                          <w:marBottom w:val="0"/>
                                                                                                                          <w:divBdr>
                                                                                                                            <w:top w:val="none" w:sz="0" w:space="0" w:color="auto"/>
                                                                                                                            <w:left w:val="none" w:sz="0" w:space="0" w:color="auto"/>
                                                                                                                            <w:bottom w:val="none" w:sz="0" w:space="0" w:color="auto"/>
                                                                                                                            <w:right w:val="none" w:sz="0" w:space="0" w:color="auto"/>
                                                                                                                          </w:divBdr>
                                                                                                                          <w:divsChild>
                                                                                                                            <w:div w:id="1642618590">
                                                                                                                              <w:marLeft w:val="0"/>
                                                                                                                              <w:marRight w:val="0"/>
                                                                                                                              <w:marTop w:val="0"/>
                                                                                                                              <w:marBottom w:val="0"/>
                                                                                                                              <w:divBdr>
                                                                                                                                <w:top w:val="none" w:sz="0" w:space="0" w:color="auto"/>
                                                                                                                                <w:left w:val="none" w:sz="0" w:space="0" w:color="auto"/>
                                                                                                                                <w:bottom w:val="none" w:sz="0" w:space="0" w:color="auto"/>
                                                                                                                                <w:right w:val="none" w:sz="0" w:space="0" w:color="auto"/>
                                                                                                                              </w:divBdr>
                                                                                                                            </w:div>
                                                                                                                            <w:div w:id="188838872">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712968974">
                                                                                                                  <w:marLeft w:val="0"/>
                                                                                                                  <w:marRight w:val="0"/>
                                                                                                                  <w:marTop w:val="0"/>
                                                                                                                  <w:marBottom w:val="0"/>
                                                                                                                  <w:divBdr>
                                                                                                                    <w:top w:val="none" w:sz="0" w:space="0" w:color="auto"/>
                                                                                                                    <w:left w:val="none" w:sz="0" w:space="0" w:color="auto"/>
                                                                                                                    <w:bottom w:val="none" w:sz="0" w:space="0" w:color="auto"/>
                                                                                                                    <w:right w:val="none" w:sz="0" w:space="0" w:color="auto"/>
                                                                                                                  </w:divBdr>
                                                                                                                  <w:divsChild>
                                                                                                                    <w:div w:id="1507402079">
                                                                                                                      <w:marLeft w:val="0"/>
                                                                                                                      <w:marRight w:val="0"/>
                                                                                                                      <w:marTop w:val="0"/>
                                                                                                                      <w:marBottom w:val="0"/>
                                                                                                                      <w:divBdr>
                                                                                                                        <w:top w:val="none" w:sz="0" w:space="0" w:color="auto"/>
                                                                                                                        <w:left w:val="none" w:sz="0" w:space="0" w:color="auto"/>
                                                                                                                        <w:bottom w:val="none" w:sz="0" w:space="0" w:color="auto"/>
                                                                                                                        <w:right w:val="none" w:sz="0" w:space="0" w:color="auto"/>
                                                                                                                      </w:divBdr>
                                                                                                                    </w:div>
                                                                                                                    <w:div w:id="946497908">
                                                                                                                      <w:marLeft w:val="0"/>
                                                                                                                      <w:marRight w:val="0"/>
                                                                                                                      <w:marTop w:val="0"/>
                                                                                                                      <w:marBottom w:val="0"/>
                                                                                                                      <w:divBdr>
                                                                                                                        <w:top w:val="none" w:sz="0" w:space="0" w:color="auto"/>
                                                                                                                        <w:left w:val="none" w:sz="0" w:space="0" w:color="auto"/>
                                                                                                                        <w:bottom w:val="none" w:sz="0" w:space="0" w:color="auto"/>
                                                                                                                        <w:right w:val="none" w:sz="0" w:space="0" w:color="auto"/>
                                                                                                                      </w:divBdr>
                                                                                                                    </w:div>
                                                                                                                    <w:div w:id="486752615">
                                                                                                                      <w:marLeft w:val="0"/>
                                                                                                                      <w:marRight w:val="0"/>
                                                                                                                      <w:marTop w:val="0"/>
                                                                                                                      <w:marBottom w:val="0"/>
                                                                                                                      <w:divBdr>
                                                                                                                        <w:top w:val="none" w:sz="0" w:space="0" w:color="auto"/>
                                                                                                                        <w:left w:val="none" w:sz="0" w:space="0" w:color="auto"/>
                                                                                                                        <w:bottom w:val="none" w:sz="0" w:space="0" w:color="auto"/>
                                                                                                                        <w:right w:val="none" w:sz="0" w:space="0" w:color="auto"/>
                                                                                                                      </w:divBdr>
                                                                                                                    </w:div>
                                                                                                                    <w:div w:id="260259101">
                                                                                                                      <w:marLeft w:val="375"/>
                                                                                                                      <w:marRight w:val="375"/>
                                                                                                                      <w:marTop w:val="0"/>
                                                                                                                      <w:marBottom w:val="0"/>
                                                                                                                      <w:divBdr>
                                                                                                                        <w:top w:val="none" w:sz="0" w:space="0" w:color="auto"/>
                                                                                                                        <w:left w:val="none" w:sz="0" w:space="0" w:color="auto"/>
                                                                                                                        <w:bottom w:val="none" w:sz="0" w:space="0" w:color="auto"/>
                                                                                                                        <w:right w:val="none" w:sz="0" w:space="0" w:color="auto"/>
                                                                                                                      </w:divBdr>
                                                                                                                      <w:divsChild>
                                                                                                                        <w:div w:id="1597861734">
                                                                                                                          <w:marLeft w:val="0"/>
                                                                                                                          <w:marRight w:val="0"/>
                                                                                                                          <w:marTop w:val="0"/>
                                                                                                                          <w:marBottom w:val="0"/>
                                                                                                                          <w:divBdr>
                                                                                                                            <w:top w:val="none" w:sz="0" w:space="0" w:color="auto"/>
                                                                                                                            <w:left w:val="none" w:sz="0" w:space="0" w:color="auto"/>
                                                                                                                            <w:bottom w:val="none" w:sz="0" w:space="0" w:color="auto"/>
                                                                                                                            <w:right w:val="none" w:sz="0" w:space="0" w:color="auto"/>
                                                                                                                          </w:divBdr>
                                                                                                                        </w:div>
                                                                                                                        <w:div w:id="1071002254">
                                                                                                                          <w:marLeft w:val="0"/>
                                                                                                                          <w:marRight w:val="0"/>
                                                                                                                          <w:marTop w:val="150"/>
                                                                                                                          <w:marBottom w:val="0"/>
                                                                                                                          <w:divBdr>
                                                                                                                            <w:top w:val="none" w:sz="0" w:space="0" w:color="auto"/>
                                                                                                                            <w:left w:val="none" w:sz="0" w:space="0" w:color="auto"/>
                                                                                                                            <w:bottom w:val="none" w:sz="0" w:space="0" w:color="auto"/>
                                                                                                                            <w:right w:val="none" w:sz="0" w:space="0" w:color="auto"/>
                                                                                                                          </w:divBdr>
                                                                                                                        </w:div>
                                                                                                                      </w:divsChild>
                                                                                                                    </w:div>
                                                                                                                    <w:div w:id="492644007">
                                                                                                                      <w:marLeft w:val="0"/>
                                                                                                                      <w:marRight w:val="0"/>
                                                                                                                      <w:marTop w:val="0"/>
                                                                                                                      <w:marBottom w:val="0"/>
                                                                                                                      <w:divBdr>
                                                                                                                        <w:top w:val="none" w:sz="0" w:space="0" w:color="auto"/>
                                                                                                                        <w:left w:val="none" w:sz="0" w:space="0" w:color="auto"/>
                                                                                                                        <w:bottom w:val="none" w:sz="0" w:space="0" w:color="auto"/>
                                                                                                                        <w:right w:val="none" w:sz="0" w:space="0" w:color="auto"/>
                                                                                                                      </w:divBdr>
                                                                                                                      <w:divsChild>
                                                                                                                        <w:div w:id="350373582">
                                                                                                                          <w:marLeft w:val="300"/>
                                                                                                                          <w:marRight w:val="0"/>
                                                                                                                          <w:marTop w:val="0"/>
                                                                                                                          <w:marBottom w:val="0"/>
                                                                                                                          <w:divBdr>
                                                                                                                            <w:top w:val="none" w:sz="0" w:space="0" w:color="auto"/>
                                                                                                                            <w:left w:val="none" w:sz="0" w:space="0" w:color="auto"/>
                                                                                                                            <w:bottom w:val="none" w:sz="0" w:space="0" w:color="auto"/>
                                                                                                                            <w:right w:val="none" w:sz="0" w:space="0" w:color="auto"/>
                                                                                                                          </w:divBdr>
                                                                                                                        </w:div>
                                                                                                                        <w:div w:id="1560360760">
                                                                                                                          <w:marLeft w:val="0"/>
                                                                                                                          <w:marRight w:val="0"/>
                                                                                                                          <w:marTop w:val="0"/>
                                                                                                                          <w:marBottom w:val="0"/>
                                                                                                                          <w:divBdr>
                                                                                                                            <w:top w:val="none" w:sz="0" w:space="0" w:color="auto"/>
                                                                                                                            <w:left w:val="none" w:sz="0" w:space="0" w:color="auto"/>
                                                                                                                            <w:bottom w:val="none" w:sz="0" w:space="0" w:color="auto"/>
                                                                                                                            <w:right w:val="none" w:sz="0" w:space="0" w:color="auto"/>
                                                                                                                          </w:divBdr>
                                                                                                                        </w:div>
                                                                                                                        <w:div w:id="1953631394">
                                                                                                                          <w:marLeft w:val="0"/>
                                                                                                                          <w:marRight w:val="0"/>
                                                                                                                          <w:marTop w:val="0"/>
                                                                                                                          <w:marBottom w:val="0"/>
                                                                                                                          <w:divBdr>
                                                                                                                            <w:top w:val="none" w:sz="0" w:space="0" w:color="auto"/>
                                                                                                                            <w:left w:val="none" w:sz="0" w:space="0" w:color="auto"/>
                                                                                                                            <w:bottom w:val="none" w:sz="0" w:space="0" w:color="auto"/>
                                                                                                                            <w:right w:val="none" w:sz="0" w:space="0" w:color="auto"/>
                                                                                                                          </w:divBdr>
                                                                                                                        </w:div>
                                                                                                                      </w:divsChild>
                                                                                                                    </w:div>
                                                                                                                    <w:div w:id="627584473">
                                                                                                                      <w:marLeft w:val="0"/>
                                                                                                                      <w:marRight w:val="0"/>
                                                                                                                      <w:marTop w:val="0"/>
                                                                                                                      <w:marBottom w:val="0"/>
                                                                                                                      <w:divBdr>
                                                                                                                        <w:top w:val="none" w:sz="0" w:space="0" w:color="auto"/>
                                                                                                                        <w:left w:val="none" w:sz="0" w:space="0" w:color="auto"/>
                                                                                                                        <w:bottom w:val="none" w:sz="0" w:space="0" w:color="auto"/>
                                                                                                                        <w:right w:val="none" w:sz="0" w:space="0" w:color="auto"/>
                                                                                                                      </w:divBdr>
                                                                                                                      <w:divsChild>
                                                                                                                        <w:div w:id="1428503013">
                                                                                                                          <w:marLeft w:val="300"/>
                                                                                                                          <w:marRight w:val="0"/>
                                                                                                                          <w:marTop w:val="0"/>
                                                                                                                          <w:marBottom w:val="0"/>
                                                                                                                          <w:divBdr>
                                                                                                                            <w:top w:val="none" w:sz="0" w:space="0" w:color="auto"/>
                                                                                                                            <w:left w:val="none" w:sz="0" w:space="0" w:color="auto"/>
                                                                                                                            <w:bottom w:val="none" w:sz="0" w:space="0" w:color="auto"/>
                                                                                                                            <w:right w:val="none" w:sz="0" w:space="0" w:color="auto"/>
                                                                                                                          </w:divBdr>
                                                                                                                        </w:div>
                                                                                                                        <w:div w:id="584337759">
                                                                                                                          <w:marLeft w:val="0"/>
                                                                                                                          <w:marRight w:val="0"/>
                                                                                                                          <w:marTop w:val="0"/>
                                                                                                                          <w:marBottom w:val="0"/>
                                                                                                                          <w:divBdr>
                                                                                                                            <w:top w:val="none" w:sz="0" w:space="0" w:color="auto"/>
                                                                                                                            <w:left w:val="none" w:sz="0" w:space="0" w:color="auto"/>
                                                                                                                            <w:bottom w:val="none" w:sz="0" w:space="0" w:color="auto"/>
                                                                                                                            <w:right w:val="none" w:sz="0" w:space="0" w:color="auto"/>
                                                                                                                          </w:divBdr>
                                                                                                                        </w:div>
                                                                                                                        <w:div w:id="1340692886">
                                                                                                                          <w:marLeft w:val="0"/>
                                                                                                                          <w:marRight w:val="0"/>
                                                                                                                          <w:marTop w:val="0"/>
                                                                                                                          <w:marBottom w:val="0"/>
                                                                                                                          <w:divBdr>
                                                                                                                            <w:top w:val="none" w:sz="0" w:space="0" w:color="auto"/>
                                                                                                                            <w:left w:val="none" w:sz="0" w:space="0" w:color="auto"/>
                                                                                                                            <w:bottom w:val="none" w:sz="0" w:space="0" w:color="auto"/>
                                                                                                                            <w:right w:val="none" w:sz="0" w:space="0" w:color="auto"/>
                                                                                                                          </w:divBdr>
                                                                                                                        </w:div>
                                                                                                                        <w:div w:id="1711487809">
                                                                                                                          <w:marLeft w:val="0"/>
                                                                                                                          <w:marRight w:val="0"/>
                                                                                                                          <w:marTop w:val="0"/>
                                                                                                                          <w:marBottom w:val="0"/>
                                                                                                                          <w:divBdr>
                                                                                                                            <w:top w:val="none" w:sz="0" w:space="0" w:color="auto"/>
                                                                                                                            <w:left w:val="none" w:sz="0" w:space="0" w:color="auto"/>
                                                                                                                            <w:bottom w:val="none" w:sz="0" w:space="0" w:color="auto"/>
                                                                                                                            <w:right w:val="none" w:sz="0" w:space="0" w:color="auto"/>
                                                                                                                          </w:divBdr>
                                                                                                                        </w:div>
                                                                                                                        <w:div w:id="1438866739">
                                                                                                                          <w:marLeft w:val="0"/>
                                                                                                                          <w:marRight w:val="0"/>
                                                                                                                          <w:marTop w:val="0"/>
                                                                                                                          <w:marBottom w:val="0"/>
                                                                                                                          <w:divBdr>
                                                                                                                            <w:top w:val="none" w:sz="0" w:space="0" w:color="auto"/>
                                                                                                                            <w:left w:val="none" w:sz="0" w:space="0" w:color="auto"/>
                                                                                                                            <w:bottom w:val="none" w:sz="0" w:space="0" w:color="auto"/>
                                                                                                                            <w:right w:val="none" w:sz="0" w:space="0" w:color="auto"/>
                                                                                                                          </w:divBdr>
                                                                                                                        </w:div>
                                                                                                                        <w:div w:id="422070603">
                                                                                                                          <w:marLeft w:val="0"/>
                                                                                                                          <w:marRight w:val="0"/>
                                                                                                                          <w:marTop w:val="0"/>
                                                                                                                          <w:marBottom w:val="0"/>
                                                                                                                          <w:divBdr>
                                                                                                                            <w:top w:val="none" w:sz="0" w:space="0" w:color="auto"/>
                                                                                                                            <w:left w:val="none" w:sz="0" w:space="0" w:color="auto"/>
                                                                                                                            <w:bottom w:val="none" w:sz="0" w:space="0" w:color="auto"/>
                                                                                                                            <w:right w:val="none" w:sz="0" w:space="0" w:color="auto"/>
                                                                                                                          </w:divBdr>
                                                                                                                        </w:div>
                                                                                                                        <w:div w:id="1428186221">
                                                                                                                          <w:marLeft w:val="0"/>
                                                                                                                          <w:marRight w:val="0"/>
                                                                                                                          <w:marTop w:val="0"/>
                                                                                                                          <w:marBottom w:val="0"/>
                                                                                                                          <w:divBdr>
                                                                                                                            <w:top w:val="none" w:sz="0" w:space="0" w:color="auto"/>
                                                                                                                            <w:left w:val="none" w:sz="0" w:space="0" w:color="auto"/>
                                                                                                                            <w:bottom w:val="none" w:sz="0" w:space="0" w:color="auto"/>
                                                                                                                            <w:right w:val="none" w:sz="0" w:space="0" w:color="auto"/>
                                                                                                                          </w:divBdr>
                                                                                                                        </w:div>
                                                                                                                        <w:div w:id="1377899192">
                                                                                                                          <w:marLeft w:val="0"/>
                                                                                                                          <w:marRight w:val="0"/>
                                                                                                                          <w:marTop w:val="0"/>
                                                                                                                          <w:marBottom w:val="0"/>
                                                                                                                          <w:divBdr>
                                                                                                                            <w:top w:val="none" w:sz="0" w:space="0" w:color="auto"/>
                                                                                                                            <w:left w:val="none" w:sz="0" w:space="0" w:color="auto"/>
                                                                                                                            <w:bottom w:val="none" w:sz="0" w:space="0" w:color="auto"/>
                                                                                                                            <w:right w:val="none" w:sz="0" w:space="0" w:color="auto"/>
                                                                                                                          </w:divBdr>
                                                                                                                        </w:div>
                                                                                                                      </w:divsChild>
                                                                                                                    </w:div>
                                                                                                                    <w:div w:id="120732487">
                                                                                                                      <w:marLeft w:val="0"/>
                                                                                                                      <w:marRight w:val="0"/>
                                                                                                                      <w:marTop w:val="0"/>
                                                                                                                      <w:marBottom w:val="0"/>
                                                                                                                      <w:divBdr>
                                                                                                                        <w:top w:val="none" w:sz="0" w:space="0" w:color="auto"/>
                                                                                                                        <w:left w:val="none" w:sz="0" w:space="0" w:color="auto"/>
                                                                                                                        <w:bottom w:val="none" w:sz="0" w:space="0" w:color="auto"/>
                                                                                                                        <w:right w:val="none" w:sz="0" w:space="0" w:color="auto"/>
                                                                                                                      </w:divBdr>
                                                                                                                      <w:divsChild>
                                                                                                                        <w:div w:id="2001040883">
                                                                                                                          <w:marLeft w:val="300"/>
                                                                                                                          <w:marRight w:val="0"/>
                                                                                                                          <w:marTop w:val="0"/>
                                                                                                                          <w:marBottom w:val="0"/>
                                                                                                                          <w:divBdr>
                                                                                                                            <w:top w:val="none" w:sz="0" w:space="0" w:color="auto"/>
                                                                                                                            <w:left w:val="none" w:sz="0" w:space="0" w:color="auto"/>
                                                                                                                            <w:bottom w:val="none" w:sz="0" w:space="0" w:color="auto"/>
                                                                                                                            <w:right w:val="none" w:sz="0" w:space="0" w:color="auto"/>
                                                                                                                          </w:divBdr>
                                                                                                                        </w:div>
                                                                                                                        <w:div w:id="538737768">
                                                                                                                          <w:marLeft w:val="0"/>
                                                                                                                          <w:marRight w:val="0"/>
                                                                                                                          <w:marTop w:val="0"/>
                                                                                                                          <w:marBottom w:val="0"/>
                                                                                                                          <w:divBdr>
                                                                                                                            <w:top w:val="none" w:sz="0" w:space="0" w:color="auto"/>
                                                                                                                            <w:left w:val="none" w:sz="0" w:space="0" w:color="auto"/>
                                                                                                                            <w:bottom w:val="none" w:sz="0" w:space="0" w:color="auto"/>
                                                                                                                            <w:right w:val="none" w:sz="0" w:space="0" w:color="auto"/>
                                                                                                                          </w:divBdr>
                                                                                                                        </w:div>
                                                                                                                        <w:div w:id="1252818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1993089">
                                                                                                                  <w:marLeft w:val="0"/>
                                                                                                                  <w:marRight w:val="0"/>
                                                                                                                  <w:marTop w:val="0"/>
                                                                                                                  <w:marBottom w:val="0"/>
                                                                                                                  <w:divBdr>
                                                                                                                    <w:top w:val="none" w:sz="0" w:space="0" w:color="auto"/>
                                                                                                                    <w:left w:val="none" w:sz="0" w:space="0" w:color="auto"/>
                                                                                                                    <w:bottom w:val="none" w:sz="0" w:space="0" w:color="auto"/>
                                                                                                                    <w:right w:val="none" w:sz="0" w:space="0" w:color="auto"/>
                                                                                                                  </w:divBdr>
                                                                                                                  <w:divsChild>
                                                                                                                    <w:div w:id="350955182">
                                                                                                                      <w:marLeft w:val="0"/>
                                                                                                                      <w:marRight w:val="0"/>
                                                                                                                      <w:marTop w:val="0"/>
                                                                                                                      <w:marBottom w:val="0"/>
                                                                                                                      <w:divBdr>
                                                                                                                        <w:top w:val="none" w:sz="0" w:space="0" w:color="auto"/>
                                                                                                                        <w:left w:val="none" w:sz="0" w:space="0" w:color="auto"/>
                                                                                                                        <w:bottom w:val="none" w:sz="0" w:space="0" w:color="auto"/>
                                                                                                                        <w:right w:val="none" w:sz="0" w:space="0" w:color="auto"/>
                                                                                                                      </w:divBdr>
                                                                                                                    </w:div>
                                                                                                                    <w:div w:id="1577782303">
                                                                                                                      <w:marLeft w:val="0"/>
                                                                                                                      <w:marRight w:val="0"/>
                                                                                                                      <w:marTop w:val="0"/>
                                                                                                                      <w:marBottom w:val="0"/>
                                                                                                                      <w:divBdr>
                                                                                                                        <w:top w:val="none" w:sz="0" w:space="0" w:color="auto"/>
                                                                                                                        <w:left w:val="none" w:sz="0" w:space="0" w:color="auto"/>
                                                                                                                        <w:bottom w:val="none" w:sz="0" w:space="0" w:color="auto"/>
                                                                                                                        <w:right w:val="none" w:sz="0" w:space="0" w:color="auto"/>
                                                                                                                      </w:divBdr>
                                                                                                                      <w:divsChild>
                                                                                                                        <w:div w:id="2120836859">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389577441">
                                                                                                                  <w:marLeft w:val="0"/>
                                                                                                                  <w:marRight w:val="0"/>
                                                                                                                  <w:marTop w:val="0"/>
                                                                                                                  <w:marBottom w:val="0"/>
                                                                                                                  <w:divBdr>
                                                                                                                    <w:top w:val="none" w:sz="0" w:space="0" w:color="auto"/>
                                                                                                                    <w:left w:val="none" w:sz="0" w:space="0" w:color="auto"/>
                                                                                                                    <w:bottom w:val="none" w:sz="0" w:space="0" w:color="auto"/>
                                                                                                                    <w:right w:val="none" w:sz="0" w:space="0" w:color="auto"/>
                                                                                                                  </w:divBdr>
                                                                                                                  <w:divsChild>
                                                                                                                    <w:div w:id="1381783986">
                                                                                                                      <w:marLeft w:val="0"/>
                                                                                                                      <w:marRight w:val="0"/>
                                                                                                                      <w:marTop w:val="0"/>
                                                                                                                      <w:marBottom w:val="0"/>
                                                                                                                      <w:divBdr>
                                                                                                                        <w:top w:val="none" w:sz="0" w:space="0" w:color="auto"/>
                                                                                                                        <w:left w:val="none" w:sz="0" w:space="0" w:color="auto"/>
                                                                                                                        <w:bottom w:val="none" w:sz="0" w:space="0" w:color="auto"/>
                                                                                                                        <w:right w:val="none" w:sz="0" w:space="0" w:color="auto"/>
                                                                                                                      </w:divBdr>
                                                                                                                    </w:div>
                                                                                                                  </w:divsChild>
                                                                                                                </w:div>
                                                                                                                <w:div w:id="1005015453">
                                                                                                                  <w:marLeft w:val="0"/>
                                                                                                                  <w:marRight w:val="0"/>
                                                                                                                  <w:marTop w:val="0"/>
                                                                                                                  <w:marBottom w:val="0"/>
                                                                                                                  <w:divBdr>
                                                                                                                    <w:top w:val="none" w:sz="0" w:space="0" w:color="auto"/>
                                                                                                                    <w:left w:val="none" w:sz="0" w:space="0" w:color="auto"/>
                                                                                                                    <w:bottom w:val="none" w:sz="0" w:space="0" w:color="auto"/>
                                                                                                                    <w:right w:val="none" w:sz="0" w:space="0" w:color="auto"/>
                                                                                                                  </w:divBdr>
                                                                                                                  <w:divsChild>
                                                                                                                    <w:div w:id="1956978291">
                                                                                                                      <w:marLeft w:val="0"/>
                                                                                                                      <w:marRight w:val="0"/>
                                                                                                                      <w:marTop w:val="0"/>
                                                                                                                      <w:marBottom w:val="0"/>
                                                                                                                      <w:divBdr>
                                                                                                                        <w:top w:val="none" w:sz="0" w:space="0" w:color="auto"/>
                                                                                                                        <w:left w:val="none" w:sz="0" w:space="0" w:color="auto"/>
                                                                                                                        <w:bottom w:val="none" w:sz="0" w:space="0" w:color="auto"/>
                                                                                                                        <w:right w:val="none" w:sz="0" w:space="0" w:color="auto"/>
                                                                                                                      </w:divBdr>
                                                                                                                      <w:divsChild>
                                                                                                                        <w:div w:id="1181427931">
                                                                                                                          <w:marLeft w:val="0"/>
                                                                                                                          <w:marRight w:val="0"/>
                                                                                                                          <w:marTop w:val="0"/>
                                                                                                                          <w:marBottom w:val="0"/>
                                                                                                                          <w:divBdr>
                                                                                                                            <w:top w:val="none" w:sz="0" w:space="0" w:color="auto"/>
                                                                                                                            <w:left w:val="none" w:sz="0" w:space="0" w:color="auto"/>
                                                                                                                            <w:bottom w:val="none" w:sz="0" w:space="0" w:color="auto"/>
                                                                                                                            <w:right w:val="none" w:sz="0" w:space="0" w:color="auto"/>
                                                                                                                          </w:divBdr>
                                                                                                                        </w:div>
                                                                                                                        <w:div w:id="247227208">
                                                                                                                          <w:marLeft w:val="0"/>
                                                                                                                          <w:marRight w:val="0"/>
                                                                                                                          <w:marTop w:val="0"/>
                                                                                                                          <w:marBottom w:val="0"/>
                                                                                                                          <w:divBdr>
                                                                                                                            <w:top w:val="none" w:sz="0" w:space="0" w:color="auto"/>
                                                                                                                            <w:left w:val="none" w:sz="0" w:space="0" w:color="auto"/>
                                                                                                                            <w:bottom w:val="none" w:sz="0" w:space="0" w:color="auto"/>
                                                                                                                            <w:right w:val="none" w:sz="0" w:space="0" w:color="auto"/>
                                                                                                                          </w:divBdr>
                                                                                                                          <w:divsChild>
                                                                                                                            <w:div w:id="1626622997">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6237020">
                                                                                                                  <w:marLeft w:val="0"/>
                                                                                                                  <w:marRight w:val="0"/>
                                                                                                                  <w:marTop w:val="0"/>
                                                                                                                  <w:marBottom w:val="0"/>
                                                                                                                  <w:divBdr>
                                                                                                                    <w:top w:val="none" w:sz="0" w:space="0" w:color="auto"/>
                                                                                                                    <w:left w:val="none" w:sz="0" w:space="0" w:color="auto"/>
                                                                                                                    <w:bottom w:val="none" w:sz="0" w:space="0" w:color="auto"/>
                                                                                                                    <w:right w:val="none" w:sz="0" w:space="0" w:color="auto"/>
                                                                                                                  </w:divBdr>
                                                                                                                </w:div>
                                                                                                                <w:div w:id="1836409447">
                                                                                                                  <w:marLeft w:val="0"/>
                                                                                                                  <w:marRight w:val="0"/>
                                                                                                                  <w:marTop w:val="0"/>
                                                                                                                  <w:marBottom w:val="0"/>
                                                                                                                  <w:divBdr>
                                                                                                                    <w:top w:val="none" w:sz="0" w:space="0" w:color="auto"/>
                                                                                                                    <w:left w:val="none" w:sz="0" w:space="0" w:color="auto"/>
                                                                                                                    <w:bottom w:val="none" w:sz="0" w:space="0" w:color="auto"/>
                                                                                                                    <w:right w:val="none" w:sz="0" w:space="0" w:color="auto"/>
                                                                                                                  </w:divBdr>
                                                                                                                  <w:divsChild>
                                                                                                                    <w:div w:id="497622645">
                                                                                                                      <w:marLeft w:val="0"/>
                                                                                                                      <w:marRight w:val="0"/>
                                                                                                                      <w:marTop w:val="0"/>
                                                                                                                      <w:marBottom w:val="0"/>
                                                                                                                      <w:divBdr>
                                                                                                                        <w:top w:val="none" w:sz="0" w:space="0" w:color="auto"/>
                                                                                                                        <w:left w:val="none" w:sz="0" w:space="0" w:color="auto"/>
                                                                                                                        <w:bottom w:val="none" w:sz="0" w:space="0" w:color="auto"/>
                                                                                                                        <w:right w:val="none" w:sz="0" w:space="0" w:color="auto"/>
                                                                                                                      </w:divBdr>
                                                                                                                    </w:div>
                                                                                                                  </w:divsChild>
                                                                                                                </w:div>
                                                                                                                <w:div w:id="1090849889">
                                                                                                                  <w:marLeft w:val="0"/>
                                                                                                                  <w:marRight w:val="0"/>
                                                                                                                  <w:marTop w:val="0"/>
                                                                                                                  <w:marBottom w:val="0"/>
                                                                                                                  <w:divBdr>
                                                                                                                    <w:top w:val="none" w:sz="0" w:space="0" w:color="auto"/>
                                                                                                                    <w:left w:val="none" w:sz="0" w:space="0" w:color="auto"/>
                                                                                                                    <w:bottom w:val="none" w:sz="0" w:space="0" w:color="auto"/>
                                                                                                                    <w:right w:val="none" w:sz="0" w:space="0" w:color="auto"/>
                                                                                                                  </w:divBdr>
                                                                                                                </w:div>
                                                                                                                <w:div w:id="2081636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04172022">
                                                                                  <w:marLeft w:val="105"/>
                                                                                  <w:marRight w:val="105"/>
                                                                                  <w:marTop w:val="105"/>
                                                                                  <w:marBottom w:val="105"/>
                                                                                  <w:divBdr>
                                                                                    <w:top w:val="none" w:sz="0" w:space="0" w:color="auto"/>
                                                                                    <w:left w:val="none" w:sz="0" w:space="0" w:color="auto"/>
                                                                                    <w:bottom w:val="none" w:sz="0" w:space="0" w:color="auto"/>
                                                                                    <w:right w:val="none" w:sz="0" w:space="0" w:color="auto"/>
                                                                                  </w:divBdr>
                                                                                  <w:divsChild>
                                                                                    <w:div w:id="214125631">
                                                                                      <w:marLeft w:val="0"/>
                                                                                      <w:marRight w:val="0"/>
                                                                                      <w:marTop w:val="0"/>
                                                                                      <w:marBottom w:val="0"/>
                                                                                      <w:divBdr>
                                                                                        <w:top w:val="none" w:sz="0" w:space="0" w:color="auto"/>
                                                                                        <w:left w:val="none" w:sz="0" w:space="0" w:color="auto"/>
                                                                                        <w:bottom w:val="none" w:sz="0" w:space="0" w:color="auto"/>
                                                                                        <w:right w:val="none" w:sz="0" w:space="0" w:color="auto"/>
                                                                                      </w:divBdr>
                                                                                      <w:divsChild>
                                                                                        <w:div w:id="2030178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323321580">
                                              <w:marLeft w:val="0"/>
                                              <w:marRight w:val="0"/>
                                              <w:marTop w:val="0"/>
                                              <w:marBottom w:val="0"/>
                                              <w:divBdr>
                                                <w:top w:val="none" w:sz="0" w:space="0" w:color="auto"/>
                                                <w:left w:val="none" w:sz="0" w:space="0" w:color="auto"/>
                                                <w:bottom w:val="none" w:sz="0" w:space="0" w:color="auto"/>
                                                <w:right w:val="none" w:sz="0" w:space="0" w:color="auto"/>
                                              </w:divBdr>
                                              <w:divsChild>
                                                <w:div w:id="1635212165">
                                                  <w:marLeft w:val="0"/>
                                                  <w:marRight w:val="0"/>
                                                  <w:marTop w:val="0"/>
                                                  <w:marBottom w:val="0"/>
                                                  <w:divBdr>
                                                    <w:top w:val="none" w:sz="0" w:space="0" w:color="auto"/>
                                                    <w:left w:val="none" w:sz="0" w:space="0" w:color="auto"/>
                                                    <w:bottom w:val="none" w:sz="0" w:space="0" w:color="auto"/>
                                                    <w:right w:val="none" w:sz="0" w:space="0" w:color="auto"/>
                                                  </w:divBdr>
                                                  <w:divsChild>
                                                    <w:div w:id="1347705491">
                                                      <w:marLeft w:val="0"/>
                                                      <w:marRight w:val="0"/>
                                                      <w:marTop w:val="0"/>
                                                      <w:marBottom w:val="0"/>
                                                      <w:divBdr>
                                                        <w:top w:val="none" w:sz="0" w:space="0" w:color="auto"/>
                                                        <w:left w:val="none" w:sz="0" w:space="0" w:color="auto"/>
                                                        <w:bottom w:val="none" w:sz="0" w:space="0" w:color="auto"/>
                                                        <w:right w:val="none" w:sz="0" w:space="0" w:color="auto"/>
                                                      </w:divBdr>
                                                      <w:divsChild>
                                                        <w:div w:id="45760125">
                                                          <w:marLeft w:val="0"/>
                                                          <w:marRight w:val="0"/>
                                                          <w:marTop w:val="0"/>
                                                          <w:marBottom w:val="0"/>
                                                          <w:divBdr>
                                                            <w:top w:val="none" w:sz="0" w:space="0" w:color="auto"/>
                                                            <w:left w:val="none" w:sz="0" w:space="0" w:color="auto"/>
                                                            <w:bottom w:val="none" w:sz="0" w:space="0" w:color="auto"/>
                                                            <w:right w:val="none" w:sz="0" w:space="0" w:color="auto"/>
                                                          </w:divBdr>
                                                          <w:divsChild>
                                                            <w:div w:id="106430808">
                                                              <w:marLeft w:val="0"/>
                                                              <w:marRight w:val="0"/>
                                                              <w:marTop w:val="0"/>
                                                              <w:marBottom w:val="0"/>
                                                              <w:divBdr>
                                                                <w:top w:val="none" w:sz="0" w:space="0" w:color="auto"/>
                                                                <w:left w:val="none" w:sz="0" w:space="0" w:color="auto"/>
                                                                <w:bottom w:val="none" w:sz="0" w:space="0" w:color="auto"/>
                                                                <w:right w:val="none" w:sz="0" w:space="0" w:color="auto"/>
                                                              </w:divBdr>
                                                              <w:divsChild>
                                                                <w:div w:id="13306194">
                                                                  <w:marLeft w:val="0"/>
                                                                  <w:marRight w:val="0"/>
                                                                  <w:marTop w:val="0"/>
                                                                  <w:marBottom w:val="0"/>
                                                                  <w:divBdr>
                                                                    <w:top w:val="none" w:sz="0" w:space="0" w:color="auto"/>
                                                                    <w:left w:val="none" w:sz="0" w:space="0" w:color="auto"/>
                                                                    <w:bottom w:val="none" w:sz="0" w:space="0" w:color="auto"/>
                                                                    <w:right w:val="none" w:sz="0" w:space="0" w:color="auto"/>
                                                                  </w:divBdr>
                                                                  <w:divsChild>
                                                                    <w:div w:id="1262176308">
                                                                      <w:marLeft w:val="0"/>
                                                                      <w:marRight w:val="0"/>
                                                                      <w:marTop w:val="0"/>
                                                                      <w:marBottom w:val="0"/>
                                                                      <w:divBdr>
                                                                        <w:top w:val="none" w:sz="0" w:space="0" w:color="auto"/>
                                                                        <w:left w:val="none" w:sz="0" w:space="0" w:color="auto"/>
                                                                        <w:bottom w:val="none" w:sz="0" w:space="0" w:color="auto"/>
                                                                        <w:right w:val="none" w:sz="0" w:space="0" w:color="auto"/>
                                                                      </w:divBdr>
                                                                      <w:divsChild>
                                                                        <w:div w:id="335303601">
                                                                          <w:marLeft w:val="0"/>
                                                                          <w:marRight w:val="0"/>
                                                                          <w:marTop w:val="0"/>
                                                                          <w:marBottom w:val="0"/>
                                                                          <w:divBdr>
                                                                            <w:top w:val="none" w:sz="0" w:space="0" w:color="auto"/>
                                                                            <w:left w:val="none" w:sz="0" w:space="0" w:color="auto"/>
                                                                            <w:bottom w:val="none" w:sz="0" w:space="0" w:color="auto"/>
                                                                            <w:right w:val="none" w:sz="0" w:space="0" w:color="auto"/>
                                                                          </w:divBdr>
                                                                          <w:divsChild>
                                                                            <w:div w:id="78213362">
                                                                              <w:marLeft w:val="300"/>
                                                                              <w:marRight w:val="0"/>
                                                                              <w:marTop w:val="0"/>
                                                                              <w:marBottom w:val="0"/>
                                                                              <w:divBdr>
                                                                                <w:top w:val="none" w:sz="0" w:space="0" w:color="auto"/>
                                                                                <w:left w:val="none" w:sz="0" w:space="0" w:color="auto"/>
                                                                                <w:bottom w:val="none" w:sz="0" w:space="0" w:color="auto"/>
                                                                                <w:right w:val="none" w:sz="0" w:space="0" w:color="auto"/>
                                                                              </w:divBdr>
                                                                              <w:divsChild>
                                                                                <w:div w:id="949361020">
                                                                                  <w:marLeft w:val="0"/>
                                                                                  <w:marRight w:val="0"/>
                                                                                  <w:marTop w:val="0"/>
                                                                                  <w:marBottom w:val="0"/>
                                                                                  <w:divBdr>
                                                                                    <w:top w:val="none" w:sz="0" w:space="0" w:color="auto"/>
                                                                                    <w:left w:val="none" w:sz="0" w:space="0" w:color="auto"/>
                                                                                    <w:bottom w:val="none" w:sz="0" w:space="0" w:color="auto"/>
                                                                                    <w:right w:val="none" w:sz="0" w:space="0" w:color="auto"/>
                                                                                  </w:divBdr>
                                                                                  <w:divsChild>
                                                                                    <w:div w:id="622927645">
                                                                                      <w:marLeft w:val="0"/>
                                                                                      <w:marRight w:val="0"/>
                                                                                      <w:marTop w:val="0"/>
                                                                                      <w:marBottom w:val="0"/>
                                                                                      <w:divBdr>
                                                                                        <w:top w:val="none" w:sz="0" w:space="0" w:color="auto"/>
                                                                                        <w:left w:val="none" w:sz="0" w:space="0" w:color="auto"/>
                                                                                        <w:bottom w:val="none" w:sz="0" w:space="0" w:color="auto"/>
                                                                                        <w:right w:val="none" w:sz="0" w:space="0" w:color="auto"/>
                                                                                      </w:divBdr>
                                                                                      <w:divsChild>
                                                                                        <w:div w:id="1250505102">
                                                                                          <w:marLeft w:val="0"/>
                                                                                          <w:marRight w:val="0"/>
                                                                                          <w:marTop w:val="0"/>
                                                                                          <w:marBottom w:val="0"/>
                                                                                          <w:divBdr>
                                                                                            <w:top w:val="none" w:sz="0" w:space="0" w:color="auto"/>
                                                                                            <w:left w:val="none" w:sz="0" w:space="0" w:color="auto"/>
                                                                                            <w:bottom w:val="none" w:sz="0" w:space="0" w:color="auto"/>
                                                                                            <w:right w:val="none" w:sz="0" w:space="0" w:color="auto"/>
                                                                                          </w:divBdr>
                                                                                          <w:divsChild>
                                                                                            <w:div w:id="414666983">
                                                                                              <w:marLeft w:val="0"/>
                                                                                              <w:marRight w:val="0"/>
                                                                                              <w:marTop w:val="0"/>
                                                                                              <w:marBottom w:val="0"/>
                                                                                              <w:divBdr>
                                                                                                <w:top w:val="none" w:sz="0" w:space="0" w:color="auto"/>
                                                                                                <w:left w:val="none" w:sz="0" w:space="0" w:color="auto"/>
                                                                                                <w:bottom w:val="none" w:sz="0" w:space="0" w:color="auto"/>
                                                                                                <w:right w:val="none" w:sz="0" w:space="0" w:color="auto"/>
                                                                                              </w:divBdr>
                                                                                              <w:divsChild>
                                                                                                <w:div w:id="1845171879">
                                                                                                  <w:marLeft w:val="0"/>
                                                                                                  <w:marRight w:val="0"/>
                                                                                                  <w:marTop w:val="0"/>
                                                                                                  <w:marBottom w:val="0"/>
                                                                                                  <w:divBdr>
                                                                                                    <w:top w:val="none" w:sz="0" w:space="0" w:color="auto"/>
                                                                                                    <w:left w:val="none" w:sz="0" w:space="0" w:color="auto"/>
                                                                                                    <w:bottom w:val="none" w:sz="0" w:space="0" w:color="auto"/>
                                                                                                    <w:right w:val="none" w:sz="0" w:space="0" w:color="auto"/>
                                                                                                  </w:divBdr>
                                                                                                  <w:divsChild>
                                                                                                    <w:div w:id="7417999">
                                                                                                      <w:marLeft w:val="0"/>
                                                                                                      <w:marRight w:val="0"/>
                                                                                                      <w:marTop w:val="0"/>
                                                                                                      <w:marBottom w:val="0"/>
                                                                                                      <w:divBdr>
                                                                                                        <w:top w:val="none" w:sz="0" w:space="0" w:color="auto"/>
                                                                                                        <w:left w:val="none" w:sz="0" w:space="0" w:color="auto"/>
                                                                                                        <w:bottom w:val="none" w:sz="0" w:space="0" w:color="auto"/>
                                                                                                        <w:right w:val="none" w:sz="0" w:space="0" w:color="auto"/>
                                                                                                      </w:divBdr>
                                                                                                      <w:divsChild>
                                                                                                        <w:div w:id="2095586156">
                                                                                                          <w:marLeft w:val="0"/>
                                                                                                          <w:marRight w:val="0"/>
                                                                                                          <w:marTop w:val="0"/>
                                                                                                          <w:marBottom w:val="0"/>
                                                                                                          <w:divBdr>
                                                                                                            <w:top w:val="none" w:sz="0" w:space="0" w:color="auto"/>
                                                                                                            <w:left w:val="none" w:sz="0" w:space="0" w:color="auto"/>
                                                                                                            <w:bottom w:val="none" w:sz="0" w:space="0" w:color="auto"/>
                                                                                                            <w:right w:val="none" w:sz="0" w:space="0" w:color="auto"/>
                                                                                                          </w:divBdr>
                                                                                                          <w:divsChild>
                                                                                                            <w:div w:id="661274204">
                                                                                                              <w:marLeft w:val="0"/>
                                                                                                              <w:marRight w:val="0"/>
                                                                                                              <w:marTop w:val="0"/>
                                                                                                              <w:marBottom w:val="150"/>
                                                                                                              <w:divBdr>
                                                                                                                <w:top w:val="single" w:sz="6" w:space="0" w:color="CCCCCC"/>
                                                                                                                <w:left w:val="single" w:sz="6" w:space="0" w:color="CCCCCC"/>
                                                                                                                <w:bottom w:val="single" w:sz="6" w:space="0" w:color="CCCCCC"/>
                                                                                                                <w:right w:val="single" w:sz="6" w:space="0" w:color="CCCCCC"/>
                                                                                                              </w:divBdr>
                                                                                                              <w:divsChild>
                                                                                                                <w:div w:id="1103260674">
                                                                                                                  <w:marLeft w:val="0"/>
                                                                                                                  <w:marRight w:val="0"/>
                                                                                                                  <w:marTop w:val="0"/>
                                                                                                                  <w:marBottom w:val="0"/>
                                                                                                                  <w:divBdr>
                                                                                                                    <w:top w:val="none" w:sz="0" w:space="0" w:color="auto"/>
                                                                                                                    <w:left w:val="none" w:sz="0" w:space="0" w:color="auto"/>
                                                                                                                    <w:bottom w:val="none" w:sz="0" w:space="0" w:color="auto"/>
                                                                                                                    <w:right w:val="none" w:sz="0" w:space="0" w:color="auto"/>
                                                                                                                  </w:divBdr>
                                                                                                                  <w:divsChild>
                                                                                                                    <w:div w:id="1934312074">
                                                                                                                      <w:marLeft w:val="0"/>
                                                                                                                      <w:marRight w:val="0"/>
                                                                                                                      <w:marTop w:val="0"/>
                                                                                                                      <w:marBottom w:val="0"/>
                                                                                                                      <w:divBdr>
                                                                                                                        <w:top w:val="none" w:sz="0" w:space="0" w:color="auto"/>
                                                                                                                        <w:left w:val="none" w:sz="0" w:space="0" w:color="auto"/>
                                                                                                                        <w:bottom w:val="none" w:sz="0" w:space="0" w:color="auto"/>
                                                                                                                        <w:right w:val="none" w:sz="0" w:space="0" w:color="auto"/>
                                                                                                                      </w:divBdr>
                                                                                                                      <w:divsChild>
                                                                                                                        <w:div w:id="1341276491">
                                                                                                                          <w:marLeft w:val="0"/>
                                                                                                                          <w:marRight w:val="0"/>
                                                                                                                          <w:marTop w:val="0"/>
                                                                                                                          <w:marBottom w:val="0"/>
                                                                                                                          <w:divBdr>
                                                                                                                            <w:top w:val="none" w:sz="0" w:space="0" w:color="auto"/>
                                                                                                                            <w:left w:val="none" w:sz="0" w:space="0" w:color="auto"/>
                                                                                                                            <w:bottom w:val="none" w:sz="0" w:space="0" w:color="auto"/>
                                                                                                                            <w:right w:val="none" w:sz="0" w:space="0" w:color="auto"/>
                                                                                                                          </w:divBdr>
                                                                                                                          <w:divsChild>
                                                                                                                            <w:div w:id="2122532307">
                                                                                                                              <w:marLeft w:val="0"/>
                                                                                                                              <w:marRight w:val="0"/>
                                                                                                                              <w:marTop w:val="0"/>
                                                                                                                              <w:marBottom w:val="0"/>
                                                                                                                              <w:divBdr>
                                                                                                                                <w:top w:val="none" w:sz="0" w:space="0" w:color="auto"/>
                                                                                                                                <w:left w:val="none" w:sz="0" w:space="0" w:color="auto"/>
                                                                                                                                <w:bottom w:val="none" w:sz="0" w:space="0" w:color="auto"/>
                                                                                                                                <w:right w:val="none" w:sz="0" w:space="0" w:color="auto"/>
                                                                                                                              </w:divBdr>
                                                                                                                              <w:divsChild>
                                                                                                                                <w:div w:id="1603032136">
                                                                                                                                  <w:marLeft w:val="0"/>
                                                                                                                                  <w:marRight w:val="0"/>
                                                                                                                                  <w:marTop w:val="0"/>
                                                                                                                                  <w:marBottom w:val="0"/>
                                                                                                                                  <w:divBdr>
                                                                                                                                    <w:top w:val="none" w:sz="0" w:space="0" w:color="auto"/>
                                                                                                                                    <w:left w:val="none" w:sz="0" w:space="0" w:color="auto"/>
                                                                                                                                    <w:bottom w:val="none" w:sz="0" w:space="0" w:color="auto"/>
                                                                                                                                    <w:right w:val="none" w:sz="0" w:space="0" w:color="auto"/>
                                                                                                                                  </w:divBdr>
                                                                                                                                  <w:divsChild>
                                                                                                                                    <w:div w:id="400064487">
                                                                                                                                      <w:marLeft w:val="0"/>
                                                                                                                                      <w:marRight w:val="0"/>
                                                                                                                                      <w:marTop w:val="0"/>
                                                                                                                                      <w:marBottom w:val="0"/>
                                                                                                                                      <w:divBdr>
                                                                                                                                        <w:top w:val="none" w:sz="0" w:space="0" w:color="auto"/>
                                                                                                                                        <w:left w:val="none" w:sz="0" w:space="0" w:color="auto"/>
                                                                                                                                        <w:bottom w:val="none" w:sz="0" w:space="0" w:color="auto"/>
                                                                                                                                        <w:right w:val="none" w:sz="0" w:space="0" w:color="auto"/>
                                                                                                                                      </w:divBdr>
                                                                                                                                      <w:divsChild>
                                                                                                                                        <w:div w:id="834762297">
                                                                                                                                          <w:marLeft w:val="0"/>
                                                                                                                                          <w:marRight w:val="0"/>
                                                                                                                                          <w:marTop w:val="0"/>
                                                                                                                                          <w:marBottom w:val="0"/>
                                                                                                                                          <w:divBdr>
                                                                                                                                            <w:top w:val="none" w:sz="0" w:space="0" w:color="auto"/>
                                                                                                                                            <w:left w:val="none" w:sz="0" w:space="0" w:color="auto"/>
                                                                                                                                            <w:bottom w:val="none" w:sz="0" w:space="0" w:color="auto"/>
                                                                                                                                            <w:right w:val="none" w:sz="0" w:space="0" w:color="auto"/>
                                                                                                                                          </w:divBdr>
                                                                                                                                          <w:divsChild>
                                                                                                                                            <w:div w:id="1163933107">
                                                                                                                                              <w:marLeft w:val="0"/>
                                                                                                                                              <w:marRight w:val="0"/>
                                                                                                                                              <w:marTop w:val="0"/>
                                                                                                                                              <w:marBottom w:val="0"/>
                                                                                                                                              <w:divBdr>
                                                                                                                                                <w:top w:val="none" w:sz="0" w:space="0" w:color="auto"/>
                                                                                                                                                <w:left w:val="none" w:sz="0" w:space="0" w:color="auto"/>
                                                                                                                                                <w:bottom w:val="none" w:sz="0" w:space="0" w:color="auto"/>
                                                                                                                                                <w:right w:val="none" w:sz="0" w:space="0" w:color="auto"/>
                                                                                                                                              </w:divBdr>
                                                                                                                                              <w:divsChild>
                                                                                                                                                <w:div w:id="1726754487">
                                                                                                                                                  <w:marLeft w:val="0"/>
                                                                                                                                                  <w:marRight w:val="0"/>
                                                                                                                                                  <w:marTop w:val="0"/>
                                                                                                                                                  <w:marBottom w:val="0"/>
                                                                                                                                                  <w:divBdr>
                                                                                                                                                    <w:top w:val="none" w:sz="0" w:space="0" w:color="auto"/>
                                                                                                                                                    <w:left w:val="none" w:sz="0" w:space="0" w:color="auto"/>
                                                                                                                                                    <w:bottom w:val="none" w:sz="0" w:space="0" w:color="auto"/>
                                                                                                                                                    <w:right w:val="none" w:sz="0" w:space="0" w:color="auto"/>
                                                                                                                                                  </w:divBdr>
                                                                                                                                                  <w:divsChild>
                                                                                                                                                    <w:div w:id="1637105924">
                                                                                                                                                      <w:marLeft w:val="0"/>
                                                                                                                                                      <w:marRight w:val="0"/>
                                                                                                                                                      <w:marTop w:val="0"/>
                                                                                                                                                      <w:marBottom w:val="0"/>
                                                                                                                                                      <w:divBdr>
                                                                                                                                                        <w:top w:val="none" w:sz="0" w:space="0" w:color="auto"/>
                                                                                                                                                        <w:left w:val="none" w:sz="0" w:space="0" w:color="auto"/>
                                                                                                                                                        <w:bottom w:val="none" w:sz="0" w:space="0" w:color="auto"/>
                                                                                                                                                        <w:right w:val="none" w:sz="0" w:space="0" w:color="auto"/>
                                                                                                                                                      </w:divBdr>
                                                                                                                                                      <w:divsChild>
                                                                                                                                                        <w:div w:id="641929426">
                                                                                                                                                          <w:marLeft w:val="0"/>
                                                                                                                                                          <w:marRight w:val="0"/>
                                                                                                                                                          <w:marTop w:val="0"/>
                                                                                                                                                          <w:marBottom w:val="0"/>
                                                                                                                                                          <w:divBdr>
                                                                                                                                                            <w:top w:val="none" w:sz="0" w:space="0" w:color="auto"/>
                                                                                                                                                            <w:left w:val="none" w:sz="0" w:space="0" w:color="auto"/>
                                                                                                                                                            <w:bottom w:val="none" w:sz="0" w:space="0" w:color="auto"/>
                                                                                                                                                            <w:right w:val="none" w:sz="0" w:space="0" w:color="auto"/>
                                                                                                                                                          </w:divBdr>
                                                                                                                                                          <w:divsChild>
                                                                                                                                                            <w:div w:id="1038048764">
                                                                                                                                                              <w:marLeft w:val="0"/>
                                                                                                                                                              <w:marRight w:val="0"/>
                                                                                                                                                              <w:marTop w:val="0"/>
                                                                                                                                                              <w:marBottom w:val="0"/>
                                                                                                                                                              <w:divBdr>
                                                                                                                                                                <w:top w:val="none" w:sz="0" w:space="0" w:color="auto"/>
                                                                                                                                                                <w:left w:val="none" w:sz="0" w:space="0" w:color="auto"/>
                                                                                                                                                                <w:bottom w:val="none" w:sz="0" w:space="0" w:color="auto"/>
                                                                                                                                                                <w:right w:val="none" w:sz="0" w:space="0" w:color="auto"/>
                                                                                                                                                              </w:divBdr>
                                                                                                                                                              <w:divsChild>
                                                                                                                                                                <w:div w:id="52737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25213428">
                                                                                  <w:marLeft w:val="0"/>
                                                                                  <w:marRight w:val="0"/>
                                                                                  <w:marTop w:val="150"/>
                                                                                  <w:marBottom w:val="0"/>
                                                                                  <w:divBdr>
                                                                                    <w:top w:val="none" w:sz="0" w:space="0" w:color="auto"/>
                                                                                    <w:left w:val="none" w:sz="0" w:space="0" w:color="auto"/>
                                                                                    <w:bottom w:val="none" w:sz="0" w:space="0" w:color="auto"/>
                                                                                    <w:right w:val="none" w:sz="0" w:space="0" w:color="auto"/>
                                                                                  </w:divBdr>
                                                                                  <w:divsChild>
                                                                                    <w:div w:id="1836408452">
                                                                                      <w:marLeft w:val="0"/>
                                                                                      <w:marRight w:val="0"/>
                                                                                      <w:marTop w:val="300"/>
                                                                                      <w:marBottom w:val="150"/>
                                                                                      <w:divBdr>
                                                                                        <w:top w:val="single" w:sz="6" w:space="0" w:color="CCCCCC"/>
                                                                                        <w:left w:val="single" w:sz="6" w:space="0" w:color="CCCCCC"/>
                                                                                        <w:bottom w:val="single" w:sz="6" w:space="0" w:color="CCCCCC"/>
                                                                                        <w:right w:val="single" w:sz="6" w:space="0" w:color="CCCCCC"/>
                                                                                      </w:divBdr>
                                                                                      <w:divsChild>
                                                                                        <w:div w:id="1243368826">
                                                                                          <w:marLeft w:val="0"/>
                                                                                          <w:marRight w:val="0"/>
                                                                                          <w:marTop w:val="0"/>
                                                                                          <w:marBottom w:val="0"/>
                                                                                          <w:divBdr>
                                                                                            <w:top w:val="none" w:sz="0" w:space="0" w:color="auto"/>
                                                                                            <w:left w:val="none" w:sz="0" w:space="0" w:color="auto"/>
                                                                                            <w:bottom w:val="none" w:sz="0" w:space="0" w:color="auto"/>
                                                                                            <w:right w:val="none" w:sz="0" w:space="0" w:color="auto"/>
                                                                                          </w:divBdr>
                                                                                          <w:divsChild>
                                                                                            <w:div w:id="1455902460">
                                                                                              <w:marLeft w:val="0"/>
                                                                                              <w:marRight w:val="0"/>
                                                                                              <w:marTop w:val="0"/>
                                                                                              <w:marBottom w:val="0"/>
                                                                                              <w:divBdr>
                                                                                                <w:top w:val="none" w:sz="0" w:space="0" w:color="auto"/>
                                                                                                <w:left w:val="none" w:sz="0" w:space="0" w:color="auto"/>
                                                                                                <w:bottom w:val="none" w:sz="0" w:space="0" w:color="auto"/>
                                                                                                <w:right w:val="none" w:sz="0" w:space="0" w:color="auto"/>
                                                                                              </w:divBdr>
                                                                                              <w:divsChild>
                                                                                                <w:div w:id="1628123185">
                                                                                                  <w:marLeft w:val="0"/>
                                                                                                  <w:marRight w:val="0"/>
                                                                                                  <w:marTop w:val="0"/>
                                                                                                  <w:marBottom w:val="0"/>
                                                                                                  <w:divBdr>
                                                                                                    <w:top w:val="none" w:sz="0" w:space="0" w:color="auto"/>
                                                                                                    <w:left w:val="none" w:sz="0" w:space="0" w:color="auto"/>
                                                                                                    <w:bottom w:val="none" w:sz="0" w:space="0" w:color="auto"/>
                                                                                                    <w:right w:val="none" w:sz="0" w:space="0" w:color="auto"/>
                                                                                                  </w:divBdr>
                                                                                                  <w:divsChild>
                                                                                                    <w:div w:id="569194739">
                                                                                                      <w:marLeft w:val="0"/>
                                                                                                      <w:marRight w:val="0"/>
                                                                                                      <w:marTop w:val="0"/>
                                                                                                      <w:marBottom w:val="0"/>
                                                                                                      <w:divBdr>
                                                                                                        <w:top w:val="none" w:sz="0" w:space="0" w:color="auto"/>
                                                                                                        <w:left w:val="none" w:sz="0" w:space="0" w:color="auto"/>
                                                                                                        <w:bottom w:val="none" w:sz="0" w:space="0" w:color="auto"/>
                                                                                                        <w:right w:val="none" w:sz="0" w:space="0" w:color="auto"/>
                                                                                                      </w:divBdr>
                                                                                                      <w:divsChild>
                                                                                                        <w:div w:id="2014916285">
                                                                                                          <w:marLeft w:val="0"/>
                                                                                                          <w:marRight w:val="0"/>
                                                                                                          <w:marTop w:val="0"/>
                                                                                                          <w:marBottom w:val="0"/>
                                                                                                          <w:divBdr>
                                                                                                            <w:top w:val="none" w:sz="0" w:space="0" w:color="auto"/>
                                                                                                            <w:left w:val="none" w:sz="0" w:space="0" w:color="auto"/>
                                                                                                            <w:bottom w:val="none" w:sz="0" w:space="0" w:color="auto"/>
                                                                                                            <w:right w:val="none" w:sz="0" w:space="0" w:color="auto"/>
                                                                                                          </w:divBdr>
                                                                                                          <w:divsChild>
                                                                                                            <w:div w:id="1093090658">
                                                                                                              <w:marLeft w:val="0"/>
                                                                                                              <w:marRight w:val="0"/>
                                                                                                              <w:marTop w:val="300"/>
                                                                                                              <w:marBottom w:val="0"/>
                                                                                                              <w:divBdr>
                                                                                                                <w:top w:val="none" w:sz="0" w:space="0" w:color="auto"/>
                                                                                                                <w:left w:val="none" w:sz="0" w:space="0" w:color="auto"/>
                                                                                                                <w:bottom w:val="none" w:sz="0" w:space="0" w:color="auto"/>
                                                                                                                <w:right w:val="none" w:sz="0" w:space="0" w:color="auto"/>
                                                                                                              </w:divBdr>
                                                                                                              <w:divsChild>
                                                                                                                <w:div w:id="1301425380">
                                                                                                                  <w:marLeft w:val="0"/>
                                                                                                                  <w:marRight w:val="0"/>
                                                                                                                  <w:marTop w:val="0"/>
                                                                                                                  <w:marBottom w:val="0"/>
                                                                                                                  <w:divBdr>
                                                                                                                    <w:top w:val="none" w:sz="0" w:space="0" w:color="auto"/>
                                                                                                                    <w:left w:val="none" w:sz="0" w:space="0" w:color="auto"/>
                                                                                                                    <w:bottom w:val="none" w:sz="0" w:space="0" w:color="auto"/>
                                                                                                                    <w:right w:val="none" w:sz="0" w:space="0" w:color="auto"/>
                                                                                                                  </w:divBdr>
                                                                                                                  <w:divsChild>
                                                                                                                    <w:div w:id="1190995329">
                                                                                                                      <w:marLeft w:val="0"/>
                                                                                                                      <w:marRight w:val="0"/>
                                                                                                                      <w:marTop w:val="0"/>
                                                                                                                      <w:marBottom w:val="0"/>
                                                                                                                      <w:divBdr>
                                                                                                                        <w:top w:val="none" w:sz="0" w:space="0" w:color="auto"/>
                                                                                                                        <w:left w:val="none" w:sz="0" w:space="0" w:color="auto"/>
                                                                                                                        <w:bottom w:val="none" w:sz="0" w:space="0" w:color="auto"/>
                                                                                                                        <w:right w:val="none" w:sz="0" w:space="0" w:color="auto"/>
                                                                                                                      </w:divBdr>
                                                                                                                      <w:divsChild>
                                                                                                                        <w:div w:id="1589076497">
                                                                                                                          <w:marLeft w:val="0"/>
                                                                                                                          <w:marRight w:val="0"/>
                                                                                                                          <w:marTop w:val="0"/>
                                                                                                                          <w:marBottom w:val="0"/>
                                                                                                                          <w:divBdr>
                                                                                                                            <w:top w:val="none" w:sz="0" w:space="0" w:color="auto"/>
                                                                                                                            <w:left w:val="none" w:sz="0" w:space="0" w:color="auto"/>
                                                                                                                            <w:bottom w:val="none" w:sz="0" w:space="0" w:color="auto"/>
                                                                                                                            <w:right w:val="none" w:sz="0" w:space="0" w:color="auto"/>
                                                                                                                          </w:divBdr>
                                                                                                                          <w:divsChild>
                                                                                                                            <w:div w:id="681325093">
                                                                                                                              <w:marLeft w:val="0"/>
                                                                                                                              <w:marRight w:val="0"/>
                                                                                                                              <w:marTop w:val="0"/>
                                                                                                                              <w:marBottom w:val="0"/>
                                                                                                                              <w:divBdr>
                                                                                                                                <w:top w:val="none" w:sz="0" w:space="0" w:color="auto"/>
                                                                                                                                <w:left w:val="none" w:sz="0" w:space="0" w:color="auto"/>
                                                                                                                                <w:bottom w:val="none" w:sz="0" w:space="0" w:color="auto"/>
                                                                                                                                <w:right w:val="none" w:sz="0" w:space="0" w:color="auto"/>
                                                                                                                              </w:divBdr>
                                                                                                                              <w:divsChild>
                                                                                                                                <w:div w:id="1342002990">
                                                                                                                                  <w:marLeft w:val="0"/>
                                                                                                                                  <w:marRight w:val="0"/>
                                                                                                                                  <w:marTop w:val="0"/>
                                                                                                                                  <w:marBottom w:val="0"/>
                                                                                                                                  <w:divBdr>
                                                                                                                                    <w:top w:val="none" w:sz="0" w:space="0" w:color="auto"/>
                                                                                                                                    <w:left w:val="none" w:sz="0" w:space="0" w:color="auto"/>
                                                                                                                                    <w:bottom w:val="none" w:sz="0" w:space="0" w:color="auto"/>
                                                                                                                                    <w:right w:val="none" w:sz="0" w:space="0" w:color="auto"/>
                                                                                                                                  </w:divBdr>
                                                                                                                                  <w:divsChild>
                                                                                                                                    <w:div w:id="665592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24335690">
          <w:marLeft w:val="0"/>
          <w:marRight w:val="0"/>
          <w:marTop w:val="0"/>
          <w:marBottom w:val="0"/>
          <w:divBdr>
            <w:top w:val="none" w:sz="0" w:space="0" w:color="auto"/>
            <w:left w:val="none" w:sz="0" w:space="0" w:color="auto"/>
            <w:bottom w:val="none" w:sz="0" w:space="0" w:color="auto"/>
            <w:right w:val="none" w:sz="0" w:space="0" w:color="auto"/>
          </w:divBdr>
          <w:divsChild>
            <w:div w:id="534123655">
              <w:marLeft w:val="0"/>
              <w:marRight w:val="0"/>
              <w:marTop w:val="0"/>
              <w:marBottom w:val="0"/>
              <w:divBdr>
                <w:top w:val="none" w:sz="0" w:space="0" w:color="auto"/>
                <w:left w:val="none" w:sz="0" w:space="0" w:color="auto"/>
                <w:bottom w:val="none" w:sz="0" w:space="0" w:color="auto"/>
                <w:right w:val="none" w:sz="0" w:space="0" w:color="auto"/>
              </w:divBdr>
              <w:divsChild>
                <w:div w:id="908079655">
                  <w:marLeft w:val="0"/>
                  <w:marRight w:val="0"/>
                  <w:marTop w:val="0"/>
                  <w:marBottom w:val="0"/>
                  <w:divBdr>
                    <w:top w:val="none" w:sz="0" w:space="0" w:color="auto"/>
                    <w:left w:val="none" w:sz="0" w:space="0" w:color="auto"/>
                    <w:bottom w:val="none" w:sz="0" w:space="0" w:color="auto"/>
                    <w:right w:val="none" w:sz="0" w:space="0" w:color="auto"/>
                  </w:divBdr>
                  <w:divsChild>
                    <w:div w:id="1324166278">
                      <w:marLeft w:val="0"/>
                      <w:marRight w:val="0"/>
                      <w:marTop w:val="0"/>
                      <w:marBottom w:val="0"/>
                      <w:divBdr>
                        <w:top w:val="none" w:sz="0" w:space="0" w:color="auto"/>
                        <w:left w:val="none" w:sz="0" w:space="0" w:color="auto"/>
                        <w:bottom w:val="none" w:sz="0" w:space="0" w:color="auto"/>
                        <w:right w:val="none" w:sz="0" w:space="0" w:color="auto"/>
                      </w:divBdr>
                      <w:divsChild>
                        <w:div w:id="311909645">
                          <w:marLeft w:val="0"/>
                          <w:marRight w:val="0"/>
                          <w:marTop w:val="0"/>
                          <w:marBottom w:val="0"/>
                          <w:divBdr>
                            <w:top w:val="none" w:sz="0" w:space="0" w:color="auto"/>
                            <w:left w:val="none" w:sz="0" w:space="0" w:color="auto"/>
                            <w:bottom w:val="none" w:sz="0" w:space="0" w:color="auto"/>
                            <w:right w:val="none" w:sz="0" w:space="0" w:color="auto"/>
                          </w:divBdr>
                          <w:divsChild>
                            <w:div w:id="594247629">
                              <w:marLeft w:val="0"/>
                              <w:marRight w:val="0"/>
                              <w:marTop w:val="0"/>
                              <w:marBottom w:val="0"/>
                              <w:divBdr>
                                <w:top w:val="none" w:sz="0" w:space="0" w:color="auto"/>
                                <w:left w:val="none" w:sz="0" w:space="0" w:color="auto"/>
                                <w:bottom w:val="none" w:sz="0" w:space="0" w:color="auto"/>
                                <w:right w:val="none" w:sz="0" w:space="0" w:color="auto"/>
                              </w:divBdr>
                              <w:divsChild>
                                <w:div w:id="937449392">
                                  <w:marLeft w:val="0"/>
                                  <w:marRight w:val="0"/>
                                  <w:marTop w:val="0"/>
                                  <w:marBottom w:val="0"/>
                                  <w:divBdr>
                                    <w:top w:val="none" w:sz="0" w:space="0" w:color="auto"/>
                                    <w:left w:val="none" w:sz="0" w:space="0" w:color="auto"/>
                                    <w:bottom w:val="none" w:sz="0" w:space="0" w:color="auto"/>
                                    <w:right w:val="none" w:sz="0" w:space="0" w:color="auto"/>
                                  </w:divBdr>
                                  <w:divsChild>
                                    <w:div w:id="943532587">
                                      <w:marLeft w:val="0"/>
                                      <w:marRight w:val="0"/>
                                      <w:marTop w:val="0"/>
                                      <w:marBottom w:val="0"/>
                                      <w:divBdr>
                                        <w:top w:val="none" w:sz="0" w:space="0" w:color="auto"/>
                                        <w:left w:val="none" w:sz="0" w:space="0" w:color="auto"/>
                                        <w:bottom w:val="none" w:sz="0" w:space="0" w:color="auto"/>
                                        <w:right w:val="none" w:sz="0" w:space="0" w:color="auto"/>
                                      </w:divBdr>
                                      <w:divsChild>
                                        <w:div w:id="893855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8725816">
      <w:bodyDiv w:val="1"/>
      <w:marLeft w:val="0"/>
      <w:marRight w:val="0"/>
      <w:marTop w:val="0"/>
      <w:marBottom w:val="0"/>
      <w:divBdr>
        <w:top w:val="none" w:sz="0" w:space="0" w:color="auto"/>
        <w:left w:val="none" w:sz="0" w:space="0" w:color="auto"/>
        <w:bottom w:val="none" w:sz="0" w:space="0" w:color="auto"/>
        <w:right w:val="none" w:sz="0" w:space="0" w:color="auto"/>
      </w:divBdr>
    </w:div>
    <w:div w:id="50691364">
      <w:bodyDiv w:val="1"/>
      <w:marLeft w:val="0"/>
      <w:marRight w:val="0"/>
      <w:marTop w:val="0"/>
      <w:marBottom w:val="0"/>
      <w:divBdr>
        <w:top w:val="none" w:sz="0" w:space="0" w:color="auto"/>
        <w:left w:val="none" w:sz="0" w:space="0" w:color="auto"/>
        <w:bottom w:val="none" w:sz="0" w:space="0" w:color="auto"/>
        <w:right w:val="none" w:sz="0" w:space="0" w:color="auto"/>
      </w:divBdr>
      <w:divsChild>
        <w:div w:id="1010450781">
          <w:marLeft w:val="0"/>
          <w:marRight w:val="0"/>
          <w:marTop w:val="0"/>
          <w:marBottom w:val="120"/>
          <w:divBdr>
            <w:top w:val="none" w:sz="0" w:space="0" w:color="auto"/>
            <w:left w:val="none" w:sz="0" w:space="0" w:color="auto"/>
            <w:bottom w:val="none" w:sz="0" w:space="0" w:color="auto"/>
            <w:right w:val="none" w:sz="0" w:space="0" w:color="auto"/>
          </w:divBdr>
          <w:divsChild>
            <w:div w:id="1902867219">
              <w:marLeft w:val="0"/>
              <w:marRight w:val="0"/>
              <w:marTop w:val="0"/>
              <w:marBottom w:val="0"/>
              <w:divBdr>
                <w:top w:val="none" w:sz="0" w:space="0" w:color="auto"/>
                <w:left w:val="none" w:sz="0" w:space="0" w:color="auto"/>
                <w:bottom w:val="none" w:sz="0" w:space="0" w:color="auto"/>
                <w:right w:val="none" w:sz="0" w:space="0" w:color="auto"/>
              </w:divBdr>
            </w:div>
          </w:divsChild>
        </w:div>
        <w:div w:id="131829">
          <w:marLeft w:val="0"/>
          <w:marRight w:val="0"/>
          <w:marTop w:val="0"/>
          <w:marBottom w:val="120"/>
          <w:divBdr>
            <w:top w:val="none" w:sz="0" w:space="0" w:color="auto"/>
            <w:left w:val="none" w:sz="0" w:space="0" w:color="auto"/>
            <w:bottom w:val="none" w:sz="0" w:space="0" w:color="auto"/>
            <w:right w:val="none" w:sz="0" w:space="0" w:color="auto"/>
          </w:divBdr>
          <w:divsChild>
            <w:div w:id="560948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484454">
      <w:bodyDiv w:val="1"/>
      <w:marLeft w:val="0"/>
      <w:marRight w:val="0"/>
      <w:marTop w:val="0"/>
      <w:marBottom w:val="0"/>
      <w:divBdr>
        <w:top w:val="none" w:sz="0" w:space="0" w:color="auto"/>
        <w:left w:val="none" w:sz="0" w:space="0" w:color="auto"/>
        <w:bottom w:val="none" w:sz="0" w:space="0" w:color="auto"/>
        <w:right w:val="none" w:sz="0" w:space="0" w:color="auto"/>
      </w:divBdr>
      <w:divsChild>
        <w:div w:id="290093864">
          <w:marLeft w:val="0"/>
          <w:marRight w:val="0"/>
          <w:marTop w:val="0"/>
          <w:marBottom w:val="0"/>
          <w:divBdr>
            <w:top w:val="none" w:sz="0" w:space="0" w:color="auto"/>
            <w:left w:val="none" w:sz="0" w:space="0" w:color="auto"/>
            <w:bottom w:val="none" w:sz="0" w:space="0" w:color="auto"/>
            <w:right w:val="none" w:sz="0" w:space="0" w:color="auto"/>
          </w:divBdr>
          <w:divsChild>
            <w:div w:id="1366521319">
              <w:marLeft w:val="0"/>
              <w:marRight w:val="0"/>
              <w:marTop w:val="0"/>
              <w:marBottom w:val="120"/>
              <w:divBdr>
                <w:top w:val="none" w:sz="0" w:space="0" w:color="auto"/>
                <w:left w:val="none" w:sz="0" w:space="0" w:color="auto"/>
                <w:bottom w:val="none" w:sz="0" w:space="0" w:color="auto"/>
                <w:right w:val="none" w:sz="0" w:space="0" w:color="auto"/>
              </w:divBdr>
              <w:divsChild>
                <w:div w:id="294409571">
                  <w:marLeft w:val="0"/>
                  <w:marRight w:val="0"/>
                  <w:marTop w:val="0"/>
                  <w:marBottom w:val="0"/>
                  <w:divBdr>
                    <w:top w:val="none" w:sz="0" w:space="0" w:color="auto"/>
                    <w:left w:val="none" w:sz="0" w:space="0" w:color="auto"/>
                    <w:bottom w:val="none" w:sz="0" w:space="0" w:color="auto"/>
                    <w:right w:val="none" w:sz="0" w:space="0" w:color="auto"/>
                  </w:divBdr>
                </w:div>
              </w:divsChild>
            </w:div>
            <w:div w:id="254828041">
              <w:marLeft w:val="0"/>
              <w:marRight w:val="0"/>
              <w:marTop w:val="0"/>
              <w:marBottom w:val="120"/>
              <w:divBdr>
                <w:top w:val="none" w:sz="0" w:space="0" w:color="auto"/>
                <w:left w:val="none" w:sz="0" w:space="0" w:color="auto"/>
                <w:bottom w:val="none" w:sz="0" w:space="0" w:color="auto"/>
                <w:right w:val="none" w:sz="0" w:space="0" w:color="auto"/>
              </w:divBdr>
              <w:divsChild>
                <w:div w:id="1216620971">
                  <w:marLeft w:val="0"/>
                  <w:marRight w:val="0"/>
                  <w:marTop w:val="0"/>
                  <w:marBottom w:val="0"/>
                  <w:divBdr>
                    <w:top w:val="none" w:sz="0" w:space="0" w:color="auto"/>
                    <w:left w:val="none" w:sz="0" w:space="0" w:color="auto"/>
                    <w:bottom w:val="none" w:sz="0" w:space="0" w:color="auto"/>
                    <w:right w:val="none" w:sz="0" w:space="0" w:color="auto"/>
                  </w:divBdr>
                </w:div>
                <w:div w:id="621493945">
                  <w:marLeft w:val="0"/>
                  <w:marRight w:val="0"/>
                  <w:marTop w:val="0"/>
                  <w:marBottom w:val="0"/>
                  <w:divBdr>
                    <w:top w:val="none" w:sz="0" w:space="0" w:color="auto"/>
                    <w:left w:val="none" w:sz="0" w:space="0" w:color="auto"/>
                    <w:bottom w:val="none" w:sz="0" w:space="0" w:color="auto"/>
                    <w:right w:val="none" w:sz="0" w:space="0" w:color="auto"/>
                  </w:divBdr>
                </w:div>
                <w:div w:id="1740395760">
                  <w:marLeft w:val="0"/>
                  <w:marRight w:val="0"/>
                  <w:marTop w:val="0"/>
                  <w:marBottom w:val="0"/>
                  <w:divBdr>
                    <w:top w:val="none" w:sz="0" w:space="0" w:color="auto"/>
                    <w:left w:val="none" w:sz="0" w:space="0" w:color="auto"/>
                    <w:bottom w:val="none" w:sz="0" w:space="0" w:color="auto"/>
                    <w:right w:val="none" w:sz="0" w:space="0" w:color="auto"/>
                  </w:divBdr>
                </w:div>
                <w:div w:id="210775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5329349">
          <w:marLeft w:val="0"/>
          <w:marRight w:val="0"/>
          <w:marTop w:val="0"/>
          <w:marBottom w:val="0"/>
          <w:divBdr>
            <w:top w:val="none" w:sz="0" w:space="0" w:color="auto"/>
            <w:left w:val="none" w:sz="0" w:space="0" w:color="auto"/>
            <w:bottom w:val="none" w:sz="0" w:space="0" w:color="auto"/>
            <w:right w:val="none" w:sz="0" w:space="0" w:color="auto"/>
          </w:divBdr>
          <w:divsChild>
            <w:div w:id="478545694">
              <w:marLeft w:val="0"/>
              <w:marRight w:val="0"/>
              <w:marTop w:val="0"/>
              <w:marBottom w:val="0"/>
              <w:divBdr>
                <w:top w:val="none" w:sz="0" w:space="0" w:color="auto"/>
                <w:left w:val="none" w:sz="0" w:space="0" w:color="auto"/>
                <w:bottom w:val="none" w:sz="0" w:space="0" w:color="auto"/>
                <w:right w:val="none" w:sz="0" w:space="0" w:color="auto"/>
              </w:divBdr>
              <w:divsChild>
                <w:div w:id="1767650342">
                  <w:marLeft w:val="0"/>
                  <w:marRight w:val="0"/>
                  <w:marTop w:val="0"/>
                  <w:marBottom w:val="0"/>
                  <w:divBdr>
                    <w:top w:val="none" w:sz="0" w:space="0" w:color="auto"/>
                    <w:left w:val="none" w:sz="0" w:space="0" w:color="auto"/>
                    <w:bottom w:val="none" w:sz="0" w:space="0" w:color="auto"/>
                    <w:right w:val="none" w:sz="0" w:space="0" w:color="auto"/>
                  </w:divBdr>
                </w:div>
                <w:div w:id="1061447417">
                  <w:blockQuote w:val="1"/>
                  <w:marLeft w:val="0"/>
                  <w:marRight w:val="0"/>
                  <w:marTop w:val="0"/>
                  <w:marBottom w:val="0"/>
                  <w:divBdr>
                    <w:top w:val="none" w:sz="0" w:space="0" w:color="auto"/>
                    <w:left w:val="none" w:sz="0" w:space="0" w:color="auto"/>
                    <w:bottom w:val="none" w:sz="0" w:space="0" w:color="auto"/>
                    <w:right w:val="none" w:sz="0" w:space="0" w:color="auto"/>
                  </w:divBdr>
                </w:div>
                <w:div w:id="245387109">
                  <w:marLeft w:val="0"/>
                  <w:marRight w:val="0"/>
                  <w:marTop w:val="0"/>
                  <w:marBottom w:val="0"/>
                  <w:divBdr>
                    <w:top w:val="none" w:sz="0" w:space="0" w:color="auto"/>
                    <w:left w:val="none" w:sz="0" w:space="0" w:color="auto"/>
                    <w:bottom w:val="none" w:sz="0" w:space="0" w:color="auto"/>
                    <w:right w:val="none" w:sz="0" w:space="0" w:color="auto"/>
                  </w:divBdr>
                  <w:divsChild>
                    <w:div w:id="299767927">
                      <w:marLeft w:val="0"/>
                      <w:marRight w:val="0"/>
                      <w:marTop w:val="240"/>
                      <w:marBottom w:val="240"/>
                      <w:divBdr>
                        <w:top w:val="single" w:sz="12" w:space="0" w:color="EBEBEB"/>
                        <w:left w:val="none" w:sz="0" w:space="0" w:color="auto"/>
                        <w:bottom w:val="single" w:sz="12" w:space="0" w:color="EBEBEB"/>
                        <w:right w:val="none" w:sz="0" w:space="0" w:color="auto"/>
                      </w:divBdr>
                      <w:divsChild>
                        <w:div w:id="189716140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4645812">
                  <w:marLeft w:val="0"/>
                  <w:marRight w:val="0"/>
                  <w:marTop w:val="0"/>
                  <w:marBottom w:val="0"/>
                  <w:divBdr>
                    <w:top w:val="none" w:sz="0" w:space="0" w:color="auto"/>
                    <w:left w:val="none" w:sz="0" w:space="0" w:color="auto"/>
                    <w:bottom w:val="none" w:sz="0" w:space="0" w:color="auto"/>
                    <w:right w:val="none" w:sz="0" w:space="0" w:color="auto"/>
                  </w:divBdr>
                  <w:divsChild>
                    <w:div w:id="878588748">
                      <w:marLeft w:val="0"/>
                      <w:marRight w:val="0"/>
                      <w:marTop w:val="240"/>
                      <w:marBottom w:val="240"/>
                      <w:divBdr>
                        <w:top w:val="single" w:sz="12" w:space="0" w:color="EBEBEB"/>
                        <w:left w:val="none" w:sz="0" w:space="0" w:color="auto"/>
                        <w:bottom w:val="single" w:sz="12" w:space="0" w:color="EBEBEB"/>
                        <w:right w:val="none" w:sz="0" w:space="0" w:color="auto"/>
                      </w:divBdr>
                      <w:divsChild>
                        <w:div w:id="9274589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639962777">
                  <w:marLeft w:val="0"/>
                  <w:marRight w:val="0"/>
                  <w:marTop w:val="0"/>
                  <w:marBottom w:val="0"/>
                  <w:divBdr>
                    <w:top w:val="none" w:sz="0" w:space="0" w:color="auto"/>
                    <w:left w:val="none" w:sz="0" w:space="0" w:color="auto"/>
                    <w:bottom w:val="none" w:sz="0" w:space="0" w:color="auto"/>
                    <w:right w:val="none" w:sz="0" w:space="0" w:color="auto"/>
                  </w:divBdr>
                  <w:divsChild>
                    <w:div w:id="1733238671">
                      <w:marLeft w:val="0"/>
                      <w:marRight w:val="0"/>
                      <w:marTop w:val="240"/>
                      <w:marBottom w:val="240"/>
                      <w:divBdr>
                        <w:top w:val="single" w:sz="12" w:space="0" w:color="EBEBEB"/>
                        <w:left w:val="none" w:sz="0" w:space="0" w:color="auto"/>
                        <w:bottom w:val="single" w:sz="12" w:space="0" w:color="EBEBEB"/>
                        <w:right w:val="none" w:sz="0" w:space="0" w:color="auto"/>
                      </w:divBdr>
                      <w:divsChild>
                        <w:div w:id="714279502">
                          <w:marLeft w:val="0"/>
                          <w:marRight w:val="0"/>
                          <w:marTop w:val="240"/>
                          <w:marBottom w:val="240"/>
                          <w:divBdr>
                            <w:top w:val="none" w:sz="0" w:space="0" w:color="auto"/>
                            <w:left w:val="none" w:sz="0" w:space="0" w:color="auto"/>
                            <w:bottom w:val="none" w:sz="0" w:space="0" w:color="auto"/>
                            <w:right w:val="none" w:sz="0" w:space="0" w:color="auto"/>
                          </w:divBdr>
                        </w:div>
                      </w:divsChild>
                    </w:div>
                    <w:div w:id="1013803130">
                      <w:marLeft w:val="0"/>
                      <w:marRight w:val="0"/>
                      <w:marTop w:val="240"/>
                      <w:marBottom w:val="240"/>
                      <w:divBdr>
                        <w:top w:val="single" w:sz="12" w:space="0" w:color="EBEBEB"/>
                        <w:left w:val="none" w:sz="0" w:space="0" w:color="auto"/>
                        <w:bottom w:val="single" w:sz="12" w:space="0" w:color="EBEBEB"/>
                        <w:right w:val="none" w:sz="0" w:space="0" w:color="auto"/>
                      </w:divBdr>
                      <w:divsChild>
                        <w:div w:id="175866983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36555200">
          <w:marLeft w:val="0"/>
          <w:marRight w:val="0"/>
          <w:marTop w:val="0"/>
          <w:marBottom w:val="0"/>
          <w:divBdr>
            <w:top w:val="none" w:sz="0" w:space="0" w:color="auto"/>
            <w:left w:val="none" w:sz="0" w:space="0" w:color="auto"/>
            <w:bottom w:val="none" w:sz="0" w:space="0" w:color="auto"/>
            <w:right w:val="none" w:sz="0" w:space="0" w:color="auto"/>
          </w:divBdr>
        </w:div>
        <w:div w:id="1836336446">
          <w:marLeft w:val="0"/>
          <w:marRight w:val="0"/>
          <w:marTop w:val="0"/>
          <w:marBottom w:val="0"/>
          <w:divBdr>
            <w:top w:val="none" w:sz="0" w:space="0" w:color="auto"/>
            <w:left w:val="none" w:sz="0" w:space="0" w:color="auto"/>
            <w:bottom w:val="none" w:sz="0" w:space="0" w:color="auto"/>
            <w:right w:val="none" w:sz="0" w:space="0" w:color="auto"/>
          </w:divBdr>
        </w:div>
        <w:div w:id="1789467976">
          <w:marLeft w:val="0"/>
          <w:marRight w:val="0"/>
          <w:marTop w:val="0"/>
          <w:marBottom w:val="0"/>
          <w:divBdr>
            <w:top w:val="none" w:sz="0" w:space="0" w:color="auto"/>
            <w:left w:val="none" w:sz="0" w:space="0" w:color="auto"/>
            <w:bottom w:val="none" w:sz="0" w:space="0" w:color="auto"/>
            <w:right w:val="none" w:sz="0" w:space="0" w:color="auto"/>
          </w:divBdr>
          <w:divsChild>
            <w:div w:id="6055616">
              <w:marLeft w:val="0"/>
              <w:marRight w:val="0"/>
              <w:marTop w:val="0"/>
              <w:marBottom w:val="0"/>
              <w:divBdr>
                <w:top w:val="none" w:sz="0" w:space="0" w:color="auto"/>
                <w:left w:val="none" w:sz="0" w:space="0" w:color="auto"/>
                <w:bottom w:val="none" w:sz="0" w:space="0" w:color="auto"/>
                <w:right w:val="none" w:sz="0" w:space="0" w:color="auto"/>
              </w:divBdr>
            </w:div>
          </w:divsChild>
        </w:div>
        <w:div w:id="1821188611">
          <w:marLeft w:val="0"/>
          <w:marRight w:val="0"/>
          <w:marTop w:val="0"/>
          <w:marBottom w:val="0"/>
          <w:divBdr>
            <w:top w:val="none" w:sz="0" w:space="0" w:color="auto"/>
            <w:left w:val="none" w:sz="0" w:space="0" w:color="auto"/>
            <w:bottom w:val="none" w:sz="0" w:space="0" w:color="auto"/>
            <w:right w:val="none" w:sz="0" w:space="0" w:color="auto"/>
          </w:divBdr>
        </w:div>
        <w:div w:id="1783841317">
          <w:marLeft w:val="0"/>
          <w:marRight w:val="0"/>
          <w:marTop w:val="0"/>
          <w:marBottom w:val="0"/>
          <w:divBdr>
            <w:top w:val="none" w:sz="0" w:space="0" w:color="auto"/>
            <w:left w:val="none" w:sz="0" w:space="0" w:color="auto"/>
            <w:bottom w:val="none" w:sz="0" w:space="0" w:color="auto"/>
            <w:right w:val="none" w:sz="0" w:space="0" w:color="auto"/>
          </w:divBdr>
        </w:div>
        <w:div w:id="802237304">
          <w:marLeft w:val="0"/>
          <w:marRight w:val="0"/>
          <w:marTop w:val="0"/>
          <w:marBottom w:val="0"/>
          <w:divBdr>
            <w:top w:val="none" w:sz="0" w:space="0" w:color="auto"/>
            <w:left w:val="none" w:sz="0" w:space="0" w:color="auto"/>
            <w:bottom w:val="none" w:sz="0" w:space="0" w:color="auto"/>
            <w:right w:val="none" w:sz="0" w:space="0" w:color="auto"/>
          </w:divBdr>
        </w:div>
        <w:div w:id="2041512427">
          <w:marLeft w:val="0"/>
          <w:marRight w:val="0"/>
          <w:marTop w:val="0"/>
          <w:marBottom w:val="0"/>
          <w:divBdr>
            <w:top w:val="none" w:sz="0" w:space="0" w:color="auto"/>
            <w:left w:val="none" w:sz="0" w:space="0" w:color="auto"/>
            <w:bottom w:val="none" w:sz="0" w:space="0" w:color="auto"/>
            <w:right w:val="none" w:sz="0" w:space="0" w:color="auto"/>
          </w:divBdr>
          <w:divsChild>
            <w:div w:id="1110052368">
              <w:marLeft w:val="0"/>
              <w:marRight w:val="0"/>
              <w:marTop w:val="0"/>
              <w:marBottom w:val="0"/>
              <w:divBdr>
                <w:top w:val="none" w:sz="0" w:space="0" w:color="auto"/>
                <w:left w:val="none" w:sz="0" w:space="0" w:color="auto"/>
                <w:bottom w:val="none" w:sz="0" w:space="0" w:color="auto"/>
                <w:right w:val="none" w:sz="0" w:space="0" w:color="auto"/>
              </w:divBdr>
            </w:div>
          </w:divsChild>
        </w:div>
        <w:div w:id="483593292">
          <w:marLeft w:val="0"/>
          <w:marRight w:val="0"/>
          <w:marTop w:val="0"/>
          <w:marBottom w:val="0"/>
          <w:divBdr>
            <w:top w:val="none" w:sz="0" w:space="0" w:color="auto"/>
            <w:left w:val="none" w:sz="0" w:space="0" w:color="auto"/>
            <w:bottom w:val="none" w:sz="0" w:space="0" w:color="auto"/>
            <w:right w:val="none" w:sz="0" w:space="0" w:color="auto"/>
          </w:divBdr>
        </w:div>
        <w:div w:id="1096436996">
          <w:marLeft w:val="0"/>
          <w:marRight w:val="0"/>
          <w:marTop w:val="0"/>
          <w:marBottom w:val="0"/>
          <w:divBdr>
            <w:top w:val="none" w:sz="0" w:space="0" w:color="auto"/>
            <w:left w:val="none" w:sz="0" w:space="0" w:color="auto"/>
            <w:bottom w:val="none" w:sz="0" w:space="0" w:color="auto"/>
            <w:right w:val="none" w:sz="0" w:space="0" w:color="auto"/>
          </w:divBdr>
        </w:div>
        <w:div w:id="518592566">
          <w:marLeft w:val="0"/>
          <w:marRight w:val="0"/>
          <w:marTop w:val="0"/>
          <w:marBottom w:val="0"/>
          <w:divBdr>
            <w:top w:val="none" w:sz="0" w:space="0" w:color="auto"/>
            <w:left w:val="none" w:sz="0" w:space="0" w:color="auto"/>
            <w:bottom w:val="none" w:sz="0" w:space="0" w:color="auto"/>
            <w:right w:val="none" w:sz="0" w:space="0" w:color="auto"/>
          </w:divBdr>
        </w:div>
        <w:div w:id="877351273">
          <w:marLeft w:val="0"/>
          <w:marRight w:val="0"/>
          <w:marTop w:val="0"/>
          <w:marBottom w:val="0"/>
          <w:divBdr>
            <w:top w:val="none" w:sz="0" w:space="0" w:color="auto"/>
            <w:left w:val="none" w:sz="0" w:space="0" w:color="auto"/>
            <w:bottom w:val="none" w:sz="0" w:space="0" w:color="auto"/>
            <w:right w:val="none" w:sz="0" w:space="0" w:color="auto"/>
          </w:divBdr>
          <w:divsChild>
            <w:div w:id="1824005333">
              <w:marLeft w:val="0"/>
              <w:marRight w:val="0"/>
              <w:marTop w:val="0"/>
              <w:marBottom w:val="0"/>
              <w:divBdr>
                <w:top w:val="none" w:sz="0" w:space="0" w:color="auto"/>
                <w:left w:val="none" w:sz="0" w:space="0" w:color="auto"/>
                <w:bottom w:val="none" w:sz="0" w:space="0" w:color="auto"/>
                <w:right w:val="none" w:sz="0" w:space="0" w:color="auto"/>
              </w:divBdr>
            </w:div>
          </w:divsChild>
        </w:div>
        <w:div w:id="1056049702">
          <w:marLeft w:val="0"/>
          <w:marRight w:val="0"/>
          <w:marTop w:val="0"/>
          <w:marBottom w:val="0"/>
          <w:divBdr>
            <w:top w:val="none" w:sz="0" w:space="0" w:color="auto"/>
            <w:left w:val="none" w:sz="0" w:space="0" w:color="auto"/>
            <w:bottom w:val="none" w:sz="0" w:space="0" w:color="auto"/>
            <w:right w:val="none" w:sz="0" w:space="0" w:color="auto"/>
          </w:divBdr>
        </w:div>
        <w:div w:id="1813280623">
          <w:marLeft w:val="0"/>
          <w:marRight w:val="0"/>
          <w:marTop w:val="0"/>
          <w:marBottom w:val="0"/>
          <w:divBdr>
            <w:top w:val="none" w:sz="0" w:space="0" w:color="auto"/>
            <w:left w:val="none" w:sz="0" w:space="0" w:color="auto"/>
            <w:bottom w:val="none" w:sz="0" w:space="0" w:color="auto"/>
            <w:right w:val="none" w:sz="0" w:space="0" w:color="auto"/>
          </w:divBdr>
        </w:div>
        <w:div w:id="468597274">
          <w:marLeft w:val="0"/>
          <w:marRight w:val="0"/>
          <w:marTop w:val="0"/>
          <w:marBottom w:val="0"/>
          <w:divBdr>
            <w:top w:val="none" w:sz="0" w:space="0" w:color="auto"/>
            <w:left w:val="none" w:sz="0" w:space="0" w:color="auto"/>
            <w:bottom w:val="none" w:sz="0" w:space="0" w:color="auto"/>
            <w:right w:val="none" w:sz="0" w:space="0" w:color="auto"/>
          </w:divBdr>
          <w:divsChild>
            <w:div w:id="68699008">
              <w:marLeft w:val="0"/>
              <w:marRight w:val="0"/>
              <w:marTop w:val="0"/>
              <w:marBottom w:val="0"/>
              <w:divBdr>
                <w:top w:val="none" w:sz="0" w:space="0" w:color="auto"/>
                <w:left w:val="none" w:sz="0" w:space="0" w:color="auto"/>
                <w:bottom w:val="none" w:sz="0" w:space="0" w:color="auto"/>
                <w:right w:val="none" w:sz="0" w:space="0" w:color="auto"/>
              </w:divBdr>
            </w:div>
          </w:divsChild>
        </w:div>
        <w:div w:id="567150348">
          <w:marLeft w:val="0"/>
          <w:marRight w:val="0"/>
          <w:marTop w:val="0"/>
          <w:marBottom w:val="0"/>
          <w:divBdr>
            <w:top w:val="none" w:sz="0" w:space="0" w:color="auto"/>
            <w:left w:val="none" w:sz="0" w:space="0" w:color="auto"/>
            <w:bottom w:val="none" w:sz="0" w:space="0" w:color="auto"/>
            <w:right w:val="none" w:sz="0" w:space="0" w:color="auto"/>
          </w:divBdr>
        </w:div>
        <w:div w:id="1330717028">
          <w:marLeft w:val="0"/>
          <w:marRight w:val="0"/>
          <w:marTop w:val="0"/>
          <w:marBottom w:val="0"/>
          <w:divBdr>
            <w:top w:val="none" w:sz="0" w:space="0" w:color="auto"/>
            <w:left w:val="none" w:sz="0" w:space="0" w:color="auto"/>
            <w:bottom w:val="none" w:sz="0" w:space="0" w:color="auto"/>
            <w:right w:val="none" w:sz="0" w:space="0" w:color="auto"/>
          </w:divBdr>
        </w:div>
        <w:div w:id="1859273849">
          <w:marLeft w:val="0"/>
          <w:marRight w:val="0"/>
          <w:marTop w:val="0"/>
          <w:marBottom w:val="0"/>
          <w:divBdr>
            <w:top w:val="none" w:sz="0" w:space="0" w:color="auto"/>
            <w:left w:val="none" w:sz="0" w:space="0" w:color="auto"/>
            <w:bottom w:val="none" w:sz="0" w:space="0" w:color="auto"/>
            <w:right w:val="none" w:sz="0" w:space="0" w:color="auto"/>
          </w:divBdr>
          <w:divsChild>
            <w:div w:id="293028137">
              <w:marLeft w:val="0"/>
              <w:marRight w:val="0"/>
              <w:marTop w:val="0"/>
              <w:marBottom w:val="0"/>
              <w:divBdr>
                <w:top w:val="none" w:sz="0" w:space="0" w:color="auto"/>
                <w:left w:val="none" w:sz="0" w:space="0" w:color="auto"/>
                <w:bottom w:val="none" w:sz="0" w:space="0" w:color="auto"/>
                <w:right w:val="none" w:sz="0" w:space="0" w:color="auto"/>
              </w:divBdr>
            </w:div>
          </w:divsChild>
        </w:div>
        <w:div w:id="20593902">
          <w:marLeft w:val="0"/>
          <w:marRight w:val="0"/>
          <w:marTop w:val="0"/>
          <w:marBottom w:val="0"/>
          <w:divBdr>
            <w:top w:val="none" w:sz="0" w:space="0" w:color="auto"/>
            <w:left w:val="none" w:sz="0" w:space="0" w:color="auto"/>
            <w:bottom w:val="none" w:sz="0" w:space="0" w:color="auto"/>
            <w:right w:val="none" w:sz="0" w:space="0" w:color="auto"/>
          </w:divBdr>
        </w:div>
        <w:div w:id="61565118">
          <w:marLeft w:val="0"/>
          <w:marRight w:val="0"/>
          <w:marTop w:val="0"/>
          <w:marBottom w:val="0"/>
          <w:divBdr>
            <w:top w:val="none" w:sz="0" w:space="0" w:color="auto"/>
            <w:left w:val="none" w:sz="0" w:space="0" w:color="auto"/>
            <w:bottom w:val="none" w:sz="0" w:space="0" w:color="auto"/>
            <w:right w:val="none" w:sz="0" w:space="0" w:color="auto"/>
          </w:divBdr>
        </w:div>
        <w:div w:id="1911231080">
          <w:marLeft w:val="0"/>
          <w:marRight w:val="0"/>
          <w:marTop w:val="0"/>
          <w:marBottom w:val="0"/>
          <w:divBdr>
            <w:top w:val="none" w:sz="0" w:space="0" w:color="auto"/>
            <w:left w:val="none" w:sz="0" w:space="0" w:color="auto"/>
            <w:bottom w:val="none" w:sz="0" w:space="0" w:color="auto"/>
            <w:right w:val="none" w:sz="0" w:space="0" w:color="auto"/>
          </w:divBdr>
        </w:div>
        <w:div w:id="1765611185">
          <w:marLeft w:val="0"/>
          <w:marRight w:val="0"/>
          <w:marTop w:val="0"/>
          <w:marBottom w:val="0"/>
          <w:divBdr>
            <w:top w:val="none" w:sz="0" w:space="0" w:color="auto"/>
            <w:left w:val="none" w:sz="0" w:space="0" w:color="auto"/>
            <w:bottom w:val="none" w:sz="0" w:space="0" w:color="auto"/>
            <w:right w:val="none" w:sz="0" w:space="0" w:color="auto"/>
          </w:divBdr>
          <w:divsChild>
            <w:div w:id="779954271">
              <w:marLeft w:val="0"/>
              <w:marRight w:val="0"/>
              <w:marTop w:val="0"/>
              <w:marBottom w:val="0"/>
              <w:divBdr>
                <w:top w:val="none" w:sz="0" w:space="0" w:color="auto"/>
                <w:left w:val="none" w:sz="0" w:space="0" w:color="auto"/>
                <w:bottom w:val="none" w:sz="0" w:space="0" w:color="auto"/>
                <w:right w:val="none" w:sz="0" w:space="0" w:color="auto"/>
              </w:divBdr>
            </w:div>
          </w:divsChild>
        </w:div>
        <w:div w:id="237250647">
          <w:marLeft w:val="0"/>
          <w:marRight w:val="0"/>
          <w:marTop w:val="0"/>
          <w:marBottom w:val="0"/>
          <w:divBdr>
            <w:top w:val="none" w:sz="0" w:space="0" w:color="auto"/>
            <w:left w:val="none" w:sz="0" w:space="0" w:color="auto"/>
            <w:bottom w:val="none" w:sz="0" w:space="0" w:color="auto"/>
            <w:right w:val="none" w:sz="0" w:space="0" w:color="auto"/>
          </w:divBdr>
        </w:div>
        <w:div w:id="606894108">
          <w:marLeft w:val="0"/>
          <w:marRight w:val="0"/>
          <w:marTop w:val="0"/>
          <w:marBottom w:val="0"/>
          <w:divBdr>
            <w:top w:val="none" w:sz="0" w:space="0" w:color="auto"/>
            <w:left w:val="none" w:sz="0" w:space="0" w:color="auto"/>
            <w:bottom w:val="none" w:sz="0" w:space="0" w:color="auto"/>
            <w:right w:val="none" w:sz="0" w:space="0" w:color="auto"/>
          </w:divBdr>
        </w:div>
        <w:div w:id="1869904467">
          <w:marLeft w:val="0"/>
          <w:marRight w:val="0"/>
          <w:marTop w:val="0"/>
          <w:marBottom w:val="0"/>
          <w:divBdr>
            <w:top w:val="none" w:sz="0" w:space="0" w:color="auto"/>
            <w:left w:val="none" w:sz="0" w:space="0" w:color="auto"/>
            <w:bottom w:val="none" w:sz="0" w:space="0" w:color="auto"/>
            <w:right w:val="none" w:sz="0" w:space="0" w:color="auto"/>
          </w:divBdr>
        </w:div>
        <w:div w:id="107354372">
          <w:marLeft w:val="0"/>
          <w:marRight w:val="0"/>
          <w:marTop w:val="0"/>
          <w:marBottom w:val="0"/>
          <w:divBdr>
            <w:top w:val="none" w:sz="0" w:space="0" w:color="auto"/>
            <w:left w:val="none" w:sz="0" w:space="0" w:color="auto"/>
            <w:bottom w:val="none" w:sz="0" w:space="0" w:color="auto"/>
            <w:right w:val="none" w:sz="0" w:space="0" w:color="auto"/>
          </w:divBdr>
          <w:divsChild>
            <w:div w:id="1618872361">
              <w:marLeft w:val="0"/>
              <w:marRight w:val="0"/>
              <w:marTop w:val="0"/>
              <w:marBottom w:val="0"/>
              <w:divBdr>
                <w:top w:val="none" w:sz="0" w:space="0" w:color="auto"/>
                <w:left w:val="none" w:sz="0" w:space="0" w:color="auto"/>
                <w:bottom w:val="none" w:sz="0" w:space="0" w:color="auto"/>
                <w:right w:val="none" w:sz="0" w:space="0" w:color="auto"/>
              </w:divBdr>
            </w:div>
          </w:divsChild>
        </w:div>
        <w:div w:id="1249077786">
          <w:marLeft w:val="0"/>
          <w:marRight w:val="0"/>
          <w:marTop w:val="0"/>
          <w:marBottom w:val="0"/>
          <w:divBdr>
            <w:top w:val="none" w:sz="0" w:space="0" w:color="auto"/>
            <w:left w:val="none" w:sz="0" w:space="0" w:color="auto"/>
            <w:bottom w:val="none" w:sz="0" w:space="0" w:color="auto"/>
            <w:right w:val="none" w:sz="0" w:space="0" w:color="auto"/>
          </w:divBdr>
        </w:div>
        <w:div w:id="254293588">
          <w:marLeft w:val="0"/>
          <w:marRight w:val="0"/>
          <w:marTop w:val="0"/>
          <w:marBottom w:val="0"/>
          <w:divBdr>
            <w:top w:val="none" w:sz="0" w:space="0" w:color="auto"/>
            <w:left w:val="none" w:sz="0" w:space="0" w:color="auto"/>
            <w:bottom w:val="none" w:sz="0" w:space="0" w:color="auto"/>
            <w:right w:val="none" w:sz="0" w:space="0" w:color="auto"/>
          </w:divBdr>
        </w:div>
        <w:div w:id="1953853464">
          <w:marLeft w:val="0"/>
          <w:marRight w:val="0"/>
          <w:marTop w:val="0"/>
          <w:marBottom w:val="0"/>
          <w:divBdr>
            <w:top w:val="none" w:sz="0" w:space="0" w:color="auto"/>
            <w:left w:val="none" w:sz="0" w:space="0" w:color="auto"/>
            <w:bottom w:val="none" w:sz="0" w:space="0" w:color="auto"/>
            <w:right w:val="none" w:sz="0" w:space="0" w:color="auto"/>
          </w:divBdr>
          <w:divsChild>
            <w:div w:id="1437094991">
              <w:marLeft w:val="0"/>
              <w:marRight w:val="0"/>
              <w:marTop w:val="0"/>
              <w:marBottom w:val="0"/>
              <w:divBdr>
                <w:top w:val="none" w:sz="0" w:space="0" w:color="auto"/>
                <w:left w:val="none" w:sz="0" w:space="0" w:color="auto"/>
                <w:bottom w:val="none" w:sz="0" w:space="0" w:color="auto"/>
                <w:right w:val="none" w:sz="0" w:space="0" w:color="auto"/>
              </w:divBdr>
            </w:div>
          </w:divsChild>
        </w:div>
        <w:div w:id="1653485071">
          <w:marLeft w:val="0"/>
          <w:marRight w:val="0"/>
          <w:marTop w:val="0"/>
          <w:marBottom w:val="0"/>
          <w:divBdr>
            <w:top w:val="none" w:sz="0" w:space="0" w:color="auto"/>
            <w:left w:val="none" w:sz="0" w:space="0" w:color="auto"/>
            <w:bottom w:val="none" w:sz="0" w:space="0" w:color="auto"/>
            <w:right w:val="none" w:sz="0" w:space="0" w:color="auto"/>
          </w:divBdr>
        </w:div>
        <w:div w:id="67121383">
          <w:marLeft w:val="0"/>
          <w:marRight w:val="0"/>
          <w:marTop w:val="0"/>
          <w:marBottom w:val="0"/>
          <w:divBdr>
            <w:top w:val="none" w:sz="0" w:space="0" w:color="auto"/>
            <w:left w:val="none" w:sz="0" w:space="0" w:color="auto"/>
            <w:bottom w:val="none" w:sz="0" w:space="0" w:color="auto"/>
            <w:right w:val="none" w:sz="0" w:space="0" w:color="auto"/>
          </w:divBdr>
        </w:div>
        <w:div w:id="100607841">
          <w:marLeft w:val="0"/>
          <w:marRight w:val="0"/>
          <w:marTop w:val="0"/>
          <w:marBottom w:val="0"/>
          <w:divBdr>
            <w:top w:val="none" w:sz="0" w:space="0" w:color="auto"/>
            <w:left w:val="none" w:sz="0" w:space="0" w:color="auto"/>
            <w:bottom w:val="none" w:sz="0" w:space="0" w:color="auto"/>
            <w:right w:val="none" w:sz="0" w:space="0" w:color="auto"/>
          </w:divBdr>
          <w:divsChild>
            <w:div w:id="622854234">
              <w:marLeft w:val="0"/>
              <w:marRight w:val="0"/>
              <w:marTop w:val="0"/>
              <w:marBottom w:val="0"/>
              <w:divBdr>
                <w:top w:val="none" w:sz="0" w:space="0" w:color="auto"/>
                <w:left w:val="none" w:sz="0" w:space="0" w:color="auto"/>
                <w:bottom w:val="none" w:sz="0" w:space="0" w:color="auto"/>
                <w:right w:val="none" w:sz="0" w:space="0" w:color="auto"/>
              </w:divBdr>
            </w:div>
          </w:divsChild>
        </w:div>
        <w:div w:id="975989101">
          <w:marLeft w:val="0"/>
          <w:marRight w:val="0"/>
          <w:marTop w:val="0"/>
          <w:marBottom w:val="0"/>
          <w:divBdr>
            <w:top w:val="none" w:sz="0" w:space="0" w:color="auto"/>
            <w:left w:val="none" w:sz="0" w:space="0" w:color="auto"/>
            <w:bottom w:val="none" w:sz="0" w:space="0" w:color="auto"/>
            <w:right w:val="none" w:sz="0" w:space="0" w:color="auto"/>
          </w:divBdr>
        </w:div>
        <w:div w:id="390350734">
          <w:marLeft w:val="0"/>
          <w:marRight w:val="0"/>
          <w:marTop w:val="0"/>
          <w:marBottom w:val="0"/>
          <w:divBdr>
            <w:top w:val="none" w:sz="0" w:space="0" w:color="auto"/>
            <w:left w:val="none" w:sz="0" w:space="0" w:color="auto"/>
            <w:bottom w:val="none" w:sz="0" w:space="0" w:color="auto"/>
            <w:right w:val="none" w:sz="0" w:space="0" w:color="auto"/>
          </w:divBdr>
        </w:div>
        <w:div w:id="1354501195">
          <w:marLeft w:val="0"/>
          <w:marRight w:val="0"/>
          <w:marTop w:val="0"/>
          <w:marBottom w:val="0"/>
          <w:divBdr>
            <w:top w:val="none" w:sz="0" w:space="0" w:color="auto"/>
            <w:left w:val="none" w:sz="0" w:space="0" w:color="auto"/>
            <w:bottom w:val="none" w:sz="0" w:space="0" w:color="auto"/>
            <w:right w:val="none" w:sz="0" w:space="0" w:color="auto"/>
          </w:divBdr>
          <w:divsChild>
            <w:div w:id="572593406">
              <w:marLeft w:val="0"/>
              <w:marRight w:val="0"/>
              <w:marTop w:val="0"/>
              <w:marBottom w:val="0"/>
              <w:divBdr>
                <w:top w:val="none" w:sz="0" w:space="0" w:color="auto"/>
                <w:left w:val="none" w:sz="0" w:space="0" w:color="auto"/>
                <w:bottom w:val="none" w:sz="0" w:space="0" w:color="auto"/>
                <w:right w:val="none" w:sz="0" w:space="0" w:color="auto"/>
              </w:divBdr>
            </w:div>
          </w:divsChild>
        </w:div>
        <w:div w:id="314381260">
          <w:marLeft w:val="0"/>
          <w:marRight w:val="0"/>
          <w:marTop w:val="0"/>
          <w:marBottom w:val="0"/>
          <w:divBdr>
            <w:top w:val="none" w:sz="0" w:space="0" w:color="auto"/>
            <w:left w:val="none" w:sz="0" w:space="0" w:color="auto"/>
            <w:bottom w:val="none" w:sz="0" w:space="0" w:color="auto"/>
            <w:right w:val="none" w:sz="0" w:space="0" w:color="auto"/>
          </w:divBdr>
        </w:div>
        <w:div w:id="177354384">
          <w:marLeft w:val="0"/>
          <w:marRight w:val="0"/>
          <w:marTop w:val="0"/>
          <w:marBottom w:val="0"/>
          <w:divBdr>
            <w:top w:val="none" w:sz="0" w:space="0" w:color="auto"/>
            <w:left w:val="none" w:sz="0" w:space="0" w:color="auto"/>
            <w:bottom w:val="none" w:sz="0" w:space="0" w:color="auto"/>
            <w:right w:val="none" w:sz="0" w:space="0" w:color="auto"/>
          </w:divBdr>
        </w:div>
        <w:div w:id="1269125268">
          <w:marLeft w:val="0"/>
          <w:marRight w:val="0"/>
          <w:marTop w:val="0"/>
          <w:marBottom w:val="0"/>
          <w:divBdr>
            <w:top w:val="none" w:sz="0" w:space="0" w:color="auto"/>
            <w:left w:val="none" w:sz="0" w:space="0" w:color="auto"/>
            <w:bottom w:val="none" w:sz="0" w:space="0" w:color="auto"/>
            <w:right w:val="none" w:sz="0" w:space="0" w:color="auto"/>
          </w:divBdr>
        </w:div>
        <w:div w:id="770397901">
          <w:marLeft w:val="0"/>
          <w:marRight w:val="0"/>
          <w:marTop w:val="0"/>
          <w:marBottom w:val="0"/>
          <w:divBdr>
            <w:top w:val="none" w:sz="0" w:space="0" w:color="auto"/>
            <w:left w:val="none" w:sz="0" w:space="0" w:color="auto"/>
            <w:bottom w:val="none" w:sz="0" w:space="0" w:color="auto"/>
            <w:right w:val="none" w:sz="0" w:space="0" w:color="auto"/>
          </w:divBdr>
          <w:divsChild>
            <w:div w:id="1618753931">
              <w:marLeft w:val="0"/>
              <w:marRight w:val="0"/>
              <w:marTop w:val="0"/>
              <w:marBottom w:val="0"/>
              <w:divBdr>
                <w:top w:val="none" w:sz="0" w:space="0" w:color="auto"/>
                <w:left w:val="none" w:sz="0" w:space="0" w:color="auto"/>
                <w:bottom w:val="none" w:sz="0" w:space="0" w:color="auto"/>
                <w:right w:val="none" w:sz="0" w:space="0" w:color="auto"/>
              </w:divBdr>
            </w:div>
          </w:divsChild>
        </w:div>
        <w:div w:id="534343174">
          <w:marLeft w:val="0"/>
          <w:marRight w:val="0"/>
          <w:marTop w:val="0"/>
          <w:marBottom w:val="0"/>
          <w:divBdr>
            <w:top w:val="none" w:sz="0" w:space="0" w:color="auto"/>
            <w:left w:val="none" w:sz="0" w:space="0" w:color="auto"/>
            <w:bottom w:val="none" w:sz="0" w:space="0" w:color="auto"/>
            <w:right w:val="none" w:sz="0" w:space="0" w:color="auto"/>
          </w:divBdr>
        </w:div>
        <w:div w:id="2007898952">
          <w:marLeft w:val="0"/>
          <w:marRight w:val="0"/>
          <w:marTop w:val="0"/>
          <w:marBottom w:val="0"/>
          <w:divBdr>
            <w:top w:val="none" w:sz="0" w:space="0" w:color="auto"/>
            <w:left w:val="none" w:sz="0" w:space="0" w:color="auto"/>
            <w:bottom w:val="none" w:sz="0" w:space="0" w:color="auto"/>
            <w:right w:val="none" w:sz="0" w:space="0" w:color="auto"/>
          </w:divBdr>
        </w:div>
        <w:div w:id="30424823">
          <w:marLeft w:val="0"/>
          <w:marRight w:val="0"/>
          <w:marTop w:val="0"/>
          <w:marBottom w:val="0"/>
          <w:divBdr>
            <w:top w:val="none" w:sz="0" w:space="0" w:color="auto"/>
            <w:left w:val="none" w:sz="0" w:space="0" w:color="auto"/>
            <w:bottom w:val="none" w:sz="0" w:space="0" w:color="auto"/>
            <w:right w:val="none" w:sz="0" w:space="0" w:color="auto"/>
          </w:divBdr>
          <w:divsChild>
            <w:div w:id="713696562">
              <w:marLeft w:val="0"/>
              <w:marRight w:val="0"/>
              <w:marTop w:val="0"/>
              <w:marBottom w:val="0"/>
              <w:divBdr>
                <w:top w:val="none" w:sz="0" w:space="0" w:color="auto"/>
                <w:left w:val="none" w:sz="0" w:space="0" w:color="auto"/>
                <w:bottom w:val="none" w:sz="0" w:space="0" w:color="auto"/>
                <w:right w:val="none" w:sz="0" w:space="0" w:color="auto"/>
              </w:divBdr>
            </w:div>
          </w:divsChild>
        </w:div>
        <w:div w:id="776827798">
          <w:marLeft w:val="0"/>
          <w:marRight w:val="0"/>
          <w:marTop w:val="0"/>
          <w:marBottom w:val="0"/>
          <w:divBdr>
            <w:top w:val="none" w:sz="0" w:space="0" w:color="auto"/>
            <w:left w:val="none" w:sz="0" w:space="0" w:color="auto"/>
            <w:bottom w:val="none" w:sz="0" w:space="0" w:color="auto"/>
            <w:right w:val="none" w:sz="0" w:space="0" w:color="auto"/>
          </w:divBdr>
        </w:div>
        <w:div w:id="1775901053">
          <w:marLeft w:val="0"/>
          <w:marRight w:val="0"/>
          <w:marTop w:val="0"/>
          <w:marBottom w:val="0"/>
          <w:divBdr>
            <w:top w:val="none" w:sz="0" w:space="0" w:color="auto"/>
            <w:left w:val="none" w:sz="0" w:space="0" w:color="auto"/>
            <w:bottom w:val="none" w:sz="0" w:space="0" w:color="auto"/>
            <w:right w:val="none" w:sz="0" w:space="0" w:color="auto"/>
          </w:divBdr>
        </w:div>
        <w:div w:id="1340430392">
          <w:marLeft w:val="0"/>
          <w:marRight w:val="0"/>
          <w:marTop w:val="0"/>
          <w:marBottom w:val="0"/>
          <w:divBdr>
            <w:top w:val="none" w:sz="0" w:space="0" w:color="auto"/>
            <w:left w:val="none" w:sz="0" w:space="0" w:color="auto"/>
            <w:bottom w:val="none" w:sz="0" w:space="0" w:color="auto"/>
            <w:right w:val="none" w:sz="0" w:space="0" w:color="auto"/>
          </w:divBdr>
          <w:divsChild>
            <w:div w:id="1765107277">
              <w:marLeft w:val="0"/>
              <w:marRight w:val="0"/>
              <w:marTop w:val="0"/>
              <w:marBottom w:val="0"/>
              <w:divBdr>
                <w:top w:val="none" w:sz="0" w:space="0" w:color="auto"/>
                <w:left w:val="none" w:sz="0" w:space="0" w:color="auto"/>
                <w:bottom w:val="none" w:sz="0" w:space="0" w:color="auto"/>
                <w:right w:val="none" w:sz="0" w:space="0" w:color="auto"/>
              </w:divBdr>
            </w:div>
          </w:divsChild>
        </w:div>
        <w:div w:id="237253073">
          <w:marLeft w:val="0"/>
          <w:marRight w:val="0"/>
          <w:marTop w:val="0"/>
          <w:marBottom w:val="0"/>
          <w:divBdr>
            <w:top w:val="none" w:sz="0" w:space="0" w:color="auto"/>
            <w:left w:val="none" w:sz="0" w:space="0" w:color="auto"/>
            <w:bottom w:val="none" w:sz="0" w:space="0" w:color="auto"/>
            <w:right w:val="none" w:sz="0" w:space="0" w:color="auto"/>
          </w:divBdr>
        </w:div>
        <w:div w:id="986473577">
          <w:marLeft w:val="0"/>
          <w:marRight w:val="0"/>
          <w:marTop w:val="0"/>
          <w:marBottom w:val="0"/>
          <w:divBdr>
            <w:top w:val="none" w:sz="0" w:space="0" w:color="auto"/>
            <w:left w:val="none" w:sz="0" w:space="0" w:color="auto"/>
            <w:bottom w:val="none" w:sz="0" w:space="0" w:color="auto"/>
            <w:right w:val="none" w:sz="0" w:space="0" w:color="auto"/>
          </w:divBdr>
        </w:div>
        <w:div w:id="1466006354">
          <w:marLeft w:val="0"/>
          <w:marRight w:val="0"/>
          <w:marTop w:val="0"/>
          <w:marBottom w:val="0"/>
          <w:divBdr>
            <w:top w:val="none" w:sz="0" w:space="0" w:color="auto"/>
            <w:left w:val="none" w:sz="0" w:space="0" w:color="auto"/>
            <w:bottom w:val="none" w:sz="0" w:space="0" w:color="auto"/>
            <w:right w:val="none" w:sz="0" w:space="0" w:color="auto"/>
          </w:divBdr>
          <w:divsChild>
            <w:div w:id="951786493">
              <w:marLeft w:val="0"/>
              <w:marRight w:val="0"/>
              <w:marTop w:val="0"/>
              <w:marBottom w:val="0"/>
              <w:divBdr>
                <w:top w:val="none" w:sz="0" w:space="0" w:color="auto"/>
                <w:left w:val="none" w:sz="0" w:space="0" w:color="auto"/>
                <w:bottom w:val="none" w:sz="0" w:space="0" w:color="auto"/>
                <w:right w:val="none" w:sz="0" w:space="0" w:color="auto"/>
              </w:divBdr>
            </w:div>
          </w:divsChild>
        </w:div>
        <w:div w:id="359285465">
          <w:marLeft w:val="0"/>
          <w:marRight w:val="0"/>
          <w:marTop w:val="0"/>
          <w:marBottom w:val="0"/>
          <w:divBdr>
            <w:top w:val="none" w:sz="0" w:space="0" w:color="auto"/>
            <w:left w:val="none" w:sz="0" w:space="0" w:color="auto"/>
            <w:bottom w:val="none" w:sz="0" w:space="0" w:color="auto"/>
            <w:right w:val="none" w:sz="0" w:space="0" w:color="auto"/>
          </w:divBdr>
        </w:div>
        <w:div w:id="131531202">
          <w:marLeft w:val="0"/>
          <w:marRight w:val="0"/>
          <w:marTop w:val="0"/>
          <w:marBottom w:val="0"/>
          <w:divBdr>
            <w:top w:val="none" w:sz="0" w:space="0" w:color="auto"/>
            <w:left w:val="none" w:sz="0" w:space="0" w:color="auto"/>
            <w:bottom w:val="none" w:sz="0" w:space="0" w:color="auto"/>
            <w:right w:val="none" w:sz="0" w:space="0" w:color="auto"/>
          </w:divBdr>
        </w:div>
        <w:div w:id="1898517548">
          <w:marLeft w:val="0"/>
          <w:marRight w:val="0"/>
          <w:marTop w:val="0"/>
          <w:marBottom w:val="0"/>
          <w:divBdr>
            <w:top w:val="none" w:sz="0" w:space="0" w:color="auto"/>
            <w:left w:val="none" w:sz="0" w:space="0" w:color="auto"/>
            <w:bottom w:val="none" w:sz="0" w:space="0" w:color="auto"/>
            <w:right w:val="none" w:sz="0" w:space="0" w:color="auto"/>
          </w:divBdr>
          <w:divsChild>
            <w:div w:id="182059084">
              <w:marLeft w:val="0"/>
              <w:marRight w:val="0"/>
              <w:marTop w:val="0"/>
              <w:marBottom w:val="0"/>
              <w:divBdr>
                <w:top w:val="none" w:sz="0" w:space="0" w:color="auto"/>
                <w:left w:val="none" w:sz="0" w:space="0" w:color="auto"/>
                <w:bottom w:val="none" w:sz="0" w:space="0" w:color="auto"/>
                <w:right w:val="none" w:sz="0" w:space="0" w:color="auto"/>
              </w:divBdr>
            </w:div>
          </w:divsChild>
        </w:div>
        <w:div w:id="1893300778">
          <w:marLeft w:val="0"/>
          <w:marRight w:val="0"/>
          <w:marTop w:val="0"/>
          <w:marBottom w:val="0"/>
          <w:divBdr>
            <w:top w:val="none" w:sz="0" w:space="0" w:color="auto"/>
            <w:left w:val="none" w:sz="0" w:space="0" w:color="auto"/>
            <w:bottom w:val="none" w:sz="0" w:space="0" w:color="auto"/>
            <w:right w:val="none" w:sz="0" w:space="0" w:color="auto"/>
          </w:divBdr>
        </w:div>
        <w:div w:id="1065108160">
          <w:marLeft w:val="0"/>
          <w:marRight w:val="0"/>
          <w:marTop w:val="0"/>
          <w:marBottom w:val="0"/>
          <w:divBdr>
            <w:top w:val="none" w:sz="0" w:space="0" w:color="auto"/>
            <w:left w:val="none" w:sz="0" w:space="0" w:color="auto"/>
            <w:bottom w:val="none" w:sz="0" w:space="0" w:color="auto"/>
            <w:right w:val="none" w:sz="0" w:space="0" w:color="auto"/>
          </w:divBdr>
        </w:div>
        <w:div w:id="1815948685">
          <w:marLeft w:val="0"/>
          <w:marRight w:val="0"/>
          <w:marTop w:val="0"/>
          <w:marBottom w:val="0"/>
          <w:divBdr>
            <w:top w:val="none" w:sz="0" w:space="0" w:color="auto"/>
            <w:left w:val="none" w:sz="0" w:space="0" w:color="auto"/>
            <w:bottom w:val="none" w:sz="0" w:space="0" w:color="auto"/>
            <w:right w:val="none" w:sz="0" w:space="0" w:color="auto"/>
          </w:divBdr>
          <w:divsChild>
            <w:div w:id="1404835134">
              <w:marLeft w:val="0"/>
              <w:marRight w:val="0"/>
              <w:marTop w:val="0"/>
              <w:marBottom w:val="0"/>
              <w:divBdr>
                <w:top w:val="none" w:sz="0" w:space="0" w:color="auto"/>
                <w:left w:val="none" w:sz="0" w:space="0" w:color="auto"/>
                <w:bottom w:val="none" w:sz="0" w:space="0" w:color="auto"/>
                <w:right w:val="none" w:sz="0" w:space="0" w:color="auto"/>
              </w:divBdr>
            </w:div>
          </w:divsChild>
        </w:div>
        <w:div w:id="281888393">
          <w:marLeft w:val="0"/>
          <w:marRight w:val="0"/>
          <w:marTop w:val="0"/>
          <w:marBottom w:val="0"/>
          <w:divBdr>
            <w:top w:val="none" w:sz="0" w:space="0" w:color="auto"/>
            <w:left w:val="none" w:sz="0" w:space="0" w:color="auto"/>
            <w:bottom w:val="none" w:sz="0" w:space="0" w:color="auto"/>
            <w:right w:val="none" w:sz="0" w:space="0" w:color="auto"/>
          </w:divBdr>
        </w:div>
        <w:div w:id="154928016">
          <w:marLeft w:val="0"/>
          <w:marRight w:val="0"/>
          <w:marTop w:val="0"/>
          <w:marBottom w:val="0"/>
          <w:divBdr>
            <w:top w:val="none" w:sz="0" w:space="0" w:color="auto"/>
            <w:left w:val="none" w:sz="0" w:space="0" w:color="auto"/>
            <w:bottom w:val="none" w:sz="0" w:space="0" w:color="auto"/>
            <w:right w:val="none" w:sz="0" w:space="0" w:color="auto"/>
          </w:divBdr>
        </w:div>
        <w:div w:id="194737692">
          <w:marLeft w:val="0"/>
          <w:marRight w:val="0"/>
          <w:marTop w:val="0"/>
          <w:marBottom w:val="0"/>
          <w:divBdr>
            <w:top w:val="none" w:sz="0" w:space="0" w:color="auto"/>
            <w:left w:val="none" w:sz="0" w:space="0" w:color="auto"/>
            <w:bottom w:val="none" w:sz="0" w:space="0" w:color="auto"/>
            <w:right w:val="none" w:sz="0" w:space="0" w:color="auto"/>
          </w:divBdr>
          <w:divsChild>
            <w:div w:id="568463071">
              <w:marLeft w:val="0"/>
              <w:marRight w:val="0"/>
              <w:marTop w:val="0"/>
              <w:marBottom w:val="0"/>
              <w:divBdr>
                <w:top w:val="none" w:sz="0" w:space="0" w:color="auto"/>
                <w:left w:val="none" w:sz="0" w:space="0" w:color="auto"/>
                <w:bottom w:val="none" w:sz="0" w:space="0" w:color="auto"/>
                <w:right w:val="none" w:sz="0" w:space="0" w:color="auto"/>
              </w:divBdr>
            </w:div>
          </w:divsChild>
        </w:div>
        <w:div w:id="1022896070">
          <w:marLeft w:val="0"/>
          <w:marRight w:val="0"/>
          <w:marTop w:val="0"/>
          <w:marBottom w:val="0"/>
          <w:divBdr>
            <w:top w:val="none" w:sz="0" w:space="0" w:color="auto"/>
            <w:left w:val="none" w:sz="0" w:space="0" w:color="auto"/>
            <w:bottom w:val="none" w:sz="0" w:space="0" w:color="auto"/>
            <w:right w:val="none" w:sz="0" w:space="0" w:color="auto"/>
          </w:divBdr>
        </w:div>
        <w:div w:id="1846819435">
          <w:marLeft w:val="0"/>
          <w:marRight w:val="0"/>
          <w:marTop w:val="0"/>
          <w:marBottom w:val="0"/>
          <w:divBdr>
            <w:top w:val="none" w:sz="0" w:space="0" w:color="auto"/>
            <w:left w:val="none" w:sz="0" w:space="0" w:color="auto"/>
            <w:bottom w:val="none" w:sz="0" w:space="0" w:color="auto"/>
            <w:right w:val="none" w:sz="0" w:space="0" w:color="auto"/>
          </w:divBdr>
        </w:div>
        <w:div w:id="1436901692">
          <w:marLeft w:val="0"/>
          <w:marRight w:val="0"/>
          <w:marTop w:val="0"/>
          <w:marBottom w:val="0"/>
          <w:divBdr>
            <w:top w:val="none" w:sz="0" w:space="0" w:color="auto"/>
            <w:left w:val="none" w:sz="0" w:space="0" w:color="auto"/>
            <w:bottom w:val="none" w:sz="0" w:space="0" w:color="auto"/>
            <w:right w:val="none" w:sz="0" w:space="0" w:color="auto"/>
          </w:divBdr>
          <w:divsChild>
            <w:div w:id="655576842">
              <w:marLeft w:val="0"/>
              <w:marRight w:val="0"/>
              <w:marTop w:val="0"/>
              <w:marBottom w:val="0"/>
              <w:divBdr>
                <w:top w:val="none" w:sz="0" w:space="0" w:color="auto"/>
                <w:left w:val="none" w:sz="0" w:space="0" w:color="auto"/>
                <w:bottom w:val="none" w:sz="0" w:space="0" w:color="auto"/>
                <w:right w:val="none" w:sz="0" w:space="0" w:color="auto"/>
              </w:divBdr>
            </w:div>
          </w:divsChild>
        </w:div>
        <w:div w:id="1497456681">
          <w:marLeft w:val="0"/>
          <w:marRight w:val="0"/>
          <w:marTop w:val="0"/>
          <w:marBottom w:val="0"/>
          <w:divBdr>
            <w:top w:val="none" w:sz="0" w:space="0" w:color="auto"/>
            <w:left w:val="none" w:sz="0" w:space="0" w:color="auto"/>
            <w:bottom w:val="none" w:sz="0" w:space="0" w:color="auto"/>
            <w:right w:val="none" w:sz="0" w:space="0" w:color="auto"/>
          </w:divBdr>
        </w:div>
        <w:div w:id="550774446">
          <w:marLeft w:val="0"/>
          <w:marRight w:val="0"/>
          <w:marTop w:val="0"/>
          <w:marBottom w:val="0"/>
          <w:divBdr>
            <w:top w:val="none" w:sz="0" w:space="0" w:color="auto"/>
            <w:left w:val="none" w:sz="0" w:space="0" w:color="auto"/>
            <w:bottom w:val="none" w:sz="0" w:space="0" w:color="auto"/>
            <w:right w:val="none" w:sz="0" w:space="0" w:color="auto"/>
          </w:divBdr>
        </w:div>
        <w:div w:id="1724208907">
          <w:marLeft w:val="0"/>
          <w:marRight w:val="0"/>
          <w:marTop w:val="0"/>
          <w:marBottom w:val="0"/>
          <w:divBdr>
            <w:top w:val="none" w:sz="0" w:space="0" w:color="auto"/>
            <w:left w:val="none" w:sz="0" w:space="0" w:color="auto"/>
            <w:bottom w:val="none" w:sz="0" w:space="0" w:color="auto"/>
            <w:right w:val="none" w:sz="0" w:space="0" w:color="auto"/>
          </w:divBdr>
          <w:divsChild>
            <w:div w:id="130756294">
              <w:marLeft w:val="0"/>
              <w:marRight w:val="0"/>
              <w:marTop w:val="0"/>
              <w:marBottom w:val="0"/>
              <w:divBdr>
                <w:top w:val="none" w:sz="0" w:space="0" w:color="auto"/>
                <w:left w:val="none" w:sz="0" w:space="0" w:color="auto"/>
                <w:bottom w:val="none" w:sz="0" w:space="0" w:color="auto"/>
                <w:right w:val="none" w:sz="0" w:space="0" w:color="auto"/>
              </w:divBdr>
            </w:div>
          </w:divsChild>
        </w:div>
        <w:div w:id="1417749485">
          <w:marLeft w:val="0"/>
          <w:marRight w:val="0"/>
          <w:marTop w:val="0"/>
          <w:marBottom w:val="0"/>
          <w:divBdr>
            <w:top w:val="none" w:sz="0" w:space="0" w:color="auto"/>
            <w:left w:val="none" w:sz="0" w:space="0" w:color="auto"/>
            <w:bottom w:val="none" w:sz="0" w:space="0" w:color="auto"/>
            <w:right w:val="none" w:sz="0" w:space="0" w:color="auto"/>
          </w:divBdr>
        </w:div>
        <w:div w:id="1509447630">
          <w:marLeft w:val="0"/>
          <w:marRight w:val="0"/>
          <w:marTop w:val="0"/>
          <w:marBottom w:val="0"/>
          <w:divBdr>
            <w:top w:val="none" w:sz="0" w:space="0" w:color="auto"/>
            <w:left w:val="none" w:sz="0" w:space="0" w:color="auto"/>
            <w:bottom w:val="none" w:sz="0" w:space="0" w:color="auto"/>
            <w:right w:val="none" w:sz="0" w:space="0" w:color="auto"/>
          </w:divBdr>
        </w:div>
        <w:div w:id="553346548">
          <w:marLeft w:val="0"/>
          <w:marRight w:val="0"/>
          <w:marTop w:val="0"/>
          <w:marBottom w:val="0"/>
          <w:divBdr>
            <w:top w:val="none" w:sz="0" w:space="0" w:color="auto"/>
            <w:left w:val="none" w:sz="0" w:space="0" w:color="auto"/>
            <w:bottom w:val="none" w:sz="0" w:space="0" w:color="auto"/>
            <w:right w:val="none" w:sz="0" w:space="0" w:color="auto"/>
          </w:divBdr>
        </w:div>
        <w:div w:id="544949031">
          <w:marLeft w:val="0"/>
          <w:marRight w:val="0"/>
          <w:marTop w:val="0"/>
          <w:marBottom w:val="0"/>
          <w:divBdr>
            <w:top w:val="none" w:sz="0" w:space="0" w:color="auto"/>
            <w:left w:val="none" w:sz="0" w:space="0" w:color="auto"/>
            <w:bottom w:val="none" w:sz="0" w:space="0" w:color="auto"/>
            <w:right w:val="none" w:sz="0" w:space="0" w:color="auto"/>
          </w:divBdr>
          <w:divsChild>
            <w:div w:id="1918057210">
              <w:marLeft w:val="0"/>
              <w:marRight w:val="0"/>
              <w:marTop w:val="0"/>
              <w:marBottom w:val="0"/>
              <w:divBdr>
                <w:top w:val="none" w:sz="0" w:space="0" w:color="auto"/>
                <w:left w:val="none" w:sz="0" w:space="0" w:color="auto"/>
                <w:bottom w:val="none" w:sz="0" w:space="0" w:color="auto"/>
                <w:right w:val="none" w:sz="0" w:space="0" w:color="auto"/>
              </w:divBdr>
            </w:div>
          </w:divsChild>
        </w:div>
        <w:div w:id="1330869779">
          <w:marLeft w:val="0"/>
          <w:marRight w:val="0"/>
          <w:marTop w:val="0"/>
          <w:marBottom w:val="0"/>
          <w:divBdr>
            <w:top w:val="none" w:sz="0" w:space="0" w:color="auto"/>
            <w:left w:val="none" w:sz="0" w:space="0" w:color="auto"/>
            <w:bottom w:val="none" w:sz="0" w:space="0" w:color="auto"/>
            <w:right w:val="none" w:sz="0" w:space="0" w:color="auto"/>
          </w:divBdr>
        </w:div>
        <w:div w:id="1679431685">
          <w:marLeft w:val="0"/>
          <w:marRight w:val="0"/>
          <w:marTop w:val="0"/>
          <w:marBottom w:val="0"/>
          <w:divBdr>
            <w:top w:val="none" w:sz="0" w:space="0" w:color="auto"/>
            <w:left w:val="none" w:sz="0" w:space="0" w:color="auto"/>
            <w:bottom w:val="none" w:sz="0" w:space="0" w:color="auto"/>
            <w:right w:val="none" w:sz="0" w:space="0" w:color="auto"/>
          </w:divBdr>
        </w:div>
        <w:div w:id="383482008">
          <w:marLeft w:val="0"/>
          <w:marRight w:val="0"/>
          <w:marTop w:val="0"/>
          <w:marBottom w:val="0"/>
          <w:divBdr>
            <w:top w:val="none" w:sz="0" w:space="0" w:color="auto"/>
            <w:left w:val="none" w:sz="0" w:space="0" w:color="auto"/>
            <w:bottom w:val="none" w:sz="0" w:space="0" w:color="auto"/>
            <w:right w:val="none" w:sz="0" w:space="0" w:color="auto"/>
          </w:divBdr>
          <w:divsChild>
            <w:div w:id="59789265">
              <w:marLeft w:val="0"/>
              <w:marRight w:val="0"/>
              <w:marTop w:val="0"/>
              <w:marBottom w:val="0"/>
              <w:divBdr>
                <w:top w:val="none" w:sz="0" w:space="0" w:color="auto"/>
                <w:left w:val="none" w:sz="0" w:space="0" w:color="auto"/>
                <w:bottom w:val="none" w:sz="0" w:space="0" w:color="auto"/>
                <w:right w:val="none" w:sz="0" w:space="0" w:color="auto"/>
              </w:divBdr>
            </w:div>
          </w:divsChild>
        </w:div>
        <w:div w:id="2088455516">
          <w:marLeft w:val="0"/>
          <w:marRight w:val="0"/>
          <w:marTop w:val="0"/>
          <w:marBottom w:val="0"/>
          <w:divBdr>
            <w:top w:val="none" w:sz="0" w:space="0" w:color="auto"/>
            <w:left w:val="none" w:sz="0" w:space="0" w:color="auto"/>
            <w:bottom w:val="none" w:sz="0" w:space="0" w:color="auto"/>
            <w:right w:val="none" w:sz="0" w:space="0" w:color="auto"/>
          </w:divBdr>
        </w:div>
        <w:div w:id="1453939776">
          <w:marLeft w:val="0"/>
          <w:marRight w:val="0"/>
          <w:marTop w:val="0"/>
          <w:marBottom w:val="0"/>
          <w:divBdr>
            <w:top w:val="none" w:sz="0" w:space="0" w:color="auto"/>
            <w:left w:val="none" w:sz="0" w:space="0" w:color="auto"/>
            <w:bottom w:val="none" w:sz="0" w:space="0" w:color="auto"/>
            <w:right w:val="none" w:sz="0" w:space="0" w:color="auto"/>
          </w:divBdr>
        </w:div>
        <w:div w:id="88431680">
          <w:marLeft w:val="0"/>
          <w:marRight w:val="0"/>
          <w:marTop w:val="0"/>
          <w:marBottom w:val="0"/>
          <w:divBdr>
            <w:top w:val="none" w:sz="0" w:space="0" w:color="auto"/>
            <w:left w:val="none" w:sz="0" w:space="0" w:color="auto"/>
            <w:bottom w:val="none" w:sz="0" w:space="0" w:color="auto"/>
            <w:right w:val="none" w:sz="0" w:space="0" w:color="auto"/>
          </w:divBdr>
          <w:divsChild>
            <w:div w:id="893152277">
              <w:marLeft w:val="0"/>
              <w:marRight w:val="0"/>
              <w:marTop w:val="0"/>
              <w:marBottom w:val="0"/>
              <w:divBdr>
                <w:top w:val="none" w:sz="0" w:space="0" w:color="auto"/>
                <w:left w:val="none" w:sz="0" w:space="0" w:color="auto"/>
                <w:bottom w:val="none" w:sz="0" w:space="0" w:color="auto"/>
                <w:right w:val="none" w:sz="0" w:space="0" w:color="auto"/>
              </w:divBdr>
            </w:div>
          </w:divsChild>
        </w:div>
        <w:div w:id="842161326">
          <w:marLeft w:val="0"/>
          <w:marRight w:val="0"/>
          <w:marTop w:val="0"/>
          <w:marBottom w:val="0"/>
          <w:divBdr>
            <w:top w:val="none" w:sz="0" w:space="0" w:color="auto"/>
            <w:left w:val="none" w:sz="0" w:space="0" w:color="auto"/>
            <w:bottom w:val="none" w:sz="0" w:space="0" w:color="auto"/>
            <w:right w:val="none" w:sz="0" w:space="0" w:color="auto"/>
          </w:divBdr>
        </w:div>
        <w:div w:id="825434712">
          <w:marLeft w:val="0"/>
          <w:marRight w:val="0"/>
          <w:marTop w:val="0"/>
          <w:marBottom w:val="0"/>
          <w:divBdr>
            <w:top w:val="none" w:sz="0" w:space="0" w:color="auto"/>
            <w:left w:val="none" w:sz="0" w:space="0" w:color="auto"/>
            <w:bottom w:val="none" w:sz="0" w:space="0" w:color="auto"/>
            <w:right w:val="none" w:sz="0" w:space="0" w:color="auto"/>
          </w:divBdr>
        </w:div>
        <w:div w:id="2049377160">
          <w:marLeft w:val="0"/>
          <w:marRight w:val="0"/>
          <w:marTop w:val="0"/>
          <w:marBottom w:val="0"/>
          <w:divBdr>
            <w:top w:val="none" w:sz="0" w:space="0" w:color="auto"/>
            <w:left w:val="none" w:sz="0" w:space="0" w:color="auto"/>
            <w:bottom w:val="none" w:sz="0" w:space="0" w:color="auto"/>
            <w:right w:val="none" w:sz="0" w:space="0" w:color="auto"/>
          </w:divBdr>
          <w:divsChild>
            <w:div w:id="597952836">
              <w:marLeft w:val="0"/>
              <w:marRight w:val="0"/>
              <w:marTop w:val="0"/>
              <w:marBottom w:val="0"/>
              <w:divBdr>
                <w:top w:val="none" w:sz="0" w:space="0" w:color="auto"/>
                <w:left w:val="none" w:sz="0" w:space="0" w:color="auto"/>
                <w:bottom w:val="none" w:sz="0" w:space="0" w:color="auto"/>
                <w:right w:val="none" w:sz="0" w:space="0" w:color="auto"/>
              </w:divBdr>
            </w:div>
          </w:divsChild>
        </w:div>
        <w:div w:id="2019042909">
          <w:marLeft w:val="0"/>
          <w:marRight w:val="0"/>
          <w:marTop w:val="0"/>
          <w:marBottom w:val="0"/>
          <w:divBdr>
            <w:top w:val="none" w:sz="0" w:space="0" w:color="auto"/>
            <w:left w:val="none" w:sz="0" w:space="0" w:color="auto"/>
            <w:bottom w:val="none" w:sz="0" w:space="0" w:color="auto"/>
            <w:right w:val="none" w:sz="0" w:space="0" w:color="auto"/>
          </w:divBdr>
        </w:div>
        <w:div w:id="1629701380">
          <w:marLeft w:val="0"/>
          <w:marRight w:val="0"/>
          <w:marTop w:val="0"/>
          <w:marBottom w:val="0"/>
          <w:divBdr>
            <w:top w:val="none" w:sz="0" w:space="0" w:color="auto"/>
            <w:left w:val="none" w:sz="0" w:space="0" w:color="auto"/>
            <w:bottom w:val="none" w:sz="0" w:space="0" w:color="auto"/>
            <w:right w:val="none" w:sz="0" w:space="0" w:color="auto"/>
          </w:divBdr>
        </w:div>
        <w:div w:id="123738485">
          <w:marLeft w:val="0"/>
          <w:marRight w:val="0"/>
          <w:marTop w:val="0"/>
          <w:marBottom w:val="0"/>
          <w:divBdr>
            <w:top w:val="none" w:sz="0" w:space="0" w:color="auto"/>
            <w:left w:val="none" w:sz="0" w:space="0" w:color="auto"/>
            <w:bottom w:val="none" w:sz="0" w:space="0" w:color="auto"/>
            <w:right w:val="none" w:sz="0" w:space="0" w:color="auto"/>
          </w:divBdr>
          <w:divsChild>
            <w:div w:id="1032222692">
              <w:marLeft w:val="0"/>
              <w:marRight w:val="0"/>
              <w:marTop w:val="0"/>
              <w:marBottom w:val="0"/>
              <w:divBdr>
                <w:top w:val="none" w:sz="0" w:space="0" w:color="auto"/>
                <w:left w:val="none" w:sz="0" w:space="0" w:color="auto"/>
                <w:bottom w:val="none" w:sz="0" w:space="0" w:color="auto"/>
                <w:right w:val="none" w:sz="0" w:space="0" w:color="auto"/>
              </w:divBdr>
            </w:div>
          </w:divsChild>
        </w:div>
        <w:div w:id="974025114">
          <w:marLeft w:val="0"/>
          <w:marRight w:val="0"/>
          <w:marTop w:val="0"/>
          <w:marBottom w:val="0"/>
          <w:divBdr>
            <w:top w:val="none" w:sz="0" w:space="0" w:color="auto"/>
            <w:left w:val="none" w:sz="0" w:space="0" w:color="auto"/>
            <w:bottom w:val="none" w:sz="0" w:space="0" w:color="auto"/>
            <w:right w:val="none" w:sz="0" w:space="0" w:color="auto"/>
          </w:divBdr>
        </w:div>
        <w:div w:id="1328365615">
          <w:marLeft w:val="0"/>
          <w:marRight w:val="0"/>
          <w:marTop w:val="0"/>
          <w:marBottom w:val="0"/>
          <w:divBdr>
            <w:top w:val="none" w:sz="0" w:space="0" w:color="auto"/>
            <w:left w:val="none" w:sz="0" w:space="0" w:color="auto"/>
            <w:bottom w:val="none" w:sz="0" w:space="0" w:color="auto"/>
            <w:right w:val="none" w:sz="0" w:space="0" w:color="auto"/>
          </w:divBdr>
        </w:div>
        <w:div w:id="808934094">
          <w:marLeft w:val="0"/>
          <w:marRight w:val="0"/>
          <w:marTop w:val="0"/>
          <w:marBottom w:val="0"/>
          <w:divBdr>
            <w:top w:val="none" w:sz="0" w:space="0" w:color="auto"/>
            <w:left w:val="none" w:sz="0" w:space="0" w:color="auto"/>
            <w:bottom w:val="none" w:sz="0" w:space="0" w:color="auto"/>
            <w:right w:val="none" w:sz="0" w:space="0" w:color="auto"/>
          </w:divBdr>
          <w:divsChild>
            <w:div w:id="1726834910">
              <w:marLeft w:val="0"/>
              <w:marRight w:val="0"/>
              <w:marTop w:val="0"/>
              <w:marBottom w:val="0"/>
              <w:divBdr>
                <w:top w:val="none" w:sz="0" w:space="0" w:color="auto"/>
                <w:left w:val="none" w:sz="0" w:space="0" w:color="auto"/>
                <w:bottom w:val="none" w:sz="0" w:space="0" w:color="auto"/>
                <w:right w:val="none" w:sz="0" w:space="0" w:color="auto"/>
              </w:divBdr>
            </w:div>
          </w:divsChild>
        </w:div>
        <w:div w:id="748120542">
          <w:marLeft w:val="0"/>
          <w:marRight w:val="0"/>
          <w:marTop w:val="0"/>
          <w:marBottom w:val="0"/>
          <w:divBdr>
            <w:top w:val="none" w:sz="0" w:space="0" w:color="auto"/>
            <w:left w:val="none" w:sz="0" w:space="0" w:color="auto"/>
            <w:bottom w:val="none" w:sz="0" w:space="0" w:color="auto"/>
            <w:right w:val="none" w:sz="0" w:space="0" w:color="auto"/>
          </w:divBdr>
        </w:div>
        <w:div w:id="278950517">
          <w:marLeft w:val="0"/>
          <w:marRight w:val="0"/>
          <w:marTop w:val="0"/>
          <w:marBottom w:val="0"/>
          <w:divBdr>
            <w:top w:val="none" w:sz="0" w:space="0" w:color="auto"/>
            <w:left w:val="none" w:sz="0" w:space="0" w:color="auto"/>
            <w:bottom w:val="none" w:sz="0" w:space="0" w:color="auto"/>
            <w:right w:val="none" w:sz="0" w:space="0" w:color="auto"/>
          </w:divBdr>
        </w:div>
        <w:div w:id="985861538">
          <w:marLeft w:val="0"/>
          <w:marRight w:val="0"/>
          <w:marTop w:val="0"/>
          <w:marBottom w:val="0"/>
          <w:divBdr>
            <w:top w:val="none" w:sz="0" w:space="0" w:color="auto"/>
            <w:left w:val="none" w:sz="0" w:space="0" w:color="auto"/>
            <w:bottom w:val="none" w:sz="0" w:space="0" w:color="auto"/>
            <w:right w:val="none" w:sz="0" w:space="0" w:color="auto"/>
          </w:divBdr>
          <w:divsChild>
            <w:div w:id="180170887">
              <w:marLeft w:val="0"/>
              <w:marRight w:val="0"/>
              <w:marTop w:val="0"/>
              <w:marBottom w:val="0"/>
              <w:divBdr>
                <w:top w:val="none" w:sz="0" w:space="0" w:color="auto"/>
                <w:left w:val="none" w:sz="0" w:space="0" w:color="auto"/>
                <w:bottom w:val="none" w:sz="0" w:space="0" w:color="auto"/>
                <w:right w:val="none" w:sz="0" w:space="0" w:color="auto"/>
              </w:divBdr>
            </w:div>
          </w:divsChild>
        </w:div>
        <w:div w:id="169611142">
          <w:marLeft w:val="0"/>
          <w:marRight w:val="0"/>
          <w:marTop w:val="0"/>
          <w:marBottom w:val="0"/>
          <w:divBdr>
            <w:top w:val="none" w:sz="0" w:space="0" w:color="auto"/>
            <w:left w:val="none" w:sz="0" w:space="0" w:color="auto"/>
            <w:bottom w:val="none" w:sz="0" w:space="0" w:color="auto"/>
            <w:right w:val="none" w:sz="0" w:space="0" w:color="auto"/>
          </w:divBdr>
        </w:div>
        <w:div w:id="317882046">
          <w:marLeft w:val="0"/>
          <w:marRight w:val="0"/>
          <w:marTop w:val="0"/>
          <w:marBottom w:val="0"/>
          <w:divBdr>
            <w:top w:val="none" w:sz="0" w:space="0" w:color="auto"/>
            <w:left w:val="none" w:sz="0" w:space="0" w:color="auto"/>
            <w:bottom w:val="none" w:sz="0" w:space="0" w:color="auto"/>
            <w:right w:val="none" w:sz="0" w:space="0" w:color="auto"/>
          </w:divBdr>
        </w:div>
        <w:div w:id="1836189079">
          <w:marLeft w:val="0"/>
          <w:marRight w:val="0"/>
          <w:marTop w:val="0"/>
          <w:marBottom w:val="0"/>
          <w:divBdr>
            <w:top w:val="none" w:sz="0" w:space="0" w:color="auto"/>
            <w:left w:val="none" w:sz="0" w:space="0" w:color="auto"/>
            <w:bottom w:val="none" w:sz="0" w:space="0" w:color="auto"/>
            <w:right w:val="none" w:sz="0" w:space="0" w:color="auto"/>
          </w:divBdr>
        </w:div>
        <w:div w:id="2088501856">
          <w:marLeft w:val="0"/>
          <w:marRight w:val="0"/>
          <w:marTop w:val="0"/>
          <w:marBottom w:val="0"/>
          <w:divBdr>
            <w:top w:val="none" w:sz="0" w:space="0" w:color="auto"/>
            <w:left w:val="none" w:sz="0" w:space="0" w:color="auto"/>
            <w:bottom w:val="none" w:sz="0" w:space="0" w:color="auto"/>
            <w:right w:val="none" w:sz="0" w:space="0" w:color="auto"/>
          </w:divBdr>
        </w:div>
        <w:div w:id="317467128">
          <w:marLeft w:val="0"/>
          <w:marRight w:val="0"/>
          <w:marTop w:val="0"/>
          <w:marBottom w:val="0"/>
          <w:divBdr>
            <w:top w:val="none" w:sz="0" w:space="0" w:color="auto"/>
            <w:left w:val="none" w:sz="0" w:space="0" w:color="auto"/>
            <w:bottom w:val="none" w:sz="0" w:space="0" w:color="auto"/>
            <w:right w:val="none" w:sz="0" w:space="0" w:color="auto"/>
          </w:divBdr>
        </w:div>
        <w:div w:id="838077578">
          <w:marLeft w:val="0"/>
          <w:marRight w:val="0"/>
          <w:marTop w:val="0"/>
          <w:marBottom w:val="0"/>
          <w:divBdr>
            <w:top w:val="none" w:sz="0" w:space="0" w:color="auto"/>
            <w:left w:val="none" w:sz="0" w:space="0" w:color="auto"/>
            <w:bottom w:val="none" w:sz="0" w:space="0" w:color="auto"/>
            <w:right w:val="none" w:sz="0" w:space="0" w:color="auto"/>
          </w:divBdr>
        </w:div>
        <w:div w:id="514613109">
          <w:marLeft w:val="0"/>
          <w:marRight w:val="0"/>
          <w:marTop w:val="0"/>
          <w:marBottom w:val="0"/>
          <w:divBdr>
            <w:top w:val="none" w:sz="0" w:space="0" w:color="auto"/>
            <w:left w:val="none" w:sz="0" w:space="0" w:color="auto"/>
            <w:bottom w:val="none" w:sz="0" w:space="0" w:color="auto"/>
            <w:right w:val="none" w:sz="0" w:space="0" w:color="auto"/>
          </w:divBdr>
        </w:div>
        <w:div w:id="579757265">
          <w:marLeft w:val="0"/>
          <w:marRight w:val="0"/>
          <w:marTop w:val="0"/>
          <w:marBottom w:val="0"/>
          <w:divBdr>
            <w:top w:val="none" w:sz="0" w:space="0" w:color="auto"/>
            <w:left w:val="none" w:sz="0" w:space="0" w:color="auto"/>
            <w:bottom w:val="none" w:sz="0" w:space="0" w:color="auto"/>
            <w:right w:val="none" w:sz="0" w:space="0" w:color="auto"/>
          </w:divBdr>
        </w:div>
        <w:div w:id="1154027217">
          <w:marLeft w:val="0"/>
          <w:marRight w:val="0"/>
          <w:marTop w:val="0"/>
          <w:marBottom w:val="0"/>
          <w:divBdr>
            <w:top w:val="none" w:sz="0" w:space="0" w:color="auto"/>
            <w:left w:val="none" w:sz="0" w:space="0" w:color="auto"/>
            <w:bottom w:val="none" w:sz="0" w:space="0" w:color="auto"/>
            <w:right w:val="none" w:sz="0" w:space="0" w:color="auto"/>
          </w:divBdr>
        </w:div>
        <w:div w:id="1705133619">
          <w:marLeft w:val="0"/>
          <w:marRight w:val="0"/>
          <w:marTop w:val="0"/>
          <w:marBottom w:val="0"/>
          <w:divBdr>
            <w:top w:val="none" w:sz="0" w:space="0" w:color="auto"/>
            <w:left w:val="none" w:sz="0" w:space="0" w:color="auto"/>
            <w:bottom w:val="none" w:sz="0" w:space="0" w:color="auto"/>
            <w:right w:val="none" w:sz="0" w:space="0" w:color="auto"/>
          </w:divBdr>
          <w:divsChild>
            <w:div w:id="2145346042">
              <w:marLeft w:val="0"/>
              <w:marRight w:val="0"/>
              <w:marTop w:val="0"/>
              <w:marBottom w:val="0"/>
              <w:divBdr>
                <w:top w:val="none" w:sz="0" w:space="0" w:color="auto"/>
                <w:left w:val="none" w:sz="0" w:space="0" w:color="auto"/>
                <w:bottom w:val="none" w:sz="0" w:space="0" w:color="auto"/>
                <w:right w:val="none" w:sz="0" w:space="0" w:color="auto"/>
              </w:divBdr>
            </w:div>
          </w:divsChild>
        </w:div>
        <w:div w:id="719786372">
          <w:marLeft w:val="0"/>
          <w:marRight w:val="0"/>
          <w:marTop w:val="0"/>
          <w:marBottom w:val="0"/>
          <w:divBdr>
            <w:top w:val="none" w:sz="0" w:space="0" w:color="auto"/>
            <w:left w:val="none" w:sz="0" w:space="0" w:color="auto"/>
            <w:bottom w:val="none" w:sz="0" w:space="0" w:color="auto"/>
            <w:right w:val="none" w:sz="0" w:space="0" w:color="auto"/>
          </w:divBdr>
        </w:div>
        <w:div w:id="46682878">
          <w:marLeft w:val="0"/>
          <w:marRight w:val="0"/>
          <w:marTop w:val="0"/>
          <w:marBottom w:val="0"/>
          <w:divBdr>
            <w:top w:val="none" w:sz="0" w:space="0" w:color="auto"/>
            <w:left w:val="none" w:sz="0" w:space="0" w:color="auto"/>
            <w:bottom w:val="none" w:sz="0" w:space="0" w:color="auto"/>
            <w:right w:val="none" w:sz="0" w:space="0" w:color="auto"/>
          </w:divBdr>
        </w:div>
      </w:divsChild>
    </w:div>
    <w:div w:id="61217641">
      <w:bodyDiv w:val="1"/>
      <w:marLeft w:val="0"/>
      <w:marRight w:val="0"/>
      <w:marTop w:val="0"/>
      <w:marBottom w:val="0"/>
      <w:divBdr>
        <w:top w:val="none" w:sz="0" w:space="0" w:color="auto"/>
        <w:left w:val="none" w:sz="0" w:space="0" w:color="auto"/>
        <w:bottom w:val="none" w:sz="0" w:space="0" w:color="auto"/>
        <w:right w:val="none" w:sz="0" w:space="0" w:color="auto"/>
      </w:divBdr>
      <w:divsChild>
        <w:div w:id="255943758">
          <w:marLeft w:val="0"/>
          <w:marRight w:val="0"/>
          <w:marTop w:val="0"/>
          <w:marBottom w:val="0"/>
          <w:divBdr>
            <w:top w:val="none" w:sz="0" w:space="0" w:color="auto"/>
            <w:left w:val="none" w:sz="0" w:space="0" w:color="auto"/>
            <w:bottom w:val="single" w:sz="6" w:space="12" w:color="DDDDDD"/>
            <w:right w:val="none" w:sz="0" w:space="0" w:color="auto"/>
          </w:divBdr>
          <w:divsChild>
            <w:div w:id="1484813931">
              <w:marLeft w:val="0"/>
              <w:marRight w:val="0"/>
              <w:marTop w:val="0"/>
              <w:marBottom w:val="0"/>
              <w:divBdr>
                <w:top w:val="none" w:sz="0" w:space="0" w:color="auto"/>
                <w:left w:val="none" w:sz="0" w:space="0" w:color="auto"/>
                <w:bottom w:val="none" w:sz="0" w:space="0" w:color="auto"/>
                <w:right w:val="none" w:sz="0" w:space="0" w:color="auto"/>
              </w:divBdr>
              <w:divsChild>
                <w:div w:id="1760908473">
                  <w:marLeft w:val="0"/>
                  <w:marRight w:val="0"/>
                  <w:marTop w:val="0"/>
                  <w:marBottom w:val="0"/>
                  <w:divBdr>
                    <w:top w:val="none" w:sz="0" w:space="0" w:color="auto"/>
                    <w:left w:val="none" w:sz="0" w:space="0" w:color="auto"/>
                    <w:bottom w:val="none" w:sz="0" w:space="0" w:color="auto"/>
                    <w:right w:val="none" w:sz="0" w:space="0" w:color="auto"/>
                  </w:divBdr>
                  <w:divsChild>
                    <w:div w:id="1242791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3091308">
          <w:marLeft w:val="0"/>
          <w:marRight w:val="0"/>
          <w:marTop w:val="0"/>
          <w:marBottom w:val="0"/>
          <w:divBdr>
            <w:top w:val="none" w:sz="0" w:space="0" w:color="auto"/>
            <w:left w:val="none" w:sz="0" w:space="0" w:color="auto"/>
            <w:bottom w:val="single" w:sz="6" w:space="12" w:color="DDDDDD"/>
            <w:right w:val="none" w:sz="0" w:space="0" w:color="auto"/>
          </w:divBdr>
          <w:divsChild>
            <w:div w:id="374625082">
              <w:marLeft w:val="0"/>
              <w:marRight w:val="0"/>
              <w:marTop w:val="0"/>
              <w:marBottom w:val="0"/>
              <w:divBdr>
                <w:top w:val="none" w:sz="0" w:space="0" w:color="auto"/>
                <w:left w:val="none" w:sz="0" w:space="0" w:color="auto"/>
                <w:bottom w:val="none" w:sz="0" w:space="0" w:color="auto"/>
                <w:right w:val="none" w:sz="0" w:space="0" w:color="auto"/>
              </w:divBdr>
              <w:divsChild>
                <w:div w:id="1377971037">
                  <w:marLeft w:val="0"/>
                  <w:marRight w:val="0"/>
                  <w:marTop w:val="0"/>
                  <w:marBottom w:val="0"/>
                  <w:divBdr>
                    <w:top w:val="none" w:sz="0" w:space="0" w:color="auto"/>
                    <w:left w:val="none" w:sz="0" w:space="0" w:color="auto"/>
                    <w:bottom w:val="none" w:sz="0" w:space="0" w:color="auto"/>
                    <w:right w:val="none" w:sz="0" w:space="0" w:color="auto"/>
                  </w:divBdr>
                  <w:divsChild>
                    <w:div w:id="885144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3143151">
          <w:marLeft w:val="0"/>
          <w:marRight w:val="0"/>
          <w:marTop w:val="0"/>
          <w:marBottom w:val="0"/>
          <w:divBdr>
            <w:top w:val="none" w:sz="0" w:space="0" w:color="auto"/>
            <w:left w:val="none" w:sz="0" w:space="0" w:color="auto"/>
            <w:bottom w:val="single" w:sz="6" w:space="12" w:color="DDDDDD"/>
            <w:right w:val="none" w:sz="0" w:space="0" w:color="auto"/>
          </w:divBdr>
          <w:divsChild>
            <w:div w:id="1645158707">
              <w:marLeft w:val="0"/>
              <w:marRight w:val="0"/>
              <w:marTop w:val="0"/>
              <w:marBottom w:val="0"/>
              <w:divBdr>
                <w:top w:val="none" w:sz="0" w:space="0" w:color="auto"/>
                <w:left w:val="none" w:sz="0" w:space="0" w:color="auto"/>
                <w:bottom w:val="none" w:sz="0" w:space="0" w:color="auto"/>
                <w:right w:val="none" w:sz="0" w:space="0" w:color="auto"/>
              </w:divBdr>
              <w:divsChild>
                <w:div w:id="924651213">
                  <w:marLeft w:val="0"/>
                  <w:marRight w:val="0"/>
                  <w:marTop w:val="0"/>
                  <w:marBottom w:val="0"/>
                  <w:divBdr>
                    <w:top w:val="none" w:sz="0" w:space="0" w:color="auto"/>
                    <w:left w:val="none" w:sz="0" w:space="0" w:color="auto"/>
                    <w:bottom w:val="none" w:sz="0" w:space="0" w:color="auto"/>
                    <w:right w:val="none" w:sz="0" w:space="0" w:color="auto"/>
                  </w:divBdr>
                  <w:divsChild>
                    <w:div w:id="510604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9040183">
          <w:marLeft w:val="0"/>
          <w:marRight w:val="0"/>
          <w:marTop w:val="0"/>
          <w:marBottom w:val="0"/>
          <w:divBdr>
            <w:top w:val="none" w:sz="0" w:space="0" w:color="auto"/>
            <w:left w:val="none" w:sz="0" w:space="0" w:color="auto"/>
            <w:bottom w:val="single" w:sz="6" w:space="12" w:color="DDDDDD"/>
            <w:right w:val="none" w:sz="0" w:space="0" w:color="auto"/>
          </w:divBdr>
          <w:divsChild>
            <w:div w:id="2049602499">
              <w:marLeft w:val="0"/>
              <w:marRight w:val="0"/>
              <w:marTop w:val="0"/>
              <w:marBottom w:val="0"/>
              <w:divBdr>
                <w:top w:val="none" w:sz="0" w:space="0" w:color="auto"/>
                <w:left w:val="none" w:sz="0" w:space="0" w:color="auto"/>
                <w:bottom w:val="none" w:sz="0" w:space="0" w:color="auto"/>
                <w:right w:val="none" w:sz="0" w:space="0" w:color="auto"/>
              </w:divBdr>
              <w:divsChild>
                <w:div w:id="354768281">
                  <w:marLeft w:val="0"/>
                  <w:marRight w:val="0"/>
                  <w:marTop w:val="0"/>
                  <w:marBottom w:val="0"/>
                  <w:divBdr>
                    <w:top w:val="none" w:sz="0" w:space="0" w:color="auto"/>
                    <w:left w:val="none" w:sz="0" w:space="0" w:color="auto"/>
                    <w:bottom w:val="none" w:sz="0" w:space="0" w:color="auto"/>
                    <w:right w:val="none" w:sz="0" w:space="0" w:color="auto"/>
                  </w:divBdr>
                  <w:divsChild>
                    <w:div w:id="1347095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0302809">
          <w:marLeft w:val="0"/>
          <w:marRight w:val="0"/>
          <w:marTop w:val="0"/>
          <w:marBottom w:val="0"/>
          <w:divBdr>
            <w:top w:val="none" w:sz="0" w:space="0" w:color="auto"/>
            <w:left w:val="none" w:sz="0" w:space="0" w:color="auto"/>
            <w:bottom w:val="single" w:sz="6" w:space="12" w:color="DDDDDD"/>
            <w:right w:val="none" w:sz="0" w:space="0" w:color="auto"/>
          </w:divBdr>
          <w:divsChild>
            <w:div w:id="1358040395">
              <w:marLeft w:val="0"/>
              <w:marRight w:val="0"/>
              <w:marTop w:val="0"/>
              <w:marBottom w:val="0"/>
              <w:divBdr>
                <w:top w:val="none" w:sz="0" w:space="0" w:color="auto"/>
                <w:left w:val="none" w:sz="0" w:space="0" w:color="auto"/>
                <w:bottom w:val="none" w:sz="0" w:space="0" w:color="auto"/>
                <w:right w:val="none" w:sz="0" w:space="0" w:color="auto"/>
              </w:divBdr>
              <w:divsChild>
                <w:div w:id="1238173725">
                  <w:marLeft w:val="0"/>
                  <w:marRight w:val="0"/>
                  <w:marTop w:val="0"/>
                  <w:marBottom w:val="0"/>
                  <w:divBdr>
                    <w:top w:val="none" w:sz="0" w:space="0" w:color="auto"/>
                    <w:left w:val="none" w:sz="0" w:space="0" w:color="auto"/>
                    <w:bottom w:val="none" w:sz="0" w:space="0" w:color="auto"/>
                    <w:right w:val="none" w:sz="0" w:space="0" w:color="auto"/>
                  </w:divBdr>
                  <w:divsChild>
                    <w:div w:id="366174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5197833">
          <w:marLeft w:val="0"/>
          <w:marRight w:val="0"/>
          <w:marTop w:val="0"/>
          <w:marBottom w:val="0"/>
          <w:divBdr>
            <w:top w:val="none" w:sz="0" w:space="0" w:color="auto"/>
            <w:left w:val="none" w:sz="0" w:space="0" w:color="auto"/>
            <w:bottom w:val="none" w:sz="0" w:space="0" w:color="auto"/>
            <w:right w:val="none" w:sz="0" w:space="0" w:color="auto"/>
          </w:divBdr>
          <w:divsChild>
            <w:div w:id="2027170473">
              <w:marLeft w:val="0"/>
              <w:marRight w:val="0"/>
              <w:marTop w:val="0"/>
              <w:marBottom w:val="0"/>
              <w:divBdr>
                <w:top w:val="none" w:sz="0" w:space="0" w:color="auto"/>
                <w:left w:val="none" w:sz="0" w:space="0" w:color="auto"/>
                <w:bottom w:val="none" w:sz="0" w:space="0" w:color="auto"/>
                <w:right w:val="none" w:sz="0" w:space="0" w:color="auto"/>
              </w:divBdr>
              <w:divsChild>
                <w:div w:id="823816483">
                  <w:marLeft w:val="0"/>
                  <w:marRight w:val="0"/>
                  <w:marTop w:val="0"/>
                  <w:marBottom w:val="0"/>
                  <w:divBdr>
                    <w:top w:val="none" w:sz="0" w:space="0" w:color="auto"/>
                    <w:left w:val="none" w:sz="0" w:space="0" w:color="auto"/>
                    <w:bottom w:val="none" w:sz="0" w:space="0" w:color="auto"/>
                    <w:right w:val="none" w:sz="0" w:space="0" w:color="auto"/>
                  </w:divBdr>
                  <w:divsChild>
                    <w:div w:id="1457724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0587517">
      <w:bodyDiv w:val="1"/>
      <w:marLeft w:val="0"/>
      <w:marRight w:val="0"/>
      <w:marTop w:val="0"/>
      <w:marBottom w:val="0"/>
      <w:divBdr>
        <w:top w:val="none" w:sz="0" w:space="0" w:color="auto"/>
        <w:left w:val="none" w:sz="0" w:space="0" w:color="auto"/>
        <w:bottom w:val="none" w:sz="0" w:space="0" w:color="auto"/>
        <w:right w:val="none" w:sz="0" w:space="0" w:color="auto"/>
      </w:divBdr>
    </w:div>
    <w:div w:id="71439618">
      <w:bodyDiv w:val="1"/>
      <w:marLeft w:val="0"/>
      <w:marRight w:val="0"/>
      <w:marTop w:val="0"/>
      <w:marBottom w:val="0"/>
      <w:divBdr>
        <w:top w:val="none" w:sz="0" w:space="0" w:color="auto"/>
        <w:left w:val="none" w:sz="0" w:space="0" w:color="auto"/>
        <w:bottom w:val="none" w:sz="0" w:space="0" w:color="auto"/>
        <w:right w:val="none" w:sz="0" w:space="0" w:color="auto"/>
      </w:divBdr>
      <w:divsChild>
        <w:div w:id="709307120">
          <w:marLeft w:val="0"/>
          <w:marRight w:val="0"/>
          <w:marTop w:val="180"/>
          <w:marBottom w:val="0"/>
          <w:divBdr>
            <w:top w:val="none" w:sz="0" w:space="0" w:color="auto"/>
            <w:left w:val="none" w:sz="0" w:space="0" w:color="auto"/>
            <w:bottom w:val="none" w:sz="0" w:space="0" w:color="auto"/>
            <w:right w:val="none" w:sz="0" w:space="0" w:color="auto"/>
          </w:divBdr>
          <w:divsChild>
            <w:div w:id="2042390506">
              <w:marLeft w:val="0"/>
              <w:marRight w:val="0"/>
              <w:marTop w:val="0"/>
              <w:marBottom w:val="0"/>
              <w:divBdr>
                <w:top w:val="none" w:sz="0" w:space="0" w:color="auto"/>
                <w:left w:val="none" w:sz="0" w:space="0" w:color="auto"/>
                <w:bottom w:val="none" w:sz="0" w:space="0" w:color="auto"/>
                <w:right w:val="none" w:sz="0" w:space="0" w:color="auto"/>
              </w:divBdr>
              <w:divsChild>
                <w:div w:id="1116144653">
                  <w:marLeft w:val="0"/>
                  <w:marRight w:val="0"/>
                  <w:marTop w:val="0"/>
                  <w:marBottom w:val="0"/>
                  <w:divBdr>
                    <w:top w:val="none" w:sz="0" w:space="0" w:color="auto"/>
                    <w:left w:val="none" w:sz="0" w:space="0" w:color="auto"/>
                    <w:bottom w:val="none" w:sz="0" w:space="0" w:color="auto"/>
                    <w:right w:val="none" w:sz="0" w:space="0" w:color="auto"/>
                  </w:divBdr>
                  <w:divsChild>
                    <w:div w:id="158929346">
                      <w:marLeft w:val="0"/>
                      <w:marRight w:val="0"/>
                      <w:marTop w:val="0"/>
                      <w:marBottom w:val="0"/>
                      <w:divBdr>
                        <w:top w:val="none" w:sz="0" w:space="0" w:color="auto"/>
                        <w:left w:val="none" w:sz="0" w:space="0" w:color="auto"/>
                        <w:bottom w:val="none" w:sz="0" w:space="0" w:color="auto"/>
                        <w:right w:val="none" w:sz="0" w:space="0" w:color="auto"/>
                      </w:divBdr>
                      <w:divsChild>
                        <w:div w:id="1156991698">
                          <w:marLeft w:val="0"/>
                          <w:marRight w:val="0"/>
                          <w:marTop w:val="0"/>
                          <w:marBottom w:val="0"/>
                          <w:divBdr>
                            <w:top w:val="none" w:sz="0" w:space="0" w:color="auto"/>
                            <w:left w:val="none" w:sz="0" w:space="0" w:color="auto"/>
                            <w:bottom w:val="none" w:sz="0" w:space="0" w:color="auto"/>
                            <w:right w:val="none" w:sz="0" w:space="0" w:color="auto"/>
                          </w:divBdr>
                          <w:divsChild>
                            <w:div w:id="1851603090">
                              <w:marLeft w:val="0"/>
                              <w:marRight w:val="0"/>
                              <w:marTop w:val="0"/>
                              <w:marBottom w:val="0"/>
                              <w:divBdr>
                                <w:top w:val="none" w:sz="0" w:space="0" w:color="auto"/>
                                <w:left w:val="none" w:sz="0" w:space="0" w:color="auto"/>
                                <w:bottom w:val="none" w:sz="0" w:space="0" w:color="auto"/>
                                <w:right w:val="none" w:sz="0" w:space="0" w:color="auto"/>
                              </w:divBdr>
                              <w:divsChild>
                                <w:div w:id="1161656795">
                                  <w:marLeft w:val="0"/>
                                  <w:marRight w:val="0"/>
                                  <w:marTop w:val="0"/>
                                  <w:marBottom w:val="0"/>
                                  <w:divBdr>
                                    <w:top w:val="none" w:sz="0" w:space="0" w:color="auto"/>
                                    <w:left w:val="none" w:sz="0" w:space="0" w:color="auto"/>
                                    <w:bottom w:val="none" w:sz="0" w:space="0" w:color="auto"/>
                                    <w:right w:val="none" w:sz="0" w:space="0" w:color="auto"/>
                                  </w:divBdr>
                                  <w:divsChild>
                                    <w:div w:id="1553926897">
                                      <w:marLeft w:val="0"/>
                                      <w:marRight w:val="0"/>
                                      <w:marTop w:val="0"/>
                                      <w:marBottom w:val="0"/>
                                      <w:divBdr>
                                        <w:top w:val="none" w:sz="0" w:space="0" w:color="auto"/>
                                        <w:left w:val="none" w:sz="0" w:space="0" w:color="auto"/>
                                        <w:bottom w:val="none" w:sz="0" w:space="0" w:color="auto"/>
                                        <w:right w:val="none" w:sz="0" w:space="0" w:color="auto"/>
                                      </w:divBdr>
                                      <w:divsChild>
                                        <w:div w:id="400058314">
                                          <w:marLeft w:val="0"/>
                                          <w:marRight w:val="0"/>
                                          <w:marTop w:val="0"/>
                                          <w:marBottom w:val="0"/>
                                          <w:divBdr>
                                            <w:top w:val="none" w:sz="0" w:space="0" w:color="auto"/>
                                            <w:left w:val="none" w:sz="0" w:space="0" w:color="auto"/>
                                            <w:bottom w:val="none" w:sz="0" w:space="0" w:color="auto"/>
                                            <w:right w:val="none" w:sz="0" w:space="0" w:color="auto"/>
                                          </w:divBdr>
                                          <w:divsChild>
                                            <w:div w:id="984621659">
                                              <w:marLeft w:val="0"/>
                                              <w:marRight w:val="0"/>
                                              <w:marTop w:val="0"/>
                                              <w:marBottom w:val="0"/>
                                              <w:divBdr>
                                                <w:top w:val="none" w:sz="0" w:space="0" w:color="auto"/>
                                                <w:left w:val="none" w:sz="0" w:space="0" w:color="auto"/>
                                                <w:bottom w:val="none" w:sz="0" w:space="0" w:color="auto"/>
                                                <w:right w:val="none" w:sz="0" w:space="0" w:color="auto"/>
                                              </w:divBdr>
                                              <w:divsChild>
                                                <w:div w:id="1543135567">
                                                  <w:marLeft w:val="0"/>
                                                  <w:marRight w:val="0"/>
                                                  <w:marTop w:val="0"/>
                                                  <w:marBottom w:val="0"/>
                                                  <w:divBdr>
                                                    <w:top w:val="none" w:sz="0" w:space="0" w:color="auto"/>
                                                    <w:left w:val="none" w:sz="0" w:space="0" w:color="auto"/>
                                                    <w:bottom w:val="none" w:sz="0" w:space="0" w:color="auto"/>
                                                    <w:right w:val="none" w:sz="0" w:space="0" w:color="auto"/>
                                                  </w:divBdr>
                                                  <w:divsChild>
                                                    <w:div w:id="1817408009">
                                                      <w:marLeft w:val="0"/>
                                                      <w:marRight w:val="0"/>
                                                      <w:marTop w:val="0"/>
                                                      <w:marBottom w:val="0"/>
                                                      <w:divBdr>
                                                        <w:top w:val="none" w:sz="0" w:space="0" w:color="auto"/>
                                                        <w:left w:val="none" w:sz="0" w:space="0" w:color="auto"/>
                                                        <w:bottom w:val="none" w:sz="0" w:space="0" w:color="auto"/>
                                                        <w:right w:val="none" w:sz="0" w:space="0" w:color="auto"/>
                                                      </w:divBdr>
                                                      <w:divsChild>
                                                        <w:div w:id="1697999585">
                                                          <w:marLeft w:val="0"/>
                                                          <w:marRight w:val="0"/>
                                                          <w:marTop w:val="0"/>
                                                          <w:marBottom w:val="0"/>
                                                          <w:divBdr>
                                                            <w:top w:val="none" w:sz="0" w:space="0" w:color="auto"/>
                                                            <w:left w:val="none" w:sz="0" w:space="0" w:color="auto"/>
                                                            <w:bottom w:val="none" w:sz="0" w:space="0" w:color="auto"/>
                                                            <w:right w:val="none" w:sz="0" w:space="0" w:color="auto"/>
                                                          </w:divBdr>
                                                          <w:divsChild>
                                                            <w:div w:id="1346978203">
                                                              <w:marLeft w:val="0"/>
                                                              <w:marRight w:val="0"/>
                                                              <w:marTop w:val="0"/>
                                                              <w:marBottom w:val="0"/>
                                                              <w:divBdr>
                                                                <w:top w:val="none" w:sz="0" w:space="0" w:color="auto"/>
                                                                <w:left w:val="none" w:sz="0" w:space="0" w:color="auto"/>
                                                                <w:bottom w:val="none" w:sz="0" w:space="0" w:color="auto"/>
                                                                <w:right w:val="none" w:sz="0" w:space="0" w:color="auto"/>
                                                              </w:divBdr>
                                                              <w:divsChild>
                                                                <w:div w:id="1179155437">
                                                                  <w:marLeft w:val="0"/>
                                                                  <w:marRight w:val="0"/>
                                                                  <w:marTop w:val="0"/>
                                                                  <w:marBottom w:val="0"/>
                                                                  <w:divBdr>
                                                                    <w:top w:val="none" w:sz="0" w:space="0" w:color="auto"/>
                                                                    <w:left w:val="none" w:sz="0" w:space="0" w:color="auto"/>
                                                                    <w:bottom w:val="none" w:sz="0" w:space="0" w:color="auto"/>
                                                                    <w:right w:val="none" w:sz="0" w:space="0" w:color="auto"/>
                                                                  </w:divBdr>
                                                                  <w:divsChild>
                                                                    <w:div w:id="1204294055">
                                                                      <w:marLeft w:val="0"/>
                                                                      <w:marRight w:val="0"/>
                                                                      <w:marTop w:val="0"/>
                                                                      <w:marBottom w:val="0"/>
                                                                      <w:divBdr>
                                                                        <w:top w:val="none" w:sz="0" w:space="0" w:color="auto"/>
                                                                        <w:left w:val="none" w:sz="0" w:space="0" w:color="auto"/>
                                                                        <w:bottom w:val="none" w:sz="0" w:space="0" w:color="auto"/>
                                                                        <w:right w:val="none" w:sz="0" w:space="0" w:color="auto"/>
                                                                      </w:divBdr>
                                                                      <w:divsChild>
                                                                        <w:div w:id="101919682">
                                                                          <w:marLeft w:val="60"/>
                                                                          <w:marRight w:val="60"/>
                                                                          <w:marTop w:val="0"/>
                                                                          <w:marBottom w:val="0"/>
                                                                          <w:divBdr>
                                                                            <w:top w:val="none" w:sz="0" w:space="0" w:color="auto"/>
                                                                            <w:left w:val="none" w:sz="0" w:space="0" w:color="auto"/>
                                                                            <w:bottom w:val="none" w:sz="0" w:space="0" w:color="auto"/>
                                                                            <w:right w:val="none" w:sz="0" w:space="0" w:color="auto"/>
                                                                          </w:divBdr>
                                                                          <w:divsChild>
                                                                            <w:div w:id="689841108">
                                                                              <w:marLeft w:val="0"/>
                                                                              <w:marRight w:val="0"/>
                                                                              <w:marTop w:val="0"/>
                                                                              <w:marBottom w:val="0"/>
                                                                              <w:divBdr>
                                                                                <w:top w:val="none" w:sz="0" w:space="0" w:color="auto"/>
                                                                                <w:left w:val="none" w:sz="0" w:space="0" w:color="auto"/>
                                                                                <w:bottom w:val="none" w:sz="0" w:space="0" w:color="auto"/>
                                                                                <w:right w:val="none" w:sz="0" w:space="0" w:color="auto"/>
                                                                              </w:divBdr>
                                                                              <w:divsChild>
                                                                                <w:div w:id="2018581814">
                                                                                  <w:marLeft w:val="0"/>
                                                                                  <w:marRight w:val="0"/>
                                                                                  <w:marTop w:val="0"/>
                                                                                  <w:marBottom w:val="0"/>
                                                                                  <w:divBdr>
                                                                                    <w:top w:val="none" w:sz="0" w:space="0" w:color="auto"/>
                                                                                    <w:left w:val="none" w:sz="0" w:space="0" w:color="auto"/>
                                                                                    <w:bottom w:val="none" w:sz="0" w:space="0" w:color="auto"/>
                                                                                    <w:right w:val="none" w:sz="0" w:space="0" w:color="auto"/>
                                                                                  </w:divBdr>
                                                                                  <w:divsChild>
                                                                                    <w:div w:id="1687370302">
                                                                                      <w:marLeft w:val="0"/>
                                                                                      <w:marRight w:val="0"/>
                                                                                      <w:marTop w:val="0"/>
                                                                                      <w:marBottom w:val="0"/>
                                                                                      <w:divBdr>
                                                                                        <w:top w:val="none" w:sz="0" w:space="0" w:color="auto"/>
                                                                                        <w:left w:val="none" w:sz="0" w:space="0" w:color="auto"/>
                                                                                        <w:bottom w:val="none" w:sz="0" w:space="0" w:color="auto"/>
                                                                                        <w:right w:val="none" w:sz="0" w:space="0" w:color="auto"/>
                                                                                      </w:divBdr>
                                                                                      <w:divsChild>
                                                                                        <w:div w:id="9842984">
                                                                                          <w:marLeft w:val="0"/>
                                                                                          <w:marRight w:val="0"/>
                                                                                          <w:marTop w:val="0"/>
                                                                                          <w:marBottom w:val="0"/>
                                                                                          <w:divBdr>
                                                                                            <w:top w:val="none" w:sz="0" w:space="0" w:color="auto"/>
                                                                                            <w:left w:val="none" w:sz="0" w:space="0" w:color="auto"/>
                                                                                            <w:bottom w:val="none" w:sz="0" w:space="0" w:color="auto"/>
                                                                                            <w:right w:val="none" w:sz="0" w:space="0" w:color="auto"/>
                                                                                          </w:divBdr>
                                                                                          <w:divsChild>
                                                                                            <w:div w:id="1990592472">
                                                                                              <w:marLeft w:val="0"/>
                                                                                              <w:marRight w:val="0"/>
                                                                                              <w:marTop w:val="0"/>
                                                                                              <w:marBottom w:val="0"/>
                                                                                              <w:divBdr>
                                                                                                <w:top w:val="none" w:sz="0" w:space="0" w:color="auto"/>
                                                                                                <w:left w:val="none" w:sz="0" w:space="0" w:color="auto"/>
                                                                                                <w:bottom w:val="none" w:sz="0" w:space="0" w:color="auto"/>
                                                                                                <w:right w:val="none" w:sz="0" w:space="0" w:color="auto"/>
                                                                                              </w:divBdr>
                                                                                              <w:divsChild>
                                                                                                <w:div w:id="810056549">
                                                                                                  <w:marLeft w:val="0"/>
                                                                                                  <w:marRight w:val="0"/>
                                                                                                  <w:marTop w:val="0"/>
                                                                                                  <w:marBottom w:val="0"/>
                                                                                                  <w:divBdr>
                                                                                                    <w:top w:val="none" w:sz="0" w:space="0" w:color="auto"/>
                                                                                                    <w:left w:val="none" w:sz="0" w:space="0" w:color="auto"/>
                                                                                                    <w:bottom w:val="none" w:sz="0" w:space="0" w:color="auto"/>
                                                                                                    <w:right w:val="none" w:sz="0" w:space="0" w:color="auto"/>
                                                                                                  </w:divBdr>
                                                                                                  <w:divsChild>
                                                                                                    <w:div w:id="961233839">
                                                                                                      <w:marLeft w:val="0"/>
                                                                                                      <w:marRight w:val="0"/>
                                                                                                      <w:marTop w:val="0"/>
                                                                                                      <w:marBottom w:val="0"/>
                                                                                                      <w:divBdr>
                                                                                                        <w:top w:val="none" w:sz="0" w:space="0" w:color="auto"/>
                                                                                                        <w:left w:val="none" w:sz="0" w:space="0" w:color="auto"/>
                                                                                                        <w:bottom w:val="none" w:sz="0" w:space="0" w:color="auto"/>
                                                                                                        <w:right w:val="none" w:sz="0" w:space="0" w:color="auto"/>
                                                                                                      </w:divBdr>
                                                                                                      <w:divsChild>
                                                                                                        <w:div w:id="360398180">
                                                                                                          <w:marLeft w:val="0"/>
                                                                                                          <w:marRight w:val="0"/>
                                                                                                          <w:marTop w:val="0"/>
                                                                                                          <w:marBottom w:val="0"/>
                                                                                                          <w:divBdr>
                                                                                                            <w:top w:val="none" w:sz="0" w:space="0" w:color="auto"/>
                                                                                                            <w:left w:val="none" w:sz="0" w:space="0" w:color="auto"/>
                                                                                                            <w:bottom w:val="none" w:sz="0" w:space="0" w:color="auto"/>
                                                                                                            <w:right w:val="none" w:sz="0" w:space="0" w:color="auto"/>
                                                                                                          </w:divBdr>
                                                                                                          <w:divsChild>
                                                                                                            <w:div w:id="1202477379">
                                                                                                              <w:marLeft w:val="0"/>
                                                                                                              <w:marRight w:val="0"/>
                                                                                                              <w:marTop w:val="75"/>
                                                                                                              <w:marBottom w:val="0"/>
                                                                                                              <w:divBdr>
                                                                                                                <w:top w:val="none" w:sz="0" w:space="0" w:color="auto"/>
                                                                                                                <w:left w:val="none" w:sz="0" w:space="0" w:color="auto"/>
                                                                                                                <w:bottom w:val="none" w:sz="0" w:space="0" w:color="auto"/>
                                                                                                                <w:right w:val="none" w:sz="0" w:space="0" w:color="auto"/>
                                                                                                              </w:divBdr>
                                                                                                              <w:divsChild>
                                                                                                                <w:div w:id="1351175927">
                                                                                                                  <w:marLeft w:val="0"/>
                                                                                                                  <w:marRight w:val="0"/>
                                                                                                                  <w:marTop w:val="0"/>
                                                                                                                  <w:marBottom w:val="0"/>
                                                                                                                  <w:divBdr>
                                                                                                                    <w:top w:val="none" w:sz="0" w:space="0" w:color="auto"/>
                                                                                                                    <w:left w:val="none" w:sz="0" w:space="0" w:color="auto"/>
                                                                                                                    <w:bottom w:val="none" w:sz="0" w:space="0" w:color="auto"/>
                                                                                                                    <w:right w:val="none" w:sz="0" w:space="0" w:color="auto"/>
                                                                                                                  </w:divBdr>
                                                                                                                </w:div>
                                                                                                                <w:div w:id="2064520295">
                                                                                                                  <w:marLeft w:val="0"/>
                                                                                                                  <w:marRight w:val="0"/>
                                                                                                                  <w:marTop w:val="0"/>
                                                                                                                  <w:marBottom w:val="0"/>
                                                                                                                  <w:divBdr>
                                                                                                                    <w:top w:val="none" w:sz="0" w:space="0" w:color="auto"/>
                                                                                                                    <w:left w:val="none" w:sz="0" w:space="0" w:color="auto"/>
                                                                                                                    <w:bottom w:val="none" w:sz="0" w:space="0" w:color="auto"/>
                                                                                                                    <w:right w:val="none" w:sz="0" w:space="0" w:color="auto"/>
                                                                                                                  </w:divBdr>
                                                                                                                </w:div>
                                                                                                              </w:divsChild>
                                                                                                            </w:div>
                                                                                                            <w:div w:id="477503968">
                                                                                                              <w:marLeft w:val="0"/>
                                                                                                              <w:marRight w:val="0"/>
                                                                                                              <w:marTop w:val="0"/>
                                                                                                              <w:marBottom w:val="150"/>
                                                                                                              <w:divBdr>
                                                                                                                <w:top w:val="none" w:sz="0" w:space="0" w:color="auto"/>
                                                                                                                <w:left w:val="none" w:sz="0" w:space="0" w:color="auto"/>
                                                                                                                <w:bottom w:val="single" w:sz="6" w:space="0" w:color="CCCCCC"/>
                                                                                                                <w:right w:val="none" w:sz="0" w:space="0" w:color="auto"/>
                                                                                                              </w:divBdr>
                                                                                                              <w:divsChild>
                                                                                                                <w:div w:id="1945461044">
                                                                                                                  <w:marLeft w:val="300"/>
                                                                                                                  <w:marRight w:val="0"/>
                                                                                                                  <w:marTop w:val="0"/>
                                                                                                                  <w:marBottom w:val="450"/>
                                                                                                                  <w:divBdr>
                                                                                                                    <w:top w:val="none" w:sz="0" w:space="0" w:color="auto"/>
                                                                                                                    <w:left w:val="none" w:sz="0" w:space="0" w:color="auto"/>
                                                                                                                    <w:bottom w:val="none" w:sz="0" w:space="0" w:color="auto"/>
                                                                                                                    <w:right w:val="none" w:sz="0" w:space="0" w:color="auto"/>
                                                                                                                  </w:divBdr>
                                                                                                                </w:div>
                                                                                                              </w:divsChild>
                                                                                                            </w:div>
                                                                                                            <w:div w:id="110101228">
                                                                                                              <w:marLeft w:val="0"/>
                                                                                                              <w:marRight w:val="0"/>
                                                                                                              <w:marTop w:val="0"/>
                                                                                                              <w:marBottom w:val="0"/>
                                                                                                              <w:divBdr>
                                                                                                                <w:top w:val="none" w:sz="0" w:space="0" w:color="auto"/>
                                                                                                                <w:left w:val="none" w:sz="0" w:space="0" w:color="auto"/>
                                                                                                                <w:bottom w:val="none" w:sz="0" w:space="0" w:color="auto"/>
                                                                                                                <w:right w:val="none" w:sz="0" w:space="0" w:color="auto"/>
                                                                                                              </w:divBdr>
                                                                                                              <w:divsChild>
                                                                                                                <w:div w:id="1643776627">
                                                                                                                  <w:marLeft w:val="0"/>
                                                                                                                  <w:marRight w:val="0"/>
                                                                                                                  <w:marTop w:val="0"/>
                                                                                                                  <w:marBottom w:val="0"/>
                                                                                                                  <w:divBdr>
                                                                                                                    <w:top w:val="none" w:sz="0" w:space="0" w:color="auto"/>
                                                                                                                    <w:left w:val="none" w:sz="0" w:space="0" w:color="auto"/>
                                                                                                                    <w:bottom w:val="none" w:sz="0" w:space="0" w:color="auto"/>
                                                                                                                    <w:right w:val="none" w:sz="0" w:space="0" w:color="auto"/>
                                                                                                                  </w:divBdr>
                                                                                                                  <w:divsChild>
                                                                                                                    <w:div w:id="412747866">
                                                                                                                      <w:marLeft w:val="0"/>
                                                                                                                      <w:marRight w:val="0"/>
                                                                                                                      <w:marTop w:val="0"/>
                                                                                                                      <w:marBottom w:val="0"/>
                                                                                                                      <w:divBdr>
                                                                                                                        <w:top w:val="none" w:sz="0" w:space="0" w:color="auto"/>
                                                                                                                        <w:left w:val="none" w:sz="0" w:space="0" w:color="auto"/>
                                                                                                                        <w:bottom w:val="none" w:sz="0" w:space="0" w:color="auto"/>
                                                                                                                        <w:right w:val="none" w:sz="0" w:space="0" w:color="auto"/>
                                                                                                                      </w:divBdr>
                                                                                                                    </w:div>
                                                                                                                  </w:divsChild>
                                                                                                                </w:div>
                                                                                                                <w:div w:id="715742322">
                                                                                                                  <w:marLeft w:val="0"/>
                                                                                                                  <w:marRight w:val="0"/>
                                                                                                                  <w:marTop w:val="0"/>
                                                                                                                  <w:marBottom w:val="0"/>
                                                                                                                  <w:divBdr>
                                                                                                                    <w:top w:val="none" w:sz="0" w:space="0" w:color="auto"/>
                                                                                                                    <w:left w:val="none" w:sz="0" w:space="0" w:color="auto"/>
                                                                                                                    <w:bottom w:val="none" w:sz="0" w:space="0" w:color="auto"/>
                                                                                                                    <w:right w:val="none" w:sz="0" w:space="0" w:color="auto"/>
                                                                                                                  </w:divBdr>
                                                                                                                  <w:divsChild>
                                                                                                                    <w:div w:id="1861510859">
                                                                                                                      <w:marLeft w:val="0"/>
                                                                                                                      <w:marRight w:val="0"/>
                                                                                                                      <w:marTop w:val="0"/>
                                                                                                                      <w:marBottom w:val="0"/>
                                                                                                                      <w:divBdr>
                                                                                                                        <w:top w:val="none" w:sz="0" w:space="0" w:color="auto"/>
                                                                                                                        <w:left w:val="none" w:sz="0" w:space="0" w:color="auto"/>
                                                                                                                        <w:bottom w:val="none" w:sz="0" w:space="0" w:color="auto"/>
                                                                                                                        <w:right w:val="none" w:sz="0" w:space="0" w:color="auto"/>
                                                                                                                      </w:divBdr>
                                                                                                                    </w:div>
                                                                                                                  </w:divsChild>
                                                                                                                </w:div>
                                                                                                                <w:div w:id="1769080996">
                                                                                                                  <w:marLeft w:val="0"/>
                                                                                                                  <w:marRight w:val="0"/>
                                                                                                                  <w:marTop w:val="0"/>
                                                                                                                  <w:marBottom w:val="0"/>
                                                                                                                  <w:divBdr>
                                                                                                                    <w:top w:val="none" w:sz="0" w:space="0" w:color="auto"/>
                                                                                                                    <w:left w:val="none" w:sz="0" w:space="0" w:color="auto"/>
                                                                                                                    <w:bottom w:val="none" w:sz="0" w:space="0" w:color="auto"/>
                                                                                                                    <w:right w:val="none" w:sz="0" w:space="0" w:color="auto"/>
                                                                                                                  </w:divBdr>
                                                                                                                  <w:divsChild>
                                                                                                                    <w:div w:id="308633082">
                                                                                                                      <w:marLeft w:val="0"/>
                                                                                                                      <w:marRight w:val="0"/>
                                                                                                                      <w:marTop w:val="0"/>
                                                                                                                      <w:marBottom w:val="0"/>
                                                                                                                      <w:divBdr>
                                                                                                                        <w:top w:val="none" w:sz="0" w:space="0" w:color="auto"/>
                                                                                                                        <w:left w:val="none" w:sz="0" w:space="0" w:color="auto"/>
                                                                                                                        <w:bottom w:val="none" w:sz="0" w:space="0" w:color="auto"/>
                                                                                                                        <w:right w:val="none" w:sz="0" w:space="0" w:color="auto"/>
                                                                                                                      </w:divBdr>
                                                                                                                    </w:div>
                                                                                                                    <w:div w:id="383524118">
                                                                                                                      <w:marLeft w:val="0"/>
                                                                                                                      <w:marRight w:val="0"/>
                                                                                                                      <w:marTop w:val="0"/>
                                                                                                                      <w:marBottom w:val="0"/>
                                                                                                                      <w:divBdr>
                                                                                                                        <w:top w:val="none" w:sz="0" w:space="0" w:color="auto"/>
                                                                                                                        <w:left w:val="none" w:sz="0" w:space="0" w:color="auto"/>
                                                                                                                        <w:bottom w:val="none" w:sz="0" w:space="0" w:color="auto"/>
                                                                                                                        <w:right w:val="none" w:sz="0" w:space="0" w:color="auto"/>
                                                                                                                      </w:divBdr>
                                                                                                                      <w:divsChild>
                                                                                                                        <w:div w:id="1832405541">
                                                                                                                          <w:marLeft w:val="300"/>
                                                                                                                          <w:marRight w:val="0"/>
                                                                                                                          <w:marTop w:val="0"/>
                                                                                                                          <w:marBottom w:val="0"/>
                                                                                                                          <w:divBdr>
                                                                                                                            <w:top w:val="none" w:sz="0" w:space="0" w:color="auto"/>
                                                                                                                            <w:left w:val="none" w:sz="0" w:space="0" w:color="auto"/>
                                                                                                                            <w:bottom w:val="none" w:sz="0" w:space="0" w:color="auto"/>
                                                                                                                            <w:right w:val="none" w:sz="0" w:space="0" w:color="auto"/>
                                                                                                                          </w:divBdr>
                                                                                                                        </w:div>
                                                                                                                      </w:divsChild>
                                                                                                                    </w:div>
                                                                                                                    <w:div w:id="2009166328">
                                                                                                                      <w:marLeft w:val="0"/>
                                                                                                                      <w:marRight w:val="0"/>
                                                                                                                      <w:marTop w:val="0"/>
                                                                                                                      <w:marBottom w:val="0"/>
                                                                                                                      <w:divBdr>
                                                                                                                        <w:top w:val="none" w:sz="0" w:space="0" w:color="auto"/>
                                                                                                                        <w:left w:val="none" w:sz="0" w:space="0" w:color="auto"/>
                                                                                                                        <w:bottom w:val="none" w:sz="0" w:space="0" w:color="auto"/>
                                                                                                                        <w:right w:val="none" w:sz="0" w:space="0" w:color="auto"/>
                                                                                                                      </w:divBdr>
                                                                                                                      <w:divsChild>
                                                                                                                        <w:div w:id="1466006069">
                                                                                                                          <w:marLeft w:val="300"/>
                                                                                                                          <w:marRight w:val="0"/>
                                                                                                                          <w:marTop w:val="0"/>
                                                                                                                          <w:marBottom w:val="0"/>
                                                                                                                          <w:divBdr>
                                                                                                                            <w:top w:val="none" w:sz="0" w:space="0" w:color="auto"/>
                                                                                                                            <w:left w:val="none" w:sz="0" w:space="0" w:color="auto"/>
                                                                                                                            <w:bottom w:val="none" w:sz="0" w:space="0" w:color="auto"/>
                                                                                                                            <w:right w:val="none" w:sz="0" w:space="0" w:color="auto"/>
                                                                                                                          </w:divBdr>
                                                                                                                        </w:div>
                                                                                                                        <w:div w:id="1676417018">
                                                                                                                          <w:marLeft w:val="0"/>
                                                                                                                          <w:marRight w:val="0"/>
                                                                                                                          <w:marTop w:val="0"/>
                                                                                                                          <w:marBottom w:val="0"/>
                                                                                                                          <w:divBdr>
                                                                                                                            <w:top w:val="none" w:sz="0" w:space="0" w:color="auto"/>
                                                                                                                            <w:left w:val="none" w:sz="0" w:space="0" w:color="auto"/>
                                                                                                                            <w:bottom w:val="none" w:sz="0" w:space="0" w:color="auto"/>
                                                                                                                            <w:right w:val="none" w:sz="0" w:space="0" w:color="auto"/>
                                                                                                                          </w:divBdr>
                                                                                                                        </w:div>
                                                                                                                        <w:div w:id="1712999897">
                                                                                                                          <w:marLeft w:val="0"/>
                                                                                                                          <w:marRight w:val="0"/>
                                                                                                                          <w:marTop w:val="0"/>
                                                                                                                          <w:marBottom w:val="0"/>
                                                                                                                          <w:divBdr>
                                                                                                                            <w:top w:val="none" w:sz="0" w:space="0" w:color="auto"/>
                                                                                                                            <w:left w:val="none" w:sz="0" w:space="0" w:color="auto"/>
                                                                                                                            <w:bottom w:val="none" w:sz="0" w:space="0" w:color="auto"/>
                                                                                                                            <w:right w:val="none" w:sz="0" w:space="0" w:color="auto"/>
                                                                                                                          </w:divBdr>
                                                                                                                        </w:div>
                                                                                                                        <w:div w:id="1477145448">
                                                                                                                          <w:marLeft w:val="375"/>
                                                                                                                          <w:marRight w:val="375"/>
                                                                                                                          <w:marTop w:val="0"/>
                                                                                                                          <w:marBottom w:val="0"/>
                                                                                                                          <w:divBdr>
                                                                                                                            <w:top w:val="none" w:sz="0" w:space="0" w:color="auto"/>
                                                                                                                            <w:left w:val="none" w:sz="0" w:space="0" w:color="auto"/>
                                                                                                                            <w:bottom w:val="none" w:sz="0" w:space="0" w:color="auto"/>
                                                                                                                            <w:right w:val="none" w:sz="0" w:space="0" w:color="auto"/>
                                                                                                                          </w:divBdr>
                                                                                                                          <w:divsChild>
                                                                                                                            <w:div w:id="234441569">
                                                                                                                              <w:marLeft w:val="0"/>
                                                                                                                              <w:marRight w:val="0"/>
                                                                                                                              <w:marTop w:val="0"/>
                                                                                                                              <w:marBottom w:val="0"/>
                                                                                                                              <w:divBdr>
                                                                                                                                <w:top w:val="none" w:sz="0" w:space="0" w:color="auto"/>
                                                                                                                                <w:left w:val="none" w:sz="0" w:space="0" w:color="auto"/>
                                                                                                                                <w:bottom w:val="none" w:sz="0" w:space="0" w:color="auto"/>
                                                                                                                                <w:right w:val="none" w:sz="0" w:space="0" w:color="auto"/>
                                                                                                                              </w:divBdr>
                                                                                                                            </w:div>
                                                                                                                            <w:div w:id="1454864221">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774446362">
                                                                                                                  <w:marLeft w:val="0"/>
                                                                                                                  <w:marRight w:val="0"/>
                                                                                                                  <w:marTop w:val="0"/>
                                                                                                                  <w:marBottom w:val="0"/>
                                                                                                                  <w:divBdr>
                                                                                                                    <w:top w:val="none" w:sz="0" w:space="0" w:color="auto"/>
                                                                                                                    <w:left w:val="none" w:sz="0" w:space="0" w:color="auto"/>
                                                                                                                    <w:bottom w:val="none" w:sz="0" w:space="0" w:color="auto"/>
                                                                                                                    <w:right w:val="none" w:sz="0" w:space="0" w:color="auto"/>
                                                                                                                  </w:divBdr>
                                                                                                                  <w:divsChild>
                                                                                                                    <w:div w:id="217934791">
                                                                                                                      <w:marLeft w:val="0"/>
                                                                                                                      <w:marRight w:val="0"/>
                                                                                                                      <w:marTop w:val="0"/>
                                                                                                                      <w:marBottom w:val="0"/>
                                                                                                                      <w:divBdr>
                                                                                                                        <w:top w:val="none" w:sz="0" w:space="0" w:color="auto"/>
                                                                                                                        <w:left w:val="none" w:sz="0" w:space="0" w:color="auto"/>
                                                                                                                        <w:bottom w:val="none" w:sz="0" w:space="0" w:color="auto"/>
                                                                                                                        <w:right w:val="none" w:sz="0" w:space="0" w:color="auto"/>
                                                                                                                      </w:divBdr>
                                                                                                                    </w:div>
                                                                                                                    <w:div w:id="1285700116">
                                                                                                                      <w:marLeft w:val="0"/>
                                                                                                                      <w:marRight w:val="0"/>
                                                                                                                      <w:marTop w:val="0"/>
                                                                                                                      <w:marBottom w:val="0"/>
                                                                                                                      <w:divBdr>
                                                                                                                        <w:top w:val="none" w:sz="0" w:space="0" w:color="auto"/>
                                                                                                                        <w:left w:val="none" w:sz="0" w:space="0" w:color="auto"/>
                                                                                                                        <w:bottom w:val="none" w:sz="0" w:space="0" w:color="auto"/>
                                                                                                                        <w:right w:val="none" w:sz="0" w:space="0" w:color="auto"/>
                                                                                                                      </w:divBdr>
                                                                                                                    </w:div>
                                                                                                                    <w:div w:id="780103309">
                                                                                                                      <w:marLeft w:val="0"/>
                                                                                                                      <w:marRight w:val="0"/>
                                                                                                                      <w:marTop w:val="0"/>
                                                                                                                      <w:marBottom w:val="0"/>
                                                                                                                      <w:divBdr>
                                                                                                                        <w:top w:val="none" w:sz="0" w:space="0" w:color="auto"/>
                                                                                                                        <w:left w:val="none" w:sz="0" w:space="0" w:color="auto"/>
                                                                                                                        <w:bottom w:val="none" w:sz="0" w:space="0" w:color="auto"/>
                                                                                                                        <w:right w:val="none" w:sz="0" w:space="0" w:color="auto"/>
                                                                                                                      </w:divBdr>
                                                                                                                    </w:div>
                                                                                                                    <w:div w:id="683477790">
                                                                                                                      <w:marLeft w:val="375"/>
                                                                                                                      <w:marRight w:val="375"/>
                                                                                                                      <w:marTop w:val="0"/>
                                                                                                                      <w:marBottom w:val="0"/>
                                                                                                                      <w:divBdr>
                                                                                                                        <w:top w:val="none" w:sz="0" w:space="0" w:color="auto"/>
                                                                                                                        <w:left w:val="none" w:sz="0" w:space="0" w:color="auto"/>
                                                                                                                        <w:bottom w:val="none" w:sz="0" w:space="0" w:color="auto"/>
                                                                                                                        <w:right w:val="none" w:sz="0" w:space="0" w:color="auto"/>
                                                                                                                      </w:divBdr>
                                                                                                                      <w:divsChild>
                                                                                                                        <w:div w:id="1045370751">
                                                                                                                          <w:marLeft w:val="0"/>
                                                                                                                          <w:marRight w:val="0"/>
                                                                                                                          <w:marTop w:val="0"/>
                                                                                                                          <w:marBottom w:val="0"/>
                                                                                                                          <w:divBdr>
                                                                                                                            <w:top w:val="none" w:sz="0" w:space="0" w:color="auto"/>
                                                                                                                            <w:left w:val="none" w:sz="0" w:space="0" w:color="auto"/>
                                                                                                                            <w:bottom w:val="none" w:sz="0" w:space="0" w:color="auto"/>
                                                                                                                            <w:right w:val="none" w:sz="0" w:space="0" w:color="auto"/>
                                                                                                                          </w:divBdr>
                                                                                                                        </w:div>
                                                                                                                        <w:div w:id="1647122481">
                                                                                                                          <w:marLeft w:val="0"/>
                                                                                                                          <w:marRight w:val="0"/>
                                                                                                                          <w:marTop w:val="150"/>
                                                                                                                          <w:marBottom w:val="0"/>
                                                                                                                          <w:divBdr>
                                                                                                                            <w:top w:val="none" w:sz="0" w:space="0" w:color="auto"/>
                                                                                                                            <w:left w:val="none" w:sz="0" w:space="0" w:color="auto"/>
                                                                                                                            <w:bottom w:val="none" w:sz="0" w:space="0" w:color="auto"/>
                                                                                                                            <w:right w:val="none" w:sz="0" w:space="0" w:color="auto"/>
                                                                                                                          </w:divBdr>
                                                                                                                        </w:div>
                                                                                                                      </w:divsChild>
                                                                                                                    </w:div>
                                                                                                                    <w:div w:id="321547380">
                                                                                                                      <w:marLeft w:val="0"/>
                                                                                                                      <w:marRight w:val="0"/>
                                                                                                                      <w:marTop w:val="0"/>
                                                                                                                      <w:marBottom w:val="0"/>
                                                                                                                      <w:divBdr>
                                                                                                                        <w:top w:val="none" w:sz="0" w:space="0" w:color="auto"/>
                                                                                                                        <w:left w:val="none" w:sz="0" w:space="0" w:color="auto"/>
                                                                                                                        <w:bottom w:val="none" w:sz="0" w:space="0" w:color="auto"/>
                                                                                                                        <w:right w:val="none" w:sz="0" w:space="0" w:color="auto"/>
                                                                                                                      </w:divBdr>
                                                                                                                      <w:divsChild>
                                                                                                                        <w:div w:id="443158498">
                                                                                                                          <w:marLeft w:val="300"/>
                                                                                                                          <w:marRight w:val="0"/>
                                                                                                                          <w:marTop w:val="0"/>
                                                                                                                          <w:marBottom w:val="0"/>
                                                                                                                          <w:divBdr>
                                                                                                                            <w:top w:val="none" w:sz="0" w:space="0" w:color="auto"/>
                                                                                                                            <w:left w:val="none" w:sz="0" w:space="0" w:color="auto"/>
                                                                                                                            <w:bottom w:val="none" w:sz="0" w:space="0" w:color="auto"/>
                                                                                                                            <w:right w:val="none" w:sz="0" w:space="0" w:color="auto"/>
                                                                                                                          </w:divBdr>
                                                                                                                        </w:div>
                                                                                                                        <w:div w:id="1354570216">
                                                                                                                          <w:marLeft w:val="0"/>
                                                                                                                          <w:marRight w:val="0"/>
                                                                                                                          <w:marTop w:val="0"/>
                                                                                                                          <w:marBottom w:val="0"/>
                                                                                                                          <w:divBdr>
                                                                                                                            <w:top w:val="none" w:sz="0" w:space="0" w:color="auto"/>
                                                                                                                            <w:left w:val="none" w:sz="0" w:space="0" w:color="auto"/>
                                                                                                                            <w:bottom w:val="none" w:sz="0" w:space="0" w:color="auto"/>
                                                                                                                            <w:right w:val="none" w:sz="0" w:space="0" w:color="auto"/>
                                                                                                                          </w:divBdr>
                                                                                                                        </w:div>
                                                                                                                        <w:div w:id="1632787139">
                                                                                                                          <w:marLeft w:val="0"/>
                                                                                                                          <w:marRight w:val="0"/>
                                                                                                                          <w:marTop w:val="0"/>
                                                                                                                          <w:marBottom w:val="0"/>
                                                                                                                          <w:divBdr>
                                                                                                                            <w:top w:val="none" w:sz="0" w:space="0" w:color="auto"/>
                                                                                                                            <w:left w:val="none" w:sz="0" w:space="0" w:color="auto"/>
                                                                                                                            <w:bottom w:val="none" w:sz="0" w:space="0" w:color="auto"/>
                                                                                                                            <w:right w:val="none" w:sz="0" w:space="0" w:color="auto"/>
                                                                                                                          </w:divBdr>
                                                                                                                        </w:div>
                                                                                                                      </w:divsChild>
                                                                                                                    </w:div>
                                                                                                                    <w:div w:id="1321150916">
                                                                                                                      <w:marLeft w:val="0"/>
                                                                                                                      <w:marRight w:val="0"/>
                                                                                                                      <w:marTop w:val="0"/>
                                                                                                                      <w:marBottom w:val="0"/>
                                                                                                                      <w:divBdr>
                                                                                                                        <w:top w:val="none" w:sz="0" w:space="0" w:color="auto"/>
                                                                                                                        <w:left w:val="none" w:sz="0" w:space="0" w:color="auto"/>
                                                                                                                        <w:bottom w:val="none" w:sz="0" w:space="0" w:color="auto"/>
                                                                                                                        <w:right w:val="none" w:sz="0" w:space="0" w:color="auto"/>
                                                                                                                      </w:divBdr>
                                                                                                                      <w:divsChild>
                                                                                                                        <w:div w:id="898057180">
                                                                                                                          <w:marLeft w:val="300"/>
                                                                                                                          <w:marRight w:val="0"/>
                                                                                                                          <w:marTop w:val="0"/>
                                                                                                                          <w:marBottom w:val="0"/>
                                                                                                                          <w:divBdr>
                                                                                                                            <w:top w:val="none" w:sz="0" w:space="0" w:color="auto"/>
                                                                                                                            <w:left w:val="none" w:sz="0" w:space="0" w:color="auto"/>
                                                                                                                            <w:bottom w:val="none" w:sz="0" w:space="0" w:color="auto"/>
                                                                                                                            <w:right w:val="none" w:sz="0" w:space="0" w:color="auto"/>
                                                                                                                          </w:divBdr>
                                                                                                                        </w:div>
                                                                                                                        <w:div w:id="1750497125">
                                                                                                                          <w:marLeft w:val="0"/>
                                                                                                                          <w:marRight w:val="0"/>
                                                                                                                          <w:marTop w:val="0"/>
                                                                                                                          <w:marBottom w:val="0"/>
                                                                                                                          <w:divBdr>
                                                                                                                            <w:top w:val="none" w:sz="0" w:space="0" w:color="auto"/>
                                                                                                                            <w:left w:val="none" w:sz="0" w:space="0" w:color="auto"/>
                                                                                                                            <w:bottom w:val="none" w:sz="0" w:space="0" w:color="auto"/>
                                                                                                                            <w:right w:val="none" w:sz="0" w:space="0" w:color="auto"/>
                                                                                                                          </w:divBdr>
                                                                                                                        </w:div>
                                                                                                                        <w:div w:id="342054381">
                                                                                                                          <w:marLeft w:val="0"/>
                                                                                                                          <w:marRight w:val="0"/>
                                                                                                                          <w:marTop w:val="0"/>
                                                                                                                          <w:marBottom w:val="0"/>
                                                                                                                          <w:divBdr>
                                                                                                                            <w:top w:val="none" w:sz="0" w:space="0" w:color="auto"/>
                                                                                                                            <w:left w:val="none" w:sz="0" w:space="0" w:color="auto"/>
                                                                                                                            <w:bottom w:val="none" w:sz="0" w:space="0" w:color="auto"/>
                                                                                                                            <w:right w:val="none" w:sz="0" w:space="0" w:color="auto"/>
                                                                                                                          </w:divBdr>
                                                                                                                        </w:div>
                                                                                                                        <w:div w:id="91516753">
                                                                                                                          <w:marLeft w:val="0"/>
                                                                                                                          <w:marRight w:val="0"/>
                                                                                                                          <w:marTop w:val="0"/>
                                                                                                                          <w:marBottom w:val="0"/>
                                                                                                                          <w:divBdr>
                                                                                                                            <w:top w:val="none" w:sz="0" w:space="0" w:color="auto"/>
                                                                                                                            <w:left w:val="none" w:sz="0" w:space="0" w:color="auto"/>
                                                                                                                            <w:bottom w:val="none" w:sz="0" w:space="0" w:color="auto"/>
                                                                                                                            <w:right w:val="none" w:sz="0" w:space="0" w:color="auto"/>
                                                                                                                          </w:divBdr>
                                                                                                                        </w:div>
                                                                                                                        <w:div w:id="837572490">
                                                                                                                          <w:marLeft w:val="0"/>
                                                                                                                          <w:marRight w:val="0"/>
                                                                                                                          <w:marTop w:val="0"/>
                                                                                                                          <w:marBottom w:val="0"/>
                                                                                                                          <w:divBdr>
                                                                                                                            <w:top w:val="none" w:sz="0" w:space="0" w:color="auto"/>
                                                                                                                            <w:left w:val="none" w:sz="0" w:space="0" w:color="auto"/>
                                                                                                                            <w:bottom w:val="none" w:sz="0" w:space="0" w:color="auto"/>
                                                                                                                            <w:right w:val="none" w:sz="0" w:space="0" w:color="auto"/>
                                                                                                                          </w:divBdr>
                                                                                                                        </w:div>
                                                                                                                        <w:div w:id="1727101440">
                                                                                                                          <w:marLeft w:val="0"/>
                                                                                                                          <w:marRight w:val="0"/>
                                                                                                                          <w:marTop w:val="0"/>
                                                                                                                          <w:marBottom w:val="0"/>
                                                                                                                          <w:divBdr>
                                                                                                                            <w:top w:val="none" w:sz="0" w:space="0" w:color="auto"/>
                                                                                                                            <w:left w:val="none" w:sz="0" w:space="0" w:color="auto"/>
                                                                                                                            <w:bottom w:val="none" w:sz="0" w:space="0" w:color="auto"/>
                                                                                                                            <w:right w:val="none" w:sz="0" w:space="0" w:color="auto"/>
                                                                                                                          </w:divBdr>
                                                                                                                        </w:div>
                                                                                                                        <w:div w:id="243687676">
                                                                                                                          <w:marLeft w:val="0"/>
                                                                                                                          <w:marRight w:val="0"/>
                                                                                                                          <w:marTop w:val="0"/>
                                                                                                                          <w:marBottom w:val="0"/>
                                                                                                                          <w:divBdr>
                                                                                                                            <w:top w:val="none" w:sz="0" w:space="0" w:color="auto"/>
                                                                                                                            <w:left w:val="none" w:sz="0" w:space="0" w:color="auto"/>
                                                                                                                            <w:bottom w:val="none" w:sz="0" w:space="0" w:color="auto"/>
                                                                                                                            <w:right w:val="none" w:sz="0" w:space="0" w:color="auto"/>
                                                                                                                          </w:divBdr>
                                                                                                                        </w:div>
                                                                                                                        <w:div w:id="1183934850">
                                                                                                                          <w:marLeft w:val="0"/>
                                                                                                                          <w:marRight w:val="0"/>
                                                                                                                          <w:marTop w:val="0"/>
                                                                                                                          <w:marBottom w:val="0"/>
                                                                                                                          <w:divBdr>
                                                                                                                            <w:top w:val="none" w:sz="0" w:space="0" w:color="auto"/>
                                                                                                                            <w:left w:val="none" w:sz="0" w:space="0" w:color="auto"/>
                                                                                                                            <w:bottom w:val="none" w:sz="0" w:space="0" w:color="auto"/>
                                                                                                                            <w:right w:val="none" w:sz="0" w:space="0" w:color="auto"/>
                                                                                                                          </w:divBdr>
                                                                                                                        </w:div>
                                                                                                                      </w:divsChild>
                                                                                                                    </w:div>
                                                                                                                    <w:div w:id="680205585">
                                                                                                                      <w:marLeft w:val="0"/>
                                                                                                                      <w:marRight w:val="0"/>
                                                                                                                      <w:marTop w:val="0"/>
                                                                                                                      <w:marBottom w:val="0"/>
                                                                                                                      <w:divBdr>
                                                                                                                        <w:top w:val="none" w:sz="0" w:space="0" w:color="auto"/>
                                                                                                                        <w:left w:val="none" w:sz="0" w:space="0" w:color="auto"/>
                                                                                                                        <w:bottom w:val="none" w:sz="0" w:space="0" w:color="auto"/>
                                                                                                                        <w:right w:val="none" w:sz="0" w:space="0" w:color="auto"/>
                                                                                                                      </w:divBdr>
                                                                                                                      <w:divsChild>
                                                                                                                        <w:div w:id="1268385454">
                                                                                                                          <w:marLeft w:val="300"/>
                                                                                                                          <w:marRight w:val="0"/>
                                                                                                                          <w:marTop w:val="0"/>
                                                                                                                          <w:marBottom w:val="0"/>
                                                                                                                          <w:divBdr>
                                                                                                                            <w:top w:val="none" w:sz="0" w:space="0" w:color="auto"/>
                                                                                                                            <w:left w:val="none" w:sz="0" w:space="0" w:color="auto"/>
                                                                                                                            <w:bottom w:val="none" w:sz="0" w:space="0" w:color="auto"/>
                                                                                                                            <w:right w:val="none" w:sz="0" w:space="0" w:color="auto"/>
                                                                                                                          </w:divBdr>
                                                                                                                        </w:div>
                                                                                                                        <w:div w:id="974988700">
                                                                                                                          <w:marLeft w:val="0"/>
                                                                                                                          <w:marRight w:val="0"/>
                                                                                                                          <w:marTop w:val="0"/>
                                                                                                                          <w:marBottom w:val="0"/>
                                                                                                                          <w:divBdr>
                                                                                                                            <w:top w:val="none" w:sz="0" w:space="0" w:color="auto"/>
                                                                                                                            <w:left w:val="none" w:sz="0" w:space="0" w:color="auto"/>
                                                                                                                            <w:bottom w:val="none" w:sz="0" w:space="0" w:color="auto"/>
                                                                                                                            <w:right w:val="none" w:sz="0" w:space="0" w:color="auto"/>
                                                                                                                          </w:divBdr>
                                                                                                                        </w:div>
                                                                                                                        <w:div w:id="1629778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5852938">
                                                                                                                  <w:marLeft w:val="0"/>
                                                                                                                  <w:marRight w:val="0"/>
                                                                                                                  <w:marTop w:val="0"/>
                                                                                                                  <w:marBottom w:val="0"/>
                                                                                                                  <w:divBdr>
                                                                                                                    <w:top w:val="none" w:sz="0" w:space="0" w:color="auto"/>
                                                                                                                    <w:left w:val="none" w:sz="0" w:space="0" w:color="auto"/>
                                                                                                                    <w:bottom w:val="none" w:sz="0" w:space="0" w:color="auto"/>
                                                                                                                    <w:right w:val="none" w:sz="0" w:space="0" w:color="auto"/>
                                                                                                                  </w:divBdr>
                                                                                                                  <w:divsChild>
                                                                                                                    <w:div w:id="177159117">
                                                                                                                      <w:marLeft w:val="0"/>
                                                                                                                      <w:marRight w:val="0"/>
                                                                                                                      <w:marTop w:val="0"/>
                                                                                                                      <w:marBottom w:val="0"/>
                                                                                                                      <w:divBdr>
                                                                                                                        <w:top w:val="none" w:sz="0" w:space="0" w:color="auto"/>
                                                                                                                        <w:left w:val="none" w:sz="0" w:space="0" w:color="auto"/>
                                                                                                                        <w:bottom w:val="none" w:sz="0" w:space="0" w:color="auto"/>
                                                                                                                        <w:right w:val="none" w:sz="0" w:space="0" w:color="auto"/>
                                                                                                                      </w:divBdr>
                                                                                                                    </w:div>
                                                                                                                    <w:div w:id="1058748137">
                                                                                                                      <w:marLeft w:val="0"/>
                                                                                                                      <w:marRight w:val="0"/>
                                                                                                                      <w:marTop w:val="0"/>
                                                                                                                      <w:marBottom w:val="0"/>
                                                                                                                      <w:divBdr>
                                                                                                                        <w:top w:val="none" w:sz="0" w:space="0" w:color="auto"/>
                                                                                                                        <w:left w:val="none" w:sz="0" w:space="0" w:color="auto"/>
                                                                                                                        <w:bottom w:val="none" w:sz="0" w:space="0" w:color="auto"/>
                                                                                                                        <w:right w:val="none" w:sz="0" w:space="0" w:color="auto"/>
                                                                                                                      </w:divBdr>
                                                                                                                      <w:divsChild>
                                                                                                                        <w:div w:id="128418732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401758181">
                                                                                                                  <w:marLeft w:val="0"/>
                                                                                                                  <w:marRight w:val="0"/>
                                                                                                                  <w:marTop w:val="0"/>
                                                                                                                  <w:marBottom w:val="0"/>
                                                                                                                  <w:divBdr>
                                                                                                                    <w:top w:val="none" w:sz="0" w:space="0" w:color="auto"/>
                                                                                                                    <w:left w:val="none" w:sz="0" w:space="0" w:color="auto"/>
                                                                                                                    <w:bottom w:val="none" w:sz="0" w:space="0" w:color="auto"/>
                                                                                                                    <w:right w:val="none" w:sz="0" w:space="0" w:color="auto"/>
                                                                                                                  </w:divBdr>
                                                                                                                  <w:divsChild>
                                                                                                                    <w:div w:id="846679978">
                                                                                                                      <w:marLeft w:val="0"/>
                                                                                                                      <w:marRight w:val="0"/>
                                                                                                                      <w:marTop w:val="0"/>
                                                                                                                      <w:marBottom w:val="0"/>
                                                                                                                      <w:divBdr>
                                                                                                                        <w:top w:val="none" w:sz="0" w:space="0" w:color="auto"/>
                                                                                                                        <w:left w:val="none" w:sz="0" w:space="0" w:color="auto"/>
                                                                                                                        <w:bottom w:val="none" w:sz="0" w:space="0" w:color="auto"/>
                                                                                                                        <w:right w:val="none" w:sz="0" w:space="0" w:color="auto"/>
                                                                                                                      </w:divBdr>
                                                                                                                    </w:div>
                                                                                                                  </w:divsChild>
                                                                                                                </w:div>
                                                                                                                <w:div w:id="176165490">
                                                                                                                  <w:marLeft w:val="0"/>
                                                                                                                  <w:marRight w:val="0"/>
                                                                                                                  <w:marTop w:val="0"/>
                                                                                                                  <w:marBottom w:val="0"/>
                                                                                                                  <w:divBdr>
                                                                                                                    <w:top w:val="none" w:sz="0" w:space="0" w:color="auto"/>
                                                                                                                    <w:left w:val="none" w:sz="0" w:space="0" w:color="auto"/>
                                                                                                                    <w:bottom w:val="none" w:sz="0" w:space="0" w:color="auto"/>
                                                                                                                    <w:right w:val="none" w:sz="0" w:space="0" w:color="auto"/>
                                                                                                                  </w:divBdr>
                                                                                                                  <w:divsChild>
                                                                                                                    <w:div w:id="1978758032">
                                                                                                                      <w:marLeft w:val="0"/>
                                                                                                                      <w:marRight w:val="0"/>
                                                                                                                      <w:marTop w:val="0"/>
                                                                                                                      <w:marBottom w:val="0"/>
                                                                                                                      <w:divBdr>
                                                                                                                        <w:top w:val="none" w:sz="0" w:space="0" w:color="auto"/>
                                                                                                                        <w:left w:val="none" w:sz="0" w:space="0" w:color="auto"/>
                                                                                                                        <w:bottom w:val="none" w:sz="0" w:space="0" w:color="auto"/>
                                                                                                                        <w:right w:val="none" w:sz="0" w:space="0" w:color="auto"/>
                                                                                                                      </w:divBdr>
                                                                                                                      <w:divsChild>
                                                                                                                        <w:div w:id="1816146743">
                                                                                                                          <w:marLeft w:val="0"/>
                                                                                                                          <w:marRight w:val="0"/>
                                                                                                                          <w:marTop w:val="0"/>
                                                                                                                          <w:marBottom w:val="0"/>
                                                                                                                          <w:divBdr>
                                                                                                                            <w:top w:val="none" w:sz="0" w:space="0" w:color="auto"/>
                                                                                                                            <w:left w:val="none" w:sz="0" w:space="0" w:color="auto"/>
                                                                                                                            <w:bottom w:val="none" w:sz="0" w:space="0" w:color="auto"/>
                                                                                                                            <w:right w:val="none" w:sz="0" w:space="0" w:color="auto"/>
                                                                                                                          </w:divBdr>
                                                                                                                        </w:div>
                                                                                                                        <w:div w:id="1667584989">
                                                                                                                          <w:marLeft w:val="0"/>
                                                                                                                          <w:marRight w:val="0"/>
                                                                                                                          <w:marTop w:val="0"/>
                                                                                                                          <w:marBottom w:val="0"/>
                                                                                                                          <w:divBdr>
                                                                                                                            <w:top w:val="none" w:sz="0" w:space="0" w:color="auto"/>
                                                                                                                            <w:left w:val="none" w:sz="0" w:space="0" w:color="auto"/>
                                                                                                                            <w:bottom w:val="none" w:sz="0" w:space="0" w:color="auto"/>
                                                                                                                            <w:right w:val="none" w:sz="0" w:space="0" w:color="auto"/>
                                                                                                                          </w:divBdr>
                                                                                                                          <w:divsChild>
                                                                                                                            <w:div w:id="152806098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9076333">
                                                                                                                  <w:marLeft w:val="0"/>
                                                                                                                  <w:marRight w:val="0"/>
                                                                                                                  <w:marTop w:val="0"/>
                                                                                                                  <w:marBottom w:val="0"/>
                                                                                                                  <w:divBdr>
                                                                                                                    <w:top w:val="none" w:sz="0" w:space="0" w:color="auto"/>
                                                                                                                    <w:left w:val="none" w:sz="0" w:space="0" w:color="auto"/>
                                                                                                                    <w:bottom w:val="none" w:sz="0" w:space="0" w:color="auto"/>
                                                                                                                    <w:right w:val="none" w:sz="0" w:space="0" w:color="auto"/>
                                                                                                                  </w:divBdr>
                                                                                                                </w:div>
                                                                                                                <w:div w:id="709576433">
                                                                                                                  <w:marLeft w:val="0"/>
                                                                                                                  <w:marRight w:val="0"/>
                                                                                                                  <w:marTop w:val="0"/>
                                                                                                                  <w:marBottom w:val="0"/>
                                                                                                                  <w:divBdr>
                                                                                                                    <w:top w:val="none" w:sz="0" w:space="0" w:color="auto"/>
                                                                                                                    <w:left w:val="none" w:sz="0" w:space="0" w:color="auto"/>
                                                                                                                    <w:bottom w:val="none" w:sz="0" w:space="0" w:color="auto"/>
                                                                                                                    <w:right w:val="none" w:sz="0" w:space="0" w:color="auto"/>
                                                                                                                  </w:divBdr>
                                                                                                                  <w:divsChild>
                                                                                                                    <w:div w:id="313460053">
                                                                                                                      <w:marLeft w:val="0"/>
                                                                                                                      <w:marRight w:val="0"/>
                                                                                                                      <w:marTop w:val="0"/>
                                                                                                                      <w:marBottom w:val="0"/>
                                                                                                                      <w:divBdr>
                                                                                                                        <w:top w:val="none" w:sz="0" w:space="0" w:color="auto"/>
                                                                                                                        <w:left w:val="none" w:sz="0" w:space="0" w:color="auto"/>
                                                                                                                        <w:bottom w:val="none" w:sz="0" w:space="0" w:color="auto"/>
                                                                                                                        <w:right w:val="none" w:sz="0" w:space="0" w:color="auto"/>
                                                                                                                      </w:divBdr>
                                                                                                                    </w:div>
                                                                                                                  </w:divsChild>
                                                                                                                </w:div>
                                                                                                                <w:div w:id="877278824">
                                                                                                                  <w:marLeft w:val="0"/>
                                                                                                                  <w:marRight w:val="0"/>
                                                                                                                  <w:marTop w:val="0"/>
                                                                                                                  <w:marBottom w:val="0"/>
                                                                                                                  <w:divBdr>
                                                                                                                    <w:top w:val="none" w:sz="0" w:space="0" w:color="auto"/>
                                                                                                                    <w:left w:val="none" w:sz="0" w:space="0" w:color="auto"/>
                                                                                                                    <w:bottom w:val="none" w:sz="0" w:space="0" w:color="auto"/>
                                                                                                                    <w:right w:val="none" w:sz="0" w:space="0" w:color="auto"/>
                                                                                                                  </w:divBdr>
                                                                                                                </w:div>
                                                                                                                <w:div w:id="1412195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85169802">
                                                                                  <w:marLeft w:val="105"/>
                                                                                  <w:marRight w:val="105"/>
                                                                                  <w:marTop w:val="105"/>
                                                                                  <w:marBottom w:val="105"/>
                                                                                  <w:divBdr>
                                                                                    <w:top w:val="none" w:sz="0" w:space="0" w:color="auto"/>
                                                                                    <w:left w:val="none" w:sz="0" w:space="0" w:color="auto"/>
                                                                                    <w:bottom w:val="none" w:sz="0" w:space="0" w:color="auto"/>
                                                                                    <w:right w:val="none" w:sz="0" w:space="0" w:color="auto"/>
                                                                                  </w:divBdr>
                                                                                  <w:divsChild>
                                                                                    <w:div w:id="403650728">
                                                                                      <w:marLeft w:val="0"/>
                                                                                      <w:marRight w:val="0"/>
                                                                                      <w:marTop w:val="0"/>
                                                                                      <w:marBottom w:val="0"/>
                                                                                      <w:divBdr>
                                                                                        <w:top w:val="none" w:sz="0" w:space="0" w:color="auto"/>
                                                                                        <w:left w:val="none" w:sz="0" w:space="0" w:color="auto"/>
                                                                                        <w:bottom w:val="none" w:sz="0" w:space="0" w:color="auto"/>
                                                                                        <w:right w:val="none" w:sz="0" w:space="0" w:color="auto"/>
                                                                                      </w:divBdr>
                                                                                      <w:divsChild>
                                                                                        <w:div w:id="1075932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620654273">
                                              <w:marLeft w:val="0"/>
                                              <w:marRight w:val="0"/>
                                              <w:marTop w:val="0"/>
                                              <w:marBottom w:val="0"/>
                                              <w:divBdr>
                                                <w:top w:val="none" w:sz="0" w:space="0" w:color="auto"/>
                                                <w:left w:val="none" w:sz="0" w:space="0" w:color="auto"/>
                                                <w:bottom w:val="none" w:sz="0" w:space="0" w:color="auto"/>
                                                <w:right w:val="none" w:sz="0" w:space="0" w:color="auto"/>
                                              </w:divBdr>
                                              <w:divsChild>
                                                <w:div w:id="642396241">
                                                  <w:marLeft w:val="0"/>
                                                  <w:marRight w:val="0"/>
                                                  <w:marTop w:val="0"/>
                                                  <w:marBottom w:val="0"/>
                                                  <w:divBdr>
                                                    <w:top w:val="none" w:sz="0" w:space="0" w:color="auto"/>
                                                    <w:left w:val="none" w:sz="0" w:space="0" w:color="auto"/>
                                                    <w:bottom w:val="none" w:sz="0" w:space="0" w:color="auto"/>
                                                    <w:right w:val="none" w:sz="0" w:space="0" w:color="auto"/>
                                                  </w:divBdr>
                                                  <w:divsChild>
                                                    <w:div w:id="2003392399">
                                                      <w:marLeft w:val="0"/>
                                                      <w:marRight w:val="0"/>
                                                      <w:marTop w:val="0"/>
                                                      <w:marBottom w:val="0"/>
                                                      <w:divBdr>
                                                        <w:top w:val="none" w:sz="0" w:space="0" w:color="auto"/>
                                                        <w:left w:val="none" w:sz="0" w:space="0" w:color="auto"/>
                                                        <w:bottom w:val="none" w:sz="0" w:space="0" w:color="auto"/>
                                                        <w:right w:val="none" w:sz="0" w:space="0" w:color="auto"/>
                                                      </w:divBdr>
                                                      <w:divsChild>
                                                        <w:div w:id="1780762652">
                                                          <w:marLeft w:val="0"/>
                                                          <w:marRight w:val="0"/>
                                                          <w:marTop w:val="0"/>
                                                          <w:marBottom w:val="0"/>
                                                          <w:divBdr>
                                                            <w:top w:val="none" w:sz="0" w:space="0" w:color="auto"/>
                                                            <w:left w:val="none" w:sz="0" w:space="0" w:color="auto"/>
                                                            <w:bottom w:val="none" w:sz="0" w:space="0" w:color="auto"/>
                                                            <w:right w:val="none" w:sz="0" w:space="0" w:color="auto"/>
                                                          </w:divBdr>
                                                          <w:divsChild>
                                                            <w:div w:id="435105077">
                                                              <w:marLeft w:val="0"/>
                                                              <w:marRight w:val="0"/>
                                                              <w:marTop w:val="0"/>
                                                              <w:marBottom w:val="0"/>
                                                              <w:divBdr>
                                                                <w:top w:val="none" w:sz="0" w:space="0" w:color="auto"/>
                                                                <w:left w:val="none" w:sz="0" w:space="0" w:color="auto"/>
                                                                <w:bottom w:val="none" w:sz="0" w:space="0" w:color="auto"/>
                                                                <w:right w:val="none" w:sz="0" w:space="0" w:color="auto"/>
                                                              </w:divBdr>
                                                              <w:divsChild>
                                                                <w:div w:id="1102460966">
                                                                  <w:marLeft w:val="0"/>
                                                                  <w:marRight w:val="0"/>
                                                                  <w:marTop w:val="0"/>
                                                                  <w:marBottom w:val="0"/>
                                                                  <w:divBdr>
                                                                    <w:top w:val="none" w:sz="0" w:space="0" w:color="auto"/>
                                                                    <w:left w:val="none" w:sz="0" w:space="0" w:color="auto"/>
                                                                    <w:bottom w:val="none" w:sz="0" w:space="0" w:color="auto"/>
                                                                    <w:right w:val="none" w:sz="0" w:space="0" w:color="auto"/>
                                                                  </w:divBdr>
                                                                  <w:divsChild>
                                                                    <w:div w:id="1192261886">
                                                                      <w:marLeft w:val="0"/>
                                                                      <w:marRight w:val="0"/>
                                                                      <w:marTop w:val="0"/>
                                                                      <w:marBottom w:val="0"/>
                                                                      <w:divBdr>
                                                                        <w:top w:val="none" w:sz="0" w:space="0" w:color="auto"/>
                                                                        <w:left w:val="none" w:sz="0" w:space="0" w:color="auto"/>
                                                                        <w:bottom w:val="none" w:sz="0" w:space="0" w:color="auto"/>
                                                                        <w:right w:val="none" w:sz="0" w:space="0" w:color="auto"/>
                                                                      </w:divBdr>
                                                                      <w:divsChild>
                                                                        <w:div w:id="85928121">
                                                                          <w:marLeft w:val="0"/>
                                                                          <w:marRight w:val="0"/>
                                                                          <w:marTop w:val="0"/>
                                                                          <w:marBottom w:val="0"/>
                                                                          <w:divBdr>
                                                                            <w:top w:val="none" w:sz="0" w:space="0" w:color="auto"/>
                                                                            <w:left w:val="none" w:sz="0" w:space="0" w:color="auto"/>
                                                                            <w:bottom w:val="none" w:sz="0" w:space="0" w:color="auto"/>
                                                                            <w:right w:val="none" w:sz="0" w:space="0" w:color="auto"/>
                                                                          </w:divBdr>
                                                                          <w:divsChild>
                                                                            <w:div w:id="992952164">
                                                                              <w:marLeft w:val="300"/>
                                                                              <w:marRight w:val="0"/>
                                                                              <w:marTop w:val="0"/>
                                                                              <w:marBottom w:val="0"/>
                                                                              <w:divBdr>
                                                                                <w:top w:val="none" w:sz="0" w:space="0" w:color="auto"/>
                                                                                <w:left w:val="none" w:sz="0" w:space="0" w:color="auto"/>
                                                                                <w:bottom w:val="none" w:sz="0" w:space="0" w:color="auto"/>
                                                                                <w:right w:val="none" w:sz="0" w:space="0" w:color="auto"/>
                                                                              </w:divBdr>
                                                                              <w:divsChild>
                                                                                <w:div w:id="874998517">
                                                                                  <w:marLeft w:val="0"/>
                                                                                  <w:marRight w:val="0"/>
                                                                                  <w:marTop w:val="0"/>
                                                                                  <w:marBottom w:val="0"/>
                                                                                  <w:divBdr>
                                                                                    <w:top w:val="none" w:sz="0" w:space="0" w:color="auto"/>
                                                                                    <w:left w:val="none" w:sz="0" w:space="0" w:color="auto"/>
                                                                                    <w:bottom w:val="none" w:sz="0" w:space="0" w:color="auto"/>
                                                                                    <w:right w:val="none" w:sz="0" w:space="0" w:color="auto"/>
                                                                                  </w:divBdr>
                                                                                  <w:divsChild>
                                                                                    <w:div w:id="1364793791">
                                                                                      <w:marLeft w:val="0"/>
                                                                                      <w:marRight w:val="0"/>
                                                                                      <w:marTop w:val="0"/>
                                                                                      <w:marBottom w:val="0"/>
                                                                                      <w:divBdr>
                                                                                        <w:top w:val="none" w:sz="0" w:space="0" w:color="auto"/>
                                                                                        <w:left w:val="none" w:sz="0" w:space="0" w:color="auto"/>
                                                                                        <w:bottom w:val="none" w:sz="0" w:space="0" w:color="auto"/>
                                                                                        <w:right w:val="none" w:sz="0" w:space="0" w:color="auto"/>
                                                                                      </w:divBdr>
                                                                                      <w:divsChild>
                                                                                        <w:div w:id="1111628003">
                                                                                          <w:marLeft w:val="0"/>
                                                                                          <w:marRight w:val="0"/>
                                                                                          <w:marTop w:val="0"/>
                                                                                          <w:marBottom w:val="0"/>
                                                                                          <w:divBdr>
                                                                                            <w:top w:val="none" w:sz="0" w:space="0" w:color="auto"/>
                                                                                            <w:left w:val="none" w:sz="0" w:space="0" w:color="auto"/>
                                                                                            <w:bottom w:val="none" w:sz="0" w:space="0" w:color="auto"/>
                                                                                            <w:right w:val="none" w:sz="0" w:space="0" w:color="auto"/>
                                                                                          </w:divBdr>
                                                                                          <w:divsChild>
                                                                                            <w:div w:id="1506633617">
                                                                                              <w:marLeft w:val="0"/>
                                                                                              <w:marRight w:val="0"/>
                                                                                              <w:marTop w:val="0"/>
                                                                                              <w:marBottom w:val="0"/>
                                                                                              <w:divBdr>
                                                                                                <w:top w:val="none" w:sz="0" w:space="0" w:color="auto"/>
                                                                                                <w:left w:val="none" w:sz="0" w:space="0" w:color="auto"/>
                                                                                                <w:bottom w:val="none" w:sz="0" w:space="0" w:color="auto"/>
                                                                                                <w:right w:val="none" w:sz="0" w:space="0" w:color="auto"/>
                                                                                              </w:divBdr>
                                                                                              <w:divsChild>
                                                                                                <w:div w:id="811749727">
                                                                                                  <w:marLeft w:val="0"/>
                                                                                                  <w:marRight w:val="0"/>
                                                                                                  <w:marTop w:val="0"/>
                                                                                                  <w:marBottom w:val="0"/>
                                                                                                  <w:divBdr>
                                                                                                    <w:top w:val="none" w:sz="0" w:space="0" w:color="auto"/>
                                                                                                    <w:left w:val="none" w:sz="0" w:space="0" w:color="auto"/>
                                                                                                    <w:bottom w:val="none" w:sz="0" w:space="0" w:color="auto"/>
                                                                                                    <w:right w:val="none" w:sz="0" w:space="0" w:color="auto"/>
                                                                                                  </w:divBdr>
                                                                                                  <w:divsChild>
                                                                                                    <w:div w:id="646711254">
                                                                                                      <w:marLeft w:val="0"/>
                                                                                                      <w:marRight w:val="0"/>
                                                                                                      <w:marTop w:val="0"/>
                                                                                                      <w:marBottom w:val="0"/>
                                                                                                      <w:divBdr>
                                                                                                        <w:top w:val="none" w:sz="0" w:space="0" w:color="auto"/>
                                                                                                        <w:left w:val="none" w:sz="0" w:space="0" w:color="auto"/>
                                                                                                        <w:bottom w:val="none" w:sz="0" w:space="0" w:color="auto"/>
                                                                                                        <w:right w:val="none" w:sz="0" w:space="0" w:color="auto"/>
                                                                                                      </w:divBdr>
                                                                                                      <w:divsChild>
                                                                                                        <w:div w:id="101919875">
                                                                                                          <w:marLeft w:val="0"/>
                                                                                                          <w:marRight w:val="0"/>
                                                                                                          <w:marTop w:val="0"/>
                                                                                                          <w:marBottom w:val="0"/>
                                                                                                          <w:divBdr>
                                                                                                            <w:top w:val="none" w:sz="0" w:space="0" w:color="auto"/>
                                                                                                            <w:left w:val="none" w:sz="0" w:space="0" w:color="auto"/>
                                                                                                            <w:bottom w:val="none" w:sz="0" w:space="0" w:color="auto"/>
                                                                                                            <w:right w:val="none" w:sz="0" w:space="0" w:color="auto"/>
                                                                                                          </w:divBdr>
                                                                                                          <w:divsChild>
                                                                                                            <w:div w:id="771438055">
                                                                                                              <w:marLeft w:val="0"/>
                                                                                                              <w:marRight w:val="0"/>
                                                                                                              <w:marTop w:val="0"/>
                                                                                                              <w:marBottom w:val="150"/>
                                                                                                              <w:divBdr>
                                                                                                                <w:top w:val="single" w:sz="6" w:space="0" w:color="CCCCCC"/>
                                                                                                                <w:left w:val="single" w:sz="6" w:space="0" w:color="CCCCCC"/>
                                                                                                                <w:bottom w:val="single" w:sz="6" w:space="0" w:color="CCCCCC"/>
                                                                                                                <w:right w:val="single" w:sz="6" w:space="0" w:color="CCCCCC"/>
                                                                                                              </w:divBdr>
                                                                                                              <w:divsChild>
                                                                                                                <w:div w:id="1951550994">
                                                                                                                  <w:marLeft w:val="0"/>
                                                                                                                  <w:marRight w:val="0"/>
                                                                                                                  <w:marTop w:val="0"/>
                                                                                                                  <w:marBottom w:val="0"/>
                                                                                                                  <w:divBdr>
                                                                                                                    <w:top w:val="none" w:sz="0" w:space="0" w:color="auto"/>
                                                                                                                    <w:left w:val="none" w:sz="0" w:space="0" w:color="auto"/>
                                                                                                                    <w:bottom w:val="none" w:sz="0" w:space="0" w:color="auto"/>
                                                                                                                    <w:right w:val="none" w:sz="0" w:space="0" w:color="auto"/>
                                                                                                                  </w:divBdr>
                                                                                                                  <w:divsChild>
                                                                                                                    <w:div w:id="2012372421">
                                                                                                                      <w:marLeft w:val="0"/>
                                                                                                                      <w:marRight w:val="0"/>
                                                                                                                      <w:marTop w:val="0"/>
                                                                                                                      <w:marBottom w:val="0"/>
                                                                                                                      <w:divBdr>
                                                                                                                        <w:top w:val="none" w:sz="0" w:space="0" w:color="auto"/>
                                                                                                                        <w:left w:val="none" w:sz="0" w:space="0" w:color="auto"/>
                                                                                                                        <w:bottom w:val="none" w:sz="0" w:space="0" w:color="auto"/>
                                                                                                                        <w:right w:val="none" w:sz="0" w:space="0" w:color="auto"/>
                                                                                                                      </w:divBdr>
                                                                                                                      <w:divsChild>
                                                                                                                        <w:div w:id="1538547855">
                                                                                                                          <w:marLeft w:val="0"/>
                                                                                                                          <w:marRight w:val="0"/>
                                                                                                                          <w:marTop w:val="0"/>
                                                                                                                          <w:marBottom w:val="0"/>
                                                                                                                          <w:divBdr>
                                                                                                                            <w:top w:val="none" w:sz="0" w:space="0" w:color="auto"/>
                                                                                                                            <w:left w:val="none" w:sz="0" w:space="0" w:color="auto"/>
                                                                                                                            <w:bottom w:val="none" w:sz="0" w:space="0" w:color="auto"/>
                                                                                                                            <w:right w:val="none" w:sz="0" w:space="0" w:color="auto"/>
                                                                                                                          </w:divBdr>
                                                                                                                          <w:divsChild>
                                                                                                                            <w:div w:id="949509686">
                                                                                                                              <w:marLeft w:val="0"/>
                                                                                                                              <w:marRight w:val="0"/>
                                                                                                                              <w:marTop w:val="0"/>
                                                                                                                              <w:marBottom w:val="0"/>
                                                                                                                              <w:divBdr>
                                                                                                                                <w:top w:val="none" w:sz="0" w:space="0" w:color="auto"/>
                                                                                                                                <w:left w:val="none" w:sz="0" w:space="0" w:color="auto"/>
                                                                                                                                <w:bottom w:val="none" w:sz="0" w:space="0" w:color="auto"/>
                                                                                                                                <w:right w:val="none" w:sz="0" w:space="0" w:color="auto"/>
                                                                                                                              </w:divBdr>
                                                                                                                              <w:divsChild>
                                                                                                                                <w:div w:id="1110398069">
                                                                                                                                  <w:marLeft w:val="0"/>
                                                                                                                                  <w:marRight w:val="0"/>
                                                                                                                                  <w:marTop w:val="0"/>
                                                                                                                                  <w:marBottom w:val="0"/>
                                                                                                                                  <w:divBdr>
                                                                                                                                    <w:top w:val="none" w:sz="0" w:space="0" w:color="auto"/>
                                                                                                                                    <w:left w:val="none" w:sz="0" w:space="0" w:color="auto"/>
                                                                                                                                    <w:bottom w:val="none" w:sz="0" w:space="0" w:color="auto"/>
                                                                                                                                    <w:right w:val="none" w:sz="0" w:space="0" w:color="auto"/>
                                                                                                                                  </w:divBdr>
                                                                                                                                  <w:divsChild>
                                                                                                                                    <w:div w:id="698897532">
                                                                                                                                      <w:marLeft w:val="0"/>
                                                                                                                                      <w:marRight w:val="0"/>
                                                                                                                                      <w:marTop w:val="0"/>
                                                                                                                                      <w:marBottom w:val="0"/>
                                                                                                                                      <w:divBdr>
                                                                                                                                        <w:top w:val="none" w:sz="0" w:space="0" w:color="auto"/>
                                                                                                                                        <w:left w:val="none" w:sz="0" w:space="0" w:color="auto"/>
                                                                                                                                        <w:bottom w:val="none" w:sz="0" w:space="0" w:color="auto"/>
                                                                                                                                        <w:right w:val="none" w:sz="0" w:space="0" w:color="auto"/>
                                                                                                                                      </w:divBdr>
                                                                                                                                      <w:divsChild>
                                                                                                                                        <w:div w:id="1727148280">
                                                                                                                                          <w:marLeft w:val="0"/>
                                                                                                                                          <w:marRight w:val="0"/>
                                                                                                                                          <w:marTop w:val="0"/>
                                                                                                                                          <w:marBottom w:val="0"/>
                                                                                                                                          <w:divBdr>
                                                                                                                                            <w:top w:val="none" w:sz="0" w:space="0" w:color="auto"/>
                                                                                                                                            <w:left w:val="none" w:sz="0" w:space="0" w:color="auto"/>
                                                                                                                                            <w:bottom w:val="none" w:sz="0" w:space="0" w:color="auto"/>
                                                                                                                                            <w:right w:val="none" w:sz="0" w:space="0" w:color="auto"/>
                                                                                                                                          </w:divBdr>
                                                                                                                                          <w:divsChild>
                                                                                                                                            <w:div w:id="1385719040">
                                                                                                                                              <w:marLeft w:val="0"/>
                                                                                                                                              <w:marRight w:val="0"/>
                                                                                                                                              <w:marTop w:val="0"/>
                                                                                                                                              <w:marBottom w:val="0"/>
                                                                                                                                              <w:divBdr>
                                                                                                                                                <w:top w:val="none" w:sz="0" w:space="0" w:color="auto"/>
                                                                                                                                                <w:left w:val="none" w:sz="0" w:space="0" w:color="auto"/>
                                                                                                                                                <w:bottom w:val="none" w:sz="0" w:space="0" w:color="auto"/>
                                                                                                                                                <w:right w:val="none" w:sz="0" w:space="0" w:color="auto"/>
                                                                                                                                              </w:divBdr>
                                                                                                                                              <w:divsChild>
                                                                                                                                                <w:div w:id="728460011">
                                                                                                                                                  <w:marLeft w:val="0"/>
                                                                                                                                                  <w:marRight w:val="0"/>
                                                                                                                                                  <w:marTop w:val="0"/>
                                                                                                                                                  <w:marBottom w:val="0"/>
                                                                                                                                                  <w:divBdr>
                                                                                                                                                    <w:top w:val="none" w:sz="0" w:space="0" w:color="auto"/>
                                                                                                                                                    <w:left w:val="none" w:sz="0" w:space="0" w:color="auto"/>
                                                                                                                                                    <w:bottom w:val="none" w:sz="0" w:space="0" w:color="auto"/>
                                                                                                                                                    <w:right w:val="none" w:sz="0" w:space="0" w:color="auto"/>
                                                                                                                                                  </w:divBdr>
                                                                                                                                                  <w:divsChild>
                                                                                                                                                    <w:div w:id="1874423527">
                                                                                                                                                      <w:marLeft w:val="0"/>
                                                                                                                                                      <w:marRight w:val="0"/>
                                                                                                                                                      <w:marTop w:val="0"/>
                                                                                                                                                      <w:marBottom w:val="0"/>
                                                                                                                                                      <w:divBdr>
                                                                                                                                                        <w:top w:val="none" w:sz="0" w:space="0" w:color="auto"/>
                                                                                                                                                        <w:left w:val="none" w:sz="0" w:space="0" w:color="auto"/>
                                                                                                                                                        <w:bottom w:val="none" w:sz="0" w:space="0" w:color="auto"/>
                                                                                                                                                        <w:right w:val="none" w:sz="0" w:space="0" w:color="auto"/>
                                                                                                                                                      </w:divBdr>
                                                                                                                                                      <w:divsChild>
                                                                                                                                                        <w:div w:id="1711297178">
                                                                                                                                                          <w:marLeft w:val="0"/>
                                                                                                                                                          <w:marRight w:val="0"/>
                                                                                                                                                          <w:marTop w:val="0"/>
                                                                                                                                                          <w:marBottom w:val="0"/>
                                                                                                                                                          <w:divBdr>
                                                                                                                                                            <w:top w:val="none" w:sz="0" w:space="0" w:color="auto"/>
                                                                                                                                                            <w:left w:val="none" w:sz="0" w:space="0" w:color="auto"/>
                                                                                                                                                            <w:bottom w:val="none" w:sz="0" w:space="0" w:color="auto"/>
                                                                                                                                                            <w:right w:val="none" w:sz="0" w:space="0" w:color="auto"/>
                                                                                                                                                          </w:divBdr>
                                                                                                                                                          <w:divsChild>
                                                                                                                                                            <w:div w:id="1386682669">
                                                                                                                                                              <w:marLeft w:val="0"/>
                                                                                                                                                              <w:marRight w:val="0"/>
                                                                                                                                                              <w:marTop w:val="0"/>
                                                                                                                                                              <w:marBottom w:val="0"/>
                                                                                                                                                              <w:divBdr>
                                                                                                                                                                <w:top w:val="none" w:sz="0" w:space="0" w:color="auto"/>
                                                                                                                                                                <w:left w:val="none" w:sz="0" w:space="0" w:color="auto"/>
                                                                                                                                                                <w:bottom w:val="none" w:sz="0" w:space="0" w:color="auto"/>
                                                                                                                                                                <w:right w:val="none" w:sz="0" w:space="0" w:color="auto"/>
                                                                                                                                                              </w:divBdr>
                                                                                                                                                              <w:divsChild>
                                                                                                                                                                <w:div w:id="491290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2217337">
                                                                                  <w:marLeft w:val="0"/>
                                                                                  <w:marRight w:val="0"/>
                                                                                  <w:marTop w:val="150"/>
                                                                                  <w:marBottom w:val="0"/>
                                                                                  <w:divBdr>
                                                                                    <w:top w:val="none" w:sz="0" w:space="0" w:color="auto"/>
                                                                                    <w:left w:val="none" w:sz="0" w:space="0" w:color="auto"/>
                                                                                    <w:bottom w:val="none" w:sz="0" w:space="0" w:color="auto"/>
                                                                                    <w:right w:val="none" w:sz="0" w:space="0" w:color="auto"/>
                                                                                  </w:divBdr>
                                                                                  <w:divsChild>
                                                                                    <w:div w:id="160588587">
                                                                                      <w:marLeft w:val="0"/>
                                                                                      <w:marRight w:val="0"/>
                                                                                      <w:marTop w:val="300"/>
                                                                                      <w:marBottom w:val="150"/>
                                                                                      <w:divBdr>
                                                                                        <w:top w:val="single" w:sz="6" w:space="0" w:color="CCCCCC"/>
                                                                                        <w:left w:val="single" w:sz="6" w:space="0" w:color="CCCCCC"/>
                                                                                        <w:bottom w:val="single" w:sz="6" w:space="0" w:color="CCCCCC"/>
                                                                                        <w:right w:val="single" w:sz="6" w:space="0" w:color="CCCCCC"/>
                                                                                      </w:divBdr>
                                                                                      <w:divsChild>
                                                                                        <w:div w:id="1204902622">
                                                                                          <w:marLeft w:val="0"/>
                                                                                          <w:marRight w:val="0"/>
                                                                                          <w:marTop w:val="0"/>
                                                                                          <w:marBottom w:val="0"/>
                                                                                          <w:divBdr>
                                                                                            <w:top w:val="none" w:sz="0" w:space="0" w:color="auto"/>
                                                                                            <w:left w:val="none" w:sz="0" w:space="0" w:color="auto"/>
                                                                                            <w:bottom w:val="none" w:sz="0" w:space="0" w:color="auto"/>
                                                                                            <w:right w:val="none" w:sz="0" w:space="0" w:color="auto"/>
                                                                                          </w:divBdr>
                                                                                          <w:divsChild>
                                                                                            <w:div w:id="1102141231">
                                                                                              <w:marLeft w:val="0"/>
                                                                                              <w:marRight w:val="0"/>
                                                                                              <w:marTop w:val="0"/>
                                                                                              <w:marBottom w:val="0"/>
                                                                                              <w:divBdr>
                                                                                                <w:top w:val="none" w:sz="0" w:space="0" w:color="auto"/>
                                                                                                <w:left w:val="none" w:sz="0" w:space="0" w:color="auto"/>
                                                                                                <w:bottom w:val="none" w:sz="0" w:space="0" w:color="auto"/>
                                                                                                <w:right w:val="none" w:sz="0" w:space="0" w:color="auto"/>
                                                                                              </w:divBdr>
                                                                                              <w:divsChild>
                                                                                                <w:div w:id="843712304">
                                                                                                  <w:marLeft w:val="0"/>
                                                                                                  <w:marRight w:val="0"/>
                                                                                                  <w:marTop w:val="0"/>
                                                                                                  <w:marBottom w:val="0"/>
                                                                                                  <w:divBdr>
                                                                                                    <w:top w:val="none" w:sz="0" w:space="0" w:color="auto"/>
                                                                                                    <w:left w:val="none" w:sz="0" w:space="0" w:color="auto"/>
                                                                                                    <w:bottom w:val="none" w:sz="0" w:space="0" w:color="auto"/>
                                                                                                    <w:right w:val="none" w:sz="0" w:space="0" w:color="auto"/>
                                                                                                  </w:divBdr>
                                                                                                  <w:divsChild>
                                                                                                    <w:div w:id="772241518">
                                                                                                      <w:marLeft w:val="0"/>
                                                                                                      <w:marRight w:val="0"/>
                                                                                                      <w:marTop w:val="0"/>
                                                                                                      <w:marBottom w:val="0"/>
                                                                                                      <w:divBdr>
                                                                                                        <w:top w:val="none" w:sz="0" w:space="0" w:color="auto"/>
                                                                                                        <w:left w:val="none" w:sz="0" w:space="0" w:color="auto"/>
                                                                                                        <w:bottom w:val="none" w:sz="0" w:space="0" w:color="auto"/>
                                                                                                        <w:right w:val="none" w:sz="0" w:space="0" w:color="auto"/>
                                                                                                      </w:divBdr>
                                                                                                      <w:divsChild>
                                                                                                        <w:div w:id="1344865718">
                                                                                                          <w:marLeft w:val="0"/>
                                                                                                          <w:marRight w:val="0"/>
                                                                                                          <w:marTop w:val="0"/>
                                                                                                          <w:marBottom w:val="0"/>
                                                                                                          <w:divBdr>
                                                                                                            <w:top w:val="none" w:sz="0" w:space="0" w:color="auto"/>
                                                                                                            <w:left w:val="none" w:sz="0" w:space="0" w:color="auto"/>
                                                                                                            <w:bottom w:val="none" w:sz="0" w:space="0" w:color="auto"/>
                                                                                                            <w:right w:val="none" w:sz="0" w:space="0" w:color="auto"/>
                                                                                                          </w:divBdr>
                                                                                                          <w:divsChild>
                                                                                                            <w:div w:id="696547365">
                                                                                                              <w:marLeft w:val="0"/>
                                                                                                              <w:marRight w:val="0"/>
                                                                                                              <w:marTop w:val="300"/>
                                                                                                              <w:marBottom w:val="0"/>
                                                                                                              <w:divBdr>
                                                                                                                <w:top w:val="none" w:sz="0" w:space="0" w:color="auto"/>
                                                                                                                <w:left w:val="none" w:sz="0" w:space="0" w:color="auto"/>
                                                                                                                <w:bottom w:val="none" w:sz="0" w:space="0" w:color="auto"/>
                                                                                                                <w:right w:val="none" w:sz="0" w:space="0" w:color="auto"/>
                                                                                                              </w:divBdr>
                                                                                                              <w:divsChild>
                                                                                                                <w:div w:id="2051108749">
                                                                                                                  <w:marLeft w:val="0"/>
                                                                                                                  <w:marRight w:val="0"/>
                                                                                                                  <w:marTop w:val="0"/>
                                                                                                                  <w:marBottom w:val="0"/>
                                                                                                                  <w:divBdr>
                                                                                                                    <w:top w:val="none" w:sz="0" w:space="0" w:color="auto"/>
                                                                                                                    <w:left w:val="none" w:sz="0" w:space="0" w:color="auto"/>
                                                                                                                    <w:bottom w:val="none" w:sz="0" w:space="0" w:color="auto"/>
                                                                                                                    <w:right w:val="none" w:sz="0" w:space="0" w:color="auto"/>
                                                                                                                  </w:divBdr>
                                                                                                                  <w:divsChild>
                                                                                                                    <w:div w:id="300968130">
                                                                                                                      <w:marLeft w:val="0"/>
                                                                                                                      <w:marRight w:val="0"/>
                                                                                                                      <w:marTop w:val="0"/>
                                                                                                                      <w:marBottom w:val="0"/>
                                                                                                                      <w:divBdr>
                                                                                                                        <w:top w:val="none" w:sz="0" w:space="0" w:color="auto"/>
                                                                                                                        <w:left w:val="none" w:sz="0" w:space="0" w:color="auto"/>
                                                                                                                        <w:bottom w:val="none" w:sz="0" w:space="0" w:color="auto"/>
                                                                                                                        <w:right w:val="none" w:sz="0" w:space="0" w:color="auto"/>
                                                                                                                      </w:divBdr>
                                                                                                                      <w:divsChild>
                                                                                                                        <w:div w:id="651637280">
                                                                                                                          <w:marLeft w:val="0"/>
                                                                                                                          <w:marRight w:val="0"/>
                                                                                                                          <w:marTop w:val="0"/>
                                                                                                                          <w:marBottom w:val="0"/>
                                                                                                                          <w:divBdr>
                                                                                                                            <w:top w:val="none" w:sz="0" w:space="0" w:color="auto"/>
                                                                                                                            <w:left w:val="none" w:sz="0" w:space="0" w:color="auto"/>
                                                                                                                            <w:bottom w:val="none" w:sz="0" w:space="0" w:color="auto"/>
                                                                                                                            <w:right w:val="none" w:sz="0" w:space="0" w:color="auto"/>
                                                                                                                          </w:divBdr>
                                                                                                                          <w:divsChild>
                                                                                                                            <w:div w:id="1610578523">
                                                                                                                              <w:marLeft w:val="0"/>
                                                                                                                              <w:marRight w:val="0"/>
                                                                                                                              <w:marTop w:val="0"/>
                                                                                                                              <w:marBottom w:val="0"/>
                                                                                                                              <w:divBdr>
                                                                                                                                <w:top w:val="none" w:sz="0" w:space="0" w:color="auto"/>
                                                                                                                                <w:left w:val="none" w:sz="0" w:space="0" w:color="auto"/>
                                                                                                                                <w:bottom w:val="none" w:sz="0" w:space="0" w:color="auto"/>
                                                                                                                                <w:right w:val="none" w:sz="0" w:space="0" w:color="auto"/>
                                                                                                                              </w:divBdr>
                                                                                                                              <w:divsChild>
                                                                                                                                <w:div w:id="42873799">
                                                                                                                                  <w:marLeft w:val="0"/>
                                                                                                                                  <w:marRight w:val="0"/>
                                                                                                                                  <w:marTop w:val="0"/>
                                                                                                                                  <w:marBottom w:val="0"/>
                                                                                                                                  <w:divBdr>
                                                                                                                                    <w:top w:val="none" w:sz="0" w:space="0" w:color="auto"/>
                                                                                                                                    <w:left w:val="none" w:sz="0" w:space="0" w:color="auto"/>
                                                                                                                                    <w:bottom w:val="none" w:sz="0" w:space="0" w:color="auto"/>
                                                                                                                                    <w:right w:val="none" w:sz="0" w:space="0" w:color="auto"/>
                                                                                                                                  </w:divBdr>
                                                                                                                                  <w:divsChild>
                                                                                                                                    <w:div w:id="1240484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5466452">
          <w:marLeft w:val="0"/>
          <w:marRight w:val="0"/>
          <w:marTop w:val="0"/>
          <w:marBottom w:val="0"/>
          <w:divBdr>
            <w:top w:val="none" w:sz="0" w:space="0" w:color="auto"/>
            <w:left w:val="none" w:sz="0" w:space="0" w:color="auto"/>
            <w:bottom w:val="none" w:sz="0" w:space="0" w:color="auto"/>
            <w:right w:val="none" w:sz="0" w:space="0" w:color="auto"/>
          </w:divBdr>
          <w:divsChild>
            <w:div w:id="1925189139">
              <w:marLeft w:val="0"/>
              <w:marRight w:val="0"/>
              <w:marTop w:val="0"/>
              <w:marBottom w:val="0"/>
              <w:divBdr>
                <w:top w:val="none" w:sz="0" w:space="0" w:color="auto"/>
                <w:left w:val="none" w:sz="0" w:space="0" w:color="auto"/>
                <w:bottom w:val="none" w:sz="0" w:space="0" w:color="auto"/>
                <w:right w:val="none" w:sz="0" w:space="0" w:color="auto"/>
              </w:divBdr>
              <w:divsChild>
                <w:div w:id="1039889589">
                  <w:marLeft w:val="0"/>
                  <w:marRight w:val="0"/>
                  <w:marTop w:val="0"/>
                  <w:marBottom w:val="0"/>
                  <w:divBdr>
                    <w:top w:val="none" w:sz="0" w:space="0" w:color="auto"/>
                    <w:left w:val="none" w:sz="0" w:space="0" w:color="auto"/>
                    <w:bottom w:val="none" w:sz="0" w:space="0" w:color="auto"/>
                    <w:right w:val="none" w:sz="0" w:space="0" w:color="auto"/>
                  </w:divBdr>
                  <w:divsChild>
                    <w:div w:id="2052924086">
                      <w:marLeft w:val="0"/>
                      <w:marRight w:val="0"/>
                      <w:marTop w:val="0"/>
                      <w:marBottom w:val="0"/>
                      <w:divBdr>
                        <w:top w:val="none" w:sz="0" w:space="0" w:color="auto"/>
                        <w:left w:val="none" w:sz="0" w:space="0" w:color="auto"/>
                        <w:bottom w:val="none" w:sz="0" w:space="0" w:color="auto"/>
                        <w:right w:val="none" w:sz="0" w:space="0" w:color="auto"/>
                      </w:divBdr>
                      <w:divsChild>
                        <w:div w:id="756901258">
                          <w:marLeft w:val="0"/>
                          <w:marRight w:val="0"/>
                          <w:marTop w:val="0"/>
                          <w:marBottom w:val="0"/>
                          <w:divBdr>
                            <w:top w:val="none" w:sz="0" w:space="0" w:color="auto"/>
                            <w:left w:val="none" w:sz="0" w:space="0" w:color="auto"/>
                            <w:bottom w:val="none" w:sz="0" w:space="0" w:color="auto"/>
                            <w:right w:val="none" w:sz="0" w:space="0" w:color="auto"/>
                          </w:divBdr>
                          <w:divsChild>
                            <w:div w:id="851066842">
                              <w:marLeft w:val="0"/>
                              <w:marRight w:val="0"/>
                              <w:marTop w:val="0"/>
                              <w:marBottom w:val="0"/>
                              <w:divBdr>
                                <w:top w:val="none" w:sz="0" w:space="0" w:color="auto"/>
                                <w:left w:val="none" w:sz="0" w:space="0" w:color="auto"/>
                                <w:bottom w:val="none" w:sz="0" w:space="0" w:color="auto"/>
                                <w:right w:val="none" w:sz="0" w:space="0" w:color="auto"/>
                              </w:divBdr>
                              <w:divsChild>
                                <w:div w:id="697894503">
                                  <w:marLeft w:val="0"/>
                                  <w:marRight w:val="0"/>
                                  <w:marTop w:val="0"/>
                                  <w:marBottom w:val="0"/>
                                  <w:divBdr>
                                    <w:top w:val="none" w:sz="0" w:space="0" w:color="auto"/>
                                    <w:left w:val="none" w:sz="0" w:space="0" w:color="auto"/>
                                    <w:bottom w:val="none" w:sz="0" w:space="0" w:color="auto"/>
                                    <w:right w:val="none" w:sz="0" w:space="0" w:color="auto"/>
                                  </w:divBdr>
                                  <w:divsChild>
                                    <w:div w:id="1041782728">
                                      <w:marLeft w:val="0"/>
                                      <w:marRight w:val="0"/>
                                      <w:marTop w:val="0"/>
                                      <w:marBottom w:val="0"/>
                                      <w:divBdr>
                                        <w:top w:val="none" w:sz="0" w:space="0" w:color="auto"/>
                                        <w:left w:val="none" w:sz="0" w:space="0" w:color="auto"/>
                                        <w:bottom w:val="none" w:sz="0" w:space="0" w:color="auto"/>
                                        <w:right w:val="none" w:sz="0" w:space="0" w:color="auto"/>
                                      </w:divBdr>
                                      <w:divsChild>
                                        <w:div w:id="1620524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4938348">
      <w:bodyDiv w:val="1"/>
      <w:marLeft w:val="0"/>
      <w:marRight w:val="0"/>
      <w:marTop w:val="0"/>
      <w:marBottom w:val="0"/>
      <w:divBdr>
        <w:top w:val="none" w:sz="0" w:space="0" w:color="auto"/>
        <w:left w:val="none" w:sz="0" w:space="0" w:color="auto"/>
        <w:bottom w:val="none" w:sz="0" w:space="0" w:color="auto"/>
        <w:right w:val="none" w:sz="0" w:space="0" w:color="auto"/>
      </w:divBdr>
      <w:divsChild>
        <w:div w:id="1354645275">
          <w:marLeft w:val="0"/>
          <w:marRight w:val="0"/>
          <w:marTop w:val="0"/>
          <w:marBottom w:val="450"/>
          <w:divBdr>
            <w:top w:val="none" w:sz="0" w:space="0" w:color="auto"/>
            <w:left w:val="none" w:sz="0" w:space="0" w:color="auto"/>
            <w:bottom w:val="none" w:sz="0" w:space="0" w:color="auto"/>
            <w:right w:val="none" w:sz="0" w:space="0" w:color="auto"/>
          </w:divBdr>
          <w:divsChild>
            <w:div w:id="1084451707">
              <w:marLeft w:val="0"/>
              <w:marRight w:val="0"/>
              <w:marTop w:val="0"/>
              <w:marBottom w:val="375"/>
              <w:divBdr>
                <w:top w:val="none" w:sz="0" w:space="0" w:color="auto"/>
                <w:left w:val="none" w:sz="0" w:space="0" w:color="auto"/>
                <w:bottom w:val="none" w:sz="0" w:space="0" w:color="auto"/>
                <w:right w:val="none" w:sz="0" w:space="0" w:color="auto"/>
              </w:divBdr>
              <w:divsChild>
                <w:div w:id="313342605">
                  <w:marLeft w:val="0"/>
                  <w:marRight w:val="0"/>
                  <w:marTop w:val="0"/>
                  <w:marBottom w:val="0"/>
                  <w:divBdr>
                    <w:top w:val="none" w:sz="0" w:space="0" w:color="auto"/>
                    <w:left w:val="none" w:sz="0" w:space="0" w:color="auto"/>
                    <w:bottom w:val="none" w:sz="0" w:space="0" w:color="auto"/>
                    <w:right w:val="none" w:sz="0" w:space="0" w:color="auto"/>
                  </w:divBdr>
                </w:div>
              </w:divsChild>
            </w:div>
            <w:div w:id="1921206619">
              <w:marLeft w:val="0"/>
              <w:marRight w:val="0"/>
              <w:marTop w:val="240"/>
              <w:marBottom w:val="480"/>
              <w:divBdr>
                <w:top w:val="none" w:sz="0" w:space="0" w:color="auto"/>
                <w:left w:val="none" w:sz="0" w:space="0" w:color="auto"/>
                <w:bottom w:val="none" w:sz="0" w:space="0" w:color="auto"/>
                <w:right w:val="none" w:sz="0" w:space="0" w:color="auto"/>
              </w:divBdr>
              <w:divsChild>
                <w:div w:id="394553247">
                  <w:marLeft w:val="0"/>
                  <w:marRight w:val="0"/>
                  <w:marTop w:val="0"/>
                  <w:marBottom w:val="0"/>
                  <w:divBdr>
                    <w:top w:val="single" w:sz="6" w:space="0" w:color="C6C6C6"/>
                    <w:left w:val="single" w:sz="6" w:space="0" w:color="C6C6C6"/>
                    <w:bottom w:val="single" w:sz="6" w:space="0" w:color="C6C6C6"/>
                    <w:right w:val="single" w:sz="6" w:space="0" w:color="C6C6C6"/>
                  </w:divBdr>
                </w:div>
                <w:div w:id="142187399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788575510">
          <w:marLeft w:val="0"/>
          <w:marRight w:val="0"/>
          <w:marTop w:val="0"/>
          <w:marBottom w:val="450"/>
          <w:divBdr>
            <w:top w:val="none" w:sz="0" w:space="0" w:color="auto"/>
            <w:left w:val="none" w:sz="0" w:space="0" w:color="auto"/>
            <w:bottom w:val="none" w:sz="0" w:space="0" w:color="auto"/>
            <w:right w:val="none" w:sz="0" w:space="0" w:color="auto"/>
          </w:divBdr>
          <w:divsChild>
            <w:div w:id="1785803419">
              <w:marLeft w:val="0"/>
              <w:marRight w:val="0"/>
              <w:marTop w:val="0"/>
              <w:marBottom w:val="375"/>
              <w:divBdr>
                <w:top w:val="none" w:sz="0" w:space="0" w:color="auto"/>
                <w:left w:val="none" w:sz="0" w:space="0" w:color="auto"/>
                <w:bottom w:val="none" w:sz="0" w:space="0" w:color="auto"/>
                <w:right w:val="none" w:sz="0" w:space="0" w:color="auto"/>
              </w:divBdr>
              <w:divsChild>
                <w:div w:id="276760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5089105">
          <w:marLeft w:val="0"/>
          <w:marRight w:val="0"/>
          <w:marTop w:val="0"/>
          <w:marBottom w:val="450"/>
          <w:divBdr>
            <w:top w:val="none" w:sz="0" w:space="0" w:color="auto"/>
            <w:left w:val="none" w:sz="0" w:space="0" w:color="auto"/>
            <w:bottom w:val="none" w:sz="0" w:space="0" w:color="auto"/>
            <w:right w:val="none" w:sz="0" w:space="0" w:color="auto"/>
          </w:divBdr>
          <w:divsChild>
            <w:div w:id="1916237752">
              <w:marLeft w:val="0"/>
              <w:marRight w:val="0"/>
              <w:marTop w:val="0"/>
              <w:marBottom w:val="375"/>
              <w:divBdr>
                <w:top w:val="none" w:sz="0" w:space="0" w:color="auto"/>
                <w:left w:val="none" w:sz="0" w:space="0" w:color="auto"/>
                <w:bottom w:val="none" w:sz="0" w:space="0" w:color="auto"/>
                <w:right w:val="none" w:sz="0" w:space="0" w:color="auto"/>
              </w:divBdr>
              <w:divsChild>
                <w:div w:id="675965455">
                  <w:marLeft w:val="0"/>
                  <w:marRight w:val="0"/>
                  <w:marTop w:val="0"/>
                  <w:marBottom w:val="0"/>
                  <w:divBdr>
                    <w:top w:val="none" w:sz="0" w:space="0" w:color="auto"/>
                    <w:left w:val="none" w:sz="0" w:space="0" w:color="auto"/>
                    <w:bottom w:val="none" w:sz="0" w:space="0" w:color="auto"/>
                    <w:right w:val="none" w:sz="0" w:space="0" w:color="auto"/>
                  </w:divBdr>
                </w:div>
              </w:divsChild>
            </w:div>
            <w:div w:id="187061543">
              <w:marLeft w:val="0"/>
              <w:marRight w:val="0"/>
              <w:marTop w:val="0"/>
              <w:marBottom w:val="0"/>
              <w:divBdr>
                <w:top w:val="none" w:sz="0" w:space="0" w:color="auto"/>
                <w:left w:val="none" w:sz="0" w:space="0" w:color="auto"/>
                <w:bottom w:val="none" w:sz="0" w:space="0" w:color="auto"/>
                <w:right w:val="none" w:sz="0" w:space="0" w:color="auto"/>
              </w:divBdr>
              <w:divsChild>
                <w:div w:id="1403991234">
                  <w:marLeft w:val="0"/>
                  <w:marRight w:val="0"/>
                  <w:marTop w:val="240"/>
                  <w:marBottom w:val="480"/>
                  <w:divBdr>
                    <w:top w:val="none" w:sz="0" w:space="0" w:color="auto"/>
                    <w:left w:val="none" w:sz="0" w:space="0" w:color="auto"/>
                    <w:bottom w:val="none" w:sz="0" w:space="0" w:color="auto"/>
                    <w:right w:val="none" w:sz="0" w:space="0" w:color="auto"/>
                  </w:divBdr>
                  <w:divsChild>
                    <w:div w:id="969166521">
                      <w:marLeft w:val="0"/>
                      <w:marRight w:val="0"/>
                      <w:marTop w:val="0"/>
                      <w:marBottom w:val="0"/>
                      <w:divBdr>
                        <w:top w:val="single" w:sz="6" w:space="0" w:color="C6C6C6"/>
                        <w:left w:val="single" w:sz="6" w:space="0" w:color="C6C6C6"/>
                        <w:bottom w:val="single" w:sz="6" w:space="0" w:color="C6C6C6"/>
                        <w:right w:val="single" w:sz="6" w:space="0" w:color="C6C6C6"/>
                      </w:divBdr>
                    </w:div>
                    <w:div w:id="61178461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15507063">
              <w:marLeft w:val="0"/>
              <w:marRight w:val="0"/>
              <w:marTop w:val="0"/>
              <w:marBottom w:val="0"/>
              <w:divBdr>
                <w:top w:val="none" w:sz="0" w:space="0" w:color="auto"/>
                <w:left w:val="none" w:sz="0" w:space="0" w:color="auto"/>
                <w:bottom w:val="none" w:sz="0" w:space="0" w:color="auto"/>
                <w:right w:val="none" w:sz="0" w:space="0" w:color="auto"/>
              </w:divBdr>
              <w:divsChild>
                <w:div w:id="1490095299">
                  <w:marLeft w:val="0"/>
                  <w:marRight w:val="0"/>
                  <w:marTop w:val="240"/>
                  <w:marBottom w:val="240"/>
                  <w:divBdr>
                    <w:top w:val="none" w:sz="0" w:space="0" w:color="auto"/>
                    <w:left w:val="none" w:sz="0" w:space="0" w:color="auto"/>
                    <w:bottom w:val="none" w:sz="0" w:space="0" w:color="auto"/>
                    <w:right w:val="none" w:sz="0" w:space="0" w:color="auto"/>
                  </w:divBdr>
                </w:div>
                <w:div w:id="450438881">
                  <w:marLeft w:val="0"/>
                  <w:marRight w:val="0"/>
                  <w:marTop w:val="240"/>
                  <w:marBottom w:val="240"/>
                  <w:divBdr>
                    <w:top w:val="none" w:sz="0" w:space="0" w:color="auto"/>
                    <w:left w:val="none" w:sz="0" w:space="0" w:color="auto"/>
                    <w:bottom w:val="none" w:sz="0" w:space="0" w:color="auto"/>
                    <w:right w:val="none" w:sz="0" w:space="0" w:color="auto"/>
                  </w:divBdr>
                </w:div>
              </w:divsChild>
            </w:div>
            <w:div w:id="1260136813">
              <w:marLeft w:val="0"/>
              <w:marRight w:val="0"/>
              <w:marTop w:val="0"/>
              <w:marBottom w:val="0"/>
              <w:divBdr>
                <w:top w:val="none" w:sz="0" w:space="0" w:color="auto"/>
                <w:left w:val="none" w:sz="0" w:space="0" w:color="auto"/>
                <w:bottom w:val="none" w:sz="0" w:space="0" w:color="auto"/>
                <w:right w:val="none" w:sz="0" w:space="0" w:color="auto"/>
              </w:divBdr>
              <w:divsChild>
                <w:div w:id="2004577680">
                  <w:marLeft w:val="0"/>
                  <w:marRight w:val="0"/>
                  <w:marTop w:val="240"/>
                  <w:marBottom w:val="480"/>
                  <w:divBdr>
                    <w:top w:val="none" w:sz="0" w:space="0" w:color="auto"/>
                    <w:left w:val="none" w:sz="0" w:space="0" w:color="auto"/>
                    <w:bottom w:val="none" w:sz="0" w:space="0" w:color="auto"/>
                    <w:right w:val="none" w:sz="0" w:space="0" w:color="auto"/>
                  </w:divBdr>
                  <w:divsChild>
                    <w:div w:id="1918973283">
                      <w:marLeft w:val="0"/>
                      <w:marRight w:val="0"/>
                      <w:marTop w:val="0"/>
                      <w:marBottom w:val="0"/>
                      <w:divBdr>
                        <w:top w:val="single" w:sz="6" w:space="0" w:color="C6C6C6"/>
                        <w:left w:val="single" w:sz="6" w:space="0" w:color="C6C6C6"/>
                        <w:bottom w:val="single" w:sz="6" w:space="0" w:color="C6C6C6"/>
                        <w:right w:val="single" w:sz="6" w:space="0" w:color="C6C6C6"/>
                      </w:divBdr>
                    </w:div>
                    <w:div w:id="46701090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066610254">
              <w:marLeft w:val="0"/>
              <w:marRight w:val="0"/>
              <w:marTop w:val="0"/>
              <w:marBottom w:val="0"/>
              <w:divBdr>
                <w:top w:val="none" w:sz="0" w:space="0" w:color="auto"/>
                <w:left w:val="none" w:sz="0" w:space="0" w:color="auto"/>
                <w:bottom w:val="none" w:sz="0" w:space="0" w:color="auto"/>
                <w:right w:val="none" w:sz="0" w:space="0" w:color="auto"/>
              </w:divBdr>
            </w:div>
            <w:div w:id="2146046954">
              <w:marLeft w:val="0"/>
              <w:marRight w:val="0"/>
              <w:marTop w:val="0"/>
              <w:marBottom w:val="0"/>
              <w:divBdr>
                <w:top w:val="none" w:sz="0" w:space="0" w:color="auto"/>
                <w:left w:val="none" w:sz="0" w:space="0" w:color="auto"/>
                <w:bottom w:val="none" w:sz="0" w:space="0" w:color="auto"/>
                <w:right w:val="none" w:sz="0" w:space="0" w:color="auto"/>
              </w:divBdr>
              <w:divsChild>
                <w:div w:id="22874764">
                  <w:marLeft w:val="0"/>
                  <w:marRight w:val="0"/>
                  <w:marTop w:val="240"/>
                  <w:marBottom w:val="240"/>
                  <w:divBdr>
                    <w:top w:val="none" w:sz="0" w:space="0" w:color="auto"/>
                    <w:left w:val="none" w:sz="0" w:space="0" w:color="auto"/>
                    <w:bottom w:val="none" w:sz="0" w:space="0" w:color="auto"/>
                    <w:right w:val="none" w:sz="0" w:space="0" w:color="auto"/>
                  </w:divBdr>
                </w:div>
                <w:div w:id="797769967">
                  <w:marLeft w:val="0"/>
                  <w:marRight w:val="0"/>
                  <w:marTop w:val="240"/>
                  <w:marBottom w:val="240"/>
                  <w:divBdr>
                    <w:top w:val="none" w:sz="0" w:space="0" w:color="auto"/>
                    <w:left w:val="none" w:sz="0" w:space="0" w:color="auto"/>
                    <w:bottom w:val="none" w:sz="0" w:space="0" w:color="auto"/>
                    <w:right w:val="none" w:sz="0" w:space="0" w:color="auto"/>
                  </w:divBdr>
                </w:div>
                <w:div w:id="1281183169">
                  <w:marLeft w:val="0"/>
                  <w:marRight w:val="0"/>
                  <w:marTop w:val="240"/>
                  <w:marBottom w:val="240"/>
                  <w:divBdr>
                    <w:top w:val="none" w:sz="0" w:space="0" w:color="auto"/>
                    <w:left w:val="none" w:sz="0" w:space="0" w:color="auto"/>
                    <w:bottom w:val="none" w:sz="0" w:space="0" w:color="auto"/>
                    <w:right w:val="none" w:sz="0" w:space="0" w:color="auto"/>
                  </w:divBdr>
                </w:div>
                <w:div w:id="262496812">
                  <w:marLeft w:val="0"/>
                  <w:marRight w:val="0"/>
                  <w:marTop w:val="240"/>
                  <w:marBottom w:val="240"/>
                  <w:divBdr>
                    <w:top w:val="none" w:sz="0" w:space="0" w:color="auto"/>
                    <w:left w:val="none" w:sz="0" w:space="0" w:color="auto"/>
                    <w:bottom w:val="none" w:sz="0" w:space="0" w:color="auto"/>
                    <w:right w:val="none" w:sz="0" w:space="0" w:color="auto"/>
                  </w:divBdr>
                </w:div>
                <w:div w:id="1173690912">
                  <w:marLeft w:val="0"/>
                  <w:marRight w:val="0"/>
                  <w:marTop w:val="240"/>
                  <w:marBottom w:val="240"/>
                  <w:divBdr>
                    <w:top w:val="none" w:sz="0" w:space="0" w:color="auto"/>
                    <w:left w:val="none" w:sz="0" w:space="0" w:color="auto"/>
                    <w:bottom w:val="none" w:sz="0" w:space="0" w:color="auto"/>
                    <w:right w:val="none" w:sz="0" w:space="0" w:color="auto"/>
                  </w:divBdr>
                </w:div>
                <w:div w:id="1416055749">
                  <w:marLeft w:val="0"/>
                  <w:marRight w:val="0"/>
                  <w:marTop w:val="240"/>
                  <w:marBottom w:val="240"/>
                  <w:divBdr>
                    <w:top w:val="none" w:sz="0" w:space="0" w:color="auto"/>
                    <w:left w:val="none" w:sz="0" w:space="0" w:color="auto"/>
                    <w:bottom w:val="none" w:sz="0" w:space="0" w:color="auto"/>
                    <w:right w:val="none" w:sz="0" w:space="0" w:color="auto"/>
                  </w:divBdr>
                </w:div>
                <w:div w:id="1664504126">
                  <w:marLeft w:val="0"/>
                  <w:marRight w:val="0"/>
                  <w:marTop w:val="240"/>
                  <w:marBottom w:val="240"/>
                  <w:divBdr>
                    <w:top w:val="none" w:sz="0" w:space="0" w:color="auto"/>
                    <w:left w:val="none" w:sz="0" w:space="0" w:color="auto"/>
                    <w:bottom w:val="none" w:sz="0" w:space="0" w:color="auto"/>
                    <w:right w:val="none" w:sz="0" w:space="0" w:color="auto"/>
                  </w:divBdr>
                </w:div>
                <w:div w:id="1170801866">
                  <w:marLeft w:val="0"/>
                  <w:marRight w:val="0"/>
                  <w:marTop w:val="240"/>
                  <w:marBottom w:val="240"/>
                  <w:divBdr>
                    <w:top w:val="none" w:sz="0" w:space="0" w:color="auto"/>
                    <w:left w:val="none" w:sz="0" w:space="0" w:color="auto"/>
                    <w:bottom w:val="none" w:sz="0" w:space="0" w:color="auto"/>
                    <w:right w:val="none" w:sz="0" w:space="0" w:color="auto"/>
                  </w:divBdr>
                </w:div>
                <w:div w:id="330834476">
                  <w:marLeft w:val="0"/>
                  <w:marRight w:val="0"/>
                  <w:marTop w:val="240"/>
                  <w:marBottom w:val="480"/>
                  <w:divBdr>
                    <w:top w:val="none" w:sz="0" w:space="0" w:color="auto"/>
                    <w:left w:val="none" w:sz="0" w:space="0" w:color="auto"/>
                    <w:bottom w:val="none" w:sz="0" w:space="0" w:color="auto"/>
                    <w:right w:val="none" w:sz="0" w:space="0" w:color="auto"/>
                  </w:divBdr>
                  <w:divsChild>
                    <w:div w:id="1198815553">
                      <w:marLeft w:val="0"/>
                      <w:marRight w:val="0"/>
                      <w:marTop w:val="0"/>
                      <w:marBottom w:val="0"/>
                      <w:divBdr>
                        <w:top w:val="single" w:sz="6" w:space="0" w:color="C6C6C6"/>
                        <w:left w:val="single" w:sz="6" w:space="0" w:color="C6C6C6"/>
                        <w:bottom w:val="single" w:sz="6" w:space="0" w:color="C6C6C6"/>
                        <w:right w:val="single" w:sz="6" w:space="0" w:color="C6C6C6"/>
                      </w:divBdr>
                    </w:div>
                    <w:div w:id="1569343433">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661928103">
          <w:marLeft w:val="0"/>
          <w:marRight w:val="0"/>
          <w:marTop w:val="0"/>
          <w:marBottom w:val="450"/>
          <w:divBdr>
            <w:top w:val="none" w:sz="0" w:space="0" w:color="auto"/>
            <w:left w:val="none" w:sz="0" w:space="0" w:color="auto"/>
            <w:bottom w:val="none" w:sz="0" w:space="0" w:color="auto"/>
            <w:right w:val="none" w:sz="0" w:space="0" w:color="auto"/>
          </w:divBdr>
          <w:divsChild>
            <w:div w:id="2004815168">
              <w:marLeft w:val="0"/>
              <w:marRight w:val="0"/>
              <w:marTop w:val="0"/>
              <w:marBottom w:val="375"/>
              <w:divBdr>
                <w:top w:val="none" w:sz="0" w:space="0" w:color="auto"/>
                <w:left w:val="none" w:sz="0" w:space="0" w:color="auto"/>
                <w:bottom w:val="none" w:sz="0" w:space="0" w:color="auto"/>
                <w:right w:val="none" w:sz="0" w:space="0" w:color="auto"/>
              </w:divBdr>
              <w:divsChild>
                <w:div w:id="199324987">
                  <w:marLeft w:val="0"/>
                  <w:marRight w:val="0"/>
                  <w:marTop w:val="0"/>
                  <w:marBottom w:val="0"/>
                  <w:divBdr>
                    <w:top w:val="none" w:sz="0" w:space="0" w:color="auto"/>
                    <w:left w:val="none" w:sz="0" w:space="0" w:color="auto"/>
                    <w:bottom w:val="none" w:sz="0" w:space="0" w:color="auto"/>
                    <w:right w:val="none" w:sz="0" w:space="0" w:color="auto"/>
                  </w:divBdr>
                </w:div>
              </w:divsChild>
            </w:div>
            <w:div w:id="1332492731">
              <w:marLeft w:val="0"/>
              <w:marRight w:val="0"/>
              <w:marTop w:val="0"/>
              <w:marBottom w:val="0"/>
              <w:divBdr>
                <w:top w:val="none" w:sz="0" w:space="0" w:color="auto"/>
                <w:left w:val="none" w:sz="0" w:space="0" w:color="auto"/>
                <w:bottom w:val="none" w:sz="0" w:space="0" w:color="auto"/>
                <w:right w:val="none" w:sz="0" w:space="0" w:color="auto"/>
              </w:divBdr>
            </w:div>
            <w:div w:id="1628659880">
              <w:marLeft w:val="0"/>
              <w:marRight w:val="0"/>
              <w:marTop w:val="0"/>
              <w:marBottom w:val="0"/>
              <w:divBdr>
                <w:top w:val="none" w:sz="0" w:space="0" w:color="auto"/>
                <w:left w:val="none" w:sz="0" w:space="0" w:color="auto"/>
                <w:bottom w:val="none" w:sz="0" w:space="0" w:color="auto"/>
                <w:right w:val="none" w:sz="0" w:space="0" w:color="auto"/>
              </w:divBdr>
              <w:divsChild>
                <w:div w:id="2135557867">
                  <w:marLeft w:val="0"/>
                  <w:marRight w:val="0"/>
                  <w:marTop w:val="240"/>
                  <w:marBottom w:val="480"/>
                  <w:divBdr>
                    <w:top w:val="none" w:sz="0" w:space="0" w:color="auto"/>
                    <w:left w:val="none" w:sz="0" w:space="0" w:color="auto"/>
                    <w:bottom w:val="none" w:sz="0" w:space="0" w:color="auto"/>
                    <w:right w:val="none" w:sz="0" w:space="0" w:color="auto"/>
                  </w:divBdr>
                  <w:divsChild>
                    <w:div w:id="169875492">
                      <w:marLeft w:val="0"/>
                      <w:marRight w:val="0"/>
                      <w:marTop w:val="0"/>
                      <w:marBottom w:val="0"/>
                      <w:divBdr>
                        <w:top w:val="single" w:sz="6" w:space="0" w:color="C6C6C6"/>
                        <w:left w:val="single" w:sz="6" w:space="0" w:color="C6C6C6"/>
                        <w:bottom w:val="single" w:sz="6" w:space="0" w:color="C6C6C6"/>
                        <w:right w:val="single" w:sz="6" w:space="0" w:color="C6C6C6"/>
                      </w:divBdr>
                    </w:div>
                    <w:div w:id="60515949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0782705">
              <w:marLeft w:val="0"/>
              <w:marRight w:val="0"/>
              <w:marTop w:val="0"/>
              <w:marBottom w:val="0"/>
              <w:divBdr>
                <w:top w:val="none" w:sz="0" w:space="0" w:color="auto"/>
                <w:left w:val="none" w:sz="0" w:space="0" w:color="auto"/>
                <w:bottom w:val="none" w:sz="0" w:space="0" w:color="auto"/>
                <w:right w:val="none" w:sz="0" w:space="0" w:color="auto"/>
              </w:divBdr>
              <w:divsChild>
                <w:div w:id="1795250863">
                  <w:marLeft w:val="0"/>
                  <w:marRight w:val="0"/>
                  <w:marTop w:val="240"/>
                  <w:marBottom w:val="480"/>
                  <w:divBdr>
                    <w:top w:val="none" w:sz="0" w:space="0" w:color="auto"/>
                    <w:left w:val="none" w:sz="0" w:space="0" w:color="auto"/>
                    <w:bottom w:val="none" w:sz="0" w:space="0" w:color="auto"/>
                    <w:right w:val="none" w:sz="0" w:space="0" w:color="auto"/>
                  </w:divBdr>
                  <w:divsChild>
                    <w:div w:id="792291038">
                      <w:marLeft w:val="0"/>
                      <w:marRight w:val="0"/>
                      <w:marTop w:val="0"/>
                      <w:marBottom w:val="0"/>
                      <w:divBdr>
                        <w:top w:val="single" w:sz="6" w:space="0" w:color="C6C6C6"/>
                        <w:left w:val="single" w:sz="6" w:space="0" w:color="C6C6C6"/>
                        <w:bottom w:val="single" w:sz="6" w:space="0" w:color="C6C6C6"/>
                        <w:right w:val="single" w:sz="6" w:space="0" w:color="C6C6C6"/>
                      </w:divBdr>
                    </w:div>
                    <w:div w:id="193154816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402458184">
          <w:marLeft w:val="0"/>
          <w:marRight w:val="0"/>
          <w:marTop w:val="0"/>
          <w:marBottom w:val="450"/>
          <w:divBdr>
            <w:top w:val="none" w:sz="0" w:space="0" w:color="auto"/>
            <w:left w:val="none" w:sz="0" w:space="0" w:color="auto"/>
            <w:bottom w:val="none" w:sz="0" w:space="0" w:color="auto"/>
            <w:right w:val="none" w:sz="0" w:space="0" w:color="auto"/>
          </w:divBdr>
          <w:divsChild>
            <w:div w:id="604310184">
              <w:marLeft w:val="0"/>
              <w:marRight w:val="0"/>
              <w:marTop w:val="0"/>
              <w:marBottom w:val="375"/>
              <w:divBdr>
                <w:top w:val="none" w:sz="0" w:space="0" w:color="auto"/>
                <w:left w:val="none" w:sz="0" w:space="0" w:color="auto"/>
                <w:bottom w:val="none" w:sz="0" w:space="0" w:color="auto"/>
                <w:right w:val="none" w:sz="0" w:space="0" w:color="auto"/>
              </w:divBdr>
              <w:divsChild>
                <w:div w:id="1084884833">
                  <w:marLeft w:val="0"/>
                  <w:marRight w:val="0"/>
                  <w:marTop w:val="0"/>
                  <w:marBottom w:val="0"/>
                  <w:divBdr>
                    <w:top w:val="none" w:sz="0" w:space="0" w:color="auto"/>
                    <w:left w:val="none" w:sz="0" w:space="0" w:color="auto"/>
                    <w:bottom w:val="none" w:sz="0" w:space="0" w:color="auto"/>
                    <w:right w:val="none" w:sz="0" w:space="0" w:color="auto"/>
                  </w:divBdr>
                </w:div>
              </w:divsChild>
            </w:div>
            <w:div w:id="1372415934">
              <w:marLeft w:val="0"/>
              <w:marRight w:val="0"/>
              <w:marTop w:val="240"/>
              <w:marBottom w:val="480"/>
              <w:divBdr>
                <w:top w:val="none" w:sz="0" w:space="0" w:color="auto"/>
                <w:left w:val="none" w:sz="0" w:space="0" w:color="auto"/>
                <w:bottom w:val="none" w:sz="0" w:space="0" w:color="auto"/>
                <w:right w:val="none" w:sz="0" w:space="0" w:color="auto"/>
              </w:divBdr>
              <w:divsChild>
                <w:div w:id="987981194">
                  <w:marLeft w:val="0"/>
                  <w:marRight w:val="0"/>
                  <w:marTop w:val="0"/>
                  <w:marBottom w:val="0"/>
                  <w:divBdr>
                    <w:top w:val="single" w:sz="6" w:space="0" w:color="C6C6C6"/>
                    <w:left w:val="single" w:sz="6" w:space="0" w:color="C6C6C6"/>
                    <w:bottom w:val="single" w:sz="6" w:space="0" w:color="C6C6C6"/>
                    <w:right w:val="single" w:sz="6" w:space="0" w:color="C6C6C6"/>
                  </w:divBdr>
                </w:div>
                <w:div w:id="9066267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08934833">
      <w:bodyDiv w:val="1"/>
      <w:marLeft w:val="0"/>
      <w:marRight w:val="0"/>
      <w:marTop w:val="0"/>
      <w:marBottom w:val="0"/>
      <w:divBdr>
        <w:top w:val="none" w:sz="0" w:space="0" w:color="auto"/>
        <w:left w:val="none" w:sz="0" w:space="0" w:color="auto"/>
        <w:bottom w:val="none" w:sz="0" w:space="0" w:color="auto"/>
        <w:right w:val="none" w:sz="0" w:space="0" w:color="auto"/>
      </w:divBdr>
      <w:divsChild>
        <w:div w:id="2091925431">
          <w:marLeft w:val="0"/>
          <w:marRight w:val="0"/>
          <w:marTop w:val="0"/>
          <w:marBottom w:val="450"/>
          <w:divBdr>
            <w:top w:val="none" w:sz="0" w:space="0" w:color="auto"/>
            <w:left w:val="none" w:sz="0" w:space="0" w:color="auto"/>
            <w:bottom w:val="none" w:sz="0" w:space="0" w:color="auto"/>
            <w:right w:val="none" w:sz="0" w:space="0" w:color="auto"/>
          </w:divBdr>
          <w:divsChild>
            <w:div w:id="1775131507">
              <w:marLeft w:val="0"/>
              <w:marRight w:val="0"/>
              <w:marTop w:val="0"/>
              <w:marBottom w:val="375"/>
              <w:divBdr>
                <w:top w:val="none" w:sz="0" w:space="0" w:color="auto"/>
                <w:left w:val="none" w:sz="0" w:space="0" w:color="auto"/>
                <w:bottom w:val="none" w:sz="0" w:space="0" w:color="auto"/>
                <w:right w:val="none" w:sz="0" w:space="0" w:color="auto"/>
              </w:divBdr>
              <w:divsChild>
                <w:div w:id="1640647695">
                  <w:marLeft w:val="0"/>
                  <w:marRight w:val="0"/>
                  <w:marTop w:val="0"/>
                  <w:marBottom w:val="0"/>
                  <w:divBdr>
                    <w:top w:val="none" w:sz="0" w:space="0" w:color="auto"/>
                    <w:left w:val="none" w:sz="0" w:space="0" w:color="auto"/>
                    <w:bottom w:val="none" w:sz="0" w:space="0" w:color="auto"/>
                    <w:right w:val="none" w:sz="0" w:space="0" w:color="auto"/>
                  </w:divBdr>
                </w:div>
              </w:divsChild>
            </w:div>
            <w:div w:id="429854054">
              <w:marLeft w:val="0"/>
              <w:marRight w:val="0"/>
              <w:marTop w:val="240"/>
              <w:marBottom w:val="480"/>
              <w:divBdr>
                <w:top w:val="none" w:sz="0" w:space="0" w:color="auto"/>
                <w:left w:val="none" w:sz="0" w:space="0" w:color="auto"/>
                <w:bottom w:val="none" w:sz="0" w:space="0" w:color="auto"/>
                <w:right w:val="none" w:sz="0" w:space="0" w:color="auto"/>
              </w:divBdr>
              <w:divsChild>
                <w:div w:id="1313754764">
                  <w:marLeft w:val="0"/>
                  <w:marRight w:val="0"/>
                  <w:marTop w:val="0"/>
                  <w:marBottom w:val="0"/>
                  <w:divBdr>
                    <w:top w:val="single" w:sz="6" w:space="0" w:color="C6C6C6"/>
                    <w:left w:val="single" w:sz="6" w:space="0" w:color="C6C6C6"/>
                    <w:bottom w:val="single" w:sz="6" w:space="0" w:color="C6C6C6"/>
                    <w:right w:val="single" w:sz="6" w:space="0" w:color="C6C6C6"/>
                  </w:divBdr>
                </w:div>
                <w:div w:id="168115636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718385258">
          <w:marLeft w:val="0"/>
          <w:marRight w:val="0"/>
          <w:marTop w:val="0"/>
          <w:marBottom w:val="450"/>
          <w:divBdr>
            <w:top w:val="none" w:sz="0" w:space="0" w:color="auto"/>
            <w:left w:val="none" w:sz="0" w:space="0" w:color="auto"/>
            <w:bottom w:val="none" w:sz="0" w:space="0" w:color="auto"/>
            <w:right w:val="none" w:sz="0" w:space="0" w:color="auto"/>
          </w:divBdr>
          <w:divsChild>
            <w:div w:id="1922449669">
              <w:marLeft w:val="0"/>
              <w:marRight w:val="0"/>
              <w:marTop w:val="0"/>
              <w:marBottom w:val="375"/>
              <w:divBdr>
                <w:top w:val="none" w:sz="0" w:space="0" w:color="auto"/>
                <w:left w:val="none" w:sz="0" w:space="0" w:color="auto"/>
                <w:bottom w:val="none" w:sz="0" w:space="0" w:color="auto"/>
                <w:right w:val="none" w:sz="0" w:space="0" w:color="auto"/>
              </w:divBdr>
              <w:divsChild>
                <w:div w:id="1607613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9990324">
          <w:marLeft w:val="0"/>
          <w:marRight w:val="0"/>
          <w:marTop w:val="0"/>
          <w:marBottom w:val="450"/>
          <w:divBdr>
            <w:top w:val="none" w:sz="0" w:space="0" w:color="auto"/>
            <w:left w:val="none" w:sz="0" w:space="0" w:color="auto"/>
            <w:bottom w:val="none" w:sz="0" w:space="0" w:color="auto"/>
            <w:right w:val="none" w:sz="0" w:space="0" w:color="auto"/>
          </w:divBdr>
          <w:divsChild>
            <w:div w:id="1375228382">
              <w:marLeft w:val="0"/>
              <w:marRight w:val="0"/>
              <w:marTop w:val="0"/>
              <w:marBottom w:val="375"/>
              <w:divBdr>
                <w:top w:val="none" w:sz="0" w:space="0" w:color="auto"/>
                <w:left w:val="none" w:sz="0" w:space="0" w:color="auto"/>
                <w:bottom w:val="none" w:sz="0" w:space="0" w:color="auto"/>
                <w:right w:val="none" w:sz="0" w:space="0" w:color="auto"/>
              </w:divBdr>
              <w:divsChild>
                <w:div w:id="1896158805">
                  <w:marLeft w:val="0"/>
                  <w:marRight w:val="0"/>
                  <w:marTop w:val="0"/>
                  <w:marBottom w:val="0"/>
                  <w:divBdr>
                    <w:top w:val="none" w:sz="0" w:space="0" w:color="auto"/>
                    <w:left w:val="none" w:sz="0" w:space="0" w:color="auto"/>
                    <w:bottom w:val="none" w:sz="0" w:space="0" w:color="auto"/>
                    <w:right w:val="none" w:sz="0" w:space="0" w:color="auto"/>
                  </w:divBdr>
                </w:div>
              </w:divsChild>
            </w:div>
            <w:div w:id="2030717992">
              <w:marLeft w:val="0"/>
              <w:marRight w:val="0"/>
              <w:marTop w:val="0"/>
              <w:marBottom w:val="0"/>
              <w:divBdr>
                <w:top w:val="none" w:sz="0" w:space="0" w:color="auto"/>
                <w:left w:val="none" w:sz="0" w:space="0" w:color="auto"/>
                <w:bottom w:val="none" w:sz="0" w:space="0" w:color="auto"/>
                <w:right w:val="none" w:sz="0" w:space="0" w:color="auto"/>
              </w:divBdr>
              <w:divsChild>
                <w:div w:id="743263881">
                  <w:marLeft w:val="0"/>
                  <w:marRight w:val="0"/>
                  <w:marTop w:val="240"/>
                  <w:marBottom w:val="480"/>
                  <w:divBdr>
                    <w:top w:val="none" w:sz="0" w:space="0" w:color="auto"/>
                    <w:left w:val="none" w:sz="0" w:space="0" w:color="auto"/>
                    <w:bottom w:val="none" w:sz="0" w:space="0" w:color="auto"/>
                    <w:right w:val="none" w:sz="0" w:space="0" w:color="auto"/>
                  </w:divBdr>
                  <w:divsChild>
                    <w:div w:id="1930456110">
                      <w:marLeft w:val="0"/>
                      <w:marRight w:val="0"/>
                      <w:marTop w:val="0"/>
                      <w:marBottom w:val="0"/>
                      <w:divBdr>
                        <w:top w:val="single" w:sz="6" w:space="0" w:color="C6C6C6"/>
                        <w:left w:val="single" w:sz="6" w:space="0" w:color="C6C6C6"/>
                        <w:bottom w:val="single" w:sz="6" w:space="0" w:color="C6C6C6"/>
                        <w:right w:val="single" w:sz="6" w:space="0" w:color="C6C6C6"/>
                      </w:divBdr>
                    </w:div>
                    <w:div w:id="122395069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109615195">
              <w:marLeft w:val="0"/>
              <w:marRight w:val="0"/>
              <w:marTop w:val="0"/>
              <w:marBottom w:val="0"/>
              <w:divBdr>
                <w:top w:val="none" w:sz="0" w:space="0" w:color="auto"/>
                <w:left w:val="none" w:sz="0" w:space="0" w:color="auto"/>
                <w:bottom w:val="none" w:sz="0" w:space="0" w:color="auto"/>
                <w:right w:val="none" w:sz="0" w:space="0" w:color="auto"/>
              </w:divBdr>
              <w:divsChild>
                <w:div w:id="688992107">
                  <w:marLeft w:val="0"/>
                  <w:marRight w:val="0"/>
                  <w:marTop w:val="240"/>
                  <w:marBottom w:val="240"/>
                  <w:divBdr>
                    <w:top w:val="none" w:sz="0" w:space="0" w:color="auto"/>
                    <w:left w:val="none" w:sz="0" w:space="0" w:color="auto"/>
                    <w:bottom w:val="none" w:sz="0" w:space="0" w:color="auto"/>
                    <w:right w:val="none" w:sz="0" w:space="0" w:color="auto"/>
                  </w:divBdr>
                </w:div>
                <w:div w:id="997726827">
                  <w:marLeft w:val="0"/>
                  <w:marRight w:val="0"/>
                  <w:marTop w:val="240"/>
                  <w:marBottom w:val="240"/>
                  <w:divBdr>
                    <w:top w:val="none" w:sz="0" w:space="0" w:color="auto"/>
                    <w:left w:val="none" w:sz="0" w:space="0" w:color="auto"/>
                    <w:bottom w:val="none" w:sz="0" w:space="0" w:color="auto"/>
                    <w:right w:val="none" w:sz="0" w:space="0" w:color="auto"/>
                  </w:divBdr>
                </w:div>
              </w:divsChild>
            </w:div>
            <w:div w:id="1103842009">
              <w:marLeft w:val="0"/>
              <w:marRight w:val="0"/>
              <w:marTop w:val="0"/>
              <w:marBottom w:val="0"/>
              <w:divBdr>
                <w:top w:val="none" w:sz="0" w:space="0" w:color="auto"/>
                <w:left w:val="none" w:sz="0" w:space="0" w:color="auto"/>
                <w:bottom w:val="none" w:sz="0" w:space="0" w:color="auto"/>
                <w:right w:val="none" w:sz="0" w:space="0" w:color="auto"/>
              </w:divBdr>
              <w:divsChild>
                <w:div w:id="584730604">
                  <w:marLeft w:val="0"/>
                  <w:marRight w:val="0"/>
                  <w:marTop w:val="240"/>
                  <w:marBottom w:val="480"/>
                  <w:divBdr>
                    <w:top w:val="none" w:sz="0" w:space="0" w:color="auto"/>
                    <w:left w:val="none" w:sz="0" w:space="0" w:color="auto"/>
                    <w:bottom w:val="none" w:sz="0" w:space="0" w:color="auto"/>
                    <w:right w:val="none" w:sz="0" w:space="0" w:color="auto"/>
                  </w:divBdr>
                  <w:divsChild>
                    <w:div w:id="1451237872">
                      <w:marLeft w:val="0"/>
                      <w:marRight w:val="0"/>
                      <w:marTop w:val="0"/>
                      <w:marBottom w:val="0"/>
                      <w:divBdr>
                        <w:top w:val="single" w:sz="6" w:space="0" w:color="C6C6C6"/>
                        <w:left w:val="single" w:sz="6" w:space="0" w:color="C6C6C6"/>
                        <w:bottom w:val="single" w:sz="6" w:space="0" w:color="C6C6C6"/>
                        <w:right w:val="single" w:sz="6" w:space="0" w:color="C6C6C6"/>
                      </w:divBdr>
                    </w:div>
                    <w:div w:id="392241599">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4184831">
              <w:marLeft w:val="0"/>
              <w:marRight w:val="0"/>
              <w:marTop w:val="0"/>
              <w:marBottom w:val="0"/>
              <w:divBdr>
                <w:top w:val="none" w:sz="0" w:space="0" w:color="auto"/>
                <w:left w:val="none" w:sz="0" w:space="0" w:color="auto"/>
                <w:bottom w:val="none" w:sz="0" w:space="0" w:color="auto"/>
                <w:right w:val="none" w:sz="0" w:space="0" w:color="auto"/>
              </w:divBdr>
            </w:div>
            <w:div w:id="1661537010">
              <w:marLeft w:val="0"/>
              <w:marRight w:val="0"/>
              <w:marTop w:val="0"/>
              <w:marBottom w:val="0"/>
              <w:divBdr>
                <w:top w:val="none" w:sz="0" w:space="0" w:color="auto"/>
                <w:left w:val="none" w:sz="0" w:space="0" w:color="auto"/>
                <w:bottom w:val="none" w:sz="0" w:space="0" w:color="auto"/>
                <w:right w:val="none" w:sz="0" w:space="0" w:color="auto"/>
              </w:divBdr>
              <w:divsChild>
                <w:div w:id="1423334234">
                  <w:marLeft w:val="0"/>
                  <w:marRight w:val="0"/>
                  <w:marTop w:val="240"/>
                  <w:marBottom w:val="240"/>
                  <w:divBdr>
                    <w:top w:val="none" w:sz="0" w:space="0" w:color="auto"/>
                    <w:left w:val="none" w:sz="0" w:space="0" w:color="auto"/>
                    <w:bottom w:val="none" w:sz="0" w:space="0" w:color="auto"/>
                    <w:right w:val="none" w:sz="0" w:space="0" w:color="auto"/>
                  </w:divBdr>
                </w:div>
                <w:div w:id="887227959">
                  <w:marLeft w:val="0"/>
                  <w:marRight w:val="0"/>
                  <w:marTop w:val="240"/>
                  <w:marBottom w:val="240"/>
                  <w:divBdr>
                    <w:top w:val="none" w:sz="0" w:space="0" w:color="auto"/>
                    <w:left w:val="none" w:sz="0" w:space="0" w:color="auto"/>
                    <w:bottom w:val="none" w:sz="0" w:space="0" w:color="auto"/>
                    <w:right w:val="none" w:sz="0" w:space="0" w:color="auto"/>
                  </w:divBdr>
                </w:div>
                <w:div w:id="126555269">
                  <w:marLeft w:val="0"/>
                  <w:marRight w:val="0"/>
                  <w:marTop w:val="240"/>
                  <w:marBottom w:val="240"/>
                  <w:divBdr>
                    <w:top w:val="none" w:sz="0" w:space="0" w:color="auto"/>
                    <w:left w:val="none" w:sz="0" w:space="0" w:color="auto"/>
                    <w:bottom w:val="none" w:sz="0" w:space="0" w:color="auto"/>
                    <w:right w:val="none" w:sz="0" w:space="0" w:color="auto"/>
                  </w:divBdr>
                </w:div>
                <w:div w:id="1113868679">
                  <w:marLeft w:val="0"/>
                  <w:marRight w:val="0"/>
                  <w:marTop w:val="240"/>
                  <w:marBottom w:val="240"/>
                  <w:divBdr>
                    <w:top w:val="none" w:sz="0" w:space="0" w:color="auto"/>
                    <w:left w:val="none" w:sz="0" w:space="0" w:color="auto"/>
                    <w:bottom w:val="none" w:sz="0" w:space="0" w:color="auto"/>
                    <w:right w:val="none" w:sz="0" w:space="0" w:color="auto"/>
                  </w:divBdr>
                </w:div>
                <w:div w:id="1694645659">
                  <w:marLeft w:val="0"/>
                  <w:marRight w:val="0"/>
                  <w:marTop w:val="240"/>
                  <w:marBottom w:val="240"/>
                  <w:divBdr>
                    <w:top w:val="none" w:sz="0" w:space="0" w:color="auto"/>
                    <w:left w:val="none" w:sz="0" w:space="0" w:color="auto"/>
                    <w:bottom w:val="none" w:sz="0" w:space="0" w:color="auto"/>
                    <w:right w:val="none" w:sz="0" w:space="0" w:color="auto"/>
                  </w:divBdr>
                </w:div>
                <w:div w:id="136457772">
                  <w:marLeft w:val="0"/>
                  <w:marRight w:val="0"/>
                  <w:marTop w:val="240"/>
                  <w:marBottom w:val="240"/>
                  <w:divBdr>
                    <w:top w:val="none" w:sz="0" w:space="0" w:color="auto"/>
                    <w:left w:val="none" w:sz="0" w:space="0" w:color="auto"/>
                    <w:bottom w:val="none" w:sz="0" w:space="0" w:color="auto"/>
                    <w:right w:val="none" w:sz="0" w:space="0" w:color="auto"/>
                  </w:divBdr>
                </w:div>
                <w:div w:id="1731996570">
                  <w:marLeft w:val="0"/>
                  <w:marRight w:val="0"/>
                  <w:marTop w:val="240"/>
                  <w:marBottom w:val="240"/>
                  <w:divBdr>
                    <w:top w:val="none" w:sz="0" w:space="0" w:color="auto"/>
                    <w:left w:val="none" w:sz="0" w:space="0" w:color="auto"/>
                    <w:bottom w:val="none" w:sz="0" w:space="0" w:color="auto"/>
                    <w:right w:val="none" w:sz="0" w:space="0" w:color="auto"/>
                  </w:divBdr>
                </w:div>
                <w:div w:id="1233347235">
                  <w:marLeft w:val="0"/>
                  <w:marRight w:val="0"/>
                  <w:marTop w:val="240"/>
                  <w:marBottom w:val="240"/>
                  <w:divBdr>
                    <w:top w:val="none" w:sz="0" w:space="0" w:color="auto"/>
                    <w:left w:val="none" w:sz="0" w:space="0" w:color="auto"/>
                    <w:bottom w:val="none" w:sz="0" w:space="0" w:color="auto"/>
                    <w:right w:val="none" w:sz="0" w:space="0" w:color="auto"/>
                  </w:divBdr>
                </w:div>
                <w:div w:id="1454440661">
                  <w:marLeft w:val="0"/>
                  <w:marRight w:val="0"/>
                  <w:marTop w:val="240"/>
                  <w:marBottom w:val="480"/>
                  <w:divBdr>
                    <w:top w:val="none" w:sz="0" w:space="0" w:color="auto"/>
                    <w:left w:val="none" w:sz="0" w:space="0" w:color="auto"/>
                    <w:bottom w:val="none" w:sz="0" w:space="0" w:color="auto"/>
                    <w:right w:val="none" w:sz="0" w:space="0" w:color="auto"/>
                  </w:divBdr>
                  <w:divsChild>
                    <w:div w:id="1263294854">
                      <w:marLeft w:val="0"/>
                      <w:marRight w:val="0"/>
                      <w:marTop w:val="0"/>
                      <w:marBottom w:val="0"/>
                      <w:divBdr>
                        <w:top w:val="single" w:sz="6" w:space="0" w:color="C6C6C6"/>
                        <w:left w:val="single" w:sz="6" w:space="0" w:color="C6C6C6"/>
                        <w:bottom w:val="single" w:sz="6" w:space="0" w:color="C6C6C6"/>
                        <w:right w:val="single" w:sz="6" w:space="0" w:color="C6C6C6"/>
                      </w:divBdr>
                    </w:div>
                    <w:div w:id="309896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916938228">
          <w:marLeft w:val="0"/>
          <w:marRight w:val="0"/>
          <w:marTop w:val="0"/>
          <w:marBottom w:val="450"/>
          <w:divBdr>
            <w:top w:val="none" w:sz="0" w:space="0" w:color="auto"/>
            <w:left w:val="none" w:sz="0" w:space="0" w:color="auto"/>
            <w:bottom w:val="none" w:sz="0" w:space="0" w:color="auto"/>
            <w:right w:val="none" w:sz="0" w:space="0" w:color="auto"/>
          </w:divBdr>
          <w:divsChild>
            <w:div w:id="1026372611">
              <w:marLeft w:val="0"/>
              <w:marRight w:val="0"/>
              <w:marTop w:val="0"/>
              <w:marBottom w:val="375"/>
              <w:divBdr>
                <w:top w:val="none" w:sz="0" w:space="0" w:color="auto"/>
                <w:left w:val="none" w:sz="0" w:space="0" w:color="auto"/>
                <w:bottom w:val="none" w:sz="0" w:space="0" w:color="auto"/>
                <w:right w:val="none" w:sz="0" w:space="0" w:color="auto"/>
              </w:divBdr>
              <w:divsChild>
                <w:div w:id="336422243">
                  <w:marLeft w:val="0"/>
                  <w:marRight w:val="0"/>
                  <w:marTop w:val="0"/>
                  <w:marBottom w:val="0"/>
                  <w:divBdr>
                    <w:top w:val="none" w:sz="0" w:space="0" w:color="auto"/>
                    <w:left w:val="none" w:sz="0" w:space="0" w:color="auto"/>
                    <w:bottom w:val="none" w:sz="0" w:space="0" w:color="auto"/>
                    <w:right w:val="none" w:sz="0" w:space="0" w:color="auto"/>
                  </w:divBdr>
                </w:div>
              </w:divsChild>
            </w:div>
            <w:div w:id="1776747525">
              <w:marLeft w:val="0"/>
              <w:marRight w:val="0"/>
              <w:marTop w:val="0"/>
              <w:marBottom w:val="0"/>
              <w:divBdr>
                <w:top w:val="none" w:sz="0" w:space="0" w:color="auto"/>
                <w:left w:val="none" w:sz="0" w:space="0" w:color="auto"/>
                <w:bottom w:val="none" w:sz="0" w:space="0" w:color="auto"/>
                <w:right w:val="none" w:sz="0" w:space="0" w:color="auto"/>
              </w:divBdr>
            </w:div>
            <w:div w:id="842357988">
              <w:marLeft w:val="0"/>
              <w:marRight w:val="0"/>
              <w:marTop w:val="0"/>
              <w:marBottom w:val="0"/>
              <w:divBdr>
                <w:top w:val="none" w:sz="0" w:space="0" w:color="auto"/>
                <w:left w:val="none" w:sz="0" w:space="0" w:color="auto"/>
                <w:bottom w:val="none" w:sz="0" w:space="0" w:color="auto"/>
                <w:right w:val="none" w:sz="0" w:space="0" w:color="auto"/>
              </w:divBdr>
              <w:divsChild>
                <w:div w:id="2145272714">
                  <w:marLeft w:val="0"/>
                  <w:marRight w:val="0"/>
                  <w:marTop w:val="240"/>
                  <w:marBottom w:val="480"/>
                  <w:divBdr>
                    <w:top w:val="none" w:sz="0" w:space="0" w:color="auto"/>
                    <w:left w:val="none" w:sz="0" w:space="0" w:color="auto"/>
                    <w:bottom w:val="none" w:sz="0" w:space="0" w:color="auto"/>
                    <w:right w:val="none" w:sz="0" w:space="0" w:color="auto"/>
                  </w:divBdr>
                  <w:divsChild>
                    <w:div w:id="496380378">
                      <w:marLeft w:val="0"/>
                      <w:marRight w:val="0"/>
                      <w:marTop w:val="0"/>
                      <w:marBottom w:val="0"/>
                      <w:divBdr>
                        <w:top w:val="single" w:sz="6" w:space="0" w:color="C6C6C6"/>
                        <w:left w:val="single" w:sz="6" w:space="0" w:color="C6C6C6"/>
                        <w:bottom w:val="single" w:sz="6" w:space="0" w:color="C6C6C6"/>
                        <w:right w:val="single" w:sz="6" w:space="0" w:color="C6C6C6"/>
                      </w:divBdr>
                    </w:div>
                    <w:div w:id="32251021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366559961">
              <w:marLeft w:val="0"/>
              <w:marRight w:val="0"/>
              <w:marTop w:val="0"/>
              <w:marBottom w:val="0"/>
              <w:divBdr>
                <w:top w:val="none" w:sz="0" w:space="0" w:color="auto"/>
                <w:left w:val="none" w:sz="0" w:space="0" w:color="auto"/>
                <w:bottom w:val="none" w:sz="0" w:space="0" w:color="auto"/>
                <w:right w:val="none" w:sz="0" w:space="0" w:color="auto"/>
              </w:divBdr>
              <w:divsChild>
                <w:div w:id="565839197">
                  <w:marLeft w:val="0"/>
                  <w:marRight w:val="0"/>
                  <w:marTop w:val="240"/>
                  <w:marBottom w:val="480"/>
                  <w:divBdr>
                    <w:top w:val="none" w:sz="0" w:space="0" w:color="auto"/>
                    <w:left w:val="none" w:sz="0" w:space="0" w:color="auto"/>
                    <w:bottom w:val="none" w:sz="0" w:space="0" w:color="auto"/>
                    <w:right w:val="none" w:sz="0" w:space="0" w:color="auto"/>
                  </w:divBdr>
                  <w:divsChild>
                    <w:div w:id="1158426744">
                      <w:marLeft w:val="0"/>
                      <w:marRight w:val="0"/>
                      <w:marTop w:val="0"/>
                      <w:marBottom w:val="0"/>
                      <w:divBdr>
                        <w:top w:val="single" w:sz="6" w:space="0" w:color="C6C6C6"/>
                        <w:left w:val="single" w:sz="6" w:space="0" w:color="C6C6C6"/>
                        <w:bottom w:val="single" w:sz="6" w:space="0" w:color="C6C6C6"/>
                        <w:right w:val="single" w:sz="6" w:space="0" w:color="C6C6C6"/>
                      </w:divBdr>
                    </w:div>
                    <w:div w:id="194596375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942108496">
          <w:marLeft w:val="0"/>
          <w:marRight w:val="0"/>
          <w:marTop w:val="0"/>
          <w:marBottom w:val="450"/>
          <w:divBdr>
            <w:top w:val="none" w:sz="0" w:space="0" w:color="auto"/>
            <w:left w:val="none" w:sz="0" w:space="0" w:color="auto"/>
            <w:bottom w:val="none" w:sz="0" w:space="0" w:color="auto"/>
            <w:right w:val="none" w:sz="0" w:space="0" w:color="auto"/>
          </w:divBdr>
          <w:divsChild>
            <w:div w:id="2140688541">
              <w:marLeft w:val="0"/>
              <w:marRight w:val="0"/>
              <w:marTop w:val="0"/>
              <w:marBottom w:val="375"/>
              <w:divBdr>
                <w:top w:val="none" w:sz="0" w:space="0" w:color="auto"/>
                <w:left w:val="none" w:sz="0" w:space="0" w:color="auto"/>
                <w:bottom w:val="none" w:sz="0" w:space="0" w:color="auto"/>
                <w:right w:val="none" w:sz="0" w:space="0" w:color="auto"/>
              </w:divBdr>
              <w:divsChild>
                <w:div w:id="1058166436">
                  <w:marLeft w:val="0"/>
                  <w:marRight w:val="0"/>
                  <w:marTop w:val="0"/>
                  <w:marBottom w:val="0"/>
                  <w:divBdr>
                    <w:top w:val="none" w:sz="0" w:space="0" w:color="auto"/>
                    <w:left w:val="none" w:sz="0" w:space="0" w:color="auto"/>
                    <w:bottom w:val="none" w:sz="0" w:space="0" w:color="auto"/>
                    <w:right w:val="none" w:sz="0" w:space="0" w:color="auto"/>
                  </w:divBdr>
                </w:div>
              </w:divsChild>
            </w:div>
            <w:div w:id="1984121269">
              <w:marLeft w:val="0"/>
              <w:marRight w:val="0"/>
              <w:marTop w:val="240"/>
              <w:marBottom w:val="480"/>
              <w:divBdr>
                <w:top w:val="none" w:sz="0" w:space="0" w:color="auto"/>
                <w:left w:val="none" w:sz="0" w:space="0" w:color="auto"/>
                <w:bottom w:val="none" w:sz="0" w:space="0" w:color="auto"/>
                <w:right w:val="none" w:sz="0" w:space="0" w:color="auto"/>
              </w:divBdr>
              <w:divsChild>
                <w:div w:id="130908022">
                  <w:marLeft w:val="0"/>
                  <w:marRight w:val="0"/>
                  <w:marTop w:val="0"/>
                  <w:marBottom w:val="0"/>
                  <w:divBdr>
                    <w:top w:val="single" w:sz="6" w:space="0" w:color="C6C6C6"/>
                    <w:left w:val="single" w:sz="6" w:space="0" w:color="C6C6C6"/>
                    <w:bottom w:val="single" w:sz="6" w:space="0" w:color="C6C6C6"/>
                    <w:right w:val="single" w:sz="6" w:space="0" w:color="C6C6C6"/>
                  </w:divBdr>
                </w:div>
                <w:div w:id="186917934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16218027">
      <w:bodyDiv w:val="1"/>
      <w:marLeft w:val="0"/>
      <w:marRight w:val="0"/>
      <w:marTop w:val="0"/>
      <w:marBottom w:val="0"/>
      <w:divBdr>
        <w:top w:val="none" w:sz="0" w:space="0" w:color="auto"/>
        <w:left w:val="none" w:sz="0" w:space="0" w:color="auto"/>
        <w:bottom w:val="none" w:sz="0" w:space="0" w:color="auto"/>
        <w:right w:val="none" w:sz="0" w:space="0" w:color="auto"/>
      </w:divBdr>
      <w:divsChild>
        <w:div w:id="268244085">
          <w:marLeft w:val="0"/>
          <w:marRight w:val="0"/>
          <w:marTop w:val="0"/>
          <w:marBottom w:val="0"/>
          <w:divBdr>
            <w:top w:val="none" w:sz="0" w:space="0" w:color="auto"/>
            <w:left w:val="none" w:sz="0" w:space="0" w:color="auto"/>
            <w:bottom w:val="none" w:sz="0" w:space="0" w:color="auto"/>
            <w:right w:val="none" w:sz="0" w:space="0" w:color="auto"/>
          </w:divBdr>
        </w:div>
        <w:div w:id="1348753784">
          <w:marLeft w:val="0"/>
          <w:marRight w:val="0"/>
          <w:marTop w:val="0"/>
          <w:marBottom w:val="450"/>
          <w:divBdr>
            <w:top w:val="none" w:sz="0" w:space="0" w:color="auto"/>
            <w:left w:val="none" w:sz="0" w:space="0" w:color="auto"/>
            <w:bottom w:val="none" w:sz="0" w:space="0" w:color="auto"/>
            <w:right w:val="none" w:sz="0" w:space="0" w:color="auto"/>
          </w:divBdr>
          <w:divsChild>
            <w:div w:id="617491091">
              <w:marLeft w:val="0"/>
              <w:marRight w:val="0"/>
              <w:marTop w:val="225"/>
              <w:marBottom w:val="0"/>
              <w:divBdr>
                <w:top w:val="none" w:sz="0" w:space="0" w:color="auto"/>
                <w:left w:val="none" w:sz="0" w:space="0" w:color="auto"/>
                <w:bottom w:val="none" w:sz="0" w:space="0" w:color="auto"/>
                <w:right w:val="none" w:sz="0" w:space="0" w:color="auto"/>
              </w:divBdr>
            </w:div>
          </w:divsChild>
        </w:div>
        <w:div w:id="1095399694">
          <w:marLeft w:val="0"/>
          <w:marRight w:val="0"/>
          <w:marTop w:val="0"/>
          <w:marBottom w:val="0"/>
          <w:divBdr>
            <w:top w:val="none" w:sz="0" w:space="0" w:color="auto"/>
            <w:left w:val="none" w:sz="0" w:space="0" w:color="auto"/>
            <w:bottom w:val="none" w:sz="0" w:space="0" w:color="auto"/>
            <w:right w:val="none" w:sz="0" w:space="0" w:color="auto"/>
          </w:divBdr>
          <w:divsChild>
            <w:div w:id="1932229976">
              <w:marLeft w:val="0"/>
              <w:marRight w:val="0"/>
              <w:marTop w:val="0"/>
              <w:marBottom w:val="0"/>
              <w:divBdr>
                <w:top w:val="none" w:sz="0" w:space="0" w:color="auto"/>
                <w:left w:val="none" w:sz="0" w:space="0" w:color="auto"/>
                <w:bottom w:val="none" w:sz="0" w:space="0" w:color="auto"/>
                <w:right w:val="none" w:sz="0" w:space="0" w:color="auto"/>
              </w:divBdr>
            </w:div>
          </w:divsChild>
        </w:div>
        <w:div w:id="697857207">
          <w:marLeft w:val="0"/>
          <w:marRight w:val="0"/>
          <w:marTop w:val="0"/>
          <w:marBottom w:val="420"/>
          <w:divBdr>
            <w:top w:val="none" w:sz="0" w:space="0" w:color="auto"/>
            <w:left w:val="none" w:sz="0" w:space="0" w:color="auto"/>
            <w:bottom w:val="none" w:sz="0" w:space="0" w:color="auto"/>
            <w:right w:val="none" w:sz="0" w:space="0" w:color="auto"/>
          </w:divBdr>
        </w:div>
        <w:div w:id="300814381">
          <w:marLeft w:val="0"/>
          <w:marRight w:val="0"/>
          <w:marTop w:val="0"/>
          <w:marBottom w:val="0"/>
          <w:divBdr>
            <w:top w:val="none" w:sz="0" w:space="0" w:color="auto"/>
            <w:left w:val="none" w:sz="0" w:space="0" w:color="auto"/>
            <w:bottom w:val="none" w:sz="0" w:space="0" w:color="auto"/>
            <w:right w:val="none" w:sz="0" w:space="0" w:color="auto"/>
          </w:divBdr>
          <w:divsChild>
            <w:div w:id="892732633">
              <w:marLeft w:val="0"/>
              <w:marRight w:val="0"/>
              <w:marTop w:val="0"/>
              <w:marBottom w:val="0"/>
              <w:divBdr>
                <w:top w:val="none" w:sz="0" w:space="0" w:color="auto"/>
                <w:left w:val="none" w:sz="0" w:space="0" w:color="auto"/>
                <w:bottom w:val="none" w:sz="0" w:space="0" w:color="auto"/>
                <w:right w:val="none" w:sz="0" w:space="0" w:color="auto"/>
              </w:divBdr>
            </w:div>
          </w:divsChild>
        </w:div>
        <w:div w:id="630785566">
          <w:marLeft w:val="0"/>
          <w:marRight w:val="0"/>
          <w:marTop w:val="0"/>
          <w:marBottom w:val="420"/>
          <w:divBdr>
            <w:top w:val="none" w:sz="0" w:space="0" w:color="auto"/>
            <w:left w:val="none" w:sz="0" w:space="0" w:color="auto"/>
            <w:bottom w:val="none" w:sz="0" w:space="0" w:color="auto"/>
            <w:right w:val="none" w:sz="0" w:space="0" w:color="auto"/>
          </w:divBdr>
        </w:div>
        <w:div w:id="1765494506">
          <w:marLeft w:val="0"/>
          <w:marRight w:val="0"/>
          <w:marTop w:val="0"/>
          <w:marBottom w:val="0"/>
          <w:divBdr>
            <w:top w:val="none" w:sz="0" w:space="0" w:color="auto"/>
            <w:left w:val="none" w:sz="0" w:space="0" w:color="auto"/>
            <w:bottom w:val="none" w:sz="0" w:space="0" w:color="auto"/>
            <w:right w:val="none" w:sz="0" w:space="0" w:color="auto"/>
          </w:divBdr>
          <w:divsChild>
            <w:div w:id="1091006578">
              <w:marLeft w:val="0"/>
              <w:marRight w:val="0"/>
              <w:marTop w:val="0"/>
              <w:marBottom w:val="0"/>
              <w:divBdr>
                <w:top w:val="none" w:sz="0" w:space="0" w:color="auto"/>
                <w:left w:val="none" w:sz="0" w:space="0" w:color="auto"/>
                <w:bottom w:val="none" w:sz="0" w:space="0" w:color="auto"/>
                <w:right w:val="none" w:sz="0" w:space="0" w:color="auto"/>
              </w:divBdr>
            </w:div>
          </w:divsChild>
        </w:div>
        <w:div w:id="2092264550">
          <w:marLeft w:val="0"/>
          <w:marRight w:val="0"/>
          <w:marTop w:val="0"/>
          <w:marBottom w:val="420"/>
          <w:divBdr>
            <w:top w:val="none" w:sz="0" w:space="0" w:color="auto"/>
            <w:left w:val="none" w:sz="0" w:space="0" w:color="auto"/>
            <w:bottom w:val="none" w:sz="0" w:space="0" w:color="auto"/>
            <w:right w:val="none" w:sz="0" w:space="0" w:color="auto"/>
          </w:divBdr>
        </w:div>
        <w:div w:id="1344282813">
          <w:marLeft w:val="0"/>
          <w:marRight w:val="0"/>
          <w:marTop w:val="0"/>
          <w:marBottom w:val="0"/>
          <w:divBdr>
            <w:top w:val="none" w:sz="0" w:space="0" w:color="auto"/>
            <w:left w:val="none" w:sz="0" w:space="0" w:color="auto"/>
            <w:bottom w:val="none" w:sz="0" w:space="0" w:color="auto"/>
            <w:right w:val="none" w:sz="0" w:space="0" w:color="auto"/>
          </w:divBdr>
          <w:divsChild>
            <w:div w:id="641621524">
              <w:marLeft w:val="0"/>
              <w:marRight w:val="0"/>
              <w:marTop w:val="0"/>
              <w:marBottom w:val="0"/>
              <w:divBdr>
                <w:top w:val="none" w:sz="0" w:space="0" w:color="auto"/>
                <w:left w:val="none" w:sz="0" w:space="0" w:color="auto"/>
                <w:bottom w:val="none" w:sz="0" w:space="0" w:color="auto"/>
                <w:right w:val="none" w:sz="0" w:space="0" w:color="auto"/>
              </w:divBdr>
            </w:div>
          </w:divsChild>
        </w:div>
        <w:div w:id="225145923">
          <w:marLeft w:val="0"/>
          <w:marRight w:val="0"/>
          <w:marTop w:val="0"/>
          <w:marBottom w:val="420"/>
          <w:divBdr>
            <w:top w:val="none" w:sz="0" w:space="0" w:color="auto"/>
            <w:left w:val="none" w:sz="0" w:space="0" w:color="auto"/>
            <w:bottom w:val="none" w:sz="0" w:space="0" w:color="auto"/>
            <w:right w:val="none" w:sz="0" w:space="0" w:color="auto"/>
          </w:divBdr>
        </w:div>
        <w:div w:id="1800102662">
          <w:marLeft w:val="0"/>
          <w:marRight w:val="0"/>
          <w:marTop w:val="0"/>
          <w:marBottom w:val="450"/>
          <w:divBdr>
            <w:top w:val="none" w:sz="0" w:space="0" w:color="auto"/>
            <w:left w:val="none" w:sz="0" w:space="0" w:color="auto"/>
            <w:bottom w:val="none" w:sz="0" w:space="0" w:color="auto"/>
            <w:right w:val="none" w:sz="0" w:space="0" w:color="auto"/>
          </w:divBdr>
          <w:divsChild>
            <w:div w:id="503128503">
              <w:marLeft w:val="0"/>
              <w:marRight w:val="0"/>
              <w:marTop w:val="225"/>
              <w:marBottom w:val="0"/>
              <w:divBdr>
                <w:top w:val="none" w:sz="0" w:space="0" w:color="auto"/>
                <w:left w:val="none" w:sz="0" w:space="0" w:color="auto"/>
                <w:bottom w:val="none" w:sz="0" w:space="0" w:color="auto"/>
                <w:right w:val="none" w:sz="0" w:space="0" w:color="auto"/>
              </w:divBdr>
            </w:div>
          </w:divsChild>
        </w:div>
        <w:div w:id="1926844962">
          <w:marLeft w:val="0"/>
          <w:marRight w:val="0"/>
          <w:marTop w:val="0"/>
          <w:marBottom w:val="0"/>
          <w:divBdr>
            <w:top w:val="none" w:sz="0" w:space="0" w:color="auto"/>
            <w:left w:val="none" w:sz="0" w:space="0" w:color="auto"/>
            <w:bottom w:val="none" w:sz="0" w:space="0" w:color="auto"/>
            <w:right w:val="none" w:sz="0" w:space="0" w:color="auto"/>
          </w:divBdr>
          <w:divsChild>
            <w:div w:id="304890614">
              <w:marLeft w:val="0"/>
              <w:marRight w:val="0"/>
              <w:marTop w:val="0"/>
              <w:marBottom w:val="0"/>
              <w:divBdr>
                <w:top w:val="none" w:sz="0" w:space="0" w:color="auto"/>
                <w:left w:val="none" w:sz="0" w:space="0" w:color="auto"/>
                <w:bottom w:val="none" w:sz="0" w:space="0" w:color="auto"/>
                <w:right w:val="none" w:sz="0" w:space="0" w:color="auto"/>
              </w:divBdr>
            </w:div>
          </w:divsChild>
        </w:div>
        <w:div w:id="119110127">
          <w:marLeft w:val="0"/>
          <w:marRight w:val="0"/>
          <w:marTop w:val="0"/>
          <w:marBottom w:val="420"/>
          <w:divBdr>
            <w:top w:val="none" w:sz="0" w:space="0" w:color="auto"/>
            <w:left w:val="none" w:sz="0" w:space="0" w:color="auto"/>
            <w:bottom w:val="none" w:sz="0" w:space="0" w:color="auto"/>
            <w:right w:val="none" w:sz="0" w:space="0" w:color="auto"/>
          </w:divBdr>
        </w:div>
        <w:div w:id="159464750">
          <w:marLeft w:val="0"/>
          <w:marRight w:val="0"/>
          <w:marTop w:val="0"/>
          <w:marBottom w:val="450"/>
          <w:divBdr>
            <w:top w:val="none" w:sz="0" w:space="0" w:color="auto"/>
            <w:left w:val="none" w:sz="0" w:space="0" w:color="auto"/>
            <w:bottom w:val="none" w:sz="0" w:space="0" w:color="auto"/>
            <w:right w:val="none" w:sz="0" w:space="0" w:color="auto"/>
          </w:divBdr>
          <w:divsChild>
            <w:div w:id="126819687">
              <w:marLeft w:val="0"/>
              <w:marRight w:val="0"/>
              <w:marTop w:val="225"/>
              <w:marBottom w:val="0"/>
              <w:divBdr>
                <w:top w:val="none" w:sz="0" w:space="0" w:color="auto"/>
                <w:left w:val="none" w:sz="0" w:space="0" w:color="auto"/>
                <w:bottom w:val="none" w:sz="0" w:space="0" w:color="auto"/>
                <w:right w:val="none" w:sz="0" w:space="0" w:color="auto"/>
              </w:divBdr>
            </w:div>
          </w:divsChild>
        </w:div>
        <w:div w:id="1715234125">
          <w:marLeft w:val="0"/>
          <w:marRight w:val="0"/>
          <w:marTop w:val="0"/>
          <w:marBottom w:val="0"/>
          <w:divBdr>
            <w:top w:val="none" w:sz="0" w:space="0" w:color="auto"/>
            <w:left w:val="none" w:sz="0" w:space="0" w:color="auto"/>
            <w:bottom w:val="none" w:sz="0" w:space="0" w:color="auto"/>
            <w:right w:val="none" w:sz="0" w:space="0" w:color="auto"/>
          </w:divBdr>
          <w:divsChild>
            <w:div w:id="687100249">
              <w:marLeft w:val="0"/>
              <w:marRight w:val="0"/>
              <w:marTop w:val="0"/>
              <w:marBottom w:val="0"/>
              <w:divBdr>
                <w:top w:val="none" w:sz="0" w:space="0" w:color="auto"/>
                <w:left w:val="none" w:sz="0" w:space="0" w:color="auto"/>
                <w:bottom w:val="none" w:sz="0" w:space="0" w:color="auto"/>
                <w:right w:val="none" w:sz="0" w:space="0" w:color="auto"/>
              </w:divBdr>
            </w:div>
          </w:divsChild>
        </w:div>
        <w:div w:id="1316101653">
          <w:marLeft w:val="0"/>
          <w:marRight w:val="0"/>
          <w:marTop w:val="0"/>
          <w:marBottom w:val="420"/>
          <w:divBdr>
            <w:top w:val="none" w:sz="0" w:space="0" w:color="auto"/>
            <w:left w:val="none" w:sz="0" w:space="0" w:color="auto"/>
            <w:bottom w:val="none" w:sz="0" w:space="0" w:color="auto"/>
            <w:right w:val="none" w:sz="0" w:space="0" w:color="auto"/>
          </w:divBdr>
        </w:div>
        <w:div w:id="1671641966">
          <w:marLeft w:val="0"/>
          <w:marRight w:val="0"/>
          <w:marTop w:val="0"/>
          <w:marBottom w:val="0"/>
          <w:divBdr>
            <w:top w:val="none" w:sz="0" w:space="0" w:color="auto"/>
            <w:left w:val="none" w:sz="0" w:space="0" w:color="auto"/>
            <w:bottom w:val="none" w:sz="0" w:space="0" w:color="auto"/>
            <w:right w:val="none" w:sz="0" w:space="0" w:color="auto"/>
          </w:divBdr>
          <w:divsChild>
            <w:div w:id="636839342">
              <w:marLeft w:val="0"/>
              <w:marRight w:val="0"/>
              <w:marTop w:val="0"/>
              <w:marBottom w:val="0"/>
              <w:divBdr>
                <w:top w:val="none" w:sz="0" w:space="0" w:color="auto"/>
                <w:left w:val="none" w:sz="0" w:space="0" w:color="auto"/>
                <w:bottom w:val="none" w:sz="0" w:space="0" w:color="auto"/>
                <w:right w:val="none" w:sz="0" w:space="0" w:color="auto"/>
              </w:divBdr>
            </w:div>
          </w:divsChild>
        </w:div>
        <w:div w:id="288318615">
          <w:marLeft w:val="0"/>
          <w:marRight w:val="0"/>
          <w:marTop w:val="0"/>
          <w:marBottom w:val="420"/>
          <w:divBdr>
            <w:top w:val="none" w:sz="0" w:space="0" w:color="auto"/>
            <w:left w:val="none" w:sz="0" w:space="0" w:color="auto"/>
            <w:bottom w:val="none" w:sz="0" w:space="0" w:color="auto"/>
            <w:right w:val="none" w:sz="0" w:space="0" w:color="auto"/>
          </w:divBdr>
        </w:div>
        <w:div w:id="736905661">
          <w:marLeft w:val="0"/>
          <w:marRight w:val="0"/>
          <w:marTop w:val="0"/>
          <w:marBottom w:val="0"/>
          <w:divBdr>
            <w:top w:val="none" w:sz="0" w:space="0" w:color="auto"/>
            <w:left w:val="none" w:sz="0" w:space="0" w:color="auto"/>
            <w:bottom w:val="none" w:sz="0" w:space="0" w:color="auto"/>
            <w:right w:val="none" w:sz="0" w:space="0" w:color="auto"/>
          </w:divBdr>
        </w:div>
      </w:divsChild>
    </w:div>
    <w:div w:id="133568150">
      <w:bodyDiv w:val="1"/>
      <w:marLeft w:val="0"/>
      <w:marRight w:val="0"/>
      <w:marTop w:val="0"/>
      <w:marBottom w:val="0"/>
      <w:divBdr>
        <w:top w:val="none" w:sz="0" w:space="0" w:color="auto"/>
        <w:left w:val="none" w:sz="0" w:space="0" w:color="auto"/>
        <w:bottom w:val="none" w:sz="0" w:space="0" w:color="auto"/>
        <w:right w:val="none" w:sz="0" w:space="0" w:color="auto"/>
      </w:divBdr>
      <w:divsChild>
        <w:div w:id="550534482">
          <w:marLeft w:val="0"/>
          <w:marRight w:val="0"/>
          <w:marTop w:val="75"/>
          <w:marBottom w:val="0"/>
          <w:divBdr>
            <w:top w:val="none" w:sz="0" w:space="0" w:color="auto"/>
            <w:left w:val="none" w:sz="0" w:space="0" w:color="auto"/>
            <w:bottom w:val="none" w:sz="0" w:space="0" w:color="auto"/>
            <w:right w:val="none" w:sz="0" w:space="0" w:color="auto"/>
          </w:divBdr>
          <w:divsChild>
            <w:div w:id="1985892698">
              <w:marLeft w:val="0"/>
              <w:marRight w:val="0"/>
              <w:marTop w:val="0"/>
              <w:marBottom w:val="0"/>
              <w:divBdr>
                <w:top w:val="none" w:sz="0" w:space="0" w:color="auto"/>
                <w:left w:val="none" w:sz="0" w:space="0" w:color="auto"/>
                <w:bottom w:val="none" w:sz="0" w:space="0" w:color="auto"/>
                <w:right w:val="none" w:sz="0" w:space="0" w:color="auto"/>
              </w:divBdr>
            </w:div>
            <w:div w:id="279261775">
              <w:marLeft w:val="0"/>
              <w:marRight w:val="0"/>
              <w:marTop w:val="0"/>
              <w:marBottom w:val="0"/>
              <w:divBdr>
                <w:top w:val="none" w:sz="0" w:space="0" w:color="auto"/>
                <w:left w:val="none" w:sz="0" w:space="0" w:color="auto"/>
                <w:bottom w:val="none" w:sz="0" w:space="0" w:color="auto"/>
                <w:right w:val="none" w:sz="0" w:space="0" w:color="auto"/>
              </w:divBdr>
            </w:div>
          </w:divsChild>
        </w:div>
        <w:div w:id="1063332426">
          <w:marLeft w:val="0"/>
          <w:marRight w:val="0"/>
          <w:marTop w:val="0"/>
          <w:marBottom w:val="150"/>
          <w:divBdr>
            <w:top w:val="none" w:sz="0" w:space="0" w:color="auto"/>
            <w:left w:val="none" w:sz="0" w:space="0" w:color="auto"/>
            <w:bottom w:val="single" w:sz="6" w:space="0" w:color="CCCCCC"/>
            <w:right w:val="none" w:sz="0" w:space="0" w:color="auto"/>
          </w:divBdr>
          <w:divsChild>
            <w:div w:id="1918055409">
              <w:marLeft w:val="300"/>
              <w:marRight w:val="0"/>
              <w:marTop w:val="0"/>
              <w:marBottom w:val="450"/>
              <w:divBdr>
                <w:top w:val="none" w:sz="0" w:space="0" w:color="auto"/>
                <w:left w:val="none" w:sz="0" w:space="0" w:color="auto"/>
                <w:bottom w:val="none" w:sz="0" w:space="0" w:color="auto"/>
                <w:right w:val="none" w:sz="0" w:space="0" w:color="auto"/>
              </w:divBdr>
            </w:div>
          </w:divsChild>
        </w:div>
        <w:div w:id="786852882">
          <w:marLeft w:val="0"/>
          <w:marRight w:val="0"/>
          <w:marTop w:val="0"/>
          <w:marBottom w:val="0"/>
          <w:divBdr>
            <w:top w:val="none" w:sz="0" w:space="0" w:color="auto"/>
            <w:left w:val="none" w:sz="0" w:space="0" w:color="auto"/>
            <w:bottom w:val="none" w:sz="0" w:space="0" w:color="auto"/>
            <w:right w:val="none" w:sz="0" w:space="0" w:color="auto"/>
          </w:divBdr>
          <w:divsChild>
            <w:div w:id="1407265129">
              <w:marLeft w:val="0"/>
              <w:marRight w:val="0"/>
              <w:marTop w:val="0"/>
              <w:marBottom w:val="0"/>
              <w:divBdr>
                <w:top w:val="none" w:sz="0" w:space="0" w:color="auto"/>
                <w:left w:val="none" w:sz="0" w:space="0" w:color="auto"/>
                <w:bottom w:val="none" w:sz="0" w:space="0" w:color="auto"/>
                <w:right w:val="none" w:sz="0" w:space="0" w:color="auto"/>
              </w:divBdr>
              <w:divsChild>
                <w:div w:id="1571695087">
                  <w:marLeft w:val="0"/>
                  <w:marRight w:val="0"/>
                  <w:marTop w:val="0"/>
                  <w:marBottom w:val="0"/>
                  <w:divBdr>
                    <w:top w:val="none" w:sz="0" w:space="0" w:color="auto"/>
                    <w:left w:val="none" w:sz="0" w:space="0" w:color="auto"/>
                    <w:bottom w:val="none" w:sz="0" w:space="0" w:color="auto"/>
                    <w:right w:val="none" w:sz="0" w:space="0" w:color="auto"/>
                  </w:divBdr>
                </w:div>
              </w:divsChild>
            </w:div>
            <w:div w:id="115566774">
              <w:marLeft w:val="0"/>
              <w:marRight w:val="0"/>
              <w:marTop w:val="0"/>
              <w:marBottom w:val="0"/>
              <w:divBdr>
                <w:top w:val="none" w:sz="0" w:space="0" w:color="auto"/>
                <w:left w:val="none" w:sz="0" w:space="0" w:color="auto"/>
                <w:bottom w:val="none" w:sz="0" w:space="0" w:color="auto"/>
                <w:right w:val="none" w:sz="0" w:space="0" w:color="auto"/>
              </w:divBdr>
              <w:divsChild>
                <w:div w:id="803962766">
                  <w:marLeft w:val="0"/>
                  <w:marRight w:val="0"/>
                  <w:marTop w:val="0"/>
                  <w:marBottom w:val="0"/>
                  <w:divBdr>
                    <w:top w:val="none" w:sz="0" w:space="0" w:color="auto"/>
                    <w:left w:val="none" w:sz="0" w:space="0" w:color="auto"/>
                    <w:bottom w:val="none" w:sz="0" w:space="0" w:color="auto"/>
                    <w:right w:val="none" w:sz="0" w:space="0" w:color="auto"/>
                  </w:divBdr>
                </w:div>
                <w:div w:id="1555240241">
                  <w:marLeft w:val="300"/>
                  <w:marRight w:val="0"/>
                  <w:marTop w:val="0"/>
                  <w:marBottom w:val="0"/>
                  <w:divBdr>
                    <w:top w:val="none" w:sz="0" w:space="0" w:color="auto"/>
                    <w:left w:val="none" w:sz="0" w:space="0" w:color="auto"/>
                    <w:bottom w:val="none" w:sz="0" w:space="0" w:color="auto"/>
                    <w:right w:val="none" w:sz="0" w:space="0" w:color="auto"/>
                  </w:divBdr>
                  <w:divsChild>
                    <w:div w:id="1458448369">
                      <w:marLeft w:val="0"/>
                      <w:marRight w:val="0"/>
                      <w:marTop w:val="0"/>
                      <w:marBottom w:val="375"/>
                      <w:divBdr>
                        <w:top w:val="none" w:sz="0" w:space="0" w:color="auto"/>
                        <w:left w:val="none" w:sz="0" w:space="0" w:color="auto"/>
                        <w:bottom w:val="none" w:sz="0" w:space="0" w:color="auto"/>
                        <w:right w:val="none" w:sz="0" w:space="0" w:color="auto"/>
                      </w:divBdr>
                      <w:divsChild>
                        <w:div w:id="410125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3569112">
              <w:marLeft w:val="0"/>
              <w:marRight w:val="0"/>
              <w:marTop w:val="0"/>
              <w:marBottom w:val="0"/>
              <w:divBdr>
                <w:top w:val="none" w:sz="0" w:space="0" w:color="auto"/>
                <w:left w:val="none" w:sz="0" w:space="0" w:color="auto"/>
                <w:bottom w:val="none" w:sz="0" w:space="0" w:color="auto"/>
                <w:right w:val="none" w:sz="0" w:space="0" w:color="auto"/>
              </w:divBdr>
              <w:divsChild>
                <w:div w:id="1072120017">
                  <w:marLeft w:val="0"/>
                  <w:marRight w:val="0"/>
                  <w:marTop w:val="0"/>
                  <w:marBottom w:val="0"/>
                  <w:divBdr>
                    <w:top w:val="none" w:sz="0" w:space="0" w:color="auto"/>
                    <w:left w:val="none" w:sz="0" w:space="0" w:color="auto"/>
                    <w:bottom w:val="none" w:sz="0" w:space="0" w:color="auto"/>
                    <w:right w:val="none" w:sz="0" w:space="0" w:color="auto"/>
                  </w:divBdr>
                </w:div>
                <w:div w:id="778568452">
                  <w:marLeft w:val="0"/>
                  <w:marRight w:val="0"/>
                  <w:marTop w:val="0"/>
                  <w:marBottom w:val="0"/>
                  <w:divBdr>
                    <w:top w:val="none" w:sz="0" w:space="0" w:color="auto"/>
                    <w:left w:val="none" w:sz="0" w:space="0" w:color="auto"/>
                    <w:bottom w:val="none" w:sz="0" w:space="0" w:color="auto"/>
                    <w:right w:val="none" w:sz="0" w:space="0" w:color="auto"/>
                  </w:divBdr>
                </w:div>
                <w:div w:id="1109397454">
                  <w:marLeft w:val="0"/>
                  <w:marRight w:val="0"/>
                  <w:marTop w:val="0"/>
                  <w:marBottom w:val="0"/>
                  <w:divBdr>
                    <w:top w:val="none" w:sz="0" w:space="0" w:color="auto"/>
                    <w:left w:val="none" w:sz="0" w:space="0" w:color="auto"/>
                    <w:bottom w:val="none" w:sz="0" w:space="0" w:color="auto"/>
                    <w:right w:val="none" w:sz="0" w:space="0" w:color="auto"/>
                  </w:divBdr>
                </w:div>
              </w:divsChild>
            </w:div>
            <w:div w:id="1519007903">
              <w:marLeft w:val="0"/>
              <w:marRight w:val="0"/>
              <w:marTop w:val="0"/>
              <w:marBottom w:val="0"/>
              <w:divBdr>
                <w:top w:val="none" w:sz="0" w:space="0" w:color="auto"/>
                <w:left w:val="none" w:sz="0" w:space="0" w:color="auto"/>
                <w:bottom w:val="none" w:sz="0" w:space="0" w:color="auto"/>
                <w:right w:val="none" w:sz="0" w:space="0" w:color="auto"/>
              </w:divBdr>
              <w:divsChild>
                <w:div w:id="1643389726">
                  <w:marLeft w:val="0"/>
                  <w:marRight w:val="0"/>
                  <w:marTop w:val="0"/>
                  <w:marBottom w:val="0"/>
                  <w:divBdr>
                    <w:top w:val="none" w:sz="0" w:space="0" w:color="auto"/>
                    <w:left w:val="none" w:sz="0" w:space="0" w:color="auto"/>
                    <w:bottom w:val="none" w:sz="0" w:space="0" w:color="auto"/>
                    <w:right w:val="none" w:sz="0" w:space="0" w:color="auto"/>
                  </w:divBdr>
                </w:div>
                <w:div w:id="1017855576">
                  <w:marLeft w:val="0"/>
                  <w:marRight w:val="0"/>
                  <w:marTop w:val="0"/>
                  <w:marBottom w:val="0"/>
                  <w:divBdr>
                    <w:top w:val="none" w:sz="0" w:space="0" w:color="auto"/>
                    <w:left w:val="none" w:sz="0" w:space="0" w:color="auto"/>
                    <w:bottom w:val="none" w:sz="0" w:space="0" w:color="auto"/>
                    <w:right w:val="none" w:sz="0" w:space="0" w:color="auto"/>
                  </w:divBdr>
                </w:div>
              </w:divsChild>
            </w:div>
            <w:div w:id="674844307">
              <w:marLeft w:val="0"/>
              <w:marRight w:val="0"/>
              <w:marTop w:val="0"/>
              <w:marBottom w:val="0"/>
              <w:divBdr>
                <w:top w:val="none" w:sz="0" w:space="0" w:color="auto"/>
                <w:left w:val="none" w:sz="0" w:space="0" w:color="auto"/>
                <w:bottom w:val="none" w:sz="0" w:space="0" w:color="auto"/>
                <w:right w:val="none" w:sz="0" w:space="0" w:color="auto"/>
              </w:divBdr>
              <w:divsChild>
                <w:div w:id="1251159858">
                  <w:marLeft w:val="0"/>
                  <w:marRight w:val="0"/>
                  <w:marTop w:val="0"/>
                  <w:marBottom w:val="0"/>
                  <w:divBdr>
                    <w:top w:val="none" w:sz="0" w:space="0" w:color="auto"/>
                    <w:left w:val="none" w:sz="0" w:space="0" w:color="auto"/>
                    <w:bottom w:val="none" w:sz="0" w:space="0" w:color="auto"/>
                    <w:right w:val="none" w:sz="0" w:space="0" w:color="auto"/>
                  </w:divBdr>
                </w:div>
                <w:div w:id="1550531092">
                  <w:marLeft w:val="300"/>
                  <w:marRight w:val="0"/>
                  <w:marTop w:val="0"/>
                  <w:marBottom w:val="0"/>
                  <w:divBdr>
                    <w:top w:val="none" w:sz="0" w:space="0" w:color="auto"/>
                    <w:left w:val="none" w:sz="0" w:space="0" w:color="auto"/>
                    <w:bottom w:val="none" w:sz="0" w:space="0" w:color="auto"/>
                    <w:right w:val="none" w:sz="0" w:space="0" w:color="auto"/>
                  </w:divBdr>
                  <w:divsChild>
                    <w:div w:id="1164515182">
                      <w:marLeft w:val="0"/>
                      <w:marRight w:val="0"/>
                      <w:marTop w:val="0"/>
                      <w:marBottom w:val="375"/>
                      <w:divBdr>
                        <w:top w:val="none" w:sz="0" w:space="0" w:color="auto"/>
                        <w:left w:val="none" w:sz="0" w:space="0" w:color="auto"/>
                        <w:bottom w:val="none" w:sz="0" w:space="0" w:color="auto"/>
                        <w:right w:val="none" w:sz="0" w:space="0" w:color="auto"/>
                      </w:divBdr>
                      <w:divsChild>
                        <w:div w:id="617182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74935">
              <w:marLeft w:val="0"/>
              <w:marRight w:val="0"/>
              <w:marTop w:val="0"/>
              <w:marBottom w:val="0"/>
              <w:divBdr>
                <w:top w:val="none" w:sz="0" w:space="0" w:color="auto"/>
                <w:left w:val="none" w:sz="0" w:space="0" w:color="auto"/>
                <w:bottom w:val="none" w:sz="0" w:space="0" w:color="auto"/>
                <w:right w:val="none" w:sz="0" w:space="0" w:color="auto"/>
              </w:divBdr>
              <w:divsChild>
                <w:div w:id="262417041">
                  <w:marLeft w:val="0"/>
                  <w:marRight w:val="0"/>
                  <w:marTop w:val="0"/>
                  <w:marBottom w:val="0"/>
                  <w:divBdr>
                    <w:top w:val="none" w:sz="0" w:space="0" w:color="auto"/>
                    <w:left w:val="none" w:sz="0" w:space="0" w:color="auto"/>
                    <w:bottom w:val="none" w:sz="0" w:space="0" w:color="auto"/>
                    <w:right w:val="none" w:sz="0" w:space="0" w:color="auto"/>
                  </w:divBdr>
                </w:div>
                <w:div w:id="1789467157">
                  <w:marLeft w:val="300"/>
                  <w:marRight w:val="0"/>
                  <w:marTop w:val="0"/>
                  <w:marBottom w:val="0"/>
                  <w:divBdr>
                    <w:top w:val="none" w:sz="0" w:space="0" w:color="auto"/>
                    <w:left w:val="none" w:sz="0" w:space="0" w:color="auto"/>
                    <w:bottom w:val="none" w:sz="0" w:space="0" w:color="auto"/>
                    <w:right w:val="none" w:sz="0" w:space="0" w:color="auto"/>
                  </w:divBdr>
                  <w:divsChild>
                    <w:div w:id="268246294">
                      <w:marLeft w:val="0"/>
                      <w:marRight w:val="0"/>
                      <w:marTop w:val="0"/>
                      <w:marBottom w:val="375"/>
                      <w:divBdr>
                        <w:top w:val="none" w:sz="0" w:space="0" w:color="auto"/>
                        <w:left w:val="none" w:sz="0" w:space="0" w:color="auto"/>
                        <w:bottom w:val="none" w:sz="0" w:space="0" w:color="auto"/>
                        <w:right w:val="none" w:sz="0" w:space="0" w:color="auto"/>
                      </w:divBdr>
                      <w:divsChild>
                        <w:div w:id="447939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3715145">
                  <w:marLeft w:val="300"/>
                  <w:marRight w:val="0"/>
                  <w:marTop w:val="0"/>
                  <w:marBottom w:val="0"/>
                  <w:divBdr>
                    <w:top w:val="none" w:sz="0" w:space="0" w:color="auto"/>
                    <w:left w:val="none" w:sz="0" w:space="0" w:color="auto"/>
                    <w:bottom w:val="none" w:sz="0" w:space="0" w:color="auto"/>
                    <w:right w:val="none" w:sz="0" w:space="0" w:color="auto"/>
                  </w:divBdr>
                  <w:divsChild>
                    <w:div w:id="802116319">
                      <w:marLeft w:val="0"/>
                      <w:marRight w:val="0"/>
                      <w:marTop w:val="0"/>
                      <w:marBottom w:val="375"/>
                      <w:divBdr>
                        <w:top w:val="none" w:sz="0" w:space="0" w:color="auto"/>
                        <w:left w:val="none" w:sz="0" w:space="0" w:color="auto"/>
                        <w:bottom w:val="none" w:sz="0" w:space="0" w:color="auto"/>
                        <w:right w:val="none" w:sz="0" w:space="0" w:color="auto"/>
                      </w:divBdr>
                      <w:divsChild>
                        <w:div w:id="471295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6775572">
                  <w:marLeft w:val="0"/>
                  <w:marRight w:val="0"/>
                  <w:marTop w:val="0"/>
                  <w:marBottom w:val="0"/>
                  <w:divBdr>
                    <w:top w:val="none" w:sz="0" w:space="0" w:color="auto"/>
                    <w:left w:val="none" w:sz="0" w:space="0" w:color="auto"/>
                    <w:bottom w:val="none" w:sz="0" w:space="0" w:color="auto"/>
                    <w:right w:val="none" w:sz="0" w:space="0" w:color="auto"/>
                  </w:divBdr>
                  <w:divsChild>
                    <w:div w:id="1141583797">
                      <w:marLeft w:val="300"/>
                      <w:marRight w:val="0"/>
                      <w:marTop w:val="0"/>
                      <w:marBottom w:val="0"/>
                      <w:divBdr>
                        <w:top w:val="none" w:sz="0" w:space="0" w:color="auto"/>
                        <w:left w:val="none" w:sz="0" w:space="0" w:color="auto"/>
                        <w:bottom w:val="none" w:sz="0" w:space="0" w:color="auto"/>
                        <w:right w:val="none" w:sz="0" w:space="0" w:color="auto"/>
                      </w:divBdr>
                      <w:divsChild>
                        <w:div w:id="1264610433">
                          <w:marLeft w:val="0"/>
                          <w:marRight w:val="0"/>
                          <w:marTop w:val="0"/>
                          <w:marBottom w:val="375"/>
                          <w:divBdr>
                            <w:top w:val="none" w:sz="0" w:space="0" w:color="auto"/>
                            <w:left w:val="none" w:sz="0" w:space="0" w:color="auto"/>
                            <w:bottom w:val="none" w:sz="0" w:space="0" w:color="auto"/>
                            <w:right w:val="none" w:sz="0" w:space="0" w:color="auto"/>
                          </w:divBdr>
                          <w:divsChild>
                            <w:div w:id="1655260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8235241">
              <w:marLeft w:val="0"/>
              <w:marRight w:val="0"/>
              <w:marTop w:val="0"/>
              <w:marBottom w:val="0"/>
              <w:divBdr>
                <w:top w:val="none" w:sz="0" w:space="0" w:color="auto"/>
                <w:left w:val="none" w:sz="0" w:space="0" w:color="auto"/>
                <w:bottom w:val="none" w:sz="0" w:space="0" w:color="auto"/>
                <w:right w:val="none" w:sz="0" w:space="0" w:color="auto"/>
              </w:divBdr>
              <w:divsChild>
                <w:div w:id="771046734">
                  <w:marLeft w:val="0"/>
                  <w:marRight w:val="0"/>
                  <w:marTop w:val="0"/>
                  <w:marBottom w:val="0"/>
                  <w:divBdr>
                    <w:top w:val="none" w:sz="0" w:space="0" w:color="auto"/>
                    <w:left w:val="none" w:sz="0" w:space="0" w:color="auto"/>
                    <w:bottom w:val="none" w:sz="0" w:space="0" w:color="auto"/>
                    <w:right w:val="none" w:sz="0" w:space="0" w:color="auto"/>
                  </w:divBdr>
                </w:div>
                <w:div w:id="64650696">
                  <w:marLeft w:val="0"/>
                  <w:marRight w:val="0"/>
                  <w:marTop w:val="0"/>
                  <w:marBottom w:val="0"/>
                  <w:divBdr>
                    <w:top w:val="none" w:sz="0" w:space="0" w:color="auto"/>
                    <w:left w:val="none" w:sz="0" w:space="0" w:color="auto"/>
                    <w:bottom w:val="none" w:sz="0" w:space="0" w:color="auto"/>
                    <w:right w:val="none" w:sz="0" w:space="0" w:color="auto"/>
                  </w:divBdr>
                </w:div>
                <w:div w:id="545530405">
                  <w:marLeft w:val="0"/>
                  <w:marRight w:val="0"/>
                  <w:marTop w:val="0"/>
                  <w:marBottom w:val="0"/>
                  <w:divBdr>
                    <w:top w:val="none" w:sz="0" w:space="0" w:color="auto"/>
                    <w:left w:val="none" w:sz="0" w:space="0" w:color="auto"/>
                    <w:bottom w:val="none" w:sz="0" w:space="0" w:color="auto"/>
                    <w:right w:val="none" w:sz="0" w:space="0" w:color="auto"/>
                  </w:divBdr>
                </w:div>
                <w:div w:id="2003197417">
                  <w:marLeft w:val="0"/>
                  <w:marRight w:val="0"/>
                  <w:marTop w:val="0"/>
                  <w:marBottom w:val="0"/>
                  <w:divBdr>
                    <w:top w:val="none" w:sz="0" w:space="0" w:color="auto"/>
                    <w:left w:val="none" w:sz="0" w:space="0" w:color="auto"/>
                    <w:bottom w:val="none" w:sz="0" w:space="0" w:color="auto"/>
                    <w:right w:val="none" w:sz="0" w:space="0" w:color="auto"/>
                  </w:divBdr>
                </w:div>
              </w:divsChild>
            </w:div>
            <w:div w:id="1040086601">
              <w:marLeft w:val="0"/>
              <w:marRight w:val="0"/>
              <w:marTop w:val="0"/>
              <w:marBottom w:val="0"/>
              <w:divBdr>
                <w:top w:val="none" w:sz="0" w:space="0" w:color="auto"/>
                <w:left w:val="none" w:sz="0" w:space="0" w:color="auto"/>
                <w:bottom w:val="none" w:sz="0" w:space="0" w:color="auto"/>
                <w:right w:val="none" w:sz="0" w:space="0" w:color="auto"/>
              </w:divBdr>
              <w:divsChild>
                <w:div w:id="2056267644">
                  <w:marLeft w:val="0"/>
                  <w:marRight w:val="0"/>
                  <w:marTop w:val="0"/>
                  <w:marBottom w:val="0"/>
                  <w:divBdr>
                    <w:top w:val="none" w:sz="0" w:space="0" w:color="auto"/>
                    <w:left w:val="none" w:sz="0" w:space="0" w:color="auto"/>
                    <w:bottom w:val="none" w:sz="0" w:space="0" w:color="auto"/>
                    <w:right w:val="none" w:sz="0" w:space="0" w:color="auto"/>
                  </w:divBdr>
                </w:div>
                <w:div w:id="1591964598">
                  <w:marLeft w:val="0"/>
                  <w:marRight w:val="0"/>
                  <w:marTop w:val="0"/>
                  <w:marBottom w:val="0"/>
                  <w:divBdr>
                    <w:top w:val="none" w:sz="0" w:space="0" w:color="auto"/>
                    <w:left w:val="none" w:sz="0" w:space="0" w:color="auto"/>
                    <w:bottom w:val="none" w:sz="0" w:space="0" w:color="auto"/>
                    <w:right w:val="none" w:sz="0" w:space="0" w:color="auto"/>
                  </w:divBdr>
                </w:div>
              </w:divsChild>
            </w:div>
            <w:div w:id="191041652">
              <w:marLeft w:val="0"/>
              <w:marRight w:val="0"/>
              <w:marTop w:val="0"/>
              <w:marBottom w:val="0"/>
              <w:divBdr>
                <w:top w:val="none" w:sz="0" w:space="0" w:color="auto"/>
                <w:left w:val="none" w:sz="0" w:space="0" w:color="auto"/>
                <w:bottom w:val="none" w:sz="0" w:space="0" w:color="auto"/>
                <w:right w:val="none" w:sz="0" w:space="0" w:color="auto"/>
              </w:divBdr>
              <w:divsChild>
                <w:div w:id="1738552772">
                  <w:marLeft w:val="0"/>
                  <w:marRight w:val="0"/>
                  <w:marTop w:val="0"/>
                  <w:marBottom w:val="0"/>
                  <w:divBdr>
                    <w:top w:val="none" w:sz="0" w:space="0" w:color="auto"/>
                    <w:left w:val="none" w:sz="0" w:space="0" w:color="auto"/>
                    <w:bottom w:val="none" w:sz="0" w:space="0" w:color="auto"/>
                    <w:right w:val="none" w:sz="0" w:space="0" w:color="auto"/>
                  </w:divBdr>
                </w:div>
                <w:div w:id="449932646">
                  <w:marLeft w:val="300"/>
                  <w:marRight w:val="0"/>
                  <w:marTop w:val="0"/>
                  <w:marBottom w:val="0"/>
                  <w:divBdr>
                    <w:top w:val="none" w:sz="0" w:space="0" w:color="auto"/>
                    <w:left w:val="none" w:sz="0" w:space="0" w:color="auto"/>
                    <w:bottom w:val="none" w:sz="0" w:space="0" w:color="auto"/>
                    <w:right w:val="none" w:sz="0" w:space="0" w:color="auto"/>
                  </w:divBdr>
                  <w:divsChild>
                    <w:div w:id="608513635">
                      <w:marLeft w:val="0"/>
                      <w:marRight w:val="0"/>
                      <w:marTop w:val="0"/>
                      <w:marBottom w:val="375"/>
                      <w:divBdr>
                        <w:top w:val="none" w:sz="0" w:space="0" w:color="auto"/>
                        <w:left w:val="none" w:sz="0" w:space="0" w:color="auto"/>
                        <w:bottom w:val="none" w:sz="0" w:space="0" w:color="auto"/>
                        <w:right w:val="none" w:sz="0" w:space="0" w:color="auto"/>
                      </w:divBdr>
                      <w:divsChild>
                        <w:div w:id="912395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6597406">
              <w:marLeft w:val="0"/>
              <w:marRight w:val="0"/>
              <w:marTop w:val="0"/>
              <w:marBottom w:val="0"/>
              <w:divBdr>
                <w:top w:val="none" w:sz="0" w:space="0" w:color="auto"/>
                <w:left w:val="none" w:sz="0" w:space="0" w:color="auto"/>
                <w:bottom w:val="none" w:sz="0" w:space="0" w:color="auto"/>
                <w:right w:val="none" w:sz="0" w:space="0" w:color="auto"/>
              </w:divBdr>
              <w:divsChild>
                <w:div w:id="1159617852">
                  <w:marLeft w:val="0"/>
                  <w:marRight w:val="0"/>
                  <w:marTop w:val="0"/>
                  <w:marBottom w:val="0"/>
                  <w:divBdr>
                    <w:top w:val="none" w:sz="0" w:space="0" w:color="auto"/>
                    <w:left w:val="none" w:sz="0" w:space="0" w:color="auto"/>
                    <w:bottom w:val="none" w:sz="0" w:space="0" w:color="auto"/>
                    <w:right w:val="none" w:sz="0" w:space="0" w:color="auto"/>
                  </w:divBdr>
                </w:div>
                <w:div w:id="1356729508">
                  <w:marLeft w:val="300"/>
                  <w:marRight w:val="0"/>
                  <w:marTop w:val="0"/>
                  <w:marBottom w:val="0"/>
                  <w:divBdr>
                    <w:top w:val="none" w:sz="0" w:space="0" w:color="auto"/>
                    <w:left w:val="none" w:sz="0" w:space="0" w:color="auto"/>
                    <w:bottom w:val="none" w:sz="0" w:space="0" w:color="auto"/>
                    <w:right w:val="none" w:sz="0" w:space="0" w:color="auto"/>
                  </w:divBdr>
                  <w:divsChild>
                    <w:div w:id="1450974916">
                      <w:marLeft w:val="0"/>
                      <w:marRight w:val="0"/>
                      <w:marTop w:val="0"/>
                      <w:marBottom w:val="375"/>
                      <w:divBdr>
                        <w:top w:val="none" w:sz="0" w:space="0" w:color="auto"/>
                        <w:left w:val="none" w:sz="0" w:space="0" w:color="auto"/>
                        <w:bottom w:val="none" w:sz="0" w:space="0" w:color="auto"/>
                        <w:right w:val="none" w:sz="0" w:space="0" w:color="auto"/>
                      </w:divBdr>
                      <w:divsChild>
                        <w:div w:id="2032683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6240213">
                  <w:marLeft w:val="300"/>
                  <w:marRight w:val="0"/>
                  <w:marTop w:val="0"/>
                  <w:marBottom w:val="0"/>
                  <w:divBdr>
                    <w:top w:val="none" w:sz="0" w:space="0" w:color="auto"/>
                    <w:left w:val="none" w:sz="0" w:space="0" w:color="auto"/>
                    <w:bottom w:val="none" w:sz="0" w:space="0" w:color="auto"/>
                    <w:right w:val="none" w:sz="0" w:space="0" w:color="auto"/>
                  </w:divBdr>
                  <w:divsChild>
                    <w:div w:id="1025130171">
                      <w:marLeft w:val="0"/>
                      <w:marRight w:val="0"/>
                      <w:marTop w:val="0"/>
                      <w:marBottom w:val="375"/>
                      <w:divBdr>
                        <w:top w:val="none" w:sz="0" w:space="0" w:color="auto"/>
                        <w:left w:val="none" w:sz="0" w:space="0" w:color="auto"/>
                        <w:bottom w:val="none" w:sz="0" w:space="0" w:color="auto"/>
                        <w:right w:val="none" w:sz="0" w:space="0" w:color="auto"/>
                      </w:divBdr>
                      <w:divsChild>
                        <w:div w:id="21517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1558441">
              <w:marLeft w:val="0"/>
              <w:marRight w:val="0"/>
              <w:marTop w:val="0"/>
              <w:marBottom w:val="0"/>
              <w:divBdr>
                <w:top w:val="none" w:sz="0" w:space="0" w:color="auto"/>
                <w:left w:val="none" w:sz="0" w:space="0" w:color="auto"/>
                <w:bottom w:val="none" w:sz="0" w:space="0" w:color="auto"/>
                <w:right w:val="none" w:sz="0" w:space="0" w:color="auto"/>
              </w:divBdr>
              <w:divsChild>
                <w:div w:id="60375503">
                  <w:marLeft w:val="0"/>
                  <w:marRight w:val="0"/>
                  <w:marTop w:val="0"/>
                  <w:marBottom w:val="0"/>
                  <w:divBdr>
                    <w:top w:val="none" w:sz="0" w:space="0" w:color="auto"/>
                    <w:left w:val="none" w:sz="0" w:space="0" w:color="auto"/>
                    <w:bottom w:val="none" w:sz="0" w:space="0" w:color="auto"/>
                    <w:right w:val="none" w:sz="0" w:space="0" w:color="auto"/>
                  </w:divBdr>
                </w:div>
                <w:div w:id="1175151310">
                  <w:marLeft w:val="300"/>
                  <w:marRight w:val="0"/>
                  <w:marTop w:val="0"/>
                  <w:marBottom w:val="0"/>
                  <w:divBdr>
                    <w:top w:val="none" w:sz="0" w:space="0" w:color="auto"/>
                    <w:left w:val="none" w:sz="0" w:space="0" w:color="auto"/>
                    <w:bottom w:val="none" w:sz="0" w:space="0" w:color="auto"/>
                    <w:right w:val="none" w:sz="0" w:space="0" w:color="auto"/>
                  </w:divBdr>
                  <w:divsChild>
                    <w:div w:id="742683591">
                      <w:marLeft w:val="0"/>
                      <w:marRight w:val="0"/>
                      <w:marTop w:val="0"/>
                      <w:marBottom w:val="375"/>
                      <w:divBdr>
                        <w:top w:val="none" w:sz="0" w:space="0" w:color="auto"/>
                        <w:left w:val="none" w:sz="0" w:space="0" w:color="auto"/>
                        <w:bottom w:val="none" w:sz="0" w:space="0" w:color="auto"/>
                        <w:right w:val="none" w:sz="0" w:space="0" w:color="auto"/>
                      </w:divBdr>
                      <w:divsChild>
                        <w:div w:id="853887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9073647">
                  <w:marLeft w:val="300"/>
                  <w:marRight w:val="0"/>
                  <w:marTop w:val="0"/>
                  <w:marBottom w:val="0"/>
                  <w:divBdr>
                    <w:top w:val="none" w:sz="0" w:space="0" w:color="auto"/>
                    <w:left w:val="none" w:sz="0" w:space="0" w:color="auto"/>
                    <w:bottom w:val="none" w:sz="0" w:space="0" w:color="auto"/>
                    <w:right w:val="none" w:sz="0" w:space="0" w:color="auto"/>
                  </w:divBdr>
                  <w:divsChild>
                    <w:div w:id="911816232">
                      <w:marLeft w:val="0"/>
                      <w:marRight w:val="0"/>
                      <w:marTop w:val="0"/>
                      <w:marBottom w:val="375"/>
                      <w:divBdr>
                        <w:top w:val="none" w:sz="0" w:space="0" w:color="auto"/>
                        <w:left w:val="none" w:sz="0" w:space="0" w:color="auto"/>
                        <w:bottom w:val="none" w:sz="0" w:space="0" w:color="auto"/>
                        <w:right w:val="none" w:sz="0" w:space="0" w:color="auto"/>
                      </w:divBdr>
                      <w:divsChild>
                        <w:div w:id="285427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4260880">
              <w:marLeft w:val="0"/>
              <w:marRight w:val="0"/>
              <w:marTop w:val="0"/>
              <w:marBottom w:val="0"/>
              <w:divBdr>
                <w:top w:val="none" w:sz="0" w:space="0" w:color="auto"/>
                <w:left w:val="none" w:sz="0" w:space="0" w:color="auto"/>
                <w:bottom w:val="none" w:sz="0" w:space="0" w:color="auto"/>
                <w:right w:val="none" w:sz="0" w:space="0" w:color="auto"/>
              </w:divBdr>
              <w:divsChild>
                <w:div w:id="439030086">
                  <w:marLeft w:val="0"/>
                  <w:marRight w:val="0"/>
                  <w:marTop w:val="0"/>
                  <w:marBottom w:val="0"/>
                  <w:divBdr>
                    <w:top w:val="none" w:sz="0" w:space="0" w:color="auto"/>
                    <w:left w:val="none" w:sz="0" w:space="0" w:color="auto"/>
                    <w:bottom w:val="none" w:sz="0" w:space="0" w:color="auto"/>
                    <w:right w:val="none" w:sz="0" w:space="0" w:color="auto"/>
                  </w:divBdr>
                </w:div>
                <w:div w:id="1174806551">
                  <w:marLeft w:val="0"/>
                  <w:marRight w:val="0"/>
                  <w:marTop w:val="0"/>
                  <w:marBottom w:val="0"/>
                  <w:divBdr>
                    <w:top w:val="none" w:sz="0" w:space="0" w:color="auto"/>
                    <w:left w:val="none" w:sz="0" w:space="0" w:color="auto"/>
                    <w:bottom w:val="none" w:sz="0" w:space="0" w:color="auto"/>
                    <w:right w:val="none" w:sz="0" w:space="0" w:color="auto"/>
                  </w:divBdr>
                </w:div>
                <w:div w:id="440876604">
                  <w:marLeft w:val="0"/>
                  <w:marRight w:val="0"/>
                  <w:marTop w:val="0"/>
                  <w:marBottom w:val="0"/>
                  <w:divBdr>
                    <w:top w:val="none" w:sz="0" w:space="0" w:color="auto"/>
                    <w:left w:val="none" w:sz="0" w:space="0" w:color="auto"/>
                    <w:bottom w:val="none" w:sz="0" w:space="0" w:color="auto"/>
                    <w:right w:val="none" w:sz="0" w:space="0" w:color="auto"/>
                  </w:divBdr>
                </w:div>
                <w:div w:id="491482768">
                  <w:marLeft w:val="0"/>
                  <w:marRight w:val="0"/>
                  <w:marTop w:val="0"/>
                  <w:marBottom w:val="0"/>
                  <w:divBdr>
                    <w:top w:val="none" w:sz="0" w:space="0" w:color="auto"/>
                    <w:left w:val="none" w:sz="0" w:space="0" w:color="auto"/>
                    <w:bottom w:val="none" w:sz="0" w:space="0" w:color="auto"/>
                    <w:right w:val="none" w:sz="0" w:space="0" w:color="auto"/>
                  </w:divBdr>
                </w:div>
              </w:divsChild>
            </w:div>
            <w:div w:id="320817523">
              <w:marLeft w:val="0"/>
              <w:marRight w:val="0"/>
              <w:marTop w:val="0"/>
              <w:marBottom w:val="0"/>
              <w:divBdr>
                <w:top w:val="none" w:sz="0" w:space="0" w:color="auto"/>
                <w:left w:val="none" w:sz="0" w:space="0" w:color="auto"/>
                <w:bottom w:val="none" w:sz="0" w:space="0" w:color="auto"/>
                <w:right w:val="none" w:sz="0" w:space="0" w:color="auto"/>
              </w:divBdr>
              <w:divsChild>
                <w:div w:id="1606578851">
                  <w:marLeft w:val="0"/>
                  <w:marRight w:val="0"/>
                  <w:marTop w:val="0"/>
                  <w:marBottom w:val="0"/>
                  <w:divBdr>
                    <w:top w:val="none" w:sz="0" w:space="0" w:color="auto"/>
                    <w:left w:val="none" w:sz="0" w:space="0" w:color="auto"/>
                    <w:bottom w:val="none" w:sz="0" w:space="0" w:color="auto"/>
                    <w:right w:val="none" w:sz="0" w:space="0" w:color="auto"/>
                  </w:divBdr>
                </w:div>
              </w:divsChild>
            </w:div>
            <w:div w:id="570507000">
              <w:marLeft w:val="0"/>
              <w:marRight w:val="0"/>
              <w:marTop w:val="0"/>
              <w:marBottom w:val="0"/>
              <w:divBdr>
                <w:top w:val="none" w:sz="0" w:space="0" w:color="auto"/>
                <w:left w:val="none" w:sz="0" w:space="0" w:color="auto"/>
                <w:bottom w:val="none" w:sz="0" w:space="0" w:color="auto"/>
                <w:right w:val="none" w:sz="0" w:space="0" w:color="auto"/>
              </w:divBdr>
              <w:divsChild>
                <w:div w:id="1447893064">
                  <w:marLeft w:val="0"/>
                  <w:marRight w:val="0"/>
                  <w:marTop w:val="0"/>
                  <w:marBottom w:val="0"/>
                  <w:divBdr>
                    <w:top w:val="none" w:sz="0" w:space="0" w:color="auto"/>
                    <w:left w:val="none" w:sz="0" w:space="0" w:color="auto"/>
                    <w:bottom w:val="none" w:sz="0" w:space="0" w:color="auto"/>
                    <w:right w:val="none" w:sz="0" w:space="0" w:color="auto"/>
                  </w:divBdr>
                </w:div>
              </w:divsChild>
            </w:div>
            <w:div w:id="117442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641779">
      <w:bodyDiv w:val="1"/>
      <w:marLeft w:val="0"/>
      <w:marRight w:val="0"/>
      <w:marTop w:val="0"/>
      <w:marBottom w:val="0"/>
      <w:divBdr>
        <w:top w:val="none" w:sz="0" w:space="0" w:color="auto"/>
        <w:left w:val="none" w:sz="0" w:space="0" w:color="auto"/>
        <w:bottom w:val="none" w:sz="0" w:space="0" w:color="auto"/>
        <w:right w:val="none" w:sz="0" w:space="0" w:color="auto"/>
      </w:divBdr>
      <w:divsChild>
        <w:div w:id="998967866">
          <w:marLeft w:val="0"/>
          <w:marRight w:val="0"/>
          <w:marTop w:val="0"/>
          <w:marBottom w:val="0"/>
          <w:divBdr>
            <w:top w:val="none" w:sz="0" w:space="0" w:color="auto"/>
            <w:left w:val="none" w:sz="0" w:space="0" w:color="auto"/>
            <w:bottom w:val="single" w:sz="6" w:space="0" w:color="333333"/>
            <w:right w:val="none" w:sz="0" w:space="0" w:color="auto"/>
          </w:divBdr>
          <w:divsChild>
            <w:div w:id="1852141847">
              <w:marLeft w:val="0"/>
              <w:marRight w:val="0"/>
              <w:marTop w:val="0"/>
              <w:marBottom w:val="0"/>
              <w:divBdr>
                <w:top w:val="none" w:sz="0" w:space="0" w:color="auto"/>
                <w:left w:val="none" w:sz="0" w:space="0" w:color="auto"/>
                <w:bottom w:val="none" w:sz="0" w:space="0" w:color="auto"/>
                <w:right w:val="none" w:sz="0" w:space="0" w:color="auto"/>
              </w:divBdr>
              <w:divsChild>
                <w:div w:id="251208422">
                  <w:marLeft w:val="0"/>
                  <w:marRight w:val="0"/>
                  <w:marTop w:val="0"/>
                  <w:marBottom w:val="0"/>
                  <w:divBdr>
                    <w:top w:val="none" w:sz="0" w:space="0" w:color="auto"/>
                    <w:left w:val="none" w:sz="0" w:space="0" w:color="auto"/>
                    <w:bottom w:val="none" w:sz="0" w:space="0" w:color="auto"/>
                    <w:right w:val="none" w:sz="0" w:space="0" w:color="auto"/>
                  </w:divBdr>
                  <w:divsChild>
                    <w:div w:id="1578512388">
                      <w:marLeft w:val="0"/>
                      <w:marRight w:val="0"/>
                      <w:marTop w:val="0"/>
                      <w:marBottom w:val="0"/>
                      <w:divBdr>
                        <w:top w:val="none" w:sz="0" w:space="0" w:color="auto"/>
                        <w:left w:val="none" w:sz="0" w:space="0" w:color="auto"/>
                        <w:bottom w:val="none" w:sz="0" w:space="0" w:color="auto"/>
                        <w:right w:val="none" w:sz="0" w:space="0" w:color="auto"/>
                      </w:divBdr>
                      <w:divsChild>
                        <w:div w:id="1986007150">
                          <w:marLeft w:val="0"/>
                          <w:marRight w:val="0"/>
                          <w:marTop w:val="0"/>
                          <w:marBottom w:val="0"/>
                          <w:divBdr>
                            <w:top w:val="none" w:sz="0" w:space="0" w:color="auto"/>
                            <w:left w:val="none" w:sz="0" w:space="0" w:color="auto"/>
                            <w:bottom w:val="dotted" w:sz="6" w:space="0" w:color="FEA957"/>
                            <w:right w:val="none" w:sz="0" w:space="0" w:color="auto"/>
                          </w:divBdr>
                          <w:divsChild>
                            <w:div w:id="162014350">
                              <w:marLeft w:val="0"/>
                              <w:marRight w:val="0"/>
                              <w:marTop w:val="0"/>
                              <w:marBottom w:val="0"/>
                              <w:divBdr>
                                <w:top w:val="none" w:sz="0" w:space="0" w:color="auto"/>
                                <w:left w:val="none" w:sz="0" w:space="0" w:color="auto"/>
                                <w:bottom w:val="none" w:sz="0" w:space="0" w:color="auto"/>
                                <w:right w:val="none" w:sz="0" w:space="0" w:color="auto"/>
                              </w:divBdr>
                              <w:divsChild>
                                <w:div w:id="191695737">
                                  <w:marLeft w:val="0"/>
                                  <w:marRight w:val="0"/>
                                  <w:marTop w:val="0"/>
                                  <w:marBottom w:val="450"/>
                                  <w:divBdr>
                                    <w:top w:val="none" w:sz="0" w:space="0" w:color="auto"/>
                                    <w:left w:val="none" w:sz="0" w:space="0" w:color="auto"/>
                                    <w:bottom w:val="none" w:sz="0" w:space="0" w:color="auto"/>
                                    <w:right w:val="none" w:sz="0" w:space="0" w:color="auto"/>
                                  </w:divBdr>
                                  <w:divsChild>
                                    <w:div w:id="491456371">
                                      <w:marLeft w:val="0"/>
                                      <w:marRight w:val="0"/>
                                      <w:marTop w:val="0"/>
                                      <w:marBottom w:val="375"/>
                                      <w:divBdr>
                                        <w:top w:val="none" w:sz="0" w:space="0" w:color="auto"/>
                                        <w:left w:val="none" w:sz="0" w:space="0" w:color="auto"/>
                                        <w:bottom w:val="none" w:sz="0" w:space="0" w:color="auto"/>
                                        <w:right w:val="none" w:sz="0" w:space="0" w:color="auto"/>
                                      </w:divBdr>
                                      <w:divsChild>
                                        <w:div w:id="2011832650">
                                          <w:marLeft w:val="0"/>
                                          <w:marRight w:val="0"/>
                                          <w:marTop w:val="0"/>
                                          <w:marBottom w:val="0"/>
                                          <w:divBdr>
                                            <w:top w:val="none" w:sz="0" w:space="0" w:color="auto"/>
                                            <w:left w:val="none" w:sz="0" w:space="0" w:color="auto"/>
                                            <w:bottom w:val="none" w:sz="0" w:space="0" w:color="auto"/>
                                            <w:right w:val="none" w:sz="0" w:space="0" w:color="auto"/>
                                          </w:divBdr>
                                        </w:div>
                                      </w:divsChild>
                                    </w:div>
                                    <w:div w:id="1847669177">
                                      <w:marLeft w:val="0"/>
                                      <w:marRight w:val="0"/>
                                      <w:marTop w:val="240"/>
                                      <w:marBottom w:val="480"/>
                                      <w:divBdr>
                                        <w:top w:val="none" w:sz="0" w:space="0" w:color="auto"/>
                                        <w:left w:val="none" w:sz="0" w:space="0" w:color="auto"/>
                                        <w:bottom w:val="none" w:sz="0" w:space="0" w:color="auto"/>
                                        <w:right w:val="none" w:sz="0" w:space="0" w:color="auto"/>
                                      </w:divBdr>
                                      <w:divsChild>
                                        <w:div w:id="942230687">
                                          <w:marLeft w:val="0"/>
                                          <w:marRight w:val="0"/>
                                          <w:marTop w:val="0"/>
                                          <w:marBottom w:val="0"/>
                                          <w:divBdr>
                                            <w:top w:val="single" w:sz="6" w:space="0" w:color="C6C6C6"/>
                                            <w:left w:val="single" w:sz="6" w:space="0" w:color="C6C6C6"/>
                                            <w:bottom w:val="single" w:sz="6" w:space="0" w:color="C6C6C6"/>
                                            <w:right w:val="single" w:sz="6" w:space="0" w:color="C6C6C6"/>
                                          </w:divBdr>
                                        </w:div>
                                        <w:div w:id="43359863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275476704">
                                  <w:marLeft w:val="0"/>
                                  <w:marRight w:val="0"/>
                                  <w:marTop w:val="0"/>
                                  <w:marBottom w:val="450"/>
                                  <w:divBdr>
                                    <w:top w:val="none" w:sz="0" w:space="0" w:color="auto"/>
                                    <w:left w:val="none" w:sz="0" w:space="0" w:color="auto"/>
                                    <w:bottom w:val="none" w:sz="0" w:space="0" w:color="auto"/>
                                    <w:right w:val="none" w:sz="0" w:space="0" w:color="auto"/>
                                  </w:divBdr>
                                  <w:divsChild>
                                    <w:div w:id="1146778075">
                                      <w:marLeft w:val="0"/>
                                      <w:marRight w:val="0"/>
                                      <w:marTop w:val="0"/>
                                      <w:marBottom w:val="375"/>
                                      <w:divBdr>
                                        <w:top w:val="none" w:sz="0" w:space="0" w:color="auto"/>
                                        <w:left w:val="none" w:sz="0" w:space="0" w:color="auto"/>
                                        <w:bottom w:val="none" w:sz="0" w:space="0" w:color="auto"/>
                                        <w:right w:val="none" w:sz="0" w:space="0" w:color="auto"/>
                                      </w:divBdr>
                                      <w:divsChild>
                                        <w:div w:id="973831108">
                                          <w:marLeft w:val="0"/>
                                          <w:marRight w:val="0"/>
                                          <w:marTop w:val="0"/>
                                          <w:marBottom w:val="0"/>
                                          <w:divBdr>
                                            <w:top w:val="none" w:sz="0" w:space="0" w:color="auto"/>
                                            <w:left w:val="none" w:sz="0" w:space="0" w:color="auto"/>
                                            <w:bottom w:val="none" w:sz="0" w:space="0" w:color="auto"/>
                                            <w:right w:val="none" w:sz="0" w:space="0" w:color="auto"/>
                                          </w:divBdr>
                                        </w:div>
                                      </w:divsChild>
                                    </w:div>
                                    <w:div w:id="1571768934">
                                      <w:marLeft w:val="0"/>
                                      <w:marRight w:val="0"/>
                                      <w:marTop w:val="0"/>
                                      <w:marBottom w:val="0"/>
                                      <w:divBdr>
                                        <w:top w:val="none" w:sz="0" w:space="0" w:color="auto"/>
                                        <w:left w:val="none" w:sz="0" w:space="0" w:color="auto"/>
                                        <w:bottom w:val="none" w:sz="0" w:space="0" w:color="auto"/>
                                        <w:right w:val="none" w:sz="0" w:space="0" w:color="auto"/>
                                      </w:divBdr>
                                      <w:divsChild>
                                        <w:div w:id="1591133">
                                          <w:marLeft w:val="0"/>
                                          <w:marRight w:val="0"/>
                                          <w:marTop w:val="240"/>
                                          <w:marBottom w:val="240"/>
                                          <w:divBdr>
                                            <w:top w:val="none" w:sz="0" w:space="0" w:color="auto"/>
                                            <w:left w:val="none" w:sz="0" w:space="0" w:color="auto"/>
                                            <w:bottom w:val="none" w:sz="0" w:space="0" w:color="auto"/>
                                            <w:right w:val="none" w:sz="0" w:space="0" w:color="auto"/>
                                          </w:divBdr>
                                        </w:div>
                                      </w:divsChild>
                                    </w:div>
                                    <w:div w:id="1634292572">
                                      <w:marLeft w:val="0"/>
                                      <w:marRight w:val="0"/>
                                      <w:marTop w:val="0"/>
                                      <w:marBottom w:val="0"/>
                                      <w:divBdr>
                                        <w:top w:val="none" w:sz="0" w:space="0" w:color="auto"/>
                                        <w:left w:val="none" w:sz="0" w:space="0" w:color="auto"/>
                                        <w:bottom w:val="none" w:sz="0" w:space="0" w:color="auto"/>
                                        <w:right w:val="none" w:sz="0" w:space="0" w:color="auto"/>
                                      </w:divBdr>
                                      <w:divsChild>
                                        <w:div w:id="1338387609">
                                          <w:marLeft w:val="0"/>
                                          <w:marRight w:val="0"/>
                                          <w:marTop w:val="240"/>
                                          <w:marBottom w:val="240"/>
                                          <w:divBdr>
                                            <w:top w:val="none" w:sz="0" w:space="0" w:color="auto"/>
                                            <w:left w:val="none" w:sz="0" w:space="0" w:color="auto"/>
                                            <w:bottom w:val="none" w:sz="0" w:space="0" w:color="auto"/>
                                            <w:right w:val="none" w:sz="0" w:space="0" w:color="auto"/>
                                          </w:divBdr>
                                        </w:div>
                                        <w:div w:id="1982030009">
                                          <w:marLeft w:val="0"/>
                                          <w:marRight w:val="0"/>
                                          <w:marTop w:val="240"/>
                                          <w:marBottom w:val="240"/>
                                          <w:divBdr>
                                            <w:top w:val="none" w:sz="0" w:space="0" w:color="auto"/>
                                            <w:left w:val="none" w:sz="0" w:space="0" w:color="auto"/>
                                            <w:bottom w:val="none" w:sz="0" w:space="0" w:color="auto"/>
                                            <w:right w:val="none" w:sz="0" w:space="0" w:color="auto"/>
                                          </w:divBdr>
                                        </w:div>
                                        <w:div w:id="756903449">
                                          <w:marLeft w:val="0"/>
                                          <w:marRight w:val="0"/>
                                          <w:marTop w:val="240"/>
                                          <w:marBottom w:val="240"/>
                                          <w:divBdr>
                                            <w:top w:val="none" w:sz="0" w:space="0" w:color="auto"/>
                                            <w:left w:val="none" w:sz="0" w:space="0" w:color="auto"/>
                                            <w:bottom w:val="none" w:sz="0" w:space="0" w:color="auto"/>
                                            <w:right w:val="none" w:sz="0" w:space="0" w:color="auto"/>
                                          </w:divBdr>
                                        </w:div>
                                      </w:divsChild>
                                    </w:div>
                                    <w:div w:id="403769863">
                                      <w:marLeft w:val="0"/>
                                      <w:marRight w:val="0"/>
                                      <w:marTop w:val="0"/>
                                      <w:marBottom w:val="0"/>
                                      <w:divBdr>
                                        <w:top w:val="none" w:sz="0" w:space="0" w:color="auto"/>
                                        <w:left w:val="none" w:sz="0" w:space="0" w:color="auto"/>
                                        <w:bottom w:val="none" w:sz="0" w:space="0" w:color="auto"/>
                                        <w:right w:val="none" w:sz="0" w:space="0" w:color="auto"/>
                                      </w:divBdr>
                                      <w:divsChild>
                                        <w:div w:id="15653145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2360325">
                                  <w:marLeft w:val="0"/>
                                  <w:marRight w:val="0"/>
                                  <w:marTop w:val="0"/>
                                  <w:marBottom w:val="450"/>
                                  <w:divBdr>
                                    <w:top w:val="none" w:sz="0" w:space="0" w:color="auto"/>
                                    <w:left w:val="none" w:sz="0" w:space="0" w:color="auto"/>
                                    <w:bottom w:val="none" w:sz="0" w:space="0" w:color="auto"/>
                                    <w:right w:val="none" w:sz="0" w:space="0" w:color="auto"/>
                                  </w:divBdr>
                                  <w:divsChild>
                                    <w:div w:id="1548250982">
                                      <w:marLeft w:val="0"/>
                                      <w:marRight w:val="0"/>
                                      <w:marTop w:val="0"/>
                                      <w:marBottom w:val="375"/>
                                      <w:divBdr>
                                        <w:top w:val="none" w:sz="0" w:space="0" w:color="auto"/>
                                        <w:left w:val="none" w:sz="0" w:space="0" w:color="auto"/>
                                        <w:bottom w:val="none" w:sz="0" w:space="0" w:color="auto"/>
                                        <w:right w:val="none" w:sz="0" w:space="0" w:color="auto"/>
                                      </w:divBdr>
                                      <w:divsChild>
                                        <w:div w:id="1262880194">
                                          <w:marLeft w:val="0"/>
                                          <w:marRight w:val="0"/>
                                          <w:marTop w:val="0"/>
                                          <w:marBottom w:val="0"/>
                                          <w:divBdr>
                                            <w:top w:val="none" w:sz="0" w:space="0" w:color="auto"/>
                                            <w:left w:val="none" w:sz="0" w:space="0" w:color="auto"/>
                                            <w:bottom w:val="none" w:sz="0" w:space="0" w:color="auto"/>
                                            <w:right w:val="none" w:sz="0" w:space="0" w:color="auto"/>
                                          </w:divBdr>
                                        </w:div>
                                      </w:divsChild>
                                    </w:div>
                                    <w:div w:id="977151409">
                                      <w:marLeft w:val="0"/>
                                      <w:marRight w:val="0"/>
                                      <w:marTop w:val="0"/>
                                      <w:marBottom w:val="0"/>
                                      <w:divBdr>
                                        <w:top w:val="none" w:sz="0" w:space="0" w:color="auto"/>
                                        <w:left w:val="none" w:sz="0" w:space="0" w:color="auto"/>
                                        <w:bottom w:val="none" w:sz="0" w:space="0" w:color="auto"/>
                                        <w:right w:val="none" w:sz="0" w:space="0" w:color="auto"/>
                                      </w:divBdr>
                                      <w:divsChild>
                                        <w:div w:id="1116289193">
                                          <w:marLeft w:val="0"/>
                                          <w:marRight w:val="0"/>
                                          <w:marTop w:val="240"/>
                                          <w:marBottom w:val="480"/>
                                          <w:divBdr>
                                            <w:top w:val="none" w:sz="0" w:space="0" w:color="auto"/>
                                            <w:left w:val="none" w:sz="0" w:space="0" w:color="auto"/>
                                            <w:bottom w:val="none" w:sz="0" w:space="0" w:color="auto"/>
                                            <w:right w:val="none" w:sz="0" w:space="0" w:color="auto"/>
                                          </w:divBdr>
                                          <w:divsChild>
                                            <w:div w:id="979581589">
                                              <w:marLeft w:val="0"/>
                                              <w:marRight w:val="0"/>
                                              <w:marTop w:val="0"/>
                                              <w:marBottom w:val="0"/>
                                              <w:divBdr>
                                                <w:top w:val="single" w:sz="6" w:space="0" w:color="C6C6C6"/>
                                                <w:left w:val="single" w:sz="6" w:space="0" w:color="C6C6C6"/>
                                                <w:bottom w:val="single" w:sz="6" w:space="0" w:color="C6C6C6"/>
                                                <w:right w:val="single" w:sz="6" w:space="0" w:color="C6C6C6"/>
                                              </w:divBdr>
                                            </w:div>
                                            <w:div w:id="1831477275">
                                              <w:marLeft w:val="0"/>
                                              <w:marRight w:val="0"/>
                                              <w:marTop w:val="0"/>
                                              <w:marBottom w:val="0"/>
                                              <w:divBdr>
                                                <w:top w:val="none" w:sz="0" w:space="0" w:color="auto"/>
                                                <w:left w:val="none" w:sz="0" w:space="0" w:color="auto"/>
                                                <w:bottom w:val="dotted" w:sz="6" w:space="6" w:color="999999"/>
                                                <w:right w:val="none" w:sz="0" w:space="0" w:color="auto"/>
                                              </w:divBdr>
                                            </w:div>
                                          </w:divsChild>
                                        </w:div>
                                        <w:div w:id="883954552">
                                          <w:marLeft w:val="0"/>
                                          <w:marRight w:val="0"/>
                                          <w:marTop w:val="240"/>
                                          <w:marBottom w:val="240"/>
                                          <w:divBdr>
                                            <w:top w:val="none" w:sz="0" w:space="0" w:color="auto"/>
                                            <w:left w:val="none" w:sz="0" w:space="0" w:color="auto"/>
                                            <w:bottom w:val="none" w:sz="0" w:space="0" w:color="auto"/>
                                            <w:right w:val="none" w:sz="0" w:space="0" w:color="auto"/>
                                          </w:divBdr>
                                        </w:div>
                                        <w:div w:id="2028434833">
                                          <w:marLeft w:val="0"/>
                                          <w:marRight w:val="0"/>
                                          <w:marTop w:val="240"/>
                                          <w:marBottom w:val="240"/>
                                          <w:divBdr>
                                            <w:top w:val="none" w:sz="0" w:space="0" w:color="auto"/>
                                            <w:left w:val="none" w:sz="0" w:space="0" w:color="auto"/>
                                            <w:bottom w:val="none" w:sz="0" w:space="0" w:color="auto"/>
                                            <w:right w:val="none" w:sz="0" w:space="0" w:color="auto"/>
                                          </w:divBdr>
                                        </w:div>
                                        <w:div w:id="1663922219">
                                          <w:marLeft w:val="0"/>
                                          <w:marRight w:val="0"/>
                                          <w:marTop w:val="240"/>
                                          <w:marBottom w:val="240"/>
                                          <w:divBdr>
                                            <w:top w:val="none" w:sz="0" w:space="0" w:color="auto"/>
                                            <w:left w:val="none" w:sz="0" w:space="0" w:color="auto"/>
                                            <w:bottom w:val="none" w:sz="0" w:space="0" w:color="auto"/>
                                            <w:right w:val="none" w:sz="0" w:space="0" w:color="auto"/>
                                          </w:divBdr>
                                        </w:div>
                                      </w:divsChild>
                                    </w:div>
                                    <w:div w:id="1972205994">
                                      <w:marLeft w:val="0"/>
                                      <w:marRight w:val="0"/>
                                      <w:marTop w:val="0"/>
                                      <w:marBottom w:val="0"/>
                                      <w:divBdr>
                                        <w:top w:val="none" w:sz="0" w:space="0" w:color="auto"/>
                                        <w:left w:val="none" w:sz="0" w:space="0" w:color="auto"/>
                                        <w:bottom w:val="none" w:sz="0" w:space="0" w:color="auto"/>
                                        <w:right w:val="none" w:sz="0" w:space="0" w:color="auto"/>
                                      </w:divBdr>
                                      <w:divsChild>
                                        <w:div w:id="135877707">
                                          <w:marLeft w:val="0"/>
                                          <w:marRight w:val="0"/>
                                          <w:marTop w:val="240"/>
                                          <w:marBottom w:val="240"/>
                                          <w:divBdr>
                                            <w:top w:val="none" w:sz="0" w:space="0" w:color="auto"/>
                                            <w:left w:val="none" w:sz="0" w:space="0" w:color="auto"/>
                                            <w:bottom w:val="none" w:sz="0" w:space="0" w:color="auto"/>
                                            <w:right w:val="none" w:sz="0" w:space="0" w:color="auto"/>
                                          </w:divBdr>
                                        </w:div>
                                      </w:divsChild>
                                    </w:div>
                                    <w:div w:id="1047801793">
                                      <w:marLeft w:val="0"/>
                                      <w:marRight w:val="0"/>
                                      <w:marTop w:val="0"/>
                                      <w:marBottom w:val="0"/>
                                      <w:divBdr>
                                        <w:top w:val="none" w:sz="0" w:space="0" w:color="auto"/>
                                        <w:left w:val="none" w:sz="0" w:space="0" w:color="auto"/>
                                        <w:bottom w:val="none" w:sz="0" w:space="0" w:color="auto"/>
                                        <w:right w:val="none" w:sz="0" w:space="0" w:color="auto"/>
                                      </w:divBdr>
                                      <w:divsChild>
                                        <w:div w:id="2033140756">
                                          <w:marLeft w:val="0"/>
                                          <w:marRight w:val="0"/>
                                          <w:marTop w:val="240"/>
                                          <w:marBottom w:val="480"/>
                                          <w:divBdr>
                                            <w:top w:val="none" w:sz="0" w:space="0" w:color="auto"/>
                                            <w:left w:val="none" w:sz="0" w:space="0" w:color="auto"/>
                                            <w:bottom w:val="none" w:sz="0" w:space="0" w:color="auto"/>
                                            <w:right w:val="none" w:sz="0" w:space="0" w:color="auto"/>
                                          </w:divBdr>
                                          <w:divsChild>
                                            <w:div w:id="439374266">
                                              <w:marLeft w:val="0"/>
                                              <w:marRight w:val="0"/>
                                              <w:marTop w:val="0"/>
                                              <w:marBottom w:val="0"/>
                                              <w:divBdr>
                                                <w:top w:val="single" w:sz="6" w:space="0" w:color="C6C6C6"/>
                                                <w:left w:val="single" w:sz="6" w:space="0" w:color="C6C6C6"/>
                                                <w:bottom w:val="single" w:sz="6" w:space="0" w:color="C6C6C6"/>
                                                <w:right w:val="single" w:sz="6" w:space="0" w:color="C6C6C6"/>
                                              </w:divBdr>
                                            </w:div>
                                            <w:div w:id="150798365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26731711">
                                      <w:marLeft w:val="0"/>
                                      <w:marRight w:val="0"/>
                                      <w:marTop w:val="0"/>
                                      <w:marBottom w:val="0"/>
                                      <w:divBdr>
                                        <w:top w:val="none" w:sz="0" w:space="0" w:color="auto"/>
                                        <w:left w:val="none" w:sz="0" w:space="0" w:color="auto"/>
                                        <w:bottom w:val="none" w:sz="0" w:space="0" w:color="auto"/>
                                        <w:right w:val="none" w:sz="0" w:space="0" w:color="auto"/>
                                      </w:divBdr>
                                      <w:divsChild>
                                        <w:div w:id="358505900">
                                          <w:marLeft w:val="0"/>
                                          <w:marRight w:val="0"/>
                                          <w:marTop w:val="240"/>
                                          <w:marBottom w:val="240"/>
                                          <w:divBdr>
                                            <w:top w:val="none" w:sz="0" w:space="0" w:color="auto"/>
                                            <w:left w:val="none" w:sz="0" w:space="0" w:color="auto"/>
                                            <w:bottom w:val="none" w:sz="0" w:space="0" w:color="auto"/>
                                            <w:right w:val="none" w:sz="0" w:space="0" w:color="auto"/>
                                          </w:divBdr>
                                        </w:div>
                                        <w:div w:id="951015151">
                                          <w:marLeft w:val="0"/>
                                          <w:marRight w:val="0"/>
                                          <w:marTop w:val="240"/>
                                          <w:marBottom w:val="240"/>
                                          <w:divBdr>
                                            <w:top w:val="none" w:sz="0" w:space="0" w:color="auto"/>
                                            <w:left w:val="none" w:sz="0" w:space="0" w:color="auto"/>
                                            <w:bottom w:val="none" w:sz="0" w:space="0" w:color="auto"/>
                                            <w:right w:val="none" w:sz="0" w:space="0" w:color="auto"/>
                                          </w:divBdr>
                                        </w:div>
                                        <w:div w:id="1054893385">
                                          <w:marLeft w:val="0"/>
                                          <w:marRight w:val="0"/>
                                          <w:marTop w:val="240"/>
                                          <w:marBottom w:val="480"/>
                                          <w:divBdr>
                                            <w:top w:val="none" w:sz="0" w:space="0" w:color="auto"/>
                                            <w:left w:val="none" w:sz="0" w:space="0" w:color="auto"/>
                                            <w:bottom w:val="none" w:sz="0" w:space="0" w:color="auto"/>
                                            <w:right w:val="none" w:sz="0" w:space="0" w:color="auto"/>
                                          </w:divBdr>
                                          <w:divsChild>
                                            <w:div w:id="1930388476">
                                              <w:marLeft w:val="0"/>
                                              <w:marRight w:val="0"/>
                                              <w:marTop w:val="0"/>
                                              <w:marBottom w:val="0"/>
                                              <w:divBdr>
                                                <w:top w:val="single" w:sz="6" w:space="0" w:color="C6C6C6"/>
                                                <w:left w:val="single" w:sz="6" w:space="0" w:color="C6C6C6"/>
                                                <w:bottom w:val="single" w:sz="6" w:space="0" w:color="C6C6C6"/>
                                                <w:right w:val="single" w:sz="6" w:space="0" w:color="C6C6C6"/>
                                              </w:divBdr>
                                            </w:div>
                                            <w:div w:id="1448234645">
                                              <w:marLeft w:val="0"/>
                                              <w:marRight w:val="0"/>
                                              <w:marTop w:val="0"/>
                                              <w:marBottom w:val="0"/>
                                              <w:divBdr>
                                                <w:top w:val="none" w:sz="0" w:space="0" w:color="auto"/>
                                                <w:left w:val="none" w:sz="0" w:space="0" w:color="auto"/>
                                                <w:bottom w:val="dotted" w:sz="6" w:space="6" w:color="999999"/>
                                                <w:right w:val="none" w:sz="0" w:space="0" w:color="auto"/>
                                              </w:divBdr>
                                            </w:div>
                                          </w:divsChild>
                                        </w:div>
                                        <w:div w:id="1229195435">
                                          <w:marLeft w:val="0"/>
                                          <w:marRight w:val="0"/>
                                          <w:marTop w:val="240"/>
                                          <w:marBottom w:val="240"/>
                                          <w:divBdr>
                                            <w:top w:val="none" w:sz="0" w:space="0" w:color="auto"/>
                                            <w:left w:val="none" w:sz="0" w:space="0" w:color="auto"/>
                                            <w:bottom w:val="none" w:sz="0" w:space="0" w:color="auto"/>
                                            <w:right w:val="none" w:sz="0" w:space="0" w:color="auto"/>
                                          </w:divBdr>
                                        </w:div>
                                        <w:div w:id="340669983">
                                          <w:marLeft w:val="0"/>
                                          <w:marRight w:val="0"/>
                                          <w:marTop w:val="240"/>
                                          <w:marBottom w:val="240"/>
                                          <w:divBdr>
                                            <w:top w:val="none" w:sz="0" w:space="0" w:color="auto"/>
                                            <w:left w:val="none" w:sz="0" w:space="0" w:color="auto"/>
                                            <w:bottom w:val="none" w:sz="0" w:space="0" w:color="auto"/>
                                            <w:right w:val="none" w:sz="0" w:space="0" w:color="auto"/>
                                          </w:divBdr>
                                        </w:div>
                                      </w:divsChild>
                                    </w:div>
                                    <w:div w:id="933854347">
                                      <w:marLeft w:val="0"/>
                                      <w:marRight w:val="0"/>
                                      <w:marTop w:val="0"/>
                                      <w:marBottom w:val="0"/>
                                      <w:divBdr>
                                        <w:top w:val="none" w:sz="0" w:space="0" w:color="auto"/>
                                        <w:left w:val="none" w:sz="0" w:space="0" w:color="auto"/>
                                        <w:bottom w:val="none" w:sz="0" w:space="0" w:color="auto"/>
                                        <w:right w:val="none" w:sz="0" w:space="0" w:color="auto"/>
                                      </w:divBdr>
                                      <w:divsChild>
                                        <w:div w:id="1780559799">
                                          <w:marLeft w:val="0"/>
                                          <w:marRight w:val="0"/>
                                          <w:marTop w:val="240"/>
                                          <w:marBottom w:val="240"/>
                                          <w:divBdr>
                                            <w:top w:val="none" w:sz="0" w:space="0" w:color="auto"/>
                                            <w:left w:val="none" w:sz="0" w:space="0" w:color="auto"/>
                                            <w:bottom w:val="none" w:sz="0" w:space="0" w:color="auto"/>
                                            <w:right w:val="none" w:sz="0" w:space="0" w:color="auto"/>
                                          </w:divBdr>
                                        </w:div>
                                        <w:div w:id="19904918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918903215">
                                  <w:marLeft w:val="0"/>
                                  <w:marRight w:val="0"/>
                                  <w:marTop w:val="0"/>
                                  <w:marBottom w:val="450"/>
                                  <w:divBdr>
                                    <w:top w:val="none" w:sz="0" w:space="0" w:color="auto"/>
                                    <w:left w:val="none" w:sz="0" w:space="0" w:color="auto"/>
                                    <w:bottom w:val="none" w:sz="0" w:space="0" w:color="auto"/>
                                    <w:right w:val="none" w:sz="0" w:space="0" w:color="auto"/>
                                  </w:divBdr>
                                  <w:divsChild>
                                    <w:div w:id="1259875153">
                                      <w:marLeft w:val="0"/>
                                      <w:marRight w:val="0"/>
                                      <w:marTop w:val="0"/>
                                      <w:marBottom w:val="375"/>
                                      <w:divBdr>
                                        <w:top w:val="none" w:sz="0" w:space="0" w:color="auto"/>
                                        <w:left w:val="none" w:sz="0" w:space="0" w:color="auto"/>
                                        <w:bottom w:val="none" w:sz="0" w:space="0" w:color="auto"/>
                                        <w:right w:val="none" w:sz="0" w:space="0" w:color="auto"/>
                                      </w:divBdr>
                                      <w:divsChild>
                                        <w:div w:id="951401018">
                                          <w:marLeft w:val="0"/>
                                          <w:marRight w:val="0"/>
                                          <w:marTop w:val="0"/>
                                          <w:marBottom w:val="0"/>
                                          <w:divBdr>
                                            <w:top w:val="none" w:sz="0" w:space="0" w:color="auto"/>
                                            <w:left w:val="none" w:sz="0" w:space="0" w:color="auto"/>
                                            <w:bottom w:val="none" w:sz="0" w:space="0" w:color="auto"/>
                                            <w:right w:val="none" w:sz="0" w:space="0" w:color="auto"/>
                                          </w:divBdr>
                                        </w:div>
                                      </w:divsChild>
                                    </w:div>
                                    <w:div w:id="135610612">
                                      <w:marLeft w:val="0"/>
                                      <w:marRight w:val="0"/>
                                      <w:marTop w:val="240"/>
                                      <w:marBottom w:val="480"/>
                                      <w:divBdr>
                                        <w:top w:val="none" w:sz="0" w:space="0" w:color="auto"/>
                                        <w:left w:val="none" w:sz="0" w:space="0" w:color="auto"/>
                                        <w:bottom w:val="none" w:sz="0" w:space="0" w:color="auto"/>
                                        <w:right w:val="none" w:sz="0" w:space="0" w:color="auto"/>
                                      </w:divBdr>
                                      <w:divsChild>
                                        <w:div w:id="1299259885">
                                          <w:marLeft w:val="0"/>
                                          <w:marRight w:val="0"/>
                                          <w:marTop w:val="0"/>
                                          <w:marBottom w:val="0"/>
                                          <w:divBdr>
                                            <w:top w:val="single" w:sz="6" w:space="0" w:color="C6C6C6"/>
                                            <w:left w:val="single" w:sz="6" w:space="0" w:color="C6C6C6"/>
                                            <w:bottom w:val="single" w:sz="6" w:space="0" w:color="C6C6C6"/>
                                            <w:right w:val="single" w:sz="6" w:space="0" w:color="C6C6C6"/>
                                          </w:divBdr>
                                        </w:div>
                                        <w:div w:id="189340310">
                                          <w:marLeft w:val="0"/>
                                          <w:marRight w:val="0"/>
                                          <w:marTop w:val="0"/>
                                          <w:marBottom w:val="0"/>
                                          <w:divBdr>
                                            <w:top w:val="none" w:sz="0" w:space="0" w:color="auto"/>
                                            <w:left w:val="none" w:sz="0" w:space="0" w:color="auto"/>
                                            <w:bottom w:val="dotted" w:sz="6" w:space="6" w:color="999999"/>
                                            <w:right w:val="none" w:sz="0" w:space="0" w:color="auto"/>
                                          </w:divBdr>
                                        </w:div>
                                      </w:divsChild>
                                    </w:div>
                                    <w:div w:id="1118992066">
                                      <w:marLeft w:val="0"/>
                                      <w:marRight w:val="0"/>
                                      <w:marTop w:val="240"/>
                                      <w:marBottom w:val="480"/>
                                      <w:divBdr>
                                        <w:top w:val="none" w:sz="0" w:space="0" w:color="auto"/>
                                        <w:left w:val="none" w:sz="0" w:space="0" w:color="auto"/>
                                        <w:bottom w:val="none" w:sz="0" w:space="0" w:color="auto"/>
                                        <w:right w:val="none" w:sz="0" w:space="0" w:color="auto"/>
                                      </w:divBdr>
                                      <w:divsChild>
                                        <w:div w:id="1332172335">
                                          <w:marLeft w:val="0"/>
                                          <w:marRight w:val="0"/>
                                          <w:marTop w:val="0"/>
                                          <w:marBottom w:val="0"/>
                                          <w:divBdr>
                                            <w:top w:val="single" w:sz="6" w:space="0" w:color="C6C6C6"/>
                                            <w:left w:val="single" w:sz="6" w:space="0" w:color="C6C6C6"/>
                                            <w:bottom w:val="single" w:sz="6" w:space="0" w:color="C6C6C6"/>
                                            <w:right w:val="single" w:sz="6" w:space="0" w:color="C6C6C6"/>
                                          </w:divBdr>
                                        </w:div>
                                        <w:div w:id="1745370828">
                                          <w:marLeft w:val="0"/>
                                          <w:marRight w:val="0"/>
                                          <w:marTop w:val="0"/>
                                          <w:marBottom w:val="0"/>
                                          <w:divBdr>
                                            <w:top w:val="none" w:sz="0" w:space="0" w:color="auto"/>
                                            <w:left w:val="none" w:sz="0" w:space="0" w:color="auto"/>
                                            <w:bottom w:val="dotted" w:sz="6" w:space="6" w:color="999999"/>
                                            <w:right w:val="none" w:sz="0" w:space="0" w:color="auto"/>
                                          </w:divBdr>
                                        </w:div>
                                      </w:divsChild>
                                    </w:div>
                                    <w:div w:id="483543285">
                                      <w:marLeft w:val="0"/>
                                      <w:marRight w:val="0"/>
                                      <w:marTop w:val="240"/>
                                      <w:marBottom w:val="480"/>
                                      <w:divBdr>
                                        <w:top w:val="none" w:sz="0" w:space="0" w:color="auto"/>
                                        <w:left w:val="none" w:sz="0" w:space="0" w:color="auto"/>
                                        <w:bottom w:val="none" w:sz="0" w:space="0" w:color="auto"/>
                                        <w:right w:val="none" w:sz="0" w:space="0" w:color="auto"/>
                                      </w:divBdr>
                                      <w:divsChild>
                                        <w:div w:id="1612544330">
                                          <w:marLeft w:val="0"/>
                                          <w:marRight w:val="0"/>
                                          <w:marTop w:val="0"/>
                                          <w:marBottom w:val="0"/>
                                          <w:divBdr>
                                            <w:top w:val="single" w:sz="6" w:space="0" w:color="C6C6C6"/>
                                            <w:left w:val="single" w:sz="6" w:space="0" w:color="C6C6C6"/>
                                            <w:bottom w:val="single" w:sz="6" w:space="0" w:color="C6C6C6"/>
                                            <w:right w:val="single" w:sz="6" w:space="0" w:color="C6C6C6"/>
                                          </w:divBdr>
                                        </w:div>
                                        <w:div w:id="122788423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992755446">
                                  <w:marLeft w:val="0"/>
                                  <w:marRight w:val="0"/>
                                  <w:marTop w:val="0"/>
                                  <w:marBottom w:val="450"/>
                                  <w:divBdr>
                                    <w:top w:val="none" w:sz="0" w:space="0" w:color="auto"/>
                                    <w:left w:val="none" w:sz="0" w:space="0" w:color="auto"/>
                                    <w:bottom w:val="none" w:sz="0" w:space="0" w:color="auto"/>
                                    <w:right w:val="none" w:sz="0" w:space="0" w:color="auto"/>
                                  </w:divBdr>
                                  <w:divsChild>
                                    <w:div w:id="1224293197">
                                      <w:marLeft w:val="0"/>
                                      <w:marRight w:val="0"/>
                                      <w:marTop w:val="0"/>
                                      <w:marBottom w:val="375"/>
                                      <w:divBdr>
                                        <w:top w:val="none" w:sz="0" w:space="0" w:color="auto"/>
                                        <w:left w:val="none" w:sz="0" w:space="0" w:color="auto"/>
                                        <w:bottom w:val="none" w:sz="0" w:space="0" w:color="auto"/>
                                        <w:right w:val="none" w:sz="0" w:space="0" w:color="auto"/>
                                      </w:divBdr>
                                      <w:divsChild>
                                        <w:div w:id="102457783">
                                          <w:marLeft w:val="0"/>
                                          <w:marRight w:val="0"/>
                                          <w:marTop w:val="0"/>
                                          <w:marBottom w:val="0"/>
                                          <w:divBdr>
                                            <w:top w:val="none" w:sz="0" w:space="0" w:color="auto"/>
                                            <w:left w:val="none" w:sz="0" w:space="0" w:color="auto"/>
                                            <w:bottom w:val="none" w:sz="0" w:space="0" w:color="auto"/>
                                            <w:right w:val="none" w:sz="0" w:space="0" w:color="auto"/>
                                          </w:divBdr>
                                        </w:div>
                                      </w:divsChild>
                                    </w:div>
                                    <w:div w:id="734352328">
                                      <w:marLeft w:val="0"/>
                                      <w:marRight w:val="0"/>
                                      <w:marTop w:val="240"/>
                                      <w:marBottom w:val="480"/>
                                      <w:divBdr>
                                        <w:top w:val="none" w:sz="0" w:space="0" w:color="auto"/>
                                        <w:left w:val="none" w:sz="0" w:space="0" w:color="auto"/>
                                        <w:bottom w:val="none" w:sz="0" w:space="0" w:color="auto"/>
                                        <w:right w:val="none" w:sz="0" w:space="0" w:color="auto"/>
                                      </w:divBdr>
                                      <w:divsChild>
                                        <w:div w:id="571355229">
                                          <w:marLeft w:val="0"/>
                                          <w:marRight w:val="0"/>
                                          <w:marTop w:val="0"/>
                                          <w:marBottom w:val="0"/>
                                          <w:divBdr>
                                            <w:top w:val="none" w:sz="0" w:space="0" w:color="auto"/>
                                            <w:left w:val="none" w:sz="0" w:space="0" w:color="auto"/>
                                            <w:bottom w:val="dotted" w:sz="6" w:space="6" w:color="999999"/>
                                            <w:right w:val="none" w:sz="0" w:space="0" w:color="auto"/>
                                          </w:divBdr>
                                        </w:div>
                                        <w:div w:id="1666666389">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sChild>
                            </w:div>
                          </w:divsChild>
                        </w:div>
                      </w:divsChild>
                    </w:div>
                  </w:divsChild>
                </w:div>
              </w:divsChild>
            </w:div>
            <w:div w:id="1006438809">
              <w:marLeft w:val="0"/>
              <w:marRight w:val="0"/>
              <w:marTop w:val="0"/>
              <w:marBottom w:val="0"/>
              <w:divBdr>
                <w:top w:val="none" w:sz="0" w:space="0" w:color="auto"/>
                <w:left w:val="none" w:sz="0" w:space="0" w:color="auto"/>
                <w:bottom w:val="single" w:sz="6" w:space="0" w:color="333333"/>
                <w:right w:val="none" w:sz="0" w:space="0" w:color="auto"/>
              </w:divBdr>
              <w:divsChild>
                <w:div w:id="1269267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4058080">
          <w:marLeft w:val="0"/>
          <w:marRight w:val="0"/>
          <w:marTop w:val="0"/>
          <w:marBottom w:val="0"/>
          <w:divBdr>
            <w:top w:val="none" w:sz="0" w:space="0" w:color="auto"/>
            <w:left w:val="none" w:sz="0" w:space="0" w:color="auto"/>
            <w:bottom w:val="single" w:sz="6" w:space="0" w:color="333333"/>
            <w:right w:val="none" w:sz="0" w:space="0" w:color="auto"/>
          </w:divBdr>
          <w:divsChild>
            <w:div w:id="1433670561">
              <w:marLeft w:val="0"/>
              <w:marRight w:val="0"/>
              <w:marTop w:val="0"/>
              <w:marBottom w:val="0"/>
              <w:divBdr>
                <w:top w:val="none" w:sz="0" w:space="0" w:color="auto"/>
                <w:left w:val="none" w:sz="0" w:space="0" w:color="auto"/>
                <w:bottom w:val="none" w:sz="0" w:space="0" w:color="auto"/>
                <w:right w:val="none" w:sz="0" w:space="0" w:color="auto"/>
              </w:divBdr>
            </w:div>
            <w:div w:id="93019978">
              <w:marLeft w:val="0"/>
              <w:marRight w:val="0"/>
              <w:marTop w:val="0"/>
              <w:marBottom w:val="0"/>
              <w:divBdr>
                <w:top w:val="single" w:sz="6" w:space="0" w:color="333333"/>
                <w:left w:val="none" w:sz="0" w:space="0" w:color="auto"/>
                <w:bottom w:val="none" w:sz="0" w:space="0" w:color="auto"/>
                <w:right w:val="none" w:sz="0" w:space="0" w:color="auto"/>
              </w:divBdr>
            </w:div>
            <w:div w:id="851993495">
              <w:marLeft w:val="0"/>
              <w:marRight w:val="0"/>
              <w:marTop w:val="0"/>
              <w:marBottom w:val="0"/>
              <w:divBdr>
                <w:top w:val="single" w:sz="6" w:space="0" w:color="333333"/>
                <w:left w:val="none" w:sz="0" w:space="0" w:color="auto"/>
                <w:bottom w:val="none" w:sz="0" w:space="0" w:color="auto"/>
                <w:right w:val="none" w:sz="0" w:space="0" w:color="auto"/>
              </w:divBdr>
              <w:divsChild>
                <w:div w:id="1833642015">
                  <w:marLeft w:val="0"/>
                  <w:marRight w:val="0"/>
                  <w:marTop w:val="0"/>
                  <w:marBottom w:val="0"/>
                  <w:divBdr>
                    <w:top w:val="none" w:sz="0" w:space="0" w:color="auto"/>
                    <w:left w:val="none" w:sz="0" w:space="0" w:color="auto"/>
                    <w:bottom w:val="none" w:sz="0" w:space="0" w:color="auto"/>
                    <w:right w:val="none" w:sz="0" w:space="0" w:color="auto"/>
                  </w:divBdr>
                  <w:divsChild>
                    <w:div w:id="1157064756">
                      <w:marLeft w:val="0"/>
                      <w:marRight w:val="0"/>
                      <w:marTop w:val="0"/>
                      <w:marBottom w:val="0"/>
                      <w:divBdr>
                        <w:top w:val="none" w:sz="0" w:space="0" w:color="auto"/>
                        <w:left w:val="none" w:sz="0" w:space="0" w:color="auto"/>
                        <w:bottom w:val="none" w:sz="0" w:space="0" w:color="auto"/>
                        <w:right w:val="none" w:sz="0" w:space="0" w:color="auto"/>
                      </w:divBdr>
                    </w:div>
                    <w:div w:id="961494106">
                      <w:marLeft w:val="0"/>
                      <w:marRight w:val="0"/>
                      <w:marTop w:val="0"/>
                      <w:marBottom w:val="0"/>
                      <w:divBdr>
                        <w:top w:val="none" w:sz="0" w:space="0" w:color="auto"/>
                        <w:left w:val="none" w:sz="0" w:space="0" w:color="auto"/>
                        <w:bottom w:val="none" w:sz="0" w:space="0" w:color="auto"/>
                        <w:right w:val="none" w:sz="0" w:space="0" w:color="auto"/>
                      </w:divBdr>
                      <w:divsChild>
                        <w:div w:id="924148070">
                          <w:marLeft w:val="0"/>
                          <w:marRight w:val="0"/>
                          <w:marTop w:val="0"/>
                          <w:marBottom w:val="0"/>
                          <w:divBdr>
                            <w:top w:val="none" w:sz="0" w:space="0" w:color="auto"/>
                            <w:left w:val="none" w:sz="0" w:space="0" w:color="auto"/>
                            <w:bottom w:val="none" w:sz="0" w:space="0" w:color="auto"/>
                            <w:right w:val="none" w:sz="0" w:space="0" w:color="auto"/>
                          </w:divBdr>
                          <w:divsChild>
                            <w:div w:id="1789859165">
                              <w:marLeft w:val="0"/>
                              <w:marRight w:val="0"/>
                              <w:marTop w:val="0"/>
                              <w:marBottom w:val="0"/>
                              <w:divBdr>
                                <w:top w:val="none" w:sz="0" w:space="0" w:color="auto"/>
                                <w:left w:val="none" w:sz="0" w:space="0" w:color="auto"/>
                                <w:bottom w:val="single" w:sz="6" w:space="12" w:color="DDDDDD"/>
                                <w:right w:val="none" w:sz="0" w:space="0" w:color="auto"/>
                              </w:divBdr>
                              <w:divsChild>
                                <w:div w:id="1200973714">
                                  <w:marLeft w:val="0"/>
                                  <w:marRight w:val="0"/>
                                  <w:marTop w:val="0"/>
                                  <w:marBottom w:val="0"/>
                                  <w:divBdr>
                                    <w:top w:val="none" w:sz="0" w:space="0" w:color="auto"/>
                                    <w:left w:val="none" w:sz="0" w:space="0" w:color="auto"/>
                                    <w:bottom w:val="none" w:sz="0" w:space="0" w:color="auto"/>
                                    <w:right w:val="none" w:sz="0" w:space="0" w:color="auto"/>
                                  </w:divBdr>
                                  <w:divsChild>
                                    <w:div w:id="1327055942">
                                      <w:marLeft w:val="0"/>
                                      <w:marRight w:val="0"/>
                                      <w:marTop w:val="0"/>
                                      <w:marBottom w:val="0"/>
                                      <w:divBdr>
                                        <w:top w:val="none" w:sz="0" w:space="0" w:color="auto"/>
                                        <w:left w:val="none" w:sz="0" w:space="0" w:color="auto"/>
                                        <w:bottom w:val="none" w:sz="0" w:space="0" w:color="auto"/>
                                        <w:right w:val="none" w:sz="0" w:space="0" w:color="auto"/>
                                      </w:divBdr>
                                      <w:divsChild>
                                        <w:div w:id="796029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9333279">
                              <w:marLeft w:val="0"/>
                              <w:marRight w:val="0"/>
                              <w:marTop w:val="0"/>
                              <w:marBottom w:val="0"/>
                              <w:divBdr>
                                <w:top w:val="none" w:sz="0" w:space="0" w:color="auto"/>
                                <w:left w:val="none" w:sz="0" w:space="0" w:color="auto"/>
                                <w:bottom w:val="single" w:sz="6" w:space="12" w:color="DDDDDD"/>
                                <w:right w:val="none" w:sz="0" w:space="0" w:color="auto"/>
                              </w:divBdr>
                              <w:divsChild>
                                <w:div w:id="1615475918">
                                  <w:marLeft w:val="0"/>
                                  <w:marRight w:val="0"/>
                                  <w:marTop w:val="0"/>
                                  <w:marBottom w:val="0"/>
                                  <w:divBdr>
                                    <w:top w:val="none" w:sz="0" w:space="0" w:color="auto"/>
                                    <w:left w:val="none" w:sz="0" w:space="0" w:color="auto"/>
                                    <w:bottom w:val="none" w:sz="0" w:space="0" w:color="auto"/>
                                    <w:right w:val="none" w:sz="0" w:space="0" w:color="auto"/>
                                  </w:divBdr>
                                  <w:divsChild>
                                    <w:div w:id="1900969615">
                                      <w:marLeft w:val="0"/>
                                      <w:marRight w:val="0"/>
                                      <w:marTop w:val="0"/>
                                      <w:marBottom w:val="0"/>
                                      <w:divBdr>
                                        <w:top w:val="none" w:sz="0" w:space="0" w:color="auto"/>
                                        <w:left w:val="none" w:sz="0" w:space="0" w:color="auto"/>
                                        <w:bottom w:val="none" w:sz="0" w:space="0" w:color="auto"/>
                                        <w:right w:val="none" w:sz="0" w:space="0" w:color="auto"/>
                                      </w:divBdr>
                                      <w:divsChild>
                                        <w:div w:id="574244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9791137">
                              <w:marLeft w:val="0"/>
                              <w:marRight w:val="0"/>
                              <w:marTop w:val="0"/>
                              <w:marBottom w:val="0"/>
                              <w:divBdr>
                                <w:top w:val="none" w:sz="0" w:space="0" w:color="auto"/>
                                <w:left w:val="none" w:sz="0" w:space="0" w:color="auto"/>
                                <w:bottom w:val="single" w:sz="6" w:space="12" w:color="DDDDDD"/>
                                <w:right w:val="none" w:sz="0" w:space="0" w:color="auto"/>
                              </w:divBdr>
                              <w:divsChild>
                                <w:div w:id="56589769">
                                  <w:marLeft w:val="0"/>
                                  <w:marRight w:val="0"/>
                                  <w:marTop w:val="0"/>
                                  <w:marBottom w:val="0"/>
                                  <w:divBdr>
                                    <w:top w:val="none" w:sz="0" w:space="0" w:color="auto"/>
                                    <w:left w:val="none" w:sz="0" w:space="0" w:color="auto"/>
                                    <w:bottom w:val="none" w:sz="0" w:space="0" w:color="auto"/>
                                    <w:right w:val="none" w:sz="0" w:space="0" w:color="auto"/>
                                  </w:divBdr>
                                  <w:divsChild>
                                    <w:div w:id="138495965">
                                      <w:marLeft w:val="0"/>
                                      <w:marRight w:val="0"/>
                                      <w:marTop w:val="0"/>
                                      <w:marBottom w:val="0"/>
                                      <w:divBdr>
                                        <w:top w:val="none" w:sz="0" w:space="0" w:color="auto"/>
                                        <w:left w:val="none" w:sz="0" w:space="0" w:color="auto"/>
                                        <w:bottom w:val="none" w:sz="0" w:space="0" w:color="auto"/>
                                        <w:right w:val="none" w:sz="0" w:space="0" w:color="auto"/>
                                      </w:divBdr>
                                      <w:divsChild>
                                        <w:div w:id="569779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1153288">
                              <w:marLeft w:val="0"/>
                              <w:marRight w:val="0"/>
                              <w:marTop w:val="0"/>
                              <w:marBottom w:val="0"/>
                              <w:divBdr>
                                <w:top w:val="none" w:sz="0" w:space="0" w:color="auto"/>
                                <w:left w:val="none" w:sz="0" w:space="0" w:color="auto"/>
                                <w:bottom w:val="single" w:sz="6" w:space="12" w:color="DDDDDD"/>
                                <w:right w:val="none" w:sz="0" w:space="0" w:color="auto"/>
                              </w:divBdr>
                              <w:divsChild>
                                <w:div w:id="243420470">
                                  <w:marLeft w:val="0"/>
                                  <w:marRight w:val="0"/>
                                  <w:marTop w:val="0"/>
                                  <w:marBottom w:val="0"/>
                                  <w:divBdr>
                                    <w:top w:val="none" w:sz="0" w:space="0" w:color="auto"/>
                                    <w:left w:val="none" w:sz="0" w:space="0" w:color="auto"/>
                                    <w:bottom w:val="none" w:sz="0" w:space="0" w:color="auto"/>
                                    <w:right w:val="none" w:sz="0" w:space="0" w:color="auto"/>
                                  </w:divBdr>
                                  <w:divsChild>
                                    <w:div w:id="1117798959">
                                      <w:marLeft w:val="0"/>
                                      <w:marRight w:val="0"/>
                                      <w:marTop w:val="0"/>
                                      <w:marBottom w:val="0"/>
                                      <w:divBdr>
                                        <w:top w:val="none" w:sz="0" w:space="0" w:color="auto"/>
                                        <w:left w:val="none" w:sz="0" w:space="0" w:color="auto"/>
                                        <w:bottom w:val="none" w:sz="0" w:space="0" w:color="auto"/>
                                        <w:right w:val="none" w:sz="0" w:space="0" w:color="auto"/>
                                      </w:divBdr>
                                      <w:divsChild>
                                        <w:div w:id="1114518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2847775">
                              <w:marLeft w:val="0"/>
                              <w:marRight w:val="0"/>
                              <w:marTop w:val="0"/>
                              <w:marBottom w:val="0"/>
                              <w:divBdr>
                                <w:top w:val="none" w:sz="0" w:space="0" w:color="auto"/>
                                <w:left w:val="none" w:sz="0" w:space="0" w:color="auto"/>
                                <w:bottom w:val="single" w:sz="6" w:space="12" w:color="DDDDDD"/>
                                <w:right w:val="none" w:sz="0" w:space="0" w:color="auto"/>
                              </w:divBdr>
                              <w:divsChild>
                                <w:div w:id="1742488366">
                                  <w:marLeft w:val="0"/>
                                  <w:marRight w:val="0"/>
                                  <w:marTop w:val="0"/>
                                  <w:marBottom w:val="0"/>
                                  <w:divBdr>
                                    <w:top w:val="none" w:sz="0" w:space="0" w:color="auto"/>
                                    <w:left w:val="none" w:sz="0" w:space="0" w:color="auto"/>
                                    <w:bottom w:val="none" w:sz="0" w:space="0" w:color="auto"/>
                                    <w:right w:val="none" w:sz="0" w:space="0" w:color="auto"/>
                                  </w:divBdr>
                                  <w:divsChild>
                                    <w:div w:id="392774129">
                                      <w:marLeft w:val="0"/>
                                      <w:marRight w:val="0"/>
                                      <w:marTop w:val="0"/>
                                      <w:marBottom w:val="0"/>
                                      <w:divBdr>
                                        <w:top w:val="none" w:sz="0" w:space="0" w:color="auto"/>
                                        <w:left w:val="none" w:sz="0" w:space="0" w:color="auto"/>
                                        <w:bottom w:val="none" w:sz="0" w:space="0" w:color="auto"/>
                                        <w:right w:val="none" w:sz="0" w:space="0" w:color="auto"/>
                                      </w:divBdr>
                                      <w:divsChild>
                                        <w:div w:id="710376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2927378">
                              <w:marLeft w:val="0"/>
                              <w:marRight w:val="0"/>
                              <w:marTop w:val="0"/>
                              <w:marBottom w:val="0"/>
                              <w:divBdr>
                                <w:top w:val="none" w:sz="0" w:space="0" w:color="auto"/>
                                <w:left w:val="none" w:sz="0" w:space="0" w:color="auto"/>
                                <w:bottom w:val="single" w:sz="6" w:space="12" w:color="DDDDDD"/>
                                <w:right w:val="none" w:sz="0" w:space="0" w:color="auto"/>
                              </w:divBdr>
                              <w:divsChild>
                                <w:div w:id="1618365969">
                                  <w:marLeft w:val="0"/>
                                  <w:marRight w:val="0"/>
                                  <w:marTop w:val="0"/>
                                  <w:marBottom w:val="0"/>
                                  <w:divBdr>
                                    <w:top w:val="none" w:sz="0" w:space="0" w:color="auto"/>
                                    <w:left w:val="none" w:sz="0" w:space="0" w:color="auto"/>
                                    <w:bottom w:val="none" w:sz="0" w:space="0" w:color="auto"/>
                                    <w:right w:val="none" w:sz="0" w:space="0" w:color="auto"/>
                                  </w:divBdr>
                                  <w:divsChild>
                                    <w:div w:id="1657147616">
                                      <w:marLeft w:val="0"/>
                                      <w:marRight w:val="0"/>
                                      <w:marTop w:val="0"/>
                                      <w:marBottom w:val="0"/>
                                      <w:divBdr>
                                        <w:top w:val="none" w:sz="0" w:space="0" w:color="auto"/>
                                        <w:left w:val="none" w:sz="0" w:space="0" w:color="auto"/>
                                        <w:bottom w:val="none" w:sz="0" w:space="0" w:color="auto"/>
                                        <w:right w:val="none" w:sz="0" w:space="0" w:color="auto"/>
                                      </w:divBdr>
                                      <w:divsChild>
                                        <w:div w:id="693384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9305731">
                              <w:marLeft w:val="0"/>
                              <w:marRight w:val="0"/>
                              <w:marTop w:val="0"/>
                              <w:marBottom w:val="0"/>
                              <w:divBdr>
                                <w:top w:val="none" w:sz="0" w:space="0" w:color="auto"/>
                                <w:left w:val="none" w:sz="0" w:space="0" w:color="auto"/>
                                <w:bottom w:val="single" w:sz="6" w:space="12" w:color="DDDDDD"/>
                                <w:right w:val="none" w:sz="0" w:space="0" w:color="auto"/>
                              </w:divBdr>
                              <w:divsChild>
                                <w:div w:id="382144740">
                                  <w:marLeft w:val="0"/>
                                  <w:marRight w:val="0"/>
                                  <w:marTop w:val="0"/>
                                  <w:marBottom w:val="0"/>
                                  <w:divBdr>
                                    <w:top w:val="none" w:sz="0" w:space="0" w:color="auto"/>
                                    <w:left w:val="none" w:sz="0" w:space="0" w:color="auto"/>
                                    <w:bottom w:val="none" w:sz="0" w:space="0" w:color="auto"/>
                                    <w:right w:val="none" w:sz="0" w:space="0" w:color="auto"/>
                                  </w:divBdr>
                                  <w:divsChild>
                                    <w:div w:id="89476322">
                                      <w:marLeft w:val="0"/>
                                      <w:marRight w:val="0"/>
                                      <w:marTop w:val="0"/>
                                      <w:marBottom w:val="0"/>
                                      <w:divBdr>
                                        <w:top w:val="none" w:sz="0" w:space="0" w:color="auto"/>
                                        <w:left w:val="none" w:sz="0" w:space="0" w:color="auto"/>
                                        <w:bottom w:val="none" w:sz="0" w:space="0" w:color="auto"/>
                                        <w:right w:val="none" w:sz="0" w:space="0" w:color="auto"/>
                                      </w:divBdr>
                                      <w:divsChild>
                                        <w:div w:id="1149439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9534792">
                              <w:marLeft w:val="0"/>
                              <w:marRight w:val="0"/>
                              <w:marTop w:val="0"/>
                              <w:marBottom w:val="0"/>
                              <w:divBdr>
                                <w:top w:val="none" w:sz="0" w:space="0" w:color="auto"/>
                                <w:left w:val="none" w:sz="0" w:space="0" w:color="auto"/>
                                <w:bottom w:val="single" w:sz="6" w:space="12" w:color="DDDDDD"/>
                                <w:right w:val="none" w:sz="0" w:space="0" w:color="auto"/>
                              </w:divBdr>
                              <w:divsChild>
                                <w:div w:id="465858168">
                                  <w:marLeft w:val="0"/>
                                  <w:marRight w:val="0"/>
                                  <w:marTop w:val="0"/>
                                  <w:marBottom w:val="0"/>
                                  <w:divBdr>
                                    <w:top w:val="none" w:sz="0" w:space="0" w:color="auto"/>
                                    <w:left w:val="none" w:sz="0" w:space="0" w:color="auto"/>
                                    <w:bottom w:val="none" w:sz="0" w:space="0" w:color="auto"/>
                                    <w:right w:val="none" w:sz="0" w:space="0" w:color="auto"/>
                                  </w:divBdr>
                                  <w:divsChild>
                                    <w:div w:id="1786535086">
                                      <w:marLeft w:val="0"/>
                                      <w:marRight w:val="0"/>
                                      <w:marTop w:val="0"/>
                                      <w:marBottom w:val="0"/>
                                      <w:divBdr>
                                        <w:top w:val="none" w:sz="0" w:space="0" w:color="auto"/>
                                        <w:left w:val="none" w:sz="0" w:space="0" w:color="auto"/>
                                        <w:bottom w:val="none" w:sz="0" w:space="0" w:color="auto"/>
                                        <w:right w:val="none" w:sz="0" w:space="0" w:color="auto"/>
                                      </w:divBdr>
                                      <w:divsChild>
                                        <w:div w:id="786851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6252530">
                              <w:marLeft w:val="0"/>
                              <w:marRight w:val="0"/>
                              <w:marTop w:val="0"/>
                              <w:marBottom w:val="0"/>
                              <w:divBdr>
                                <w:top w:val="none" w:sz="0" w:space="0" w:color="auto"/>
                                <w:left w:val="none" w:sz="0" w:space="0" w:color="auto"/>
                                <w:bottom w:val="single" w:sz="6" w:space="12" w:color="DDDDDD"/>
                                <w:right w:val="none" w:sz="0" w:space="0" w:color="auto"/>
                              </w:divBdr>
                              <w:divsChild>
                                <w:div w:id="88355536">
                                  <w:marLeft w:val="0"/>
                                  <w:marRight w:val="0"/>
                                  <w:marTop w:val="0"/>
                                  <w:marBottom w:val="0"/>
                                  <w:divBdr>
                                    <w:top w:val="none" w:sz="0" w:space="0" w:color="auto"/>
                                    <w:left w:val="none" w:sz="0" w:space="0" w:color="auto"/>
                                    <w:bottom w:val="none" w:sz="0" w:space="0" w:color="auto"/>
                                    <w:right w:val="none" w:sz="0" w:space="0" w:color="auto"/>
                                  </w:divBdr>
                                  <w:divsChild>
                                    <w:div w:id="1454787783">
                                      <w:marLeft w:val="0"/>
                                      <w:marRight w:val="0"/>
                                      <w:marTop w:val="0"/>
                                      <w:marBottom w:val="0"/>
                                      <w:divBdr>
                                        <w:top w:val="none" w:sz="0" w:space="0" w:color="auto"/>
                                        <w:left w:val="none" w:sz="0" w:space="0" w:color="auto"/>
                                        <w:bottom w:val="none" w:sz="0" w:space="0" w:color="auto"/>
                                        <w:right w:val="none" w:sz="0" w:space="0" w:color="auto"/>
                                      </w:divBdr>
                                      <w:divsChild>
                                        <w:div w:id="194584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0929580">
                              <w:marLeft w:val="0"/>
                              <w:marRight w:val="0"/>
                              <w:marTop w:val="0"/>
                              <w:marBottom w:val="0"/>
                              <w:divBdr>
                                <w:top w:val="none" w:sz="0" w:space="0" w:color="auto"/>
                                <w:left w:val="none" w:sz="0" w:space="0" w:color="auto"/>
                                <w:bottom w:val="single" w:sz="6" w:space="12" w:color="DDDDDD"/>
                                <w:right w:val="none" w:sz="0" w:space="0" w:color="auto"/>
                              </w:divBdr>
                              <w:divsChild>
                                <w:div w:id="932132351">
                                  <w:marLeft w:val="0"/>
                                  <w:marRight w:val="0"/>
                                  <w:marTop w:val="0"/>
                                  <w:marBottom w:val="0"/>
                                  <w:divBdr>
                                    <w:top w:val="none" w:sz="0" w:space="0" w:color="auto"/>
                                    <w:left w:val="none" w:sz="0" w:space="0" w:color="auto"/>
                                    <w:bottom w:val="none" w:sz="0" w:space="0" w:color="auto"/>
                                    <w:right w:val="none" w:sz="0" w:space="0" w:color="auto"/>
                                  </w:divBdr>
                                  <w:divsChild>
                                    <w:div w:id="666861004">
                                      <w:marLeft w:val="0"/>
                                      <w:marRight w:val="0"/>
                                      <w:marTop w:val="0"/>
                                      <w:marBottom w:val="0"/>
                                      <w:divBdr>
                                        <w:top w:val="none" w:sz="0" w:space="0" w:color="auto"/>
                                        <w:left w:val="none" w:sz="0" w:space="0" w:color="auto"/>
                                        <w:bottom w:val="none" w:sz="0" w:space="0" w:color="auto"/>
                                        <w:right w:val="none" w:sz="0" w:space="0" w:color="auto"/>
                                      </w:divBdr>
                                      <w:divsChild>
                                        <w:div w:id="1722628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9785601">
                              <w:marLeft w:val="0"/>
                              <w:marRight w:val="0"/>
                              <w:marTop w:val="0"/>
                              <w:marBottom w:val="0"/>
                              <w:divBdr>
                                <w:top w:val="none" w:sz="0" w:space="0" w:color="auto"/>
                                <w:left w:val="none" w:sz="0" w:space="0" w:color="auto"/>
                                <w:bottom w:val="single" w:sz="6" w:space="12" w:color="DDDDDD"/>
                                <w:right w:val="none" w:sz="0" w:space="0" w:color="auto"/>
                              </w:divBdr>
                              <w:divsChild>
                                <w:div w:id="893083227">
                                  <w:marLeft w:val="0"/>
                                  <w:marRight w:val="0"/>
                                  <w:marTop w:val="0"/>
                                  <w:marBottom w:val="0"/>
                                  <w:divBdr>
                                    <w:top w:val="none" w:sz="0" w:space="0" w:color="auto"/>
                                    <w:left w:val="none" w:sz="0" w:space="0" w:color="auto"/>
                                    <w:bottom w:val="none" w:sz="0" w:space="0" w:color="auto"/>
                                    <w:right w:val="none" w:sz="0" w:space="0" w:color="auto"/>
                                  </w:divBdr>
                                  <w:divsChild>
                                    <w:div w:id="141895484">
                                      <w:marLeft w:val="0"/>
                                      <w:marRight w:val="0"/>
                                      <w:marTop w:val="0"/>
                                      <w:marBottom w:val="0"/>
                                      <w:divBdr>
                                        <w:top w:val="none" w:sz="0" w:space="0" w:color="auto"/>
                                        <w:left w:val="none" w:sz="0" w:space="0" w:color="auto"/>
                                        <w:bottom w:val="none" w:sz="0" w:space="0" w:color="auto"/>
                                        <w:right w:val="none" w:sz="0" w:space="0" w:color="auto"/>
                                      </w:divBdr>
                                      <w:divsChild>
                                        <w:div w:id="1413964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8439010">
                              <w:marLeft w:val="0"/>
                              <w:marRight w:val="0"/>
                              <w:marTop w:val="0"/>
                              <w:marBottom w:val="0"/>
                              <w:divBdr>
                                <w:top w:val="none" w:sz="0" w:space="0" w:color="auto"/>
                                <w:left w:val="none" w:sz="0" w:space="0" w:color="auto"/>
                                <w:bottom w:val="single" w:sz="6" w:space="12" w:color="DDDDDD"/>
                                <w:right w:val="none" w:sz="0" w:space="0" w:color="auto"/>
                              </w:divBdr>
                              <w:divsChild>
                                <w:div w:id="1700737019">
                                  <w:marLeft w:val="0"/>
                                  <w:marRight w:val="0"/>
                                  <w:marTop w:val="0"/>
                                  <w:marBottom w:val="0"/>
                                  <w:divBdr>
                                    <w:top w:val="none" w:sz="0" w:space="0" w:color="auto"/>
                                    <w:left w:val="none" w:sz="0" w:space="0" w:color="auto"/>
                                    <w:bottom w:val="none" w:sz="0" w:space="0" w:color="auto"/>
                                    <w:right w:val="none" w:sz="0" w:space="0" w:color="auto"/>
                                  </w:divBdr>
                                  <w:divsChild>
                                    <w:div w:id="571045162">
                                      <w:marLeft w:val="0"/>
                                      <w:marRight w:val="0"/>
                                      <w:marTop w:val="0"/>
                                      <w:marBottom w:val="0"/>
                                      <w:divBdr>
                                        <w:top w:val="none" w:sz="0" w:space="0" w:color="auto"/>
                                        <w:left w:val="none" w:sz="0" w:space="0" w:color="auto"/>
                                        <w:bottom w:val="none" w:sz="0" w:space="0" w:color="auto"/>
                                        <w:right w:val="none" w:sz="0" w:space="0" w:color="auto"/>
                                      </w:divBdr>
                                      <w:divsChild>
                                        <w:div w:id="1250507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0087349">
                              <w:marLeft w:val="0"/>
                              <w:marRight w:val="0"/>
                              <w:marTop w:val="0"/>
                              <w:marBottom w:val="0"/>
                              <w:divBdr>
                                <w:top w:val="none" w:sz="0" w:space="0" w:color="auto"/>
                                <w:left w:val="none" w:sz="0" w:space="0" w:color="auto"/>
                                <w:bottom w:val="single" w:sz="6" w:space="12" w:color="DDDDDD"/>
                                <w:right w:val="none" w:sz="0" w:space="0" w:color="auto"/>
                              </w:divBdr>
                              <w:divsChild>
                                <w:div w:id="6716116">
                                  <w:marLeft w:val="0"/>
                                  <w:marRight w:val="0"/>
                                  <w:marTop w:val="0"/>
                                  <w:marBottom w:val="0"/>
                                  <w:divBdr>
                                    <w:top w:val="none" w:sz="0" w:space="0" w:color="auto"/>
                                    <w:left w:val="none" w:sz="0" w:space="0" w:color="auto"/>
                                    <w:bottom w:val="none" w:sz="0" w:space="0" w:color="auto"/>
                                    <w:right w:val="none" w:sz="0" w:space="0" w:color="auto"/>
                                  </w:divBdr>
                                  <w:divsChild>
                                    <w:div w:id="511142015">
                                      <w:marLeft w:val="0"/>
                                      <w:marRight w:val="0"/>
                                      <w:marTop w:val="0"/>
                                      <w:marBottom w:val="0"/>
                                      <w:divBdr>
                                        <w:top w:val="none" w:sz="0" w:space="0" w:color="auto"/>
                                        <w:left w:val="none" w:sz="0" w:space="0" w:color="auto"/>
                                        <w:bottom w:val="none" w:sz="0" w:space="0" w:color="auto"/>
                                        <w:right w:val="none" w:sz="0" w:space="0" w:color="auto"/>
                                      </w:divBdr>
                                      <w:divsChild>
                                        <w:div w:id="292906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1287477">
                              <w:marLeft w:val="0"/>
                              <w:marRight w:val="0"/>
                              <w:marTop w:val="0"/>
                              <w:marBottom w:val="0"/>
                              <w:divBdr>
                                <w:top w:val="none" w:sz="0" w:space="0" w:color="auto"/>
                                <w:left w:val="none" w:sz="0" w:space="0" w:color="auto"/>
                                <w:bottom w:val="single" w:sz="6" w:space="12" w:color="DDDDDD"/>
                                <w:right w:val="none" w:sz="0" w:space="0" w:color="auto"/>
                              </w:divBdr>
                              <w:divsChild>
                                <w:div w:id="986013507">
                                  <w:marLeft w:val="0"/>
                                  <w:marRight w:val="0"/>
                                  <w:marTop w:val="0"/>
                                  <w:marBottom w:val="0"/>
                                  <w:divBdr>
                                    <w:top w:val="none" w:sz="0" w:space="0" w:color="auto"/>
                                    <w:left w:val="none" w:sz="0" w:space="0" w:color="auto"/>
                                    <w:bottom w:val="none" w:sz="0" w:space="0" w:color="auto"/>
                                    <w:right w:val="none" w:sz="0" w:space="0" w:color="auto"/>
                                  </w:divBdr>
                                  <w:divsChild>
                                    <w:div w:id="2086611302">
                                      <w:marLeft w:val="0"/>
                                      <w:marRight w:val="0"/>
                                      <w:marTop w:val="0"/>
                                      <w:marBottom w:val="0"/>
                                      <w:divBdr>
                                        <w:top w:val="none" w:sz="0" w:space="0" w:color="auto"/>
                                        <w:left w:val="none" w:sz="0" w:space="0" w:color="auto"/>
                                        <w:bottom w:val="none" w:sz="0" w:space="0" w:color="auto"/>
                                        <w:right w:val="none" w:sz="0" w:space="0" w:color="auto"/>
                                      </w:divBdr>
                                      <w:divsChild>
                                        <w:div w:id="131943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3003052">
                              <w:marLeft w:val="0"/>
                              <w:marRight w:val="0"/>
                              <w:marTop w:val="0"/>
                              <w:marBottom w:val="0"/>
                              <w:divBdr>
                                <w:top w:val="none" w:sz="0" w:space="0" w:color="auto"/>
                                <w:left w:val="none" w:sz="0" w:space="0" w:color="auto"/>
                                <w:bottom w:val="single" w:sz="6" w:space="12" w:color="DDDDDD"/>
                                <w:right w:val="none" w:sz="0" w:space="0" w:color="auto"/>
                              </w:divBdr>
                              <w:divsChild>
                                <w:div w:id="563835907">
                                  <w:marLeft w:val="0"/>
                                  <w:marRight w:val="0"/>
                                  <w:marTop w:val="0"/>
                                  <w:marBottom w:val="0"/>
                                  <w:divBdr>
                                    <w:top w:val="none" w:sz="0" w:space="0" w:color="auto"/>
                                    <w:left w:val="none" w:sz="0" w:space="0" w:color="auto"/>
                                    <w:bottom w:val="none" w:sz="0" w:space="0" w:color="auto"/>
                                    <w:right w:val="none" w:sz="0" w:space="0" w:color="auto"/>
                                  </w:divBdr>
                                  <w:divsChild>
                                    <w:div w:id="446972366">
                                      <w:marLeft w:val="0"/>
                                      <w:marRight w:val="0"/>
                                      <w:marTop w:val="0"/>
                                      <w:marBottom w:val="0"/>
                                      <w:divBdr>
                                        <w:top w:val="none" w:sz="0" w:space="0" w:color="auto"/>
                                        <w:left w:val="none" w:sz="0" w:space="0" w:color="auto"/>
                                        <w:bottom w:val="none" w:sz="0" w:space="0" w:color="auto"/>
                                        <w:right w:val="none" w:sz="0" w:space="0" w:color="auto"/>
                                      </w:divBdr>
                                      <w:divsChild>
                                        <w:div w:id="2012753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983472">
                              <w:marLeft w:val="0"/>
                              <w:marRight w:val="0"/>
                              <w:marTop w:val="0"/>
                              <w:marBottom w:val="0"/>
                              <w:divBdr>
                                <w:top w:val="none" w:sz="0" w:space="0" w:color="auto"/>
                                <w:left w:val="none" w:sz="0" w:space="0" w:color="auto"/>
                                <w:bottom w:val="single" w:sz="6" w:space="12" w:color="DDDDDD"/>
                                <w:right w:val="none" w:sz="0" w:space="0" w:color="auto"/>
                              </w:divBdr>
                              <w:divsChild>
                                <w:div w:id="1149977725">
                                  <w:marLeft w:val="0"/>
                                  <w:marRight w:val="0"/>
                                  <w:marTop w:val="0"/>
                                  <w:marBottom w:val="0"/>
                                  <w:divBdr>
                                    <w:top w:val="none" w:sz="0" w:space="0" w:color="auto"/>
                                    <w:left w:val="none" w:sz="0" w:space="0" w:color="auto"/>
                                    <w:bottom w:val="none" w:sz="0" w:space="0" w:color="auto"/>
                                    <w:right w:val="none" w:sz="0" w:space="0" w:color="auto"/>
                                  </w:divBdr>
                                  <w:divsChild>
                                    <w:div w:id="1631787045">
                                      <w:marLeft w:val="0"/>
                                      <w:marRight w:val="0"/>
                                      <w:marTop w:val="0"/>
                                      <w:marBottom w:val="0"/>
                                      <w:divBdr>
                                        <w:top w:val="none" w:sz="0" w:space="0" w:color="auto"/>
                                        <w:left w:val="none" w:sz="0" w:space="0" w:color="auto"/>
                                        <w:bottom w:val="none" w:sz="0" w:space="0" w:color="auto"/>
                                        <w:right w:val="none" w:sz="0" w:space="0" w:color="auto"/>
                                      </w:divBdr>
                                      <w:divsChild>
                                        <w:div w:id="832379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5408917">
                              <w:marLeft w:val="0"/>
                              <w:marRight w:val="0"/>
                              <w:marTop w:val="0"/>
                              <w:marBottom w:val="0"/>
                              <w:divBdr>
                                <w:top w:val="none" w:sz="0" w:space="0" w:color="auto"/>
                                <w:left w:val="none" w:sz="0" w:space="0" w:color="auto"/>
                                <w:bottom w:val="single" w:sz="6" w:space="12" w:color="DDDDDD"/>
                                <w:right w:val="none" w:sz="0" w:space="0" w:color="auto"/>
                              </w:divBdr>
                              <w:divsChild>
                                <w:div w:id="2001812606">
                                  <w:marLeft w:val="0"/>
                                  <w:marRight w:val="0"/>
                                  <w:marTop w:val="0"/>
                                  <w:marBottom w:val="0"/>
                                  <w:divBdr>
                                    <w:top w:val="none" w:sz="0" w:space="0" w:color="auto"/>
                                    <w:left w:val="none" w:sz="0" w:space="0" w:color="auto"/>
                                    <w:bottom w:val="none" w:sz="0" w:space="0" w:color="auto"/>
                                    <w:right w:val="none" w:sz="0" w:space="0" w:color="auto"/>
                                  </w:divBdr>
                                  <w:divsChild>
                                    <w:div w:id="782261327">
                                      <w:marLeft w:val="0"/>
                                      <w:marRight w:val="0"/>
                                      <w:marTop w:val="0"/>
                                      <w:marBottom w:val="0"/>
                                      <w:divBdr>
                                        <w:top w:val="none" w:sz="0" w:space="0" w:color="auto"/>
                                        <w:left w:val="none" w:sz="0" w:space="0" w:color="auto"/>
                                        <w:bottom w:val="none" w:sz="0" w:space="0" w:color="auto"/>
                                        <w:right w:val="none" w:sz="0" w:space="0" w:color="auto"/>
                                      </w:divBdr>
                                      <w:divsChild>
                                        <w:div w:id="118032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0614288">
                              <w:marLeft w:val="0"/>
                              <w:marRight w:val="0"/>
                              <w:marTop w:val="0"/>
                              <w:marBottom w:val="0"/>
                              <w:divBdr>
                                <w:top w:val="none" w:sz="0" w:space="0" w:color="auto"/>
                                <w:left w:val="none" w:sz="0" w:space="0" w:color="auto"/>
                                <w:bottom w:val="single" w:sz="6" w:space="12" w:color="DDDDDD"/>
                                <w:right w:val="none" w:sz="0" w:space="0" w:color="auto"/>
                              </w:divBdr>
                              <w:divsChild>
                                <w:div w:id="1566720497">
                                  <w:marLeft w:val="0"/>
                                  <w:marRight w:val="0"/>
                                  <w:marTop w:val="0"/>
                                  <w:marBottom w:val="0"/>
                                  <w:divBdr>
                                    <w:top w:val="none" w:sz="0" w:space="0" w:color="auto"/>
                                    <w:left w:val="none" w:sz="0" w:space="0" w:color="auto"/>
                                    <w:bottom w:val="none" w:sz="0" w:space="0" w:color="auto"/>
                                    <w:right w:val="none" w:sz="0" w:space="0" w:color="auto"/>
                                  </w:divBdr>
                                  <w:divsChild>
                                    <w:div w:id="656690104">
                                      <w:marLeft w:val="0"/>
                                      <w:marRight w:val="0"/>
                                      <w:marTop w:val="0"/>
                                      <w:marBottom w:val="0"/>
                                      <w:divBdr>
                                        <w:top w:val="none" w:sz="0" w:space="0" w:color="auto"/>
                                        <w:left w:val="none" w:sz="0" w:space="0" w:color="auto"/>
                                        <w:bottom w:val="none" w:sz="0" w:space="0" w:color="auto"/>
                                        <w:right w:val="none" w:sz="0" w:space="0" w:color="auto"/>
                                      </w:divBdr>
                                      <w:divsChild>
                                        <w:div w:id="1683312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2835505">
                              <w:marLeft w:val="0"/>
                              <w:marRight w:val="0"/>
                              <w:marTop w:val="0"/>
                              <w:marBottom w:val="0"/>
                              <w:divBdr>
                                <w:top w:val="none" w:sz="0" w:space="0" w:color="auto"/>
                                <w:left w:val="none" w:sz="0" w:space="0" w:color="auto"/>
                                <w:bottom w:val="single" w:sz="6" w:space="12" w:color="DDDDDD"/>
                                <w:right w:val="none" w:sz="0" w:space="0" w:color="auto"/>
                              </w:divBdr>
                              <w:divsChild>
                                <w:div w:id="382677944">
                                  <w:marLeft w:val="0"/>
                                  <w:marRight w:val="0"/>
                                  <w:marTop w:val="0"/>
                                  <w:marBottom w:val="0"/>
                                  <w:divBdr>
                                    <w:top w:val="none" w:sz="0" w:space="0" w:color="auto"/>
                                    <w:left w:val="none" w:sz="0" w:space="0" w:color="auto"/>
                                    <w:bottom w:val="none" w:sz="0" w:space="0" w:color="auto"/>
                                    <w:right w:val="none" w:sz="0" w:space="0" w:color="auto"/>
                                  </w:divBdr>
                                  <w:divsChild>
                                    <w:div w:id="678852407">
                                      <w:marLeft w:val="0"/>
                                      <w:marRight w:val="0"/>
                                      <w:marTop w:val="0"/>
                                      <w:marBottom w:val="0"/>
                                      <w:divBdr>
                                        <w:top w:val="none" w:sz="0" w:space="0" w:color="auto"/>
                                        <w:left w:val="none" w:sz="0" w:space="0" w:color="auto"/>
                                        <w:bottom w:val="none" w:sz="0" w:space="0" w:color="auto"/>
                                        <w:right w:val="none" w:sz="0" w:space="0" w:color="auto"/>
                                      </w:divBdr>
                                      <w:divsChild>
                                        <w:div w:id="1183277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4608691">
                              <w:marLeft w:val="0"/>
                              <w:marRight w:val="0"/>
                              <w:marTop w:val="0"/>
                              <w:marBottom w:val="0"/>
                              <w:divBdr>
                                <w:top w:val="none" w:sz="0" w:space="0" w:color="auto"/>
                                <w:left w:val="none" w:sz="0" w:space="0" w:color="auto"/>
                                <w:bottom w:val="single" w:sz="6" w:space="12" w:color="DDDDDD"/>
                                <w:right w:val="none" w:sz="0" w:space="0" w:color="auto"/>
                              </w:divBdr>
                              <w:divsChild>
                                <w:div w:id="205338058">
                                  <w:marLeft w:val="0"/>
                                  <w:marRight w:val="0"/>
                                  <w:marTop w:val="0"/>
                                  <w:marBottom w:val="0"/>
                                  <w:divBdr>
                                    <w:top w:val="none" w:sz="0" w:space="0" w:color="auto"/>
                                    <w:left w:val="none" w:sz="0" w:space="0" w:color="auto"/>
                                    <w:bottom w:val="none" w:sz="0" w:space="0" w:color="auto"/>
                                    <w:right w:val="none" w:sz="0" w:space="0" w:color="auto"/>
                                  </w:divBdr>
                                  <w:divsChild>
                                    <w:div w:id="250624481">
                                      <w:marLeft w:val="0"/>
                                      <w:marRight w:val="0"/>
                                      <w:marTop w:val="0"/>
                                      <w:marBottom w:val="0"/>
                                      <w:divBdr>
                                        <w:top w:val="none" w:sz="0" w:space="0" w:color="auto"/>
                                        <w:left w:val="none" w:sz="0" w:space="0" w:color="auto"/>
                                        <w:bottom w:val="none" w:sz="0" w:space="0" w:color="auto"/>
                                        <w:right w:val="none" w:sz="0" w:space="0" w:color="auto"/>
                                      </w:divBdr>
                                      <w:divsChild>
                                        <w:div w:id="1896308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5697982">
                              <w:marLeft w:val="0"/>
                              <w:marRight w:val="0"/>
                              <w:marTop w:val="0"/>
                              <w:marBottom w:val="0"/>
                              <w:divBdr>
                                <w:top w:val="none" w:sz="0" w:space="0" w:color="auto"/>
                                <w:left w:val="none" w:sz="0" w:space="0" w:color="auto"/>
                                <w:bottom w:val="single" w:sz="6" w:space="12" w:color="DDDDDD"/>
                                <w:right w:val="none" w:sz="0" w:space="0" w:color="auto"/>
                              </w:divBdr>
                              <w:divsChild>
                                <w:div w:id="998113949">
                                  <w:marLeft w:val="0"/>
                                  <w:marRight w:val="0"/>
                                  <w:marTop w:val="0"/>
                                  <w:marBottom w:val="0"/>
                                  <w:divBdr>
                                    <w:top w:val="none" w:sz="0" w:space="0" w:color="auto"/>
                                    <w:left w:val="none" w:sz="0" w:space="0" w:color="auto"/>
                                    <w:bottom w:val="none" w:sz="0" w:space="0" w:color="auto"/>
                                    <w:right w:val="none" w:sz="0" w:space="0" w:color="auto"/>
                                  </w:divBdr>
                                  <w:divsChild>
                                    <w:div w:id="1400790724">
                                      <w:marLeft w:val="0"/>
                                      <w:marRight w:val="0"/>
                                      <w:marTop w:val="0"/>
                                      <w:marBottom w:val="0"/>
                                      <w:divBdr>
                                        <w:top w:val="none" w:sz="0" w:space="0" w:color="auto"/>
                                        <w:left w:val="none" w:sz="0" w:space="0" w:color="auto"/>
                                        <w:bottom w:val="none" w:sz="0" w:space="0" w:color="auto"/>
                                        <w:right w:val="none" w:sz="0" w:space="0" w:color="auto"/>
                                      </w:divBdr>
                                      <w:divsChild>
                                        <w:div w:id="1696805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9369526">
                              <w:marLeft w:val="0"/>
                              <w:marRight w:val="0"/>
                              <w:marTop w:val="0"/>
                              <w:marBottom w:val="0"/>
                              <w:divBdr>
                                <w:top w:val="none" w:sz="0" w:space="0" w:color="auto"/>
                                <w:left w:val="none" w:sz="0" w:space="0" w:color="auto"/>
                                <w:bottom w:val="none" w:sz="0" w:space="0" w:color="auto"/>
                                <w:right w:val="none" w:sz="0" w:space="0" w:color="auto"/>
                              </w:divBdr>
                              <w:divsChild>
                                <w:div w:id="979581079">
                                  <w:marLeft w:val="0"/>
                                  <w:marRight w:val="0"/>
                                  <w:marTop w:val="0"/>
                                  <w:marBottom w:val="0"/>
                                  <w:divBdr>
                                    <w:top w:val="none" w:sz="0" w:space="0" w:color="auto"/>
                                    <w:left w:val="none" w:sz="0" w:space="0" w:color="auto"/>
                                    <w:bottom w:val="none" w:sz="0" w:space="0" w:color="auto"/>
                                    <w:right w:val="none" w:sz="0" w:space="0" w:color="auto"/>
                                  </w:divBdr>
                                  <w:divsChild>
                                    <w:div w:id="1270163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7068358">
      <w:bodyDiv w:val="1"/>
      <w:marLeft w:val="0"/>
      <w:marRight w:val="0"/>
      <w:marTop w:val="0"/>
      <w:marBottom w:val="0"/>
      <w:divBdr>
        <w:top w:val="none" w:sz="0" w:space="0" w:color="auto"/>
        <w:left w:val="none" w:sz="0" w:space="0" w:color="auto"/>
        <w:bottom w:val="none" w:sz="0" w:space="0" w:color="auto"/>
        <w:right w:val="none" w:sz="0" w:space="0" w:color="auto"/>
      </w:divBdr>
      <w:divsChild>
        <w:div w:id="541868383">
          <w:marLeft w:val="0"/>
          <w:marRight w:val="0"/>
          <w:marTop w:val="0"/>
          <w:marBottom w:val="0"/>
          <w:divBdr>
            <w:top w:val="none" w:sz="0" w:space="0" w:color="auto"/>
            <w:left w:val="none" w:sz="0" w:space="0" w:color="auto"/>
            <w:bottom w:val="none" w:sz="0" w:space="0" w:color="auto"/>
            <w:right w:val="none" w:sz="0" w:space="0" w:color="auto"/>
          </w:divBdr>
        </w:div>
        <w:div w:id="1347900037">
          <w:marLeft w:val="0"/>
          <w:marRight w:val="0"/>
          <w:marTop w:val="0"/>
          <w:marBottom w:val="0"/>
          <w:divBdr>
            <w:top w:val="none" w:sz="0" w:space="0" w:color="auto"/>
            <w:left w:val="none" w:sz="0" w:space="0" w:color="auto"/>
            <w:bottom w:val="none" w:sz="0" w:space="0" w:color="auto"/>
            <w:right w:val="none" w:sz="0" w:space="0" w:color="auto"/>
          </w:divBdr>
        </w:div>
        <w:div w:id="708381239">
          <w:marLeft w:val="0"/>
          <w:marRight w:val="0"/>
          <w:marTop w:val="0"/>
          <w:marBottom w:val="0"/>
          <w:divBdr>
            <w:top w:val="none" w:sz="0" w:space="0" w:color="auto"/>
            <w:left w:val="none" w:sz="0" w:space="0" w:color="auto"/>
            <w:bottom w:val="none" w:sz="0" w:space="0" w:color="auto"/>
            <w:right w:val="none" w:sz="0" w:space="0" w:color="auto"/>
          </w:divBdr>
        </w:div>
        <w:div w:id="2106463394">
          <w:marLeft w:val="0"/>
          <w:marRight w:val="0"/>
          <w:marTop w:val="0"/>
          <w:marBottom w:val="0"/>
          <w:divBdr>
            <w:top w:val="none" w:sz="0" w:space="0" w:color="auto"/>
            <w:left w:val="none" w:sz="0" w:space="0" w:color="auto"/>
            <w:bottom w:val="none" w:sz="0" w:space="0" w:color="auto"/>
            <w:right w:val="none" w:sz="0" w:space="0" w:color="auto"/>
          </w:divBdr>
        </w:div>
      </w:divsChild>
    </w:div>
    <w:div w:id="141655731">
      <w:bodyDiv w:val="1"/>
      <w:marLeft w:val="0"/>
      <w:marRight w:val="0"/>
      <w:marTop w:val="0"/>
      <w:marBottom w:val="0"/>
      <w:divBdr>
        <w:top w:val="none" w:sz="0" w:space="0" w:color="auto"/>
        <w:left w:val="none" w:sz="0" w:space="0" w:color="auto"/>
        <w:bottom w:val="none" w:sz="0" w:space="0" w:color="auto"/>
        <w:right w:val="none" w:sz="0" w:space="0" w:color="auto"/>
      </w:divBdr>
      <w:divsChild>
        <w:div w:id="3670974">
          <w:marLeft w:val="0"/>
          <w:marRight w:val="0"/>
          <w:marTop w:val="0"/>
          <w:marBottom w:val="0"/>
          <w:divBdr>
            <w:top w:val="none" w:sz="0" w:space="0" w:color="auto"/>
            <w:left w:val="none" w:sz="0" w:space="0" w:color="auto"/>
            <w:bottom w:val="none" w:sz="0" w:space="0" w:color="auto"/>
            <w:right w:val="none" w:sz="0" w:space="0" w:color="auto"/>
          </w:divBdr>
          <w:divsChild>
            <w:div w:id="1527255832">
              <w:marLeft w:val="0"/>
              <w:marRight w:val="0"/>
              <w:marTop w:val="0"/>
              <w:marBottom w:val="120"/>
              <w:divBdr>
                <w:top w:val="none" w:sz="0" w:space="0" w:color="auto"/>
                <w:left w:val="none" w:sz="0" w:space="0" w:color="auto"/>
                <w:bottom w:val="none" w:sz="0" w:space="0" w:color="auto"/>
                <w:right w:val="none" w:sz="0" w:space="0" w:color="auto"/>
              </w:divBdr>
              <w:divsChild>
                <w:div w:id="333726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3299901">
          <w:marLeft w:val="0"/>
          <w:marRight w:val="0"/>
          <w:marTop w:val="0"/>
          <w:marBottom w:val="0"/>
          <w:divBdr>
            <w:top w:val="none" w:sz="0" w:space="0" w:color="auto"/>
            <w:left w:val="none" w:sz="0" w:space="0" w:color="auto"/>
            <w:bottom w:val="none" w:sz="0" w:space="0" w:color="auto"/>
            <w:right w:val="none" w:sz="0" w:space="0" w:color="auto"/>
          </w:divBdr>
          <w:divsChild>
            <w:div w:id="1924492505">
              <w:marLeft w:val="0"/>
              <w:marRight w:val="0"/>
              <w:marTop w:val="0"/>
              <w:marBottom w:val="0"/>
              <w:divBdr>
                <w:top w:val="none" w:sz="0" w:space="0" w:color="auto"/>
                <w:left w:val="none" w:sz="0" w:space="0" w:color="auto"/>
                <w:bottom w:val="none" w:sz="0" w:space="0" w:color="auto"/>
                <w:right w:val="none" w:sz="0" w:space="0" w:color="auto"/>
              </w:divBdr>
              <w:divsChild>
                <w:div w:id="632293937">
                  <w:marLeft w:val="0"/>
                  <w:marRight w:val="0"/>
                  <w:marTop w:val="0"/>
                  <w:marBottom w:val="0"/>
                  <w:divBdr>
                    <w:top w:val="none" w:sz="0" w:space="0" w:color="auto"/>
                    <w:left w:val="none" w:sz="0" w:space="0" w:color="auto"/>
                    <w:bottom w:val="none" w:sz="0" w:space="0" w:color="auto"/>
                    <w:right w:val="none" w:sz="0" w:space="0" w:color="auto"/>
                  </w:divBdr>
                  <w:divsChild>
                    <w:div w:id="805438668">
                      <w:marLeft w:val="0"/>
                      <w:marRight w:val="0"/>
                      <w:marTop w:val="240"/>
                      <w:marBottom w:val="240"/>
                      <w:divBdr>
                        <w:top w:val="single" w:sz="12" w:space="0" w:color="EBEBEB"/>
                        <w:left w:val="none" w:sz="0" w:space="0" w:color="auto"/>
                        <w:bottom w:val="single" w:sz="12" w:space="0" w:color="EBEBEB"/>
                        <w:right w:val="none" w:sz="0" w:space="0" w:color="auto"/>
                      </w:divBdr>
                      <w:divsChild>
                        <w:div w:id="66420169">
                          <w:marLeft w:val="0"/>
                          <w:marRight w:val="0"/>
                          <w:marTop w:val="240"/>
                          <w:marBottom w:val="240"/>
                          <w:divBdr>
                            <w:top w:val="none" w:sz="0" w:space="0" w:color="auto"/>
                            <w:left w:val="none" w:sz="0" w:space="0" w:color="auto"/>
                            <w:bottom w:val="none" w:sz="0" w:space="0" w:color="auto"/>
                            <w:right w:val="none" w:sz="0" w:space="0" w:color="auto"/>
                          </w:divBdr>
                        </w:div>
                      </w:divsChild>
                    </w:div>
                    <w:div w:id="2035034479">
                      <w:marLeft w:val="0"/>
                      <w:marRight w:val="0"/>
                      <w:marTop w:val="240"/>
                      <w:marBottom w:val="240"/>
                      <w:divBdr>
                        <w:top w:val="single" w:sz="12" w:space="0" w:color="EBEBEB"/>
                        <w:left w:val="none" w:sz="0" w:space="0" w:color="auto"/>
                        <w:bottom w:val="single" w:sz="12" w:space="0" w:color="EBEBEB"/>
                        <w:right w:val="none" w:sz="0" w:space="0" w:color="auto"/>
                      </w:divBdr>
                      <w:divsChild>
                        <w:div w:id="200168778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861549863">
          <w:marLeft w:val="0"/>
          <w:marRight w:val="0"/>
          <w:marTop w:val="0"/>
          <w:marBottom w:val="0"/>
          <w:divBdr>
            <w:top w:val="none" w:sz="0" w:space="0" w:color="auto"/>
            <w:left w:val="none" w:sz="0" w:space="0" w:color="auto"/>
            <w:bottom w:val="none" w:sz="0" w:space="0" w:color="auto"/>
            <w:right w:val="none" w:sz="0" w:space="0" w:color="auto"/>
          </w:divBdr>
          <w:divsChild>
            <w:div w:id="1558585284">
              <w:marLeft w:val="0"/>
              <w:marRight w:val="0"/>
              <w:marTop w:val="0"/>
              <w:marBottom w:val="0"/>
              <w:divBdr>
                <w:top w:val="none" w:sz="0" w:space="0" w:color="auto"/>
                <w:left w:val="none" w:sz="0" w:space="0" w:color="auto"/>
                <w:bottom w:val="none" w:sz="0" w:space="0" w:color="auto"/>
                <w:right w:val="none" w:sz="0" w:space="0" w:color="auto"/>
              </w:divBdr>
            </w:div>
          </w:divsChild>
        </w:div>
        <w:div w:id="958343283">
          <w:marLeft w:val="0"/>
          <w:marRight w:val="0"/>
          <w:marTop w:val="0"/>
          <w:marBottom w:val="0"/>
          <w:divBdr>
            <w:top w:val="none" w:sz="0" w:space="0" w:color="auto"/>
            <w:left w:val="none" w:sz="0" w:space="0" w:color="auto"/>
            <w:bottom w:val="none" w:sz="0" w:space="0" w:color="auto"/>
            <w:right w:val="none" w:sz="0" w:space="0" w:color="auto"/>
          </w:divBdr>
        </w:div>
        <w:div w:id="1631476760">
          <w:marLeft w:val="0"/>
          <w:marRight w:val="0"/>
          <w:marTop w:val="0"/>
          <w:marBottom w:val="0"/>
          <w:divBdr>
            <w:top w:val="none" w:sz="0" w:space="0" w:color="auto"/>
            <w:left w:val="none" w:sz="0" w:space="0" w:color="auto"/>
            <w:bottom w:val="none" w:sz="0" w:space="0" w:color="auto"/>
            <w:right w:val="none" w:sz="0" w:space="0" w:color="auto"/>
          </w:divBdr>
        </w:div>
        <w:div w:id="523254269">
          <w:marLeft w:val="0"/>
          <w:marRight w:val="0"/>
          <w:marTop w:val="0"/>
          <w:marBottom w:val="0"/>
          <w:divBdr>
            <w:top w:val="none" w:sz="0" w:space="0" w:color="auto"/>
            <w:left w:val="none" w:sz="0" w:space="0" w:color="auto"/>
            <w:bottom w:val="none" w:sz="0" w:space="0" w:color="auto"/>
            <w:right w:val="none" w:sz="0" w:space="0" w:color="auto"/>
          </w:divBdr>
        </w:div>
        <w:div w:id="1132672103">
          <w:marLeft w:val="0"/>
          <w:marRight w:val="0"/>
          <w:marTop w:val="0"/>
          <w:marBottom w:val="0"/>
          <w:divBdr>
            <w:top w:val="none" w:sz="0" w:space="0" w:color="auto"/>
            <w:left w:val="none" w:sz="0" w:space="0" w:color="auto"/>
            <w:bottom w:val="none" w:sz="0" w:space="0" w:color="auto"/>
            <w:right w:val="none" w:sz="0" w:space="0" w:color="auto"/>
          </w:divBdr>
        </w:div>
        <w:div w:id="1985429374">
          <w:marLeft w:val="0"/>
          <w:marRight w:val="0"/>
          <w:marTop w:val="0"/>
          <w:marBottom w:val="0"/>
          <w:divBdr>
            <w:top w:val="none" w:sz="0" w:space="0" w:color="auto"/>
            <w:left w:val="none" w:sz="0" w:space="0" w:color="auto"/>
            <w:bottom w:val="none" w:sz="0" w:space="0" w:color="auto"/>
            <w:right w:val="none" w:sz="0" w:space="0" w:color="auto"/>
          </w:divBdr>
        </w:div>
        <w:div w:id="616332229">
          <w:marLeft w:val="0"/>
          <w:marRight w:val="0"/>
          <w:marTop w:val="0"/>
          <w:marBottom w:val="0"/>
          <w:divBdr>
            <w:top w:val="none" w:sz="0" w:space="0" w:color="auto"/>
            <w:left w:val="none" w:sz="0" w:space="0" w:color="auto"/>
            <w:bottom w:val="none" w:sz="0" w:space="0" w:color="auto"/>
            <w:right w:val="none" w:sz="0" w:space="0" w:color="auto"/>
          </w:divBdr>
          <w:divsChild>
            <w:div w:id="1524128005">
              <w:marLeft w:val="0"/>
              <w:marRight w:val="0"/>
              <w:marTop w:val="0"/>
              <w:marBottom w:val="0"/>
              <w:divBdr>
                <w:top w:val="none" w:sz="0" w:space="0" w:color="auto"/>
                <w:left w:val="none" w:sz="0" w:space="0" w:color="auto"/>
                <w:bottom w:val="none" w:sz="0" w:space="0" w:color="auto"/>
                <w:right w:val="none" w:sz="0" w:space="0" w:color="auto"/>
              </w:divBdr>
            </w:div>
          </w:divsChild>
        </w:div>
        <w:div w:id="1651590617">
          <w:marLeft w:val="0"/>
          <w:marRight w:val="0"/>
          <w:marTop w:val="0"/>
          <w:marBottom w:val="0"/>
          <w:divBdr>
            <w:top w:val="none" w:sz="0" w:space="0" w:color="auto"/>
            <w:left w:val="none" w:sz="0" w:space="0" w:color="auto"/>
            <w:bottom w:val="none" w:sz="0" w:space="0" w:color="auto"/>
            <w:right w:val="none" w:sz="0" w:space="0" w:color="auto"/>
          </w:divBdr>
        </w:div>
        <w:div w:id="1156921679">
          <w:marLeft w:val="0"/>
          <w:marRight w:val="0"/>
          <w:marTop w:val="0"/>
          <w:marBottom w:val="0"/>
          <w:divBdr>
            <w:top w:val="none" w:sz="0" w:space="0" w:color="auto"/>
            <w:left w:val="none" w:sz="0" w:space="0" w:color="auto"/>
            <w:bottom w:val="none" w:sz="0" w:space="0" w:color="auto"/>
            <w:right w:val="none" w:sz="0" w:space="0" w:color="auto"/>
          </w:divBdr>
        </w:div>
        <w:div w:id="1959795416">
          <w:marLeft w:val="0"/>
          <w:marRight w:val="0"/>
          <w:marTop w:val="0"/>
          <w:marBottom w:val="0"/>
          <w:divBdr>
            <w:top w:val="none" w:sz="0" w:space="0" w:color="auto"/>
            <w:left w:val="none" w:sz="0" w:space="0" w:color="auto"/>
            <w:bottom w:val="none" w:sz="0" w:space="0" w:color="auto"/>
            <w:right w:val="none" w:sz="0" w:space="0" w:color="auto"/>
          </w:divBdr>
          <w:divsChild>
            <w:div w:id="355353110">
              <w:marLeft w:val="0"/>
              <w:marRight w:val="0"/>
              <w:marTop w:val="0"/>
              <w:marBottom w:val="0"/>
              <w:divBdr>
                <w:top w:val="none" w:sz="0" w:space="0" w:color="auto"/>
                <w:left w:val="none" w:sz="0" w:space="0" w:color="auto"/>
                <w:bottom w:val="none" w:sz="0" w:space="0" w:color="auto"/>
                <w:right w:val="none" w:sz="0" w:space="0" w:color="auto"/>
              </w:divBdr>
            </w:div>
          </w:divsChild>
        </w:div>
        <w:div w:id="1678800095">
          <w:marLeft w:val="0"/>
          <w:marRight w:val="0"/>
          <w:marTop w:val="0"/>
          <w:marBottom w:val="0"/>
          <w:divBdr>
            <w:top w:val="none" w:sz="0" w:space="0" w:color="auto"/>
            <w:left w:val="none" w:sz="0" w:space="0" w:color="auto"/>
            <w:bottom w:val="none" w:sz="0" w:space="0" w:color="auto"/>
            <w:right w:val="none" w:sz="0" w:space="0" w:color="auto"/>
          </w:divBdr>
        </w:div>
        <w:div w:id="929509114">
          <w:marLeft w:val="0"/>
          <w:marRight w:val="0"/>
          <w:marTop w:val="0"/>
          <w:marBottom w:val="0"/>
          <w:divBdr>
            <w:top w:val="none" w:sz="0" w:space="0" w:color="auto"/>
            <w:left w:val="none" w:sz="0" w:space="0" w:color="auto"/>
            <w:bottom w:val="none" w:sz="0" w:space="0" w:color="auto"/>
            <w:right w:val="none" w:sz="0" w:space="0" w:color="auto"/>
          </w:divBdr>
        </w:div>
        <w:div w:id="1704330446">
          <w:marLeft w:val="0"/>
          <w:marRight w:val="0"/>
          <w:marTop w:val="0"/>
          <w:marBottom w:val="0"/>
          <w:divBdr>
            <w:top w:val="none" w:sz="0" w:space="0" w:color="auto"/>
            <w:left w:val="none" w:sz="0" w:space="0" w:color="auto"/>
            <w:bottom w:val="none" w:sz="0" w:space="0" w:color="auto"/>
            <w:right w:val="none" w:sz="0" w:space="0" w:color="auto"/>
          </w:divBdr>
          <w:divsChild>
            <w:div w:id="865825616">
              <w:marLeft w:val="0"/>
              <w:marRight w:val="0"/>
              <w:marTop w:val="0"/>
              <w:marBottom w:val="0"/>
              <w:divBdr>
                <w:top w:val="none" w:sz="0" w:space="0" w:color="auto"/>
                <w:left w:val="none" w:sz="0" w:space="0" w:color="auto"/>
                <w:bottom w:val="none" w:sz="0" w:space="0" w:color="auto"/>
                <w:right w:val="none" w:sz="0" w:space="0" w:color="auto"/>
              </w:divBdr>
            </w:div>
          </w:divsChild>
        </w:div>
        <w:div w:id="1658460322">
          <w:marLeft w:val="0"/>
          <w:marRight w:val="0"/>
          <w:marTop w:val="0"/>
          <w:marBottom w:val="0"/>
          <w:divBdr>
            <w:top w:val="none" w:sz="0" w:space="0" w:color="auto"/>
            <w:left w:val="none" w:sz="0" w:space="0" w:color="auto"/>
            <w:bottom w:val="none" w:sz="0" w:space="0" w:color="auto"/>
            <w:right w:val="none" w:sz="0" w:space="0" w:color="auto"/>
          </w:divBdr>
        </w:div>
        <w:div w:id="201477427">
          <w:marLeft w:val="0"/>
          <w:marRight w:val="0"/>
          <w:marTop w:val="0"/>
          <w:marBottom w:val="0"/>
          <w:divBdr>
            <w:top w:val="none" w:sz="0" w:space="0" w:color="auto"/>
            <w:left w:val="none" w:sz="0" w:space="0" w:color="auto"/>
            <w:bottom w:val="none" w:sz="0" w:space="0" w:color="auto"/>
            <w:right w:val="none" w:sz="0" w:space="0" w:color="auto"/>
          </w:divBdr>
        </w:div>
        <w:div w:id="2010475699">
          <w:marLeft w:val="0"/>
          <w:marRight w:val="0"/>
          <w:marTop w:val="0"/>
          <w:marBottom w:val="0"/>
          <w:divBdr>
            <w:top w:val="none" w:sz="0" w:space="0" w:color="auto"/>
            <w:left w:val="none" w:sz="0" w:space="0" w:color="auto"/>
            <w:bottom w:val="none" w:sz="0" w:space="0" w:color="auto"/>
            <w:right w:val="none" w:sz="0" w:space="0" w:color="auto"/>
          </w:divBdr>
          <w:divsChild>
            <w:div w:id="903685593">
              <w:marLeft w:val="0"/>
              <w:marRight w:val="0"/>
              <w:marTop w:val="0"/>
              <w:marBottom w:val="0"/>
              <w:divBdr>
                <w:top w:val="none" w:sz="0" w:space="0" w:color="auto"/>
                <w:left w:val="none" w:sz="0" w:space="0" w:color="auto"/>
                <w:bottom w:val="none" w:sz="0" w:space="0" w:color="auto"/>
                <w:right w:val="none" w:sz="0" w:space="0" w:color="auto"/>
              </w:divBdr>
            </w:div>
          </w:divsChild>
        </w:div>
        <w:div w:id="930551758">
          <w:marLeft w:val="0"/>
          <w:marRight w:val="0"/>
          <w:marTop w:val="0"/>
          <w:marBottom w:val="0"/>
          <w:divBdr>
            <w:top w:val="none" w:sz="0" w:space="0" w:color="auto"/>
            <w:left w:val="none" w:sz="0" w:space="0" w:color="auto"/>
            <w:bottom w:val="none" w:sz="0" w:space="0" w:color="auto"/>
            <w:right w:val="none" w:sz="0" w:space="0" w:color="auto"/>
          </w:divBdr>
        </w:div>
        <w:div w:id="1503935829">
          <w:marLeft w:val="0"/>
          <w:marRight w:val="0"/>
          <w:marTop w:val="0"/>
          <w:marBottom w:val="0"/>
          <w:divBdr>
            <w:top w:val="none" w:sz="0" w:space="0" w:color="auto"/>
            <w:left w:val="none" w:sz="0" w:space="0" w:color="auto"/>
            <w:bottom w:val="none" w:sz="0" w:space="0" w:color="auto"/>
            <w:right w:val="none" w:sz="0" w:space="0" w:color="auto"/>
          </w:divBdr>
        </w:div>
        <w:div w:id="810446821">
          <w:marLeft w:val="0"/>
          <w:marRight w:val="0"/>
          <w:marTop w:val="0"/>
          <w:marBottom w:val="0"/>
          <w:divBdr>
            <w:top w:val="none" w:sz="0" w:space="0" w:color="auto"/>
            <w:left w:val="none" w:sz="0" w:space="0" w:color="auto"/>
            <w:bottom w:val="none" w:sz="0" w:space="0" w:color="auto"/>
            <w:right w:val="none" w:sz="0" w:space="0" w:color="auto"/>
          </w:divBdr>
          <w:divsChild>
            <w:div w:id="83459419">
              <w:marLeft w:val="0"/>
              <w:marRight w:val="0"/>
              <w:marTop w:val="0"/>
              <w:marBottom w:val="0"/>
              <w:divBdr>
                <w:top w:val="none" w:sz="0" w:space="0" w:color="auto"/>
                <w:left w:val="none" w:sz="0" w:space="0" w:color="auto"/>
                <w:bottom w:val="none" w:sz="0" w:space="0" w:color="auto"/>
                <w:right w:val="none" w:sz="0" w:space="0" w:color="auto"/>
              </w:divBdr>
            </w:div>
          </w:divsChild>
        </w:div>
        <w:div w:id="1307512818">
          <w:marLeft w:val="0"/>
          <w:marRight w:val="0"/>
          <w:marTop w:val="0"/>
          <w:marBottom w:val="0"/>
          <w:divBdr>
            <w:top w:val="none" w:sz="0" w:space="0" w:color="auto"/>
            <w:left w:val="none" w:sz="0" w:space="0" w:color="auto"/>
            <w:bottom w:val="none" w:sz="0" w:space="0" w:color="auto"/>
            <w:right w:val="none" w:sz="0" w:space="0" w:color="auto"/>
          </w:divBdr>
        </w:div>
        <w:div w:id="1267159456">
          <w:marLeft w:val="0"/>
          <w:marRight w:val="0"/>
          <w:marTop w:val="0"/>
          <w:marBottom w:val="0"/>
          <w:divBdr>
            <w:top w:val="none" w:sz="0" w:space="0" w:color="auto"/>
            <w:left w:val="none" w:sz="0" w:space="0" w:color="auto"/>
            <w:bottom w:val="none" w:sz="0" w:space="0" w:color="auto"/>
            <w:right w:val="none" w:sz="0" w:space="0" w:color="auto"/>
          </w:divBdr>
        </w:div>
        <w:div w:id="2115782003">
          <w:marLeft w:val="0"/>
          <w:marRight w:val="0"/>
          <w:marTop w:val="0"/>
          <w:marBottom w:val="0"/>
          <w:divBdr>
            <w:top w:val="none" w:sz="0" w:space="0" w:color="auto"/>
            <w:left w:val="none" w:sz="0" w:space="0" w:color="auto"/>
            <w:bottom w:val="none" w:sz="0" w:space="0" w:color="auto"/>
            <w:right w:val="none" w:sz="0" w:space="0" w:color="auto"/>
          </w:divBdr>
          <w:divsChild>
            <w:div w:id="329144296">
              <w:marLeft w:val="0"/>
              <w:marRight w:val="0"/>
              <w:marTop w:val="0"/>
              <w:marBottom w:val="0"/>
              <w:divBdr>
                <w:top w:val="none" w:sz="0" w:space="0" w:color="auto"/>
                <w:left w:val="none" w:sz="0" w:space="0" w:color="auto"/>
                <w:bottom w:val="none" w:sz="0" w:space="0" w:color="auto"/>
                <w:right w:val="none" w:sz="0" w:space="0" w:color="auto"/>
              </w:divBdr>
            </w:div>
          </w:divsChild>
        </w:div>
        <w:div w:id="1703675130">
          <w:marLeft w:val="0"/>
          <w:marRight w:val="0"/>
          <w:marTop w:val="0"/>
          <w:marBottom w:val="0"/>
          <w:divBdr>
            <w:top w:val="none" w:sz="0" w:space="0" w:color="auto"/>
            <w:left w:val="none" w:sz="0" w:space="0" w:color="auto"/>
            <w:bottom w:val="none" w:sz="0" w:space="0" w:color="auto"/>
            <w:right w:val="none" w:sz="0" w:space="0" w:color="auto"/>
          </w:divBdr>
        </w:div>
        <w:div w:id="1635745354">
          <w:marLeft w:val="0"/>
          <w:marRight w:val="0"/>
          <w:marTop w:val="0"/>
          <w:marBottom w:val="0"/>
          <w:divBdr>
            <w:top w:val="none" w:sz="0" w:space="0" w:color="auto"/>
            <w:left w:val="none" w:sz="0" w:space="0" w:color="auto"/>
            <w:bottom w:val="none" w:sz="0" w:space="0" w:color="auto"/>
            <w:right w:val="none" w:sz="0" w:space="0" w:color="auto"/>
          </w:divBdr>
        </w:div>
        <w:div w:id="1205291617">
          <w:marLeft w:val="0"/>
          <w:marRight w:val="0"/>
          <w:marTop w:val="0"/>
          <w:marBottom w:val="0"/>
          <w:divBdr>
            <w:top w:val="none" w:sz="0" w:space="0" w:color="auto"/>
            <w:left w:val="none" w:sz="0" w:space="0" w:color="auto"/>
            <w:bottom w:val="none" w:sz="0" w:space="0" w:color="auto"/>
            <w:right w:val="none" w:sz="0" w:space="0" w:color="auto"/>
          </w:divBdr>
          <w:divsChild>
            <w:div w:id="332490177">
              <w:marLeft w:val="0"/>
              <w:marRight w:val="0"/>
              <w:marTop w:val="0"/>
              <w:marBottom w:val="0"/>
              <w:divBdr>
                <w:top w:val="none" w:sz="0" w:space="0" w:color="auto"/>
                <w:left w:val="none" w:sz="0" w:space="0" w:color="auto"/>
                <w:bottom w:val="none" w:sz="0" w:space="0" w:color="auto"/>
                <w:right w:val="none" w:sz="0" w:space="0" w:color="auto"/>
              </w:divBdr>
            </w:div>
          </w:divsChild>
        </w:div>
        <w:div w:id="156384355">
          <w:marLeft w:val="0"/>
          <w:marRight w:val="0"/>
          <w:marTop w:val="0"/>
          <w:marBottom w:val="0"/>
          <w:divBdr>
            <w:top w:val="none" w:sz="0" w:space="0" w:color="auto"/>
            <w:left w:val="none" w:sz="0" w:space="0" w:color="auto"/>
            <w:bottom w:val="none" w:sz="0" w:space="0" w:color="auto"/>
            <w:right w:val="none" w:sz="0" w:space="0" w:color="auto"/>
          </w:divBdr>
        </w:div>
        <w:div w:id="1043602734">
          <w:marLeft w:val="0"/>
          <w:marRight w:val="0"/>
          <w:marTop w:val="0"/>
          <w:marBottom w:val="0"/>
          <w:divBdr>
            <w:top w:val="none" w:sz="0" w:space="0" w:color="auto"/>
            <w:left w:val="none" w:sz="0" w:space="0" w:color="auto"/>
            <w:bottom w:val="none" w:sz="0" w:space="0" w:color="auto"/>
            <w:right w:val="none" w:sz="0" w:space="0" w:color="auto"/>
          </w:divBdr>
        </w:div>
        <w:div w:id="1677267012">
          <w:marLeft w:val="0"/>
          <w:marRight w:val="0"/>
          <w:marTop w:val="0"/>
          <w:marBottom w:val="0"/>
          <w:divBdr>
            <w:top w:val="none" w:sz="0" w:space="0" w:color="auto"/>
            <w:left w:val="none" w:sz="0" w:space="0" w:color="auto"/>
            <w:bottom w:val="none" w:sz="0" w:space="0" w:color="auto"/>
            <w:right w:val="none" w:sz="0" w:space="0" w:color="auto"/>
          </w:divBdr>
          <w:divsChild>
            <w:div w:id="192040694">
              <w:marLeft w:val="0"/>
              <w:marRight w:val="0"/>
              <w:marTop w:val="0"/>
              <w:marBottom w:val="0"/>
              <w:divBdr>
                <w:top w:val="none" w:sz="0" w:space="0" w:color="auto"/>
                <w:left w:val="none" w:sz="0" w:space="0" w:color="auto"/>
                <w:bottom w:val="none" w:sz="0" w:space="0" w:color="auto"/>
                <w:right w:val="none" w:sz="0" w:space="0" w:color="auto"/>
              </w:divBdr>
            </w:div>
          </w:divsChild>
        </w:div>
        <w:div w:id="71198577">
          <w:marLeft w:val="0"/>
          <w:marRight w:val="0"/>
          <w:marTop w:val="0"/>
          <w:marBottom w:val="0"/>
          <w:divBdr>
            <w:top w:val="none" w:sz="0" w:space="0" w:color="auto"/>
            <w:left w:val="none" w:sz="0" w:space="0" w:color="auto"/>
            <w:bottom w:val="none" w:sz="0" w:space="0" w:color="auto"/>
            <w:right w:val="none" w:sz="0" w:space="0" w:color="auto"/>
          </w:divBdr>
        </w:div>
        <w:div w:id="61563505">
          <w:marLeft w:val="0"/>
          <w:marRight w:val="0"/>
          <w:marTop w:val="0"/>
          <w:marBottom w:val="0"/>
          <w:divBdr>
            <w:top w:val="none" w:sz="0" w:space="0" w:color="auto"/>
            <w:left w:val="none" w:sz="0" w:space="0" w:color="auto"/>
            <w:bottom w:val="none" w:sz="0" w:space="0" w:color="auto"/>
            <w:right w:val="none" w:sz="0" w:space="0" w:color="auto"/>
          </w:divBdr>
        </w:div>
        <w:div w:id="1992176801">
          <w:marLeft w:val="0"/>
          <w:marRight w:val="0"/>
          <w:marTop w:val="0"/>
          <w:marBottom w:val="0"/>
          <w:divBdr>
            <w:top w:val="none" w:sz="0" w:space="0" w:color="auto"/>
            <w:left w:val="none" w:sz="0" w:space="0" w:color="auto"/>
            <w:bottom w:val="none" w:sz="0" w:space="0" w:color="auto"/>
            <w:right w:val="none" w:sz="0" w:space="0" w:color="auto"/>
          </w:divBdr>
          <w:divsChild>
            <w:div w:id="618142048">
              <w:marLeft w:val="0"/>
              <w:marRight w:val="0"/>
              <w:marTop w:val="0"/>
              <w:marBottom w:val="0"/>
              <w:divBdr>
                <w:top w:val="none" w:sz="0" w:space="0" w:color="auto"/>
                <w:left w:val="none" w:sz="0" w:space="0" w:color="auto"/>
                <w:bottom w:val="none" w:sz="0" w:space="0" w:color="auto"/>
                <w:right w:val="none" w:sz="0" w:space="0" w:color="auto"/>
              </w:divBdr>
            </w:div>
          </w:divsChild>
        </w:div>
        <w:div w:id="239338391">
          <w:marLeft w:val="0"/>
          <w:marRight w:val="0"/>
          <w:marTop w:val="0"/>
          <w:marBottom w:val="0"/>
          <w:divBdr>
            <w:top w:val="none" w:sz="0" w:space="0" w:color="auto"/>
            <w:left w:val="none" w:sz="0" w:space="0" w:color="auto"/>
            <w:bottom w:val="none" w:sz="0" w:space="0" w:color="auto"/>
            <w:right w:val="none" w:sz="0" w:space="0" w:color="auto"/>
          </w:divBdr>
        </w:div>
        <w:div w:id="1353458210">
          <w:marLeft w:val="0"/>
          <w:marRight w:val="0"/>
          <w:marTop w:val="0"/>
          <w:marBottom w:val="0"/>
          <w:divBdr>
            <w:top w:val="none" w:sz="0" w:space="0" w:color="auto"/>
            <w:left w:val="none" w:sz="0" w:space="0" w:color="auto"/>
            <w:bottom w:val="none" w:sz="0" w:space="0" w:color="auto"/>
            <w:right w:val="none" w:sz="0" w:space="0" w:color="auto"/>
          </w:divBdr>
        </w:div>
        <w:div w:id="149950904">
          <w:marLeft w:val="0"/>
          <w:marRight w:val="0"/>
          <w:marTop w:val="0"/>
          <w:marBottom w:val="0"/>
          <w:divBdr>
            <w:top w:val="none" w:sz="0" w:space="0" w:color="auto"/>
            <w:left w:val="none" w:sz="0" w:space="0" w:color="auto"/>
            <w:bottom w:val="none" w:sz="0" w:space="0" w:color="auto"/>
            <w:right w:val="none" w:sz="0" w:space="0" w:color="auto"/>
          </w:divBdr>
          <w:divsChild>
            <w:div w:id="189953539">
              <w:marLeft w:val="0"/>
              <w:marRight w:val="0"/>
              <w:marTop w:val="0"/>
              <w:marBottom w:val="0"/>
              <w:divBdr>
                <w:top w:val="none" w:sz="0" w:space="0" w:color="auto"/>
                <w:left w:val="none" w:sz="0" w:space="0" w:color="auto"/>
                <w:bottom w:val="none" w:sz="0" w:space="0" w:color="auto"/>
                <w:right w:val="none" w:sz="0" w:space="0" w:color="auto"/>
              </w:divBdr>
            </w:div>
          </w:divsChild>
        </w:div>
        <w:div w:id="1054698513">
          <w:marLeft w:val="0"/>
          <w:marRight w:val="0"/>
          <w:marTop w:val="0"/>
          <w:marBottom w:val="0"/>
          <w:divBdr>
            <w:top w:val="none" w:sz="0" w:space="0" w:color="auto"/>
            <w:left w:val="none" w:sz="0" w:space="0" w:color="auto"/>
            <w:bottom w:val="none" w:sz="0" w:space="0" w:color="auto"/>
            <w:right w:val="none" w:sz="0" w:space="0" w:color="auto"/>
          </w:divBdr>
        </w:div>
        <w:div w:id="1804880124">
          <w:marLeft w:val="0"/>
          <w:marRight w:val="0"/>
          <w:marTop w:val="0"/>
          <w:marBottom w:val="0"/>
          <w:divBdr>
            <w:top w:val="none" w:sz="0" w:space="0" w:color="auto"/>
            <w:left w:val="none" w:sz="0" w:space="0" w:color="auto"/>
            <w:bottom w:val="none" w:sz="0" w:space="0" w:color="auto"/>
            <w:right w:val="none" w:sz="0" w:space="0" w:color="auto"/>
          </w:divBdr>
        </w:div>
        <w:div w:id="199560593">
          <w:marLeft w:val="0"/>
          <w:marRight w:val="0"/>
          <w:marTop w:val="0"/>
          <w:marBottom w:val="0"/>
          <w:divBdr>
            <w:top w:val="none" w:sz="0" w:space="0" w:color="auto"/>
            <w:left w:val="none" w:sz="0" w:space="0" w:color="auto"/>
            <w:bottom w:val="none" w:sz="0" w:space="0" w:color="auto"/>
            <w:right w:val="none" w:sz="0" w:space="0" w:color="auto"/>
          </w:divBdr>
          <w:divsChild>
            <w:div w:id="476339834">
              <w:marLeft w:val="0"/>
              <w:marRight w:val="0"/>
              <w:marTop w:val="0"/>
              <w:marBottom w:val="0"/>
              <w:divBdr>
                <w:top w:val="none" w:sz="0" w:space="0" w:color="auto"/>
                <w:left w:val="none" w:sz="0" w:space="0" w:color="auto"/>
                <w:bottom w:val="none" w:sz="0" w:space="0" w:color="auto"/>
                <w:right w:val="none" w:sz="0" w:space="0" w:color="auto"/>
              </w:divBdr>
            </w:div>
          </w:divsChild>
        </w:div>
        <w:div w:id="134807925">
          <w:marLeft w:val="0"/>
          <w:marRight w:val="0"/>
          <w:marTop w:val="0"/>
          <w:marBottom w:val="0"/>
          <w:divBdr>
            <w:top w:val="none" w:sz="0" w:space="0" w:color="auto"/>
            <w:left w:val="none" w:sz="0" w:space="0" w:color="auto"/>
            <w:bottom w:val="none" w:sz="0" w:space="0" w:color="auto"/>
            <w:right w:val="none" w:sz="0" w:space="0" w:color="auto"/>
          </w:divBdr>
        </w:div>
        <w:div w:id="1559588862">
          <w:marLeft w:val="0"/>
          <w:marRight w:val="0"/>
          <w:marTop w:val="0"/>
          <w:marBottom w:val="0"/>
          <w:divBdr>
            <w:top w:val="none" w:sz="0" w:space="0" w:color="auto"/>
            <w:left w:val="none" w:sz="0" w:space="0" w:color="auto"/>
            <w:bottom w:val="none" w:sz="0" w:space="0" w:color="auto"/>
            <w:right w:val="none" w:sz="0" w:space="0" w:color="auto"/>
          </w:divBdr>
        </w:div>
        <w:div w:id="1638877066">
          <w:marLeft w:val="0"/>
          <w:marRight w:val="0"/>
          <w:marTop w:val="0"/>
          <w:marBottom w:val="0"/>
          <w:divBdr>
            <w:top w:val="none" w:sz="0" w:space="0" w:color="auto"/>
            <w:left w:val="none" w:sz="0" w:space="0" w:color="auto"/>
            <w:bottom w:val="none" w:sz="0" w:space="0" w:color="auto"/>
            <w:right w:val="none" w:sz="0" w:space="0" w:color="auto"/>
          </w:divBdr>
          <w:divsChild>
            <w:div w:id="365370342">
              <w:marLeft w:val="0"/>
              <w:marRight w:val="0"/>
              <w:marTop w:val="0"/>
              <w:marBottom w:val="0"/>
              <w:divBdr>
                <w:top w:val="none" w:sz="0" w:space="0" w:color="auto"/>
                <w:left w:val="none" w:sz="0" w:space="0" w:color="auto"/>
                <w:bottom w:val="none" w:sz="0" w:space="0" w:color="auto"/>
                <w:right w:val="none" w:sz="0" w:space="0" w:color="auto"/>
              </w:divBdr>
            </w:div>
          </w:divsChild>
        </w:div>
        <w:div w:id="526719613">
          <w:marLeft w:val="0"/>
          <w:marRight w:val="0"/>
          <w:marTop w:val="0"/>
          <w:marBottom w:val="0"/>
          <w:divBdr>
            <w:top w:val="none" w:sz="0" w:space="0" w:color="auto"/>
            <w:left w:val="none" w:sz="0" w:space="0" w:color="auto"/>
            <w:bottom w:val="none" w:sz="0" w:space="0" w:color="auto"/>
            <w:right w:val="none" w:sz="0" w:space="0" w:color="auto"/>
          </w:divBdr>
        </w:div>
        <w:div w:id="715659813">
          <w:marLeft w:val="0"/>
          <w:marRight w:val="0"/>
          <w:marTop w:val="0"/>
          <w:marBottom w:val="0"/>
          <w:divBdr>
            <w:top w:val="none" w:sz="0" w:space="0" w:color="auto"/>
            <w:left w:val="none" w:sz="0" w:space="0" w:color="auto"/>
            <w:bottom w:val="none" w:sz="0" w:space="0" w:color="auto"/>
            <w:right w:val="none" w:sz="0" w:space="0" w:color="auto"/>
          </w:divBdr>
        </w:div>
        <w:div w:id="682050208">
          <w:marLeft w:val="0"/>
          <w:marRight w:val="0"/>
          <w:marTop w:val="0"/>
          <w:marBottom w:val="0"/>
          <w:divBdr>
            <w:top w:val="none" w:sz="0" w:space="0" w:color="auto"/>
            <w:left w:val="none" w:sz="0" w:space="0" w:color="auto"/>
            <w:bottom w:val="none" w:sz="0" w:space="0" w:color="auto"/>
            <w:right w:val="none" w:sz="0" w:space="0" w:color="auto"/>
          </w:divBdr>
          <w:divsChild>
            <w:div w:id="2146121139">
              <w:marLeft w:val="0"/>
              <w:marRight w:val="0"/>
              <w:marTop w:val="0"/>
              <w:marBottom w:val="0"/>
              <w:divBdr>
                <w:top w:val="none" w:sz="0" w:space="0" w:color="auto"/>
                <w:left w:val="none" w:sz="0" w:space="0" w:color="auto"/>
                <w:bottom w:val="none" w:sz="0" w:space="0" w:color="auto"/>
                <w:right w:val="none" w:sz="0" w:space="0" w:color="auto"/>
              </w:divBdr>
            </w:div>
          </w:divsChild>
        </w:div>
        <w:div w:id="418479646">
          <w:marLeft w:val="0"/>
          <w:marRight w:val="0"/>
          <w:marTop w:val="0"/>
          <w:marBottom w:val="0"/>
          <w:divBdr>
            <w:top w:val="none" w:sz="0" w:space="0" w:color="auto"/>
            <w:left w:val="none" w:sz="0" w:space="0" w:color="auto"/>
            <w:bottom w:val="none" w:sz="0" w:space="0" w:color="auto"/>
            <w:right w:val="none" w:sz="0" w:space="0" w:color="auto"/>
          </w:divBdr>
        </w:div>
        <w:div w:id="1781217348">
          <w:marLeft w:val="0"/>
          <w:marRight w:val="0"/>
          <w:marTop w:val="0"/>
          <w:marBottom w:val="0"/>
          <w:divBdr>
            <w:top w:val="none" w:sz="0" w:space="0" w:color="auto"/>
            <w:left w:val="none" w:sz="0" w:space="0" w:color="auto"/>
            <w:bottom w:val="none" w:sz="0" w:space="0" w:color="auto"/>
            <w:right w:val="none" w:sz="0" w:space="0" w:color="auto"/>
          </w:divBdr>
        </w:div>
        <w:div w:id="2111732739">
          <w:marLeft w:val="0"/>
          <w:marRight w:val="0"/>
          <w:marTop w:val="0"/>
          <w:marBottom w:val="0"/>
          <w:divBdr>
            <w:top w:val="none" w:sz="0" w:space="0" w:color="auto"/>
            <w:left w:val="none" w:sz="0" w:space="0" w:color="auto"/>
            <w:bottom w:val="none" w:sz="0" w:space="0" w:color="auto"/>
            <w:right w:val="none" w:sz="0" w:space="0" w:color="auto"/>
          </w:divBdr>
          <w:divsChild>
            <w:div w:id="302584309">
              <w:marLeft w:val="0"/>
              <w:marRight w:val="0"/>
              <w:marTop w:val="0"/>
              <w:marBottom w:val="0"/>
              <w:divBdr>
                <w:top w:val="none" w:sz="0" w:space="0" w:color="auto"/>
                <w:left w:val="none" w:sz="0" w:space="0" w:color="auto"/>
                <w:bottom w:val="none" w:sz="0" w:space="0" w:color="auto"/>
                <w:right w:val="none" w:sz="0" w:space="0" w:color="auto"/>
              </w:divBdr>
            </w:div>
          </w:divsChild>
        </w:div>
        <w:div w:id="1005985222">
          <w:marLeft w:val="0"/>
          <w:marRight w:val="0"/>
          <w:marTop w:val="0"/>
          <w:marBottom w:val="0"/>
          <w:divBdr>
            <w:top w:val="none" w:sz="0" w:space="0" w:color="auto"/>
            <w:left w:val="none" w:sz="0" w:space="0" w:color="auto"/>
            <w:bottom w:val="none" w:sz="0" w:space="0" w:color="auto"/>
            <w:right w:val="none" w:sz="0" w:space="0" w:color="auto"/>
          </w:divBdr>
        </w:div>
        <w:div w:id="1341933269">
          <w:marLeft w:val="0"/>
          <w:marRight w:val="0"/>
          <w:marTop w:val="0"/>
          <w:marBottom w:val="0"/>
          <w:divBdr>
            <w:top w:val="none" w:sz="0" w:space="0" w:color="auto"/>
            <w:left w:val="none" w:sz="0" w:space="0" w:color="auto"/>
            <w:bottom w:val="none" w:sz="0" w:space="0" w:color="auto"/>
            <w:right w:val="none" w:sz="0" w:space="0" w:color="auto"/>
          </w:divBdr>
        </w:div>
        <w:div w:id="260072913">
          <w:marLeft w:val="0"/>
          <w:marRight w:val="0"/>
          <w:marTop w:val="0"/>
          <w:marBottom w:val="0"/>
          <w:divBdr>
            <w:top w:val="none" w:sz="0" w:space="0" w:color="auto"/>
            <w:left w:val="none" w:sz="0" w:space="0" w:color="auto"/>
            <w:bottom w:val="none" w:sz="0" w:space="0" w:color="auto"/>
            <w:right w:val="none" w:sz="0" w:space="0" w:color="auto"/>
          </w:divBdr>
          <w:divsChild>
            <w:div w:id="2028480792">
              <w:marLeft w:val="0"/>
              <w:marRight w:val="0"/>
              <w:marTop w:val="0"/>
              <w:marBottom w:val="0"/>
              <w:divBdr>
                <w:top w:val="none" w:sz="0" w:space="0" w:color="auto"/>
                <w:left w:val="none" w:sz="0" w:space="0" w:color="auto"/>
                <w:bottom w:val="none" w:sz="0" w:space="0" w:color="auto"/>
                <w:right w:val="none" w:sz="0" w:space="0" w:color="auto"/>
              </w:divBdr>
            </w:div>
          </w:divsChild>
        </w:div>
        <w:div w:id="852454461">
          <w:marLeft w:val="0"/>
          <w:marRight w:val="0"/>
          <w:marTop w:val="0"/>
          <w:marBottom w:val="0"/>
          <w:divBdr>
            <w:top w:val="none" w:sz="0" w:space="0" w:color="auto"/>
            <w:left w:val="none" w:sz="0" w:space="0" w:color="auto"/>
            <w:bottom w:val="none" w:sz="0" w:space="0" w:color="auto"/>
            <w:right w:val="none" w:sz="0" w:space="0" w:color="auto"/>
          </w:divBdr>
        </w:div>
        <w:div w:id="2131825722">
          <w:marLeft w:val="0"/>
          <w:marRight w:val="0"/>
          <w:marTop w:val="0"/>
          <w:marBottom w:val="0"/>
          <w:divBdr>
            <w:top w:val="none" w:sz="0" w:space="0" w:color="auto"/>
            <w:left w:val="none" w:sz="0" w:space="0" w:color="auto"/>
            <w:bottom w:val="none" w:sz="0" w:space="0" w:color="auto"/>
            <w:right w:val="none" w:sz="0" w:space="0" w:color="auto"/>
          </w:divBdr>
        </w:div>
        <w:div w:id="799033008">
          <w:marLeft w:val="0"/>
          <w:marRight w:val="0"/>
          <w:marTop w:val="0"/>
          <w:marBottom w:val="0"/>
          <w:divBdr>
            <w:top w:val="none" w:sz="0" w:space="0" w:color="auto"/>
            <w:left w:val="none" w:sz="0" w:space="0" w:color="auto"/>
            <w:bottom w:val="none" w:sz="0" w:space="0" w:color="auto"/>
            <w:right w:val="none" w:sz="0" w:space="0" w:color="auto"/>
          </w:divBdr>
          <w:divsChild>
            <w:div w:id="1920097127">
              <w:marLeft w:val="0"/>
              <w:marRight w:val="0"/>
              <w:marTop w:val="0"/>
              <w:marBottom w:val="0"/>
              <w:divBdr>
                <w:top w:val="none" w:sz="0" w:space="0" w:color="auto"/>
                <w:left w:val="none" w:sz="0" w:space="0" w:color="auto"/>
                <w:bottom w:val="none" w:sz="0" w:space="0" w:color="auto"/>
                <w:right w:val="none" w:sz="0" w:space="0" w:color="auto"/>
              </w:divBdr>
            </w:div>
          </w:divsChild>
        </w:div>
        <w:div w:id="2015305126">
          <w:marLeft w:val="0"/>
          <w:marRight w:val="0"/>
          <w:marTop w:val="0"/>
          <w:marBottom w:val="0"/>
          <w:divBdr>
            <w:top w:val="none" w:sz="0" w:space="0" w:color="auto"/>
            <w:left w:val="none" w:sz="0" w:space="0" w:color="auto"/>
            <w:bottom w:val="none" w:sz="0" w:space="0" w:color="auto"/>
            <w:right w:val="none" w:sz="0" w:space="0" w:color="auto"/>
          </w:divBdr>
        </w:div>
        <w:div w:id="2051605722">
          <w:marLeft w:val="0"/>
          <w:marRight w:val="0"/>
          <w:marTop w:val="0"/>
          <w:marBottom w:val="0"/>
          <w:divBdr>
            <w:top w:val="none" w:sz="0" w:space="0" w:color="auto"/>
            <w:left w:val="none" w:sz="0" w:space="0" w:color="auto"/>
            <w:bottom w:val="none" w:sz="0" w:space="0" w:color="auto"/>
            <w:right w:val="none" w:sz="0" w:space="0" w:color="auto"/>
          </w:divBdr>
        </w:div>
        <w:div w:id="952369187">
          <w:marLeft w:val="0"/>
          <w:marRight w:val="0"/>
          <w:marTop w:val="0"/>
          <w:marBottom w:val="0"/>
          <w:divBdr>
            <w:top w:val="none" w:sz="0" w:space="0" w:color="auto"/>
            <w:left w:val="none" w:sz="0" w:space="0" w:color="auto"/>
            <w:bottom w:val="none" w:sz="0" w:space="0" w:color="auto"/>
            <w:right w:val="none" w:sz="0" w:space="0" w:color="auto"/>
          </w:divBdr>
        </w:div>
        <w:div w:id="1313411101">
          <w:marLeft w:val="0"/>
          <w:marRight w:val="0"/>
          <w:marTop w:val="0"/>
          <w:marBottom w:val="0"/>
          <w:divBdr>
            <w:top w:val="none" w:sz="0" w:space="0" w:color="auto"/>
            <w:left w:val="none" w:sz="0" w:space="0" w:color="auto"/>
            <w:bottom w:val="none" w:sz="0" w:space="0" w:color="auto"/>
            <w:right w:val="none" w:sz="0" w:space="0" w:color="auto"/>
          </w:divBdr>
        </w:div>
        <w:div w:id="1114013496">
          <w:marLeft w:val="0"/>
          <w:marRight w:val="0"/>
          <w:marTop w:val="0"/>
          <w:marBottom w:val="0"/>
          <w:divBdr>
            <w:top w:val="none" w:sz="0" w:space="0" w:color="auto"/>
            <w:left w:val="none" w:sz="0" w:space="0" w:color="auto"/>
            <w:bottom w:val="none" w:sz="0" w:space="0" w:color="auto"/>
            <w:right w:val="none" w:sz="0" w:space="0" w:color="auto"/>
          </w:divBdr>
        </w:div>
        <w:div w:id="786584115">
          <w:marLeft w:val="0"/>
          <w:marRight w:val="0"/>
          <w:marTop w:val="0"/>
          <w:marBottom w:val="0"/>
          <w:divBdr>
            <w:top w:val="none" w:sz="0" w:space="0" w:color="auto"/>
            <w:left w:val="none" w:sz="0" w:space="0" w:color="auto"/>
            <w:bottom w:val="none" w:sz="0" w:space="0" w:color="auto"/>
            <w:right w:val="none" w:sz="0" w:space="0" w:color="auto"/>
          </w:divBdr>
        </w:div>
        <w:div w:id="1227566488">
          <w:marLeft w:val="0"/>
          <w:marRight w:val="0"/>
          <w:marTop w:val="0"/>
          <w:marBottom w:val="0"/>
          <w:divBdr>
            <w:top w:val="none" w:sz="0" w:space="0" w:color="auto"/>
            <w:left w:val="none" w:sz="0" w:space="0" w:color="auto"/>
            <w:bottom w:val="none" w:sz="0" w:space="0" w:color="auto"/>
            <w:right w:val="none" w:sz="0" w:space="0" w:color="auto"/>
          </w:divBdr>
          <w:divsChild>
            <w:div w:id="340469227">
              <w:marLeft w:val="0"/>
              <w:marRight w:val="0"/>
              <w:marTop w:val="0"/>
              <w:marBottom w:val="0"/>
              <w:divBdr>
                <w:top w:val="none" w:sz="0" w:space="0" w:color="auto"/>
                <w:left w:val="none" w:sz="0" w:space="0" w:color="auto"/>
                <w:bottom w:val="none" w:sz="0" w:space="0" w:color="auto"/>
                <w:right w:val="none" w:sz="0" w:space="0" w:color="auto"/>
              </w:divBdr>
            </w:div>
          </w:divsChild>
        </w:div>
        <w:div w:id="699941473">
          <w:marLeft w:val="0"/>
          <w:marRight w:val="0"/>
          <w:marTop w:val="0"/>
          <w:marBottom w:val="0"/>
          <w:divBdr>
            <w:top w:val="none" w:sz="0" w:space="0" w:color="auto"/>
            <w:left w:val="none" w:sz="0" w:space="0" w:color="auto"/>
            <w:bottom w:val="none" w:sz="0" w:space="0" w:color="auto"/>
            <w:right w:val="none" w:sz="0" w:space="0" w:color="auto"/>
          </w:divBdr>
        </w:div>
        <w:div w:id="668024260">
          <w:marLeft w:val="0"/>
          <w:marRight w:val="0"/>
          <w:marTop w:val="0"/>
          <w:marBottom w:val="0"/>
          <w:divBdr>
            <w:top w:val="none" w:sz="0" w:space="0" w:color="auto"/>
            <w:left w:val="none" w:sz="0" w:space="0" w:color="auto"/>
            <w:bottom w:val="none" w:sz="0" w:space="0" w:color="auto"/>
            <w:right w:val="none" w:sz="0" w:space="0" w:color="auto"/>
          </w:divBdr>
        </w:div>
        <w:div w:id="1627783382">
          <w:marLeft w:val="0"/>
          <w:marRight w:val="0"/>
          <w:marTop w:val="0"/>
          <w:marBottom w:val="0"/>
          <w:divBdr>
            <w:top w:val="none" w:sz="0" w:space="0" w:color="auto"/>
            <w:left w:val="none" w:sz="0" w:space="0" w:color="auto"/>
            <w:bottom w:val="none" w:sz="0" w:space="0" w:color="auto"/>
            <w:right w:val="none" w:sz="0" w:space="0" w:color="auto"/>
          </w:divBdr>
          <w:divsChild>
            <w:div w:id="485392295">
              <w:marLeft w:val="0"/>
              <w:marRight w:val="0"/>
              <w:marTop w:val="0"/>
              <w:marBottom w:val="0"/>
              <w:divBdr>
                <w:top w:val="none" w:sz="0" w:space="0" w:color="auto"/>
                <w:left w:val="none" w:sz="0" w:space="0" w:color="auto"/>
                <w:bottom w:val="none" w:sz="0" w:space="0" w:color="auto"/>
                <w:right w:val="none" w:sz="0" w:space="0" w:color="auto"/>
              </w:divBdr>
            </w:div>
          </w:divsChild>
        </w:div>
        <w:div w:id="223613974">
          <w:marLeft w:val="0"/>
          <w:marRight w:val="0"/>
          <w:marTop w:val="0"/>
          <w:marBottom w:val="0"/>
          <w:divBdr>
            <w:top w:val="none" w:sz="0" w:space="0" w:color="auto"/>
            <w:left w:val="none" w:sz="0" w:space="0" w:color="auto"/>
            <w:bottom w:val="none" w:sz="0" w:space="0" w:color="auto"/>
            <w:right w:val="none" w:sz="0" w:space="0" w:color="auto"/>
          </w:divBdr>
        </w:div>
        <w:div w:id="247278854">
          <w:marLeft w:val="0"/>
          <w:marRight w:val="0"/>
          <w:marTop w:val="0"/>
          <w:marBottom w:val="0"/>
          <w:divBdr>
            <w:top w:val="none" w:sz="0" w:space="0" w:color="auto"/>
            <w:left w:val="none" w:sz="0" w:space="0" w:color="auto"/>
            <w:bottom w:val="none" w:sz="0" w:space="0" w:color="auto"/>
            <w:right w:val="none" w:sz="0" w:space="0" w:color="auto"/>
          </w:divBdr>
        </w:div>
        <w:div w:id="551616562">
          <w:marLeft w:val="0"/>
          <w:marRight w:val="0"/>
          <w:marTop w:val="0"/>
          <w:marBottom w:val="0"/>
          <w:divBdr>
            <w:top w:val="none" w:sz="0" w:space="0" w:color="auto"/>
            <w:left w:val="none" w:sz="0" w:space="0" w:color="auto"/>
            <w:bottom w:val="none" w:sz="0" w:space="0" w:color="auto"/>
            <w:right w:val="none" w:sz="0" w:space="0" w:color="auto"/>
          </w:divBdr>
          <w:divsChild>
            <w:div w:id="1516188046">
              <w:marLeft w:val="0"/>
              <w:marRight w:val="0"/>
              <w:marTop w:val="0"/>
              <w:marBottom w:val="0"/>
              <w:divBdr>
                <w:top w:val="none" w:sz="0" w:space="0" w:color="auto"/>
                <w:left w:val="none" w:sz="0" w:space="0" w:color="auto"/>
                <w:bottom w:val="none" w:sz="0" w:space="0" w:color="auto"/>
                <w:right w:val="none" w:sz="0" w:space="0" w:color="auto"/>
              </w:divBdr>
            </w:div>
          </w:divsChild>
        </w:div>
        <w:div w:id="65884462">
          <w:marLeft w:val="0"/>
          <w:marRight w:val="0"/>
          <w:marTop w:val="0"/>
          <w:marBottom w:val="0"/>
          <w:divBdr>
            <w:top w:val="none" w:sz="0" w:space="0" w:color="auto"/>
            <w:left w:val="none" w:sz="0" w:space="0" w:color="auto"/>
            <w:bottom w:val="none" w:sz="0" w:space="0" w:color="auto"/>
            <w:right w:val="none" w:sz="0" w:space="0" w:color="auto"/>
          </w:divBdr>
        </w:div>
        <w:div w:id="2111777036">
          <w:marLeft w:val="0"/>
          <w:marRight w:val="0"/>
          <w:marTop w:val="0"/>
          <w:marBottom w:val="0"/>
          <w:divBdr>
            <w:top w:val="none" w:sz="0" w:space="0" w:color="auto"/>
            <w:left w:val="none" w:sz="0" w:space="0" w:color="auto"/>
            <w:bottom w:val="none" w:sz="0" w:space="0" w:color="auto"/>
            <w:right w:val="none" w:sz="0" w:space="0" w:color="auto"/>
          </w:divBdr>
        </w:div>
        <w:div w:id="934897559">
          <w:marLeft w:val="0"/>
          <w:marRight w:val="0"/>
          <w:marTop w:val="0"/>
          <w:marBottom w:val="0"/>
          <w:divBdr>
            <w:top w:val="none" w:sz="0" w:space="0" w:color="auto"/>
            <w:left w:val="none" w:sz="0" w:space="0" w:color="auto"/>
            <w:bottom w:val="none" w:sz="0" w:space="0" w:color="auto"/>
            <w:right w:val="none" w:sz="0" w:space="0" w:color="auto"/>
          </w:divBdr>
          <w:divsChild>
            <w:div w:id="1108619819">
              <w:marLeft w:val="0"/>
              <w:marRight w:val="0"/>
              <w:marTop w:val="0"/>
              <w:marBottom w:val="0"/>
              <w:divBdr>
                <w:top w:val="none" w:sz="0" w:space="0" w:color="auto"/>
                <w:left w:val="none" w:sz="0" w:space="0" w:color="auto"/>
                <w:bottom w:val="none" w:sz="0" w:space="0" w:color="auto"/>
                <w:right w:val="none" w:sz="0" w:space="0" w:color="auto"/>
              </w:divBdr>
            </w:div>
          </w:divsChild>
        </w:div>
        <w:div w:id="958613020">
          <w:marLeft w:val="0"/>
          <w:marRight w:val="0"/>
          <w:marTop w:val="0"/>
          <w:marBottom w:val="0"/>
          <w:divBdr>
            <w:top w:val="none" w:sz="0" w:space="0" w:color="auto"/>
            <w:left w:val="none" w:sz="0" w:space="0" w:color="auto"/>
            <w:bottom w:val="none" w:sz="0" w:space="0" w:color="auto"/>
            <w:right w:val="none" w:sz="0" w:space="0" w:color="auto"/>
          </w:divBdr>
        </w:div>
        <w:div w:id="931007273">
          <w:marLeft w:val="0"/>
          <w:marRight w:val="0"/>
          <w:marTop w:val="0"/>
          <w:marBottom w:val="0"/>
          <w:divBdr>
            <w:top w:val="none" w:sz="0" w:space="0" w:color="auto"/>
            <w:left w:val="none" w:sz="0" w:space="0" w:color="auto"/>
            <w:bottom w:val="none" w:sz="0" w:space="0" w:color="auto"/>
            <w:right w:val="none" w:sz="0" w:space="0" w:color="auto"/>
          </w:divBdr>
        </w:div>
        <w:div w:id="2008634679">
          <w:marLeft w:val="0"/>
          <w:marRight w:val="0"/>
          <w:marTop w:val="0"/>
          <w:marBottom w:val="0"/>
          <w:divBdr>
            <w:top w:val="none" w:sz="0" w:space="0" w:color="auto"/>
            <w:left w:val="none" w:sz="0" w:space="0" w:color="auto"/>
            <w:bottom w:val="none" w:sz="0" w:space="0" w:color="auto"/>
            <w:right w:val="none" w:sz="0" w:space="0" w:color="auto"/>
          </w:divBdr>
          <w:divsChild>
            <w:div w:id="939215663">
              <w:marLeft w:val="0"/>
              <w:marRight w:val="0"/>
              <w:marTop w:val="0"/>
              <w:marBottom w:val="0"/>
              <w:divBdr>
                <w:top w:val="none" w:sz="0" w:space="0" w:color="auto"/>
                <w:left w:val="none" w:sz="0" w:space="0" w:color="auto"/>
                <w:bottom w:val="none" w:sz="0" w:space="0" w:color="auto"/>
                <w:right w:val="none" w:sz="0" w:space="0" w:color="auto"/>
              </w:divBdr>
            </w:div>
          </w:divsChild>
        </w:div>
        <w:div w:id="1135565257">
          <w:marLeft w:val="0"/>
          <w:marRight w:val="0"/>
          <w:marTop w:val="0"/>
          <w:marBottom w:val="0"/>
          <w:divBdr>
            <w:top w:val="none" w:sz="0" w:space="0" w:color="auto"/>
            <w:left w:val="none" w:sz="0" w:space="0" w:color="auto"/>
            <w:bottom w:val="none" w:sz="0" w:space="0" w:color="auto"/>
            <w:right w:val="none" w:sz="0" w:space="0" w:color="auto"/>
          </w:divBdr>
        </w:div>
        <w:div w:id="639967024">
          <w:marLeft w:val="0"/>
          <w:marRight w:val="0"/>
          <w:marTop w:val="0"/>
          <w:marBottom w:val="0"/>
          <w:divBdr>
            <w:top w:val="none" w:sz="0" w:space="0" w:color="auto"/>
            <w:left w:val="none" w:sz="0" w:space="0" w:color="auto"/>
            <w:bottom w:val="none" w:sz="0" w:space="0" w:color="auto"/>
            <w:right w:val="none" w:sz="0" w:space="0" w:color="auto"/>
          </w:divBdr>
        </w:div>
        <w:div w:id="207688549">
          <w:marLeft w:val="0"/>
          <w:marRight w:val="0"/>
          <w:marTop w:val="0"/>
          <w:marBottom w:val="0"/>
          <w:divBdr>
            <w:top w:val="none" w:sz="0" w:space="0" w:color="auto"/>
            <w:left w:val="none" w:sz="0" w:space="0" w:color="auto"/>
            <w:bottom w:val="none" w:sz="0" w:space="0" w:color="auto"/>
            <w:right w:val="none" w:sz="0" w:space="0" w:color="auto"/>
          </w:divBdr>
          <w:divsChild>
            <w:div w:id="251863786">
              <w:marLeft w:val="0"/>
              <w:marRight w:val="0"/>
              <w:marTop w:val="0"/>
              <w:marBottom w:val="0"/>
              <w:divBdr>
                <w:top w:val="none" w:sz="0" w:space="0" w:color="auto"/>
                <w:left w:val="none" w:sz="0" w:space="0" w:color="auto"/>
                <w:bottom w:val="none" w:sz="0" w:space="0" w:color="auto"/>
                <w:right w:val="none" w:sz="0" w:space="0" w:color="auto"/>
              </w:divBdr>
            </w:div>
          </w:divsChild>
        </w:div>
        <w:div w:id="193544114">
          <w:marLeft w:val="0"/>
          <w:marRight w:val="0"/>
          <w:marTop w:val="0"/>
          <w:marBottom w:val="0"/>
          <w:divBdr>
            <w:top w:val="none" w:sz="0" w:space="0" w:color="auto"/>
            <w:left w:val="none" w:sz="0" w:space="0" w:color="auto"/>
            <w:bottom w:val="none" w:sz="0" w:space="0" w:color="auto"/>
            <w:right w:val="none" w:sz="0" w:space="0" w:color="auto"/>
          </w:divBdr>
        </w:div>
        <w:div w:id="791630102">
          <w:marLeft w:val="0"/>
          <w:marRight w:val="0"/>
          <w:marTop w:val="0"/>
          <w:marBottom w:val="0"/>
          <w:divBdr>
            <w:top w:val="none" w:sz="0" w:space="0" w:color="auto"/>
            <w:left w:val="none" w:sz="0" w:space="0" w:color="auto"/>
            <w:bottom w:val="none" w:sz="0" w:space="0" w:color="auto"/>
            <w:right w:val="none" w:sz="0" w:space="0" w:color="auto"/>
          </w:divBdr>
        </w:div>
        <w:div w:id="1246648907">
          <w:marLeft w:val="0"/>
          <w:marRight w:val="0"/>
          <w:marTop w:val="0"/>
          <w:marBottom w:val="0"/>
          <w:divBdr>
            <w:top w:val="none" w:sz="0" w:space="0" w:color="auto"/>
            <w:left w:val="none" w:sz="0" w:space="0" w:color="auto"/>
            <w:bottom w:val="none" w:sz="0" w:space="0" w:color="auto"/>
            <w:right w:val="none" w:sz="0" w:space="0" w:color="auto"/>
          </w:divBdr>
        </w:div>
        <w:div w:id="171994897">
          <w:marLeft w:val="0"/>
          <w:marRight w:val="0"/>
          <w:marTop w:val="0"/>
          <w:marBottom w:val="0"/>
          <w:divBdr>
            <w:top w:val="none" w:sz="0" w:space="0" w:color="auto"/>
            <w:left w:val="none" w:sz="0" w:space="0" w:color="auto"/>
            <w:bottom w:val="none" w:sz="0" w:space="0" w:color="auto"/>
            <w:right w:val="none" w:sz="0" w:space="0" w:color="auto"/>
          </w:divBdr>
        </w:div>
      </w:divsChild>
    </w:div>
    <w:div w:id="148522144">
      <w:bodyDiv w:val="1"/>
      <w:marLeft w:val="0"/>
      <w:marRight w:val="0"/>
      <w:marTop w:val="0"/>
      <w:marBottom w:val="0"/>
      <w:divBdr>
        <w:top w:val="none" w:sz="0" w:space="0" w:color="auto"/>
        <w:left w:val="none" w:sz="0" w:space="0" w:color="auto"/>
        <w:bottom w:val="none" w:sz="0" w:space="0" w:color="auto"/>
        <w:right w:val="none" w:sz="0" w:space="0" w:color="auto"/>
      </w:divBdr>
    </w:div>
    <w:div w:id="151071297">
      <w:bodyDiv w:val="1"/>
      <w:marLeft w:val="0"/>
      <w:marRight w:val="0"/>
      <w:marTop w:val="0"/>
      <w:marBottom w:val="0"/>
      <w:divBdr>
        <w:top w:val="none" w:sz="0" w:space="0" w:color="auto"/>
        <w:left w:val="none" w:sz="0" w:space="0" w:color="auto"/>
        <w:bottom w:val="none" w:sz="0" w:space="0" w:color="auto"/>
        <w:right w:val="none" w:sz="0" w:space="0" w:color="auto"/>
      </w:divBdr>
      <w:divsChild>
        <w:div w:id="281084541">
          <w:marLeft w:val="0"/>
          <w:marRight w:val="0"/>
          <w:marTop w:val="0"/>
          <w:marBottom w:val="0"/>
          <w:divBdr>
            <w:top w:val="none" w:sz="0" w:space="0" w:color="auto"/>
            <w:left w:val="none" w:sz="0" w:space="0" w:color="auto"/>
            <w:bottom w:val="none" w:sz="0" w:space="0" w:color="auto"/>
            <w:right w:val="none" w:sz="0" w:space="0" w:color="auto"/>
          </w:divBdr>
        </w:div>
      </w:divsChild>
    </w:div>
    <w:div w:id="158693404">
      <w:bodyDiv w:val="1"/>
      <w:marLeft w:val="0"/>
      <w:marRight w:val="0"/>
      <w:marTop w:val="0"/>
      <w:marBottom w:val="0"/>
      <w:divBdr>
        <w:top w:val="none" w:sz="0" w:space="0" w:color="auto"/>
        <w:left w:val="none" w:sz="0" w:space="0" w:color="auto"/>
        <w:bottom w:val="none" w:sz="0" w:space="0" w:color="auto"/>
        <w:right w:val="none" w:sz="0" w:space="0" w:color="auto"/>
      </w:divBdr>
      <w:divsChild>
        <w:div w:id="565458194">
          <w:marLeft w:val="0"/>
          <w:marRight w:val="0"/>
          <w:marTop w:val="0"/>
          <w:marBottom w:val="0"/>
          <w:divBdr>
            <w:top w:val="none" w:sz="0" w:space="0" w:color="auto"/>
            <w:left w:val="none" w:sz="0" w:space="0" w:color="auto"/>
            <w:bottom w:val="none" w:sz="0" w:space="0" w:color="auto"/>
            <w:right w:val="none" w:sz="0" w:space="0" w:color="auto"/>
          </w:divBdr>
          <w:divsChild>
            <w:div w:id="1073315595">
              <w:marLeft w:val="0"/>
              <w:marRight w:val="0"/>
              <w:marTop w:val="0"/>
              <w:marBottom w:val="0"/>
              <w:divBdr>
                <w:top w:val="none" w:sz="0" w:space="0" w:color="auto"/>
                <w:left w:val="none" w:sz="0" w:space="0" w:color="auto"/>
                <w:bottom w:val="none" w:sz="0" w:space="0" w:color="auto"/>
                <w:right w:val="none" w:sz="0" w:space="0" w:color="auto"/>
              </w:divBdr>
            </w:div>
            <w:div w:id="103160564">
              <w:marLeft w:val="0"/>
              <w:marRight w:val="0"/>
              <w:marTop w:val="0"/>
              <w:marBottom w:val="0"/>
              <w:divBdr>
                <w:top w:val="none" w:sz="0" w:space="0" w:color="auto"/>
                <w:left w:val="none" w:sz="0" w:space="0" w:color="auto"/>
                <w:bottom w:val="none" w:sz="0" w:space="0" w:color="auto"/>
                <w:right w:val="none" w:sz="0" w:space="0" w:color="auto"/>
              </w:divBdr>
            </w:div>
          </w:divsChild>
        </w:div>
        <w:div w:id="1622875967">
          <w:marLeft w:val="0"/>
          <w:marRight w:val="0"/>
          <w:marTop w:val="0"/>
          <w:marBottom w:val="0"/>
          <w:divBdr>
            <w:top w:val="none" w:sz="0" w:space="0" w:color="auto"/>
            <w:left w:val="none" w:sz="0" w:space="0" w:color="auto"/>
            <w:bottom w:val="none" w:sz="0" w:space="0" w:color="auto"/>
            <w:right w:val="none" w:sz="0" w:space="0" w:color="auto"/>
          </w:divBdr>
          <w:divsChild>
            <w:div w:id="269047626">
              <w:marLeft w:val="0"/>
              <w:marRight w:val="0"/>
              <w:marTop w:val="0"/>
              <w:marBottom w:val="0"/>
              <w:divBdr>
                <w:top w:val="none" w:sz="0" w:space="0" w:color="auto"/>
                <w:left w:val="none" w:sz="0" w:space="0" w:color="auto"/>
                <w:bottom w:val="none" w:sz="0" w:space="0" w:color="auto"/>
                <w:right w:val="none" w:sz="0" w:space="0" w:color="auto"/>
              </w:divBdr>
            </w:div>
          </w:divsChild>
        </w:div>
        <w:div w:id="1496068619">
          <w:marLeft w:val="0"/>
          <w:marRight w:val="0"/>
          <w:marTop w:val="0"/>
          <w:marBottom w:val="0"/>
          <w:divBdr>
            <w:top w:val="none" w:sz="0" w:space="0" w:color="auto"/>
            <w:left w:val="none" w:sz="0" w:space="0" w:color="auto"/>
            <w:bottom w:val="none" w:sz="0" w:space="0" w:color="auto"/>
            <w:right w:val="none" w:sz="0" w:space="0" w:color="auto"/>
          </w:divBdr>
          <w:divsChild>
            <w:div w:id="1344942256">
              <w:marLeft w:val="0"/>
              <w:marRight w:val="0"/>
              <w:marTop w:val="0"/>
              <w:marBottom w:val="0"/>
              <w:divBdr>
                <w:top w:val="none" w:sz="0" w:space="0" w:color="auto"/>
                <w:left w:val="none" w:sz="0" w:space="0" w:color="auto"/>
                <w:bottom w:val="none" w:sz="0" w:space="0" w:color="auto"/>
                <w:right w:val="none" w:sz="0" w:space="0" w:color="auto"/>
              </w:divBdr>
            </w:div>
            <w:div w:id="1547254493">
              <w:marLeft w:val="0"/>
              <w:marRight w:val="0"/>
              <w:marTop w:val="0"/>
              <w:marBottom w:val="0"/>
              <w:divBdr>
                <w:top w:val="none" w:sz="0" w:space="0" w:color="auto"/>
                <w:left w:val="none" w:sz="0" w:space="0" w:color="auto"/>
                <w:bottom w:val="none" w:sz="0" w:space="0" w:color="auto"/>
                <w:right w:val="none" w:sz="0" w:space="0" w:color="auto"/>
              </w:divBdr>
              <w:divsChild>
                <w:div w:id="1729769490">
                  <w:marLeft w:val="0"/>
                  <w:marRight w:val="0"/>
                  <w:marTop w:val="0"/>
                  <w:marBottom w:val="0"/>
                  <w:divBdr>
                    <w:top w:val="none" w:sz="0" w:space="0" w:color="auto"/>
                    <w:left w:val="none" w:sz="0" w:space="0" w:color="auto"/>
                    <w:bottom w:val="none" w:sz="0" w:space="0" w:color="auto"/>
                    <w:right w:val="none" w:sz="0" w:space="0" w:color="auto"/>
                  </w:divBdr>
                </w:div>
                <w:div w:id="759913755">
                  <w:marLeft w:val="0"/>
                  <w:marRight w:val="0"/>
                  <w:marTop w:val="0"/>
                  <w:marBottom w:val="0"/>
                  <w:divBdr>
                    <w:top w:val="none" w:sz="0" w:space="0" w:color="auto"/>
                    <w:left w:val="none" w:sz="0" w:space="0" w:color="auto"/>
                    <w:bottom w:val="none" w:sz="0" w:space="0" w:color="auto"/>
                    <w:right w:val="none" w:sz="0" w:space="0" w:color="auto"/>
                  </w:divBdr>
                </w:div>
                <w:div w:id="36972937">
                  <w:marLeft w:val="0"/>
                  <w:marRight w:val="0"/>
                  <w:marTop w:val="0"/>
                  <w:marBottom w:val="0"/>
                  <w:divBdr>
                    <w:top w:val="none" w:sz="0" w:space="0" w:color="auto"/>
                    <w:left w:val="none" w:sz="0" w:space="0" w:color="auto"/>
                    <w:bottom w:val="none" w:sz="0" w:space="0" w:color="auto"/>
                    <w:right w:val="none" w:sz="0" w:space="0" w:color="auto"/>
                  </w:divBdr>
                </w:div>
                <w:div w:id="151918182">
                  <w:marLeft w:val="0"/>
                  <w:marRight w:val="0"/>
                  <w:marTop w:val="0"/>
                  <w:marBottom w:val="0"/>
                  <w:divBdr>
                    <w:top w:val="none" w:sz="0" w:space="0" w:color="auto"/>
                    <w:left w:val="none" w:sz="0" w:space="0" w:color="auto"/>
                    <w:bottom w:val="none" w:sz="0" w:space="0" w:color="auto"/>
                    <w:right w:val="none" w:sz="0" w:space="0" w:color="auto"/>
                  </w:divBdr>
                </w:div>
              </w:divsChild>
            </w:div>
            <w:div w:id="1363246995">
              <w:marLeft w:val="0"/>
              <w:marRight w:val="0"/>
              <w:marTop w:val="0"/>
              <w:marBottom w:val="0"/>
              <w:divBdr>
                <w:top w:val="none" w:sz="0" w:space="0" w:color="auto"/>
                <w:left w:val="none" w:sz="0" w:space="0" w:color="auto"/>
                <w:bottom w:val="none" w:sz="0" w:space="0" w:color="auto"/>
                <w:right w:val="none" w:sz="0" w:space="0" w:color="auto"/>
              </w:divBdr>
              <w:divsChild>
                <w:div w:id="1175412382">
                  <w:marLeft w:val="0"/>
                  <w:marRight w:val="0"/>
                  <w:marTop w:val="0"/>
                  <w:marBottom w:val="0"/>
                  <w:divBdr>
                    <w:top w:val="none" w:sz="0" w:space="0" w:color="auto"/>
                    <w:left w:val="none" w:sz="0" w:space="0" w:color="auto"/>
                    <w:bottom w:val="none" w:sz="0" w:space="0" w:color="auto"/>
                    <w:right w:val="none" w:sz="0" w:space="0" w:color="auto"/>
                  </w:divBdr>
                </w:div>
                <w:div w:id="390467563">
                  <w:marLeft w:val="0"/>
                  <w:marRight w:val="0"/>
                  <w:marTop w:val="0"/>
                  <w:marBottom w:val="0"/>
                  <w:divBdr>
                    <w:top w:val="none" w:sz="0" w:space="0" w:color="auto"/>
                    <w:left w:val="none" w:sz="0" w:space="0" w:color="auto"/>
                    <w:bottom w:val="none" w:sz="0" w:space="0" w:color="auto"/>
                    <w:right w:val="none" w:sz="0" w:space="0" w:color="auto"/>
                  </w:divBdr>
                </w:div>
                <w:div w:id="611594702">
                  <w:marLeft w:val="0"/>
                  <w:marRight w:val="0"/>
                  <w:marTop w:val="0"/>
                  <w:marBottom w:val="0"/>
                  <w:divBdr>
                    <w:top w:val="none" w:sz="0" w:space="0" w:color="auto"/>
                    <w:left w:val="none" w:sz="0" w:space="0" w:color="auto"/>
                    <w:bottom w:val="none" w:sz="0" w:space="0" w:color="auto"/>
                    <w:right w:val="none" w:sz="0" w:space="0" w:color="auto"/>
                  </w:divBdr>
                </w:div>
                <w:div w:id="1299334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0979052">
          <w:marLeft w:val="0"/>
          <w:marRight w:val="0"/>
          <w:marTop w:val="0"/>
          <w:marBottom w:val="0"/>
          <w:divBdr>
            <w:top w:val="none" w:sz="0" w:space="0" w:color="auto"/>
            <w:left w:val="none" w:sz="0" w:space="0" w:color="auto"/>
            <w:bottom w:val="none" w:sz="0" w:space="0" w:color="auto"/>
            <w:right w:val="none" w:sz="0" w:space="0" w:color="auto"/>
          </w:divBdr>
          <w:divsChild>
            <w:div w:id="1650136937">
              <w:marLeft w:val="0"/>
              <w:marRight w:val="0"/>
              <w:marTop w:val="0"/>
              <w:marBottom w:val="0"/>
              <w:divBdr>
                <w:top w:val="none" w:sz="0" w:space="0" w:color="auto"/>
                <w:left w:val="none" w:sz="0" w:space="0" w:color="auto"/>
                <w:bottom w:val="none" w:sz="0" w:space="0" w:color="auto"/>
                <w:right w:val="none" w:sz="0" w:space="0" w:color="auto"/>
              </w:divBdr>
            </w:div>
            <w:div w:id="173300571">
              <w:marLeft w:val="0"/>
              <w:marRight w:val="0"/>
              <w:marTop w:val="0"/>
              <w:marBottom w:val="0"/>
              <w:divBdr>
                <w:top w:val="none" w:sz="0" w:space="0" w:color="auto"/>
                <w:left w:val="none" w:sz="0" w:space="0" w:color="auto"/>
                <w:bottom w:val="none" w:sz="0" w:space="0" w:color="auto"/>
                <w:right w:val="none" w:sz="0" w:space="0" w:color="auto"/>
              </w:divBdr>
              <w:divsChild>
                <w:div w:id="1233806575">
                  <w:marLeft w:val="0"/>
                  <w:marRight w:val="0"/>
                  <w:marTop w:val="0"/>
                  <w:marBottom w:val="0"/>
                  <w:divBdr>
                    <w:top w:val="none" w:sz="0" w:space="0" w:color="auto"/>
                    <w:left w:val="none" w:sz="0" w:space="0" w:color="auto"/>
                    <w:bottom w:val="none" w:sz="0" w:space="0" w:color="auto"/>
                    <w:right w:val="none" w:sz="0" w:space="0" w:color="auto"/>
                  </w:divBdr>
                  <w:divsChild>
                    <w:div w:id="1949701644">
                      <w:marLeft w:val="0"/>
                      <w:marRight w:val="0"/>
                      <w:marTop w:val="0"/>
                      <w:marBottom w:val="0"/>
                      <w:divBdr>
                        <w:top w:val="none" w:sz="0" w:space="0" w:color="auto"/>
                        <w:left w:val="none" w:sz="0" w:space="0" w:color="auto"/>
                        <w:bottom w:val="none" w:sz="0" w:space="0" w:color="auto"/>
                        <w:right w:val="none" w:sz="0" w:space="0" w:color="auto"/>
                      </w:divBdr>
                      <w:divsChild>
                        <w:div w:id="1612009634">
                          <w:marLeft w:val="0"/>
                          <w:marRight w:val="0"/>
                          <w:marTop w:val="0"/>
                          <w:marBottom w:val="0"/>
                          <w:divBdr>
                            <w:top w:val="none" w:sz="0" w:space="0" w:color="auto"/>
                            <w:left w:val="none" w:sz="0" w:space="0" w:color="auto"/>
                            <w:bottom w:val="none" w:sz="0" w:space="0" w:color="auto"/>
                            <w:right w:val="none" w:sz="0" w:space="0" w:color="auto"/>
                          </w:divBdr>
                        </w:div>
                        <w:div w:id="747918692">
                          <w:marLeft w:val="0"/>
                          <w:marRight w:val="0"/>
                          <w:marTop w:val="0"/>
                          <w:marBottom w:val="0"/>
                          <w:divBdr>
                            <w:top w:val="none" w:sz="0" w:space="0" w:color="auto"/>
                            <w:left w:val="none" w:sz="0" w:space="0" w:color="auto"/>
                            <w:bottom w:val="none" w:sz="0" w:space="0" w:color="auto"/>
                            <w:right w:val="none" w:sz="0" w:space="0" w:color="auto"/>
                          </w:divBdr>
                          <w:divsChild>
                            <w:div w:id="1987510694">
                              <w:marLeft w:val="0"/>
                              <w:marRight w:val="0"/>
                              <w:marTop w:val="0"/>
                              <w:marBottom w:val="0"/>
                              <w:divBdr>
                                <w:top w:val="none" w:sz="0" w:space="0" w:color="auto"/>
                                <w:left w:val="none" w:sz="0" w:space="0" w:color="auto"/>
                                <w:bottom w:val="none" w:sz="0" w:space="0" w:color="auto"/>
                                <w:right w:val="none" w:sz="0" w:space="0" w:color="auto"/>
                              </w:divBdr>
                            </w:div>
                            <w:div w:id="9766887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1207106">
                  <w:marLeft w:val="0"/>
                  <w:marRight w:val="0"/>
                  <w:marTop w:val="0"/>
                  <w:marBottom w:val="0"/>
                  <w:divBdr>
                    <w:top w:val="none" w:sz="0" w:space="0" w:color="auto"/>
                    <w:left w:val="none" w:sz="0" w:space="0" w:color="auto"/>
                    <w:bottom w:val="none" w:sz="0" w:space="0" w:color="auto"/>
                    <w:right w:val="none" w:sz="0" w:space="0" w:color="auto"/>
                  </w:divBdr>
                  <w:divsChild>
                    <w:div w:id="674918456">
                      <w:marLeft w:val="0"/>
                      <w:marRight w:val="0"/>
                      <w:marTop w:val="0"/>
                      <w:marBottom w:val="0"/>
                      <w:divBdr>
                        <w:top w:val="none" w:sz="0" w:space="0" w:color="auto"/>
                        <w:left w:val="none" w:sz="0" w:space="0" w:color="auto"/>
                        <w:bottom w:val="none" w:sz="0" w:space="0" w:color="auto"/>
                        <w:right w:val="none" w:sz="0" w:space="0" w:color="auto"/>
                      </w:divBdr>
                      <w:divsChild>
                        <w:div w:id="216747139">
                          <w:marLeft w:val="0"/>
                          <w:marRight w:val="0"/>
                          <w:marTop w:val="0"/>
                          <w:marBottom w:val="0"/>
                          <w:divBdr>
                            <w:top w:val="none" w:sz="0" w:space="0" w:color="auto"/>
                            <w:left w:val="none" w:sz="0" w:space="0" w:color="auto"/>
                            <w:bottom w:val="none" w:sz="0" w:space="0" w:color="auto"/>
                            <w:right w:val="none" w:sz="0" w:space="0" w:color="auto"/>
                          </w:divBdr>
                        </w:div>
                        <w:div w:id="1294824077">
                          <w:marLeft w:val="0"/>
                          <w:marRight w:val="0"/>
                          <w:marTop w:val="0"/>
                          <w:marBottom w:val="0"/>
                          <w:divBdr>
                            <w:top w:val="none" w:sz="0" w:space="0" w:color="auto"/>
                            <w:left w:val="none" w:sz="0" w:space="0" w:color="auto"/>
                            <w:bottom w:val="none" w:sz="0" w:space="0" w:color="auto"/>
                            <w:right w:val="none" w:sz="0" w:space="0" w:color="auto"/>
                          </w:divBdr>
                          <w:divsChild>
                            <w:div w:id="1656838255">
                              <w:marLeft w:val="0"/>
                              <w:marRight w:val="0"/>
                              <w:marTop w:val="0"/>
                              <w:marBottom w:val="0"/>
                              <w:divBdr>
                                <w:top w:val="none" w:sz="0" w:space="0" w:color="auto"/>
                                <w:left w:val="none" w:sz="0" w:space="0" w:color="auto"/>
                                <w:bottom w:val="none" w:sz="0" w:space="0" w:color="auto"/>
                                <w:right w:val="none" w:sz="0" w:space="0" w:color="auto"/>
                              </w:divBdr>
                            </w:div>
                            <w:div w:id="1071973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9633097">
                  <w:marLeft w:val="0"/>
                  <w:marRight w:val="0"/>
                  <w:marTop w:val="0"/>
                  <w:marBottom w:val="0"/>
                  <w:divBdr>
                    <w:top w:val="none" w:sz="0" w:space="0" w:color="auto"/>
                    <w:left w:val="none" w:sz="0" w:space="0" w:color="auto"/>
                    <w:bottom w:val="none" w:sz="0" w:space="0" w:color="auto"/>
                    <w:right w:val="none" w:sz="0" w:space="0" w:color="auto"/>
                  </w:divBdr>
                </w:div>
                <w:div w:id="1127821921">
                  <w:marLeft w:val="0"/>
                  <w:marRight w:val="0"/>
                  <w:marTop w:val="0"/>
                  <w:marBottom w:val="0"/>
                  <w:divBdr>
                    <w:top w:val="none" w:sz="0" w:space="0" w:color="auto"/>
                    <w:left w:val="none" w:sz="0" w:space="0" w:color="auto"/>
                    <w:bottom w:val="none" w:sz="0" w:space="0" w:color="auto"/>
                    <w:right w:val="none" w:sz="0" w:space="0" w:color="auto"/>
                  </w:divBdr>
                </w:div>
                <w:div w:id="1539077092">
                  <w:marLeft w:val="0"/>
                  <w:marRight w:val="0"/>
                  <w:marTop w:val="0"/>
                  <w:marBottom w:val="0"/>
                  <w:divBdr>
                    <w:top w:val="none" w:sz="0" w:space="0" w:color="auto"/>
                    <w:left w:val="none" w:sz="0" w:space="0" w:color="auto"/>
                    <w:bottom w:val="none" w:sz="0" w:space="0" w:color="auto"/>
                    <w:right w:val="none" w:sz="0" w:space="0" w:color="auto"/>
                  </w:divBdr>
                </w:div>
                <w:div w:id="365563526">
                  <w:marLeft w:val="0"/>
                  <w:marRight w:val="0"/>
                  <w:marTop w:val="0"/>
                  <w:marBottom w:val="0"/>
                  <w:divBdr>
                    <w:top w:val="none" w:sz="0" w:space="0" w:color="auto"/>
                    <w:left w:val="none" w:sz="0" w:space="0" w:color="auto"/>
                    <w:bottom w:val="none" w:sz="0" w:space="0" w:color="auto"/>
                    <w:right w:val="none" w:sz="0" w:space="0" w:color="auto"/>
                  </w:divBdr>
                  <w:divsChild>
                    <w:div w:id="331954457">
                      <w:marLeft w:val="0"/>
                      <w:marRight w:val="0"/>
                      <w:marTop w:val="0"/>
                      <w:marBottom w:val="0"/>
                      <w:divBdr>
                        <w:top w:val="none" w:sz="0" w:space="0" w:color="auto"/>
                        <w:left w:val="none" w:sz="0" w:space="0" w:color="auto"/>
                        <w:bottom w:val="none" w:sz="0" w:space="0" w:color="auto"/>
                        <w:right w:val="none" w:sz="0" w:space="0" w:color="auto"/>
                      </w:divBdr>
                      <w:divsChild>
                        <w:div w:id="1152790188">
                          <w:marLeft w:val="0"/>
                          <w:marRight w:val="0"/>
                          <w:marTop w:val="0"/>
                          <w:marBottom w:val="0"/>
                          <w:divBdr>
                            <w:top w:val="none" w:sz="0" w:space="0" w:color="auto"/>
                            <w:left w:val="none" w:sz="0" w:space="0" w:color="auto"/>
                            <w:bottom w:val="none" w:sz="0" w:space="0" w:color="auto"/>
                            <w:right w:val="none" w:sz="0" w:space="0" w:color="auto"/>
                          </w:divBdr>
                        </w:div>
                        <w:div w:id="316347904">
                          <w:marLeft w:val="0"/>
                          <w:marRight w:val="0"/>
                          <w:marTop w:val="0"/>
                          <w:marBottom w:val="0"/>
                          <w:divBdr>
                            <w:top w:val="none" w:sz="0" w:space="0" w:color="auto"/>
                            <w:left w:val="none" w:sz="0" w:space="0" w:color="auto"/>
                            <w:bottom w:val="none" w:sz="0" w:space="0" w:color="auto"/>
                            <w:right w:val="none" w:sz="0" w:space="0" w:color="auto"/>
                          </w:divBdr>
                          <w:divsChild>
                            <w:div w:id="531576870">
                              <w:marLeft w:val="0"/>
                              <w:marRight w:val="0"/>
                              <w:marTop w:val="0"/>
                              <w:marBottom w:val="0"/>
                              <w:divBdr>
                                <w:top w:val="none" w:sz="0" w:space="0" w:color="auto"/>
                                <w:left w:val="none" w:sz="0" w:space="0" w:color="auto"/>
                                <w:bottom w:val="none" w:sz="0" w:space="0" w:color="auto"/>
                                <w:right w:val="none" w:sz="0" w:space="0" w:color="auto"/>
                              </w:divBdr>
                            </w:div>
                            <w:div w:id="279454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3363115">
                  <w:marLeft w:val="0"/>
                  <w:marRight w:val="0"/>
                  <w:marTop w:val="0"/>
                  <w:marBottom w:val="0"/>
                  <w:divBdr>
                    <w:top w:val="none" w:sz="0" w:space="0" w:color="auto"/>
                    <w:left w:val="none" w:sz="0" w:space="0" w:color="auto"/>
                    <w:bottom w:val="none" w:sz="0" w:space="0" w:color="auto"/>
                    <w:right w:val="none" w:sz="0" w:space="0" w:color="auto"/>
                  </w:divBdr>
                  <w:divsChild>
                    <w:div w:id="1828473893">
                      <w:marLeft w:val="0"/>
                      <w:marRight w:val="0"/>
                      <w:marTop w:val="0"/>
                      <w:marBottom w:val="0"/>
                      <w:divBdr>
                        <w:top w:val="none" w:sz="0" w:space="0" w:color="auto"/>
                        <w:left w:val="none" w:sz="0" w:space="0" w:color="auto"/>
                        <w:bottom w:val="none" w:sz="0" w:space="0" w:color="auto"/>
                        <w:right w:val="none" w:sz="0" w:space="0" w:color="auto"/>
                      </w:divBdr>
                      <w:divsChild>
                        <w:div w:id="1326322697">
                          <w:marLeft w:val="0"/>
                          <w:marRight w:val="0"/>
                          <w:marTop w:val="0"/>
                          <w:marBottom w:val="0"/>
                          <w:divBdr>
                            <w:top w:val="none" w:sz="0" w:space="0" w:color="auto"/>
                            <w:left w:val="none" w:sz="0" w:space="0" w:color="auto"/>
                            <w:bottom w:val="none" w:sz="0" w:space="0" w:color="auto"/>
                            <w:right w:val="none" w:sz="0" w:space="0" w:color="auto"/>
                          </w:divBdr>
                        </w:div>
                        <w:div w:id="1385253332">
                          <w:marLeft w:val="0"/>
                          <w:marRight w:val="0"/>
                          <w:marTop w:val="0"/>
                          <w:marBottom w:val="0"/>
                          <w:divBdr>
                            <w:top w:val="none" w:sz="0" w:space="0" w:color="auto"/>
                            <w:left w:val="none" w:sz="0" w:space="0" w:color="auto"/>
                            <w:bottom w:val="none" w:sz="0" w:space="0" w:color="auto"/>
                            <w:right w:val="none" w:sz="0" w:space="0" w:color="auto"/>
                          </w:divBdr>
                          <w:divsChild>
                            <w:div w:id="832642700">
                              <w:marLeft w:val="0"/>
                              <w:marRight w:val="0"/>
                              <w:marTop w:val="0"/>
                              <w:marBottom w:val="0"/>
                              <w:divBdr>
                                <w:top w:val="none" w:sz="0" w:space="0" w:color="auto"/>
                                <w:left w:val="none" w:sz="0" w:space="0" w:color="auto"/>
                                <w:bottom w:val="none" w:sz="0" w:space="0" w:color="auto"/>
                                <w:right w:val="none" w:sz="0" w:space="0" w:color="auto"/>
                              </w:divBdr>
                            </w:div>
                            <w:div w:id="13575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7660211">
              <w:marLeft w:val="0"/>
              <w:marRight w:val="0"/>
              <w:marTop w:val="0"/>
              <w:marBottom w:val="0"/>
              <w:divBdr>
                <w:top w:val="none" w:sz="0" w:space="0" w:color="auto"/>
                <w:left w:val="none" w:sz="0" w:space="0" w:color="auto"/>
                <w:bottom w:val="none" w:sz="0" w:space="0" w:color="auto"/>
                <w:right w:val="none" w:sz="0" w:space="0" w:color="auto"/>
              </w:divBdr>
              <w:divsChild>
                <w:div w:id="1210724420">
                  <w:marLeft w:val="0"/>
                  <w:marRight w:val="0"/>
                  <w:marTop w:val="0"/>
                  <w:marBottom w:val="0"/>
                  <w:divBdr>
                    <w:top w:val="none" w:sz="0" w:space="0" w:color="auto"/>
                    <w:left w:val="none" w:sz="0" w:space="0" w:color="auto"/>
                    <w:bottom w:val="none" w:sz="0" w:space="0" w:color="auto"/>
                    <w:right w:val="none" w:sz="0" w:space="0" w:color="auto"/>
                  </w:divBdr>
                  <w:divsChild>
                    <w:div w:id="882448270">
                      <w:marLeft w:val="0"/>
                      <w:marRight w:val="0"/>
                      <w:marTop w:val="0"/>
                      <w:marBottom w:val="0"/>
                      <w:divBdr>
                        <w:top w:val="none" w:sz="0" w:space="0" w:color="auto"/>
                        <w:left w:val="none" w:sz="0" w:space="0" w:color="auto"/>
                        <w:bottom w:val="none" w:sz="0" w:space="0" w:color="auto"/>
                        <w:right w:val="none" w:sz="0" w:space="0" w:color="auto"/>
                      </w:divBdr>
                    </w:div>
                    <w:div w:id="1604142887">
                      <w:marLeft w:val="0"/>
                      <w:marRight w:val="0"/>
                      <w:marTop w:val="0"/>
                      <w:marBottom w:val="0"/>
                      <w:divBdr>
                        <w:top w:val="none" w:sz="0" w:space="0" w:color="auto"/>
                        <w:left w:val="none" w:sz="0" w:space="0" w:color="auto"/>
                        <w:bottom w:val="none" w:sz="0" w:space="0" w:color="auto"/>
                        <w:right w:val="none" w:sz="0" w:space="0" w:color="auto"/>
                      </w:divBdr>
                      <w:divsChild>
                        <w:div w:id="583296489">
                          <w:marLeft w:val="0"/>
                          <w:marRight w:val="0"/>
                          <w:marTop w:val="0"/>
                          <w:marBottom w:val="0"/>
                          <w:divBdr>
                            <w:top w:val="none" w:sz="0" w:space="0" w:color="auto"/>
                            <w:left w:val="none" w:sz="0" w:space="0" w:color="auto"/>
                            <w:bottom w:val="none" w:sz="0" w:space="0" w:color="auto"/>
                            <w:right w:val="none" w:sz="0" w:space="0" w:color="auto"/>
                          </w:divBdr>
                        </w:div>
                        <w:div w:id="879169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4615642">
                  <w:marLeft w:val="0"/>
                  <w:marRight w:val="0"/>
                  <w:marTop w:val="0"/>
                  <w:marBottom w:val="0"/>
                  <w:divBdr>
                    <w:top w:val="none" w:sz="0" w:space="0" w:color="auto"/>
                    <w:left w:val="none" w:sz="0" w:space="0" w:color="auto"/>
                    <w:bottom w:val="none" w:sz="0" w:space="0" w:color="auto"/>
                    <w:right w:val="none" w:sz="0" w:space="0" w:color="auto"/>
                  </w:divBdr>
                  <w:divsChild>
                    <w:div w:id="1182210141">
                      <w:marLeft w:val="0"/>
                      <w:marRight w:val="0"/>
                      <w:marTop w:val="0"/>
                      <w:marBottom w:val="0"/>
                      <w:divBdr>
                        <w:top w:val="none" w:sz="0" w:space="0" w:color="auto"/>
                        <w:left w:val="none" w:sz="0" w:space="0" w:color="auto"/>
                        <w:bottom w:val="none" w:sz="0" w:space="0" w:color="auto"/>
                        <w:right w:val="none" w:sz="0" w:space="0" w:color="auto"/>
                      </w:divBdr>
                    </w:div>
                    <w:div w:id="1678771715">
                      <w:marLeft w:val="0"/>
                      <w:marRight w:val="0"/>
                      <w:marTop w:val="0"/>
                      <w:marBottom w:val="0"/>
                      <w:divBdr>
                        <w:top w:val="none" w:sz="0" w:space="0" w:color="auto"/>
                        <w:left w:val="none" w:sz="0" w:space="0" w:color="auto"/>
                        <w:bottom w:val="none" w:sz="0" w:space="0" w:color="auto"/>
                        <w:right w:val="none" w:sz="0" w:space="0" w:color="auto"/>
                      </w:divBdr>
                      <w:divsChild>
                        <w:div w:id="829293448">
                          <w:marLeft w:val="0"/>
                          <w:marRight w:val="0"/>
                          <w:marTop w:val="0"/>
                          <w:marBottom w:val="0"/>
                          <w:divBdr>
                            <w:top w:val="none" w:sz="0" w:space="0" w:color="auto"/>
                            <w:left w:val="none" w:sz="0" w:space="0" w:color="auto"/>
                            <w:bottom w:val="none" w:sz="0" w:space="0" w:color="auto"/>
                            <w:right w:val="none" w:sz="0" w:space="0" w:color="auto"/>
                          </w:divBdr>
                        </w:div>
                        <w:div w:id="1897887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5063645">
                  <w:marLeft w:val="0"/>
                  <w:marRight w:val="0"/>
                  <w:marTop w:val="0"/>
                  <w:marBottom w:val="0"/>
                  <w:divBdr>
                    <w:top w:val="none" w:sz="0" w:space="0" w:color="auto"/>
                    <w:left w:val="none" w:sz="0" w:space="0" w:color="auto"/>
                    <w:bottom w:val="none" w:sz="0" w:space="0" w:color="auto"/>
                    <w:right w:val="none" w:sz="0" w:space="0" w:color="auto"/>
                  </w:divBdr>
                  <w:divsChild>
                    <w:div w:id="1159149472">
                      <w:marLeft w:val="0"/>
                      <w:marRight w:val="0"/>
                      <w:marTop w:val="0"/>
                      <w:marBottom w:val="0"/>
                      <w:divBdr>
                        <w:top w:val="none" w:sz="0" w:space="0" w:color="auto"/>
                        <w:left w:val="none" w:sz="0" w:space="0" w:color="auto"/>
                        <w:bottom w:val="none" w:sz="0" w:space="0" w:color="auto"/>
                        <w:right w:val="none" w:sz="0" w:space="0" w:color="auto"/>
                      </w:divBdr>
                    </w:div>
                    <w:div w:id="1393040499">
                      <w:marLeft w:val="0"/>
                      <w:marRight w:val="0"/>
                      <w:marTop w:val="0"/>
                      <w:marBottom w:val="0"/>
                      <w:divBdr>
                        <w:top w:val="none" w:sz="0" w:space="0" w:color="auto"/>
                        <w:left w:val="none" w:sz="0" w:space="0" w:color="auto"/>
                        <w:bottom w:val="none" w:sz="0" w:space="0" w:color="auto"/>
                        <w:right w:val="none" w:sz="0" w:space="0" w:color="auto"/>
                      </w:divBdr>
                      <w:divsChild>
                        <w:div w:id="538470091">
                          <w:marLeft w:val="0"/>
                          <w:marRight w:val="0"/>
                          <w:marTop w:val="0"/>
                          <w:marBottom w:val="0"/>
                          <w:divBdr>
                            <w:top w:val="none" w:sz="0" w:space="0" w:color="auto"/>
                            <w:left w:val="none" w:sz="0" w:space="0" w:color="auto"/>
                            <w:bottom w:val="none" w:sz="0" w:space="0" w:color="auto"/>
                            <w:right w:val="none" w:sz="0" w:space="0" w:color="auto"/>
                          </w:divBdr>
                        </w:div>
                        <w:div w:id="397896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0758094">
              <w:marLeft w:val="0"/>
              <w:marRight w:val="0"/>
              <w:marTop w:val="0"/>
              <w:marBottom w:val="0"/>
              <w:divBdr>
                <w:top w:val="none" w:sz="0" w:space="0" w:color="auto"/>
                <w:left w:val="none" w:sz="0" w:space="0" w:color="auto"/>
                <w:bottom w:val="none" w:sz="0" w:space="0" w:color="auto"/>
                <w:right w:val="none" w:sz="0" w:space="0" w:color="auto"/>
              </w:divBdr>
            </w:div>
          </w:divsChild>
        </w:div>
        <w:div w:id="1816992670">
          <w:marLeft w:val="0"/>
          <w:marRight w:val="0"/>
          <w:marTop w:val="0"/>
          <w:marBottom w:val="0"/>
          <w:divBdr>
            <w:top w:val="none" w:sz="0" w:space="0" w:color="auto"/>
            <w:left w:val="none" w:sz="0" w:space="0" w:color="auto"/>
            <w:bottom w:val="none" w:sz="0" w:space="0" w:color="auto"/>
            <w:right w:val="none" w:sz="0" w:space="0" w:color="auto"/>
          </w:divBdr>
          <w:divsChild>
            <w:div w:id="2061248828">
              <w:marLeft w:val="0"/>
              <w:marRight w:val="0"/>
              <w:marTop w:val="0"/>
              <w:marBottom w:val="0"/>
              <w:divBdr>
                <w:top w:val="none" w:sz="0" w:space="0" w:color="auto"/>
                <w:left w:val="none" w:sz="0" w:space="0" w:color="auto"/>
                <w:bottom w:val="none" w:sz="0" w:space="0" w:color="auto"/>
                <w:right w:val="none" w:sz="0" w:space="0" w:color="auto"/>
              </w:divBdr>
            </w:div>
            <w:div w:id="1395196954">
              <w:marLeft w:val="0"/>
              <w:marRight w:val="0"/>
              <w:marTop w:val="0"/>
              <w:marBottom w:val="0"/>
              <w:divBdr>
                <w:top w:val="none" w:sz="0" w:space="0" w:color="auto"/>
                <w:left w:val="none" w:sz="0" w:space="0" w:color="auto"/>
                <w:bottom w:val="none" w:sz="0" w:space="0" w:color="auto"/>
                <w:right w:val="none" w:sz="0" w:space="0" w:color="auto"/>
              </w:divBdr>
              <w:divsChild>
                <w:div w:id="2081827245">
                  <w:marLeft w:val="0"/>
                  <w:marRight w:val="0"/>
                  <w:marTop w:val="0"/>
                  <w:marBottom w:val="0"/>
                  <w:divBdr>
                    <w:top w:val="none" w:sz="0" w:space="0" w:color="auto"/>
                    <w:left w:val="none" w:sz="0" w:space="0" w:color="auto"/>
                    <w:bottom w:val="none" w:sz="0" w:space="0" w:color="auto"/>
                    <w:right w:val="none" w:sz="0" w:space="0" w:color="auto"/>
                  </w:divBdr>
                </w:div>
                <w:div w:id="1834182547">
                  <w:marLeft w:val="0"/>
                  <w:marRight w:val="0"/>
                  <w:marTop w:val="0"/>
                  <w:marBottom w:val="0"/>
                  <w:divBdr>
                    <w:top w:val="none" w:sz="0" w:space="0" w:color="auto"/>
                    <w:left w:val="none" w:sz="0" w:space="0" w:color="auto"/>
                    <w:bottom w:val="none" w:sz="0" w:space="0" w:color="auto"/>
                    <w:right w:val="none" w:sz="0" w:space="0" w:color="auto"/>
                  </w:divBdr>
                </w:div>
                <w:div w:id="722875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654470">
          <w:marLeft w:val="0"/>
          <w:marRight w:val="0"/>
          <w:marTop w:val="0"/>
          <w:marBottom w:val="0"/>
          <w:divBdr>
            <w:top w:val="none" w:sz="0" w:space="0" w:color="auto"/>
            <w:left w:val="none" w:sz="0" w:space="0" w:color="auto"/>
            <w:bottom w:val="none" w:sz="0" w:space="0" w:color="auto"/>
            <w:right w:val="none" w:sz="0" w:space="0" w:color="auto"/>
          </w:divBdr>
          <w:divsChild>
            <w:div w:id="145555983">
              <w:marLeft w:val="0"/>
              <w:marRight w:val="0"/>
              <w:marTop w:val="0"/>
              <w:marBottom w:val="0"/>
              <w:divBdr>
                <w:top w:val="none" w:sz="0" w:space="0" w:color="auto"/>
                <w:left w:val="none" w:sz="0" w:space="0" w:color="auto"/>
                <w:bottom w:val="none" w:sz="0" w:space="0" w:color="auto"/>
                <w:right w:val="none" w:sz="0" w:space="0" w:color="auto"/>
              </w:divBdr>
            </w:div>
          </w:divsChild>
        </w:div>
        <w:div w:id="2095736760">
          <w:marLeft w:val="0"/>
          <w:marRight w:val="0"/>
          <w:marTop w:val="0"/>
          <w:marBottom w:val="0"/>
          <w:divBdr>
            <w:top w:val="none" w:sz="0" w:space="0" w:color="auto"/>
            <w:left w:val="none" w:sz="0" w:space="0" w:color="auto"/>
            <w:bottom w:val="none" w:sz="0" w:space="0" w:color="auto"/>
            <w:right w:val="none" w:sz="0" w:space="0" w:color="auto"/>
          </w:divBdr>
          <w:divsChild>
            <w:div w:id="206259168">
              <w:marLeft w:val="0"/>
              <w:marRight w:val="0"/>
              <w:marTop w:val="0"/>
              <w:marBottom w:val="0"/>
              <w:divBdr>
                <w:top w:val="none" w:sz="0" w:space="0" w:color="auto"/>
                <w:left w:val="none" w:sz="0" w:space="0" w:color="auto"/>
                <w:bottom w:val="none" w:sz="0" w:space="0" w:color="auto"/>
                <w:right w:val="none" w:sz="0" w:space="0" w:color="auto"/>
              </w:divBdr>
            </w:div>
            <w:div w:id="1918662938">
              <w:marLeft w:val="0"/>
              <w:marRight w:val="0"/>
              <w:marTop w:val="0"/>
              <w:marBottom w:val="0"/>
              <w:divBdr>
                <w:top w:val="none" w:sz="0" w:space="0" w:color="auto"/>
                <w:left w:val="none" w:sz="0" w:space="0" w:color="auto"/>
                <w:bottom w:val="none" w:sz="0" w:space="0" w:color="auto"/>
                <w:right w:val="none" w:sz="0" w:space="0" w:color="auto"/>
              </w:divBdr>
            </w:div>
          </w:divsChild>
        </w:div>
        <w:div w:id="1150635920">
          <w:marLeft w:val="0"/>
          <w:marRight w:val="0"/>
          <w:marTop w:val="0"/>
          <w:marBottom w:val="0"/>
          <w:divBdr>
            <w:top w:val="none" w:sz="0" w:space="0" w:color="auto"/>
            <w:left w:val="none" w:sz="0" w:space="0" w:color="auto"/>
            <w:bottom w:val="none" w:sz="0" w:space="0" w:color="auto"/>
            <w:right w:val="none" w:sz="0" w:space="0" w:color="auto"/>
          </w:divBdr>
          <w:divsChild>
            <w:div w:id="452285301">
              <w:marLeft w:val="0"/>
              <w:marRight w:val="0"/>
              <w:marTop w:val="0"/>
              <w:marBottom w:val="0"/>
              <w:divBdr>
                <w:top w:val="none" w:sz="0" w:space="0" w:color="auto"/>
                <w:left w:val="none" w:sz="0" w:space="0" w:color="auto"/>
                <w:bottom w:val="none" w:sz="0" w:space="0" w:color="auto"/>
                <w:right w:val="none" w:sz="0" w:space="0" w:color="auto"/>
              </w:divBdr>
            </w:div>
          </w:divsChild>
        </w:div>
        <w:div w:id="1633900881">
          <w:marLeft w:val="0"/>
          <w:marRight w:val="0"/>
          <w:marTop w:val="0"/>
          <w:marBottom w:val="0"/>
          <w:divBdr>
            <w:top w:val="none" w:sz="0" w:space="0" w:color="auto"/>
            <w:left w:val="none" w:sz="0" w:space="0" w:color="auto"/>
            <w:bottom w:val="none" w:sz="0" w:space="0" w:color="auto"/>
            <w:right w:val="none" w:sz="0" w:space="0" w:color="auto"/>
          </w:divBdr>
          <w:divsChild>
            <w:div w:id="1433280694">
              <w:marLeft w:val="0"/>
              <w:marRight w:val="0"/>
              <w:marTop w:val="0"/>
              <w:marBottom w:val="0"/>
              <w:divBdr>
                <w:top w:val="none" w:sz="0" w:space="0" w:color="auto"/>
                <w:left w:val="none" w:sz="0" w:space="0" w:color="auto"/>
                <w:bottom w:val="none" w:sz="0" w:space="0" w:color="auto"/>
                <w:right w:val="none" w:sz="0" w:space="0" w:color="auto"/>
              </w:divBdr>
            </w:div>
            <w:div w:id="1549486384">
              <w:marLeft w:val="0"/>
              <w:marRight w:val="0"/>
              <w:marTop w:val="0"/>
              <w:marBottom w:val="0"/>
              <w:divBdr>
                <w:top w:val="none" w:sz="0" w:space="0" w:color="auto"/>
                <w:left w:val="none" w:sz="0" w:space="0" w:color="auto"/>
                <w:bottom w:val="none" w:sz="0" w:space="0" w:color="auto"/>
                <w:right w:val="none" w:sz="0" w:space="0" w:color="auto"/>
              </w:divBdr>
              <w:divsChild>
                <w:div w:id="1718042784">
                  <w:marLeft w:val="0"/>
                  <w:marRight w:val="0"/>
                  <w:marTop w:val="0"/>
                  <w:marBottom w:val="0"/>
                  <w:divBdr>
                    <w:top w:val="none" w:sz="0" w:space="0" w:color="auto"/>
                    <w:left w:val="none" w:sz="0" w:space="0" w:color="auto"/>
                    <w:bottom w:val="none" w:sz="0" w:space="0" w:color="auto"/>
                    <w:right w:val="none" w:sz="0" w:space="0" w:color="auto"/>
                  </w:divBdr>
                </w:div>
                <w:div w:id="1317102806">
                  <w:marLeft w:val="0"/>
                  <w:marRight w:val="0"/>
                  <w:marTop w:val="0"/>
                  <w:marBottom w:val="0"/>
                  <w:divBdr>
                    <w:top w:val="none" w:sz="0" w:space="0" w:color="auto"/>
                    <w:left w:val="none" w:sz="0" w:space="0" w:color="auto"/>
                    <w:bottom w:val="none" w:sz="0" w:space="0" w:color="auto"/>
                    <w:right w:val="none" w:sz="0" w:space="0" w:color="auto"/>
                  </w:divBdr>
                </w:div>
                <w:div w:id="316808657">
                  <w:marLeft w:val="0"/>
                  <w:marRight w:val="0"/>
                  <w:marTop w:val="0"/>
                  <w:marBottom w:val="0"/>
                  <w:divBdr>
                    <w:top w:val="none" w:sz="0" w:space="0" w:color="auto"/>
                    <w:left w:val="none" w:sz="0" w:space="0" w:color="auto"/>
                    <w:bottom w:val="none" w:sz="0" w:space="0" w:color="auto"/>
                    <w:right w:val="none" w:sz="0" w:space="0" w:color="auto"/>
                  </w:divBdr>
                </w:div>
                <w:div w:id="1547444658">
                  <w:marLeft w:val="0"/>
                  <w:marRight w:val="0"/>
                  <w:marTop w:val="0"/>
                  <w:marBottom w:val="0"/>
                  <w:divBdr>
                    <w:top w:val="none" w:sz="0" w:space="0" w:color="auto"/>
                    <w:left w:val="none" w:sz="0" w:space="0" w:color="auto"/>
                    <w:bottom w:val="none" w:sz="0" w:space="0" w:color="auto"/>
                    <w:right w:val="none" w:sz="0" w:space="0" w:color="auto"/>
                  </w:divBdr>
                </w:div>
                <w:div w:id="750079369">
                  <w:marLeft w:val="0"/>
                  <w:marRight w:val="0"/>
                  <w:marTop w:val="0"/>
                  <w:marBottom w:val="0"/>
                  <w:divBdr>
                    <w:top w:val="none" w:sz="0" w:space="0" w:color="auto"/>
                    <w:left w:val="none" w:sz="0" w:space="0" w:color="auto"/>
                    <w:bottom w:val="none" w:sz="0" w:space="0" w:color="auto"/>
                    <w:right w:val="none" w:sz="0" w:space="0" w:color="auto"/>
                  </w:divBdr>
                </w:div>
                <w:div w:id="503671294">
                  <w:marLeft w:val="0"/>
                  <w:marRight w:val="0"/>
                  <w:marTop w:val="0"/>
                  <w:marBottom w:val="0"/>
                  <w:divBdr>
                    <w:top w:val="none" w:sz="0" w:space="0" w:color="auto"/>
                    <w:left w:val="none" w:sz="0" w:space="0" w:color="auto"/>
                    <w:bottom w:val="none" w:sz="0" w:space="0" w:color="auto"/>
                    <w:right w:val="none" w:sz="0" w:space="0" w:color="auto"/>
                  </w:divBdr>
                </w:div>
                <w:div w:id="1526013974">
                  <w:marLeft w:val="0"/>
                  <w:marRight w:val="0"/>
                  <w:marTop w:val="0"/>
                  <w:marBottom w:val="0"/>
                  <w:divBdr>
                    <w:top w:val="none" w:sz="0" w:space="0" w:color="auto"/>
                    <w:left w:val="none" w:sz="0" w:space="0" w:color="auto"/>
                    <w:bottom w:val="none" w:sz="0" w:space="0" w:color="auto"/>
                    <w:right w:val="none" w:sz="0" w:space="0" w:color="auto"/>
                  </w:divBdr>
                </w:div>
                <w:div w:id="242027754">
                  <w:marLeft w:val="0"/>
                  <w:marRight w:val="0"/>
                  <w:marTop w:val="0"/>
                  <w:marBottom w:val="0"/>
                  <w:divBdr>
                    <w:top w:val="none" w:sz="0" w:space="0" w:color="auto"/>
                    <w:left w:val="none" w:sz="0" w:space="0" w:color="auto"/>
                    <w:bottom w:val="none" w:sz="0" w:space="0" w:color="auto"/>
                    <w:right w:val="none" w:sz="0" w:space="0" w:color="auto"/>
                  </w:divBdr>
                </w:div>
                <w:div w:id="102922131">
                  <w:marLeft w:val="0"/>
                  <w:marRight w:val="0"/>
                  <w:marTop w:val="0"/>
                  <w:marBottom w:val="0"/>
                  <w:divBdr>
                    <w:top w:val="none" w:sz="0" w:space="0" w:color="auto"/>
                    <w:left w:val="none" w:sz="0" w:space="0" w:color="auto"/>
                    <w:bottom w:val="none" w:sz="0" w:space="0" w:color="auto"/>
                    <w:right w:val="none" w:sz="0" w:space="0" w:color="auto"/>
                  </w:divBdr>
                </w:div>
                <w:div w:id="1587837054">
                  <w:marLeft w:val="0"/>
                  <w:marRight w:val="0"/>
                  <w:marTop w:val="0"/>
                  <w:marBottom w:val="0"/>
                  <w:divBdr>
                    <w:top w:val="none" w:sz="0" w:space="0" w:color="auto"/>
                    <w:left w:val="none" w:sz="0" w:space="0" w:color="auto"/>
                    <w:bottom w:val="none" w:sz="0" w:space="0" w:color="auto"/>
                    <w:right w:val="none" w:sz="0" w:space="0" w:color="auto"/>
                  </w:divBdr>
                </w:div>
                <w:div w:id="701368164">
                  <w:marLeft w:val="0"/>
                  <w:marRight w:val="0"/>
                  <w:marTop w:val="0"/>
                  <w:marBottom w:val="0"/>
                  <w:divBdr>
                    <w:top w:val="none" w:sz="0" w:space="0" w:color="auto"/>
                    <w:left w:val="none" w:sz="0" w:space="0" w:color="auto"/>
                    <w:bottom w:val="none" w:sz="0" w:space="0" w:color="auto"/>
                    <w:right w:val="none" w:sz="0" w:space="0" w:color="auto"/>
                  </w:divBdr>
                </w:div>
                <w:div w:id="476842707">
                  <w:marLeft w:val="0"/>
                  <w:marRight w:val="0"/>
                  <w:marTop w:val="0"/>
                  <w:marBottom w:val="0"/>
                  <w:divBdr>
                    <w:top w:val="none" w:sz="0" w:space="0" w:color="auto"/>
                    <w:left w:val="none" w:sz="0" w:space="0" w:color="auto"/>
                    <w:bottom w:val="none" w:sz="0" w:space="0" w:color="auto"/>
                    <w:right w:val="none" w:sz="0" w:space="0" w:color="auto"/>
                  </w:divBdr>
                </w:div>
                <w:div w:id="1510565320">
                  <w:marLeft w:val="0"/>
                  <w:marRight w:val="0"/>
                  <w:marTop w:val="0"/>
                  <w:marBottom w:val="0"/>
                  <w:divBdr>
                    <w:top w:val="none" w:sz="0" w:space="0" w:color="auto"/>
                    <w:left w:val="none" w:sz="0" w:space="0" w:color="auto"/>
                    <w:bottom w:val="none" w:sz="0" w:space="0" w:color="auto"/>
                    <w:right w:val="none" w:sz="0" w:space="0" w:color="auto"/>
                  </w:divBdr>
                </w:div>
                <w:div w:id="1559854569">
                  <w:marLeft w:val="0"/>
                  <w:marRight w:val="0"/>
                  <w:marTop w:val="0"/>
                  <w:marBottom w:val="0"/>
                  <w:divBdr>
                    <w:top w:val="none" w:sz="0" w:space="0" w:color="auto"/>
                    <w:left w:val="none" w:sz="0" w:space="0" w:color="auto"/>
                    <w:bottom w:val="none" w:sz="0" w:space="0" w:color="auto"/>
                    <w:right w:val="none" w:sz="0" w:space="0" w:color="auto"/>
                  </w:divBdr>
                </w:div>
                <w:div w:id="113260020">
                  <w:marLeft w:val="0"/>
                  <w:marRight w:val="0"/>
                  <w:marTop w:val="0"/>
                  <w:marBottom w:val="0"/>
                  <w:divBdr>
                    <w:top w:val="none" w:sz="0" w:space="0" w:color="auto"/>
                    <w:left w:val="none" w:sz="0" w:space="0" w:color="auto"/>
                    <w:bottom w:val="none" w:sz="0" w:space="0" w:color="auto"/>
                    <w:right w:val="none" w:sz="0" w:space="0" w:color="auto"/>
                  </w:divBdr>
                </w:div>
                <w:div w:id="1532109704">
                  <w:marLeft w:val="0"/>
                  <w:marRight w:val="0"/>
                  <w:marTop w:val="0"/>
                  <w:marBottom w:val="0"/>
                  <w:divBdr>
                    <w:top w:val="none" w:sz="0" w:space="0" w:color="auto"/>
                    <w:left w:val="none" w:sz="0" w:space="0" w:color="auto"/>
                    <w:bottom w:val="none" w:sz="0" w:space="0" w:color="auto"/>
                    <w:right w:val="none" w:sz="0" w:space="0" w:color="auto"/>
                  </w:divBdr>
                </w:div>
                <w:div w:id="923342500">
                  <w:marLeft w:val="0"/>
                  <w:marRight w:val="0"/>
                  <w:marTop w:val="0"/>
                  <w:marBottom w:val="0"/>
                  <w:divBdr>
                    <w:top w:val="none" w:sz="0" w:space="0" w:color="auto"/>
                    <w:left w:val="none" w:sz="0" w:space="0" w:color="auto"/>
                    <w:bottom w:val="none" w:sz="0" w:space="0" w:color="auto"/>
                    <w:right w:val="none" w:sz="0" w:space="0" w:color="auto"/>
                  </w:divBdr>
                </w:div>
                <w:div w:id="560219216">
                  <w:marLeft w:val="0"/>
                  <w:marRight w:val="0"/>
                  <w:marTop w:val="0"/>
                  <w:marBottom w:val="0"/>
                  <w:divBdr>
                    <w:top w:val="none" w:sz="0" w:space="0" w:color="auto"/>
                    <w:left w:val="none" w:sz="0" w:space="0" w:color="auto"/>
                    <w:bottom w:val="none" w:sz="0" w:space="0" w:color="auto"/>
                    <w:right w:val="none" w:sz="0" w:space="0" w:color="auto"/>
                  </w:divBdr>
                </w:div>
                <w:div w:id="1128818000">
                  <w:marLeft w:val="0"/>
                  <w:marRight w:val="0"/>
                  <w:marTop w:val="0"/>
                  <w:marBottom w:val="0"/>
                  <w:divBdr>
                    <w:top w:val="none" w:sz="0" w:space="0" w:color="auto"/>
                    <w:left w:val="none" w:sz="0" w:space="0" w:color="auto"/>
                    <w:bottom w:val="none" w:sz="0" w:space="0" w:color="auto"/>
                    <w:right w:val="none" w:sz="0" w:space="0" w:color="auto"/>
                  </w:divBdr>
                </w:div>
                <w:div w:id="1621646841">
                  <w:marLeft w:val="0"/>
                  <w:marRight w:val="0"/>
                  <w:marTop w:val="0"/>
                  <w:marBottom w:val="0"/>
                  <w:divBdr>
                    <w:top w:val="none" w:sz="0" w:space="0" w:color="auto"/>
                    <w:left w:val="none" w:sz="0" w:space="0" w:color="auto"/>
                    <w:bottom w:val="none" w:sz="0" w:space="0" w:color="auto"/>
                    <w:right w:val="none" w:sz="0" w:space="0" w:color="auto"/>
                  </w:divBdr>
                </w:div>
                <w:div w:id="713308021">
                  <w:marLeft w:val="0"/>
                  <w:marRight w:val="0"/>
                  <w:marTop w:val="0"/>
                  <w:marBottom w:val="0"/>
                  <w:divBdr>
                    <w:top w:val="none" w:sz="0" w:space="0" w:color="auto"/>
                    <w:left w:val="none" w:sz="0" w:space="0" w:color="auto"/>
                    <w:bottom w:val="none" w:sz="0" w:space="0" w:color="auto"/>
                    <w:right w:val="none" w:sz="0" w:space="0" w:color="auto"/>
                  </w:divBdr>
                </w:div>
                <w:div w:id="354113686">
                  <w:marLeft w:val="0"/>
                  <w:marRight w:val="0"/>
                  <w:marTop w:val="0"/>
                  <w:marBottom w:val="0"/>
                  <w:divBdr>
                    <w:top w:val="none" w:sz="0" w:space="0" w:color="auto"/>
                    <w:left w:val="none" w:sz="0" w:space="0" w:color="auto"/>
                    <w:bottom w:val="none" w:sz="0" w:space="0" w:color="auto"/>
                    <w:right w:val="none" w:sz="0" w:space="0" w:color="auto"/>
                  </w:divBdr>
                </w:div>
                <w:div w:id="657073260">
                  <w:marLeft w:val="0"/>
                  <w:marRight w:val="0"/>
                  <w:marTop w:val="0"/>
                  <w:marBottom w:val="0"/>
                  <w:divBdr>
                    <w:top w:val="none" w:sz="0" w:space="0" w:color="auto"/>
                    <w:left w:val="none" w:sz="0" w:space="0" w:color="auto"/>
                    <w:bottom w:val="none" w:sz="0" w:space="0" w:color="auto"/>
                    <w:right w:val="none" w:sz="0" w:space="0" w:color="auto"/>
                  </w:divBdr>
                </w:div>
                <w:div w:id="1147239937">
                  <w:marLeft w:val="0"/>
                  <w:marRight w:val="0"/>
                  <w:marTop w:val="0"/>
                  <w:marBottom w:val="0"/>
                  <w:divBdr>
                    <w:top w:val="none" w:sz="0" w:space="0" w:color="auto"/>
                    <w:left w:val="none" w:sz="0" w:space="0" w:color="auto"/>
                    <w:bottom w:val="none" w:sz="0" w:space="0" w:color="auto"/>
                    <w:right w:val="none" w:sz="0" w:space="0" w:color="auto"/>
                  </w:divBdr>
                </w:div>
                <w:div w:id="666175820">
                  <w:marLeft w:val="0"/>
                  <w:marRight w:val="0"/>
                  <w:marTop w:val="0"/>
                  <w:marBottom w:val="0"/>
                  <w:divBdr>
                    <w:top w:val="none" w:sz="0" w:space="0" w:color="auto"/>
                    <w:left w:val="none" w:sz="0" w:space="0" w:color="auto"/>
                    <w:bottom w:val="none" w:sz="0" w:space="0" w:color="auto"/>
                    <w:right w:val="none" w:sz="0" w:space="0" w:color="auto"/>
                  </w:divBdr>
                </w:div>
                <w:div w:id="548108702">
                  <w:marLeft w:val="0"/>
                  <w:marRight w:val="0"/>
                  <w:marTop w:val="0"/>
                  <w:marBottom w:val="0"/>
                  <w:divBdr>
                    <w:top w:val="none" w:sz="0" w:space="0" w:color="auto"/>
                    <w:left w:val="none" w:sz="0" w:space="0" w:color="auto"/>
                    <w:bottom w:val="none" w:sz="0" w:space="0" w:color="auto"/>
                    <w:right w:val="none" w:sz="0" w:space="0" w:color="auto"/>
                  </w:divBdr>
                </w:div>
                <w:div w:id="1245920328">
                  <w:marLeft w:val="0"/>
                  <w:marRight w:val="0"/>
                  <w:marTop w:val="0"/>
                  <w:marBottom w:val="0"/>
                  <w:divBdr>
                    <w:top w:val="none" w:sz="0" w:space="0" w:color="auto"/>
                    <w:left w:val="none" w:sz="0" w:space="0" w:color="auto"/>
                    <w:bottom w:val="none" w:sz="0" w:space="0" w:color="auto"/>
                    <w:right w:val="none" w:sz="0" w:space="0" w:color="auto"/>
                  </w:divBdr>
                </w:div>
                <w:div w:id="1046678492">
                  <w:marLeft w:val="0"/>
                  <w:marRight w:val="0"/>
                  <w:marTop w:val="0"/>
                  <w:marBottom w:val="0"/>
                  <w:divBdr>
                    <w:top w:val="none" w:sz="0" w:space="0" w:color="auto"/>
                    <w:left w:val="none" w:sz="0" w:space="0" w:color="auto"/>
                    <w:bottom w:val="none" w:sz="0" w:space="0" w:color="auto"/>
                    <w:right w:val="none" w:sz="0" w:space="0" w:color="auto"/>
                  </w:divBdr>
                </w:div>
                <w:div w:id="1993288520">
                  <w:marLeft w:val="0"/>
                  <w:marRight w:val="0"/>
                  <w:marTop w:val="0"/>
                  <w:marBottom w:val="0"/>
                  <w:divBdr>
                    <w:top w:val="none" w:sz="0" w:space="0" w:color="auto"/>
                    <w:left w:val="none" w:sz="0" w:space="0" w:color="auto"/>
                    <w:bottom w:val="none" w:sz="0" w:space="0" w:color="auto"/>
                    <w:right w:val="none" w:sz="0" w:space="0" w:color="auto"/>
                  </w:divBdr>
                </w:div>
                <w:div w:id="92015592">
                  <w:marLeft w:val="0"/>
                  <w:marRight w:val="0"/>
                  <w:marTop w:val="0"/>
                  <w:marBottom w:val="0"/>
                  <w:divBdr>
                    <w:top w:val="none" w:sz="0" w:space="0" w:color="auto"/>
                    <w:left w:val="none" w:sz="0" w:space="0" w:color="auto"/>
                    <w:bottom w:val="none" w:sz="0" w:space="0" w:color="auto"/>
                    <w:right w:val="none" w:sz="0" w:space="0" w:color="auto"/>
                  </w:divBdr>
                </w:div>
                <w:div w:id="1084572858">
                  <w:marLeft w:val="0"/>
                  <w:marRight w:val="0"/>
                  <w:marTop w:val="0"/>
                  <w:marBottom w:val="0"/>
                  <w:divBdr>
                    <w:top w:val="none" w:sz="0" w:space="0" w:color="auto"/>
                    <w:left w:val="none" w:sz="0" w:space="0" w:color="auto"/>
                    <w:bottom w:val="none" w:sz="0" w:space="0" w:color="auto"/>
                    <w:right w:val="none" w:sz="0" w:space="0" w:color="auto"/>
                  </w:divBdr>
                </w:div>
                <w:div w:id="962081670">
                  <w:marLeft w:val="0"/>
                  <w:marRight w:val="0"/>
                  <w:marTop w:val="0"/>
                  <w:marBottom w:val="0"/>
                  <w:divBdr>
                    <w:top w:val="none" w:sz="0" w:space="0" w:color="auto"/>
                    <w:left w:val="none" w:sz="0" w:space="0" w:color="auto"/>
                    <w:bottom w:val="none" w:sz="0" w:space="0" w:color="auto"/>
                    <w:right w:val="none" w:sz="0" w:space="0" w:color="auto"/>
                  </w:divBdr>
                </w:div>
                <w:div w:id="556864672">
                  <w:marLeft w:val="0"/>
                  <w:marRight w:val="0"/>
                  <w:marTop w:val="0"/>
                  <w:marBottom w:val="0"/>
                  <w:divBdr>
                    <w:top w:val="none" w:sz="0" w:space="0" w:color="auto"/>
                    <w:left w:val="none" w:sz="0" w:space="0" w:color="auto"/>
                    <w:bottom w:val="none" w:sz="0" w:space="0" w:color="auto"/>
                    <w:right w:val="none" w:sz="0" w:space="0" w:color="auto"/>
                  </w:divBdr>
                </w:div>
                <w:div w:id="1397388555">
                  <w:marLeft w:val="0"/>
                  <w:marRight w:val="0"/>
                  <w:marTop w:val="0"/>
                  <w:marBottom w:val="0"/>
                  <w:divBdr>
                    <w:top w:val="none" w:sz="0" w:space="0" w:color="auto"/>
                    <w:left w:val="none" w:sz="0" w:space="0" w:color="auto"/>
                    <w:bottom w:val="none" w:sz="0" w:space="0" w:color="auto"/>
                    <w:right w:val="none" w:sz="0" w:space="0" w:color="auto"/>
                  </w:divBdr>
                </w:div>
                <w:div w:id="1058624631">
                  <w:marLeft w:val="0"/>
                  <w:marRight w:val="0"/>
                  <w:marTop w:val="0"/>
                  <w:marBottom w:val="0"/>
                  <w:divBdr>
                    <w:top w:val="none" w:sz="0" w:space="0" w:color="auto"/>
                    <w:left w:val="none" w:sz="0" w:space="0" w:color="auto"/>
                    <w:bottom w:val="none" w:sz="0" w:space="0" w:color="auto"/>
                    <w:right w:val="none" w:sz="0" w:space="0" w:color="auto"/>
                  </w:divBdr>
                </w:div>
                <w:div w:id="1912152723">
                  <w:marLeft w:val="0"/>
                  <w:marRight w:val="0"/>
                  <w:marTop w:val="0"/>
                  <w:marBottom w:val="0"/>
                  <w:divBdr>
                    <w:top w:val="none" w:sz="0" w:space="0" w:color="auto"/>
                    <w:left w:val="none" w:sz="0" w:space="0" w:color="auto"/>
                    <w:bottom w:val="none" w:sz="0" w:space="0" w:color="auto"/>
                    <w:right w:val="none" w:sz="0" w:space="0" w:color="auto"/>
                  </w:divBdr>
                </w:div>
                <w:div w:id="42487123">
                  <w:marLeft w:val="0"/>
                  <w:marRight w:val="0"/>
                  <w:marTop w:val="0"/>
                  <w:marBottom w:val="0"/>
                  <w:divBdr>
                    <w:top w:val="none" w:sz="0" w:space="0" w:color="auto"/>
                    <w:left w:val="none" w:sz="0" w:space="0" w:color="auto"/>
                    <w:bottom w:val="none" w:sz="0" w:space="0" w:color="auto"/>
                    <w:right w:val="none" w:sz="0" w:space="0" w:color="auto"/>
                  </w:divBdr>
                </w:div>
                <w:div w:id="28917648">
                  <w:marLeft w:val="0"/>
                  <w:marRight w:val="0"/>
                  <w:marTop w:val="0"/>
                  <w:marBottom w:val="0"/>
                  <w:divBdr>
                    <w:top w:val="none" w:sz="0" w:space="0" w:color="auto"/>
                    <w:left w:val="none" w:sz="0" w:space="0" w:color="auto"/>
                    <w:bottom w:val="none" w:sz="0" w:space="0" w:color="auto"/>
                    <w:right w:val="none" w:sz="0" w:space="0" w:color="auto"/>
                  </w:divBdr>
                </w:div>
                <w:div w:id="189801465">
                  <w:marLeft w:val="0"/>
                  <w:marRight w:val="0"/>
                  <w:marTop w:val="0"/>
                  <w:marBottom w:val="0"/>
                  <w:divBdr>
                    <w:top w:val="none" w:sz="0" w:space="0" w:color="auto"/>
                    <w:left w:val="none" w:sz="0" w:space="0" w:color="auto"/>
                    <w:bottom w:val="none" w:sz="0" w:space="0" w:color="auto"/>
                    <w:right w:val="none" w:sz="0" w:space="0" w:color="auto"/>
                  </w:divBdr>
                </w:div>
                <w:div w:id="688796833">
                  <w:marLeft w:val="0"/>
                  <w:marRight w:val="0"/>
                  <w:marTop w:val="0"/>
                  <w:marBottom w:val="0"/>
                  <w:divBdr>
                    <w:top w:val="none" w:sz="0" w:space="0" w:color="auto"/>
                    <w:left w:val="none" w:sz="0" w:space="0" w:color="auto"/>
                    <w:bottom w:val="none" w:sz="0" w:space="0" w:color="auto"/>
                    <w:right w:val="none" w:sz="0" w:space="0" w:color="auto"/>
                  </w:divBdr>
                </w:div>
                <w:div w:id="598490822">
                  <w:marLeft w:val="0"/>
                  <w:marRight w:val="0"/>
                  <w:marTop w:val="0"/>
                  <w:marBottom w:val="0"/>
                  <w:divBdr>
                    <w:top w:val="none" w:sz="0" w:space="0" w:color="auto"/>
                    <w:left w:val="none" w:sz="0" w:space="0" w:color="auto"/>
                    <w:bottom w:val="none" w:sz="0" w:space="0" w:color="auto"/>
                    <w:right w:val="none" w:sz="0" w:space="0" w:color="auto"/>
                  </w:divBdr>
                </w:div>
                <w:div w:id="1316907986">
                  <w:marLeft w:val="0"/>
                  <w:marRight w:val="0"/>
                  <w:marTop w:val="0"/>
                  <w:marBottom w:val="0"/>
                  <w:divBdr>
                    <w:top w:val="none" w:sz="0" w:space="0" w:color="auto"/>
                    <w:left w:val="none" w:sz="0" w:space="0" w:color="auto"/>
                    <w:bottom w:val="none" w:sz="0" w:space="0" w:color="auto"/>
                    <w:right w:val="none" w:sz="0" w:space="0" w:color="auto"/>
                  </w:divBdr>
                </w:div>
                <w:div w:id="110635636">
                  <w:marLeft w:val="0"/>
                  <w:marRight w:val="0"/>
                  <w:marTop w:val="0"/>
                  <w:marBottom w:val="0"/>
                  <w:divBdr>
                    <w:top w:val="none" w:sz="0" w:space="0" w:color="auto"/>
                    <w:left w:val="none" w:sz="0" w:space="0" w:color="auto"/>
                    <w:bottom w:val="none" w:sz="0" w:space="0" w:color="auto"/>
                    <w:right w:val="none" w:sz="0" w:space="0" w:color="auto"/>
                  </w:divBdr>
                </w:div>
                <w:div w:id="995451236">
                  <w:marLeft w:val="0"/>
                  <w:marRight w:val="0"/>
                  <w:marTop w:val="0"/>
                  <w:marBottom w:val="0"/>
                  <w:divBdr>
                    <w:top w:val="none" w:sz="0" w:space="0" w:color="auto"/>
                    <w:left w:val="none" w:sz="0" w:space="0" w:color="auto"/>
                    <w:bottom w:val="none" w:sz="0" w:space="0" w:color="auto"/>
                    <w:right w:val="none" w:sz="0" w:space="0" w:color="auto"/>
                  </w:divBdr>
                </w:div>
                <w:div w:id="1789280071">
                  <w:marLeft w:val="0"/>
                  <w:marRight w:val="0"/>
                  <w:marTop w:val="0"/>
                  <w:marBottom w:val="0"/>
                  <w:divBdr>
                    <w:top w:val="none" w:sz="0" w:space="0" w:color="auto"/>
                    <w:left w:val="none" w:sz="0" w:space="0" w:color="auto"/>
                    <w:bottom w:val="none" w:sz="0" w:space="0" w:color="auto"/>
                    <w:right w:val="none" w:sz="0" w:space="0" w:color="auto"/>
                  </w:divBdr>
                </w:div>
                <w:div w:id="807627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921534">
      <w:bodyDiv w:val="1"/>
      <w:marLeft w:val="0"/>
      <w:marRight w:val="0"/>
      <w:marTop w:val="0"/>
      <w:marBottom w:val="0"/>
      <w:divBdr>
        <w:top w:val="none" w:sz="0" w:space="0" w:color="auto"/>
        <w:left w:val="none" w:sz="0" w:space="0" w:color="auto"/>
        <w:bottom w:val="none" w:sz="0" w:space="0" w:color="auto"/>
        <w:right w:val="none" w:sz="0" w:space="0" w:color="auto"/>
      </w:divBdr>
    </w:div>
    <w:div w:id="183714248">
      <w:bodyDiv w:val="1"/>
      <w:marLeft w:val="0"/>
      <w:marRight w:val="0"/>
      <w:marTop w:val="0"/>
      <w:marBottom w:val="0"/>
      <w:divBdr>
        <w:top w:val="none" w:sz="0" w:space="0" w:color="auto"/>
        <w:left w:val="none" w:sz="0" w:space="0" w:color="auto"/>
        <w:bottom w:val="none" w:sz="0" w:space="0" w:color="auto"/>
        <w:right w:val="none" w:sz="0" w:space="0" w:color="auto"/>
      </w:divBdr>
      <w:divsChild>
        <w:div w:id="443160455">
          <w:marLeft w:val="0"/>
          <w:marRight w:val="0"/>
          <w:marTop w:val="0"/>
          <w:marBottom w:val="0"/>
          <w:divBdr>
            <w:top w:val="none" w:sz="0" w:space="0" w:color="auto"/>
            <w:left w:val="none" w:sz="0" w:space="0" w:color="auto"/>
            <w:bottom w:val="none" w:sz="0" w:space="0" w:color="auto"/>
            <w:right w:val="none" w:sz="0" w:space="0" w:color="auto"/>
          </w:divBdr>
          <w:divsChild>
            <w:div w:id="69280991">
              <w:marLeft w:val="0"/>
              <w:marRight w:val="0"/>
              <w:marTop w:val="0"/>
              <w:marBottom w:val="0"/>
              <w:divBdr>
                <w:top w:val="none" w:sz="0" w:space="0" w:color="auto"/>
                <w:left w:val="none" w:sz="0" w:space="0" w:color="auto"/>
                <w:bottom w:val="single" w:sz="12" w:space="0" w:color="006699"/>
                <w:right w:val="none" w:sz="0" w:space="0" w:color="auto"/>
              </w:divBdr>
              <w:divsChild>
                <w:div w:id="1996255931">
                  <w:marLeft w:val="0"/>
                  <w:marRight w:val="0"/>
                  <w:marTop w:val="0"/>
                  <w:marBottom w:val="0"/>
                  <w:divBdr>
                    <w:top w:val="none" w:sz="0" w:space="0" w:color="auto"/>
                    <w:left w:val="none" w:sz="0" w:space="0" w:color="auto"/>
                    <w:bottom w:val="none" w:sz="0" w:space="0" w:color="auto"/>
                    <w:right w:val="none" w:sz="0" w:space="0" w:color="auto"/>
                  </w:divBdr>
                  <w:divsChild>
                    <w:div w:id="1013994198">
                      <w:marLeft w:val="0"/>
                      <w:marRight w:val="0"/>
                      <w:marTop w:val="0"/>
                      <w:marBottom w:val="0"/>
                      <w:divBdr>
                        <w:top w:val="none" w:sz="0" w:space="0" w:color="auto"/>
                        <w:left w:val="none" w:sz="0" w:space="0" w:color="auto"/>
                        <w:bottom w:val="none" w:sz="0" w:space="0" w:color="auto"/>
                        <w:right w:val="none" w:sz="0" w:space="0" w:color="auto"/>
                      </w:divBdr>
                      <w:divsChild>
                        <w:div w:id="1592158607">
                          <w:marLeft w:val="0"/>
                          <w:marRight w:val="0"/>
                          <w:marTop w:val="0"/>
                          <w:marBottom w:val="0"/>
                          <w:divBdr>
                            <w:top w:val="none" w:sz="0" w:space="0" w:color="auto"/>
                            <w:left w:val="none" w:sz="0" w:space="0" w:color="auto"/>
                            <w:bottom w:val="none" w:sz="0" w:space="0" w:color="auto"/>
                            <w:right w:val="none" w:sz="0" w:space="0" w:color="auto"/>
                          </w:divBdr>
                          <w:divsChild>
                            <w:div w:id="368187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2735830">
                  <w:marLeft w:val="0"/>
                  <w:marRight w:val="0"/>
                  <w:marTop w:val="0"/>
                  <w:marBottom w:val="0"/>
                  <w:divBdr>
                    <w:top w:val="none" w:sz="0" w:space="0" w:color="auto"/>
                    <w:left w:val="none" w:sz="0" w:space="0" w:color="auto"/>
                    <w:bottom w:val="none" w:sz="0" w:space="0" w:color="auto"/>
                    <w:right w:val="none" w:sz="0" w:space="0" w:color="auto"/>
                  </w:divBdr>
                </w:div>
                <w:div w:id="319693663">
                  <w:marLeft w:val="0"/>
                  <w:marRight w:val="0"/>
                  <w:marTop w:val="0"/>
                  <w:marBottom w:val="0"/>
                  <w:divBdr>
                    <w:top w:val="none" w:sz="0" w:space="0" w:color="auto"/>
                    <w:left w:val="none" w:sz="0" w:space="0" w:color="auto"/>
                    <w:bottom w:val="none" w:sz="0" w:space="0" w:color="auto"/>
                    <w:right w:val="none" w:sz="0" w:space="0" w:color="auto"/>
                  </w:divBdr>
                  <w:divsChild>
                    <w:div w:id="1046444284">
                      <w:marLeft w:val="0"/>
                      <w:marRight w:val="0"/>
                      <w:marTop w:val="0"/>
                      <w:marBottom w:val="0"/>
                      <w:divBdr>
                        <w:top w:val="none" w:sz="0" w:space="0" w:color="auto"/>
                        <w:left w:val="none" w:sz="0" w:space="0" w:color="auto"/>
                        <w:bottom w:val="none" w:sz="0" w:space="0" w:color="auto"/>
                        <w:right w:val="none" w:sz="0" w:space="0" w:color="auto"/>
                      </w:divBdr>
                      <w:divsChild>
                        <w:div w:id="154416942">
                          <w:marLeft w:val="0"/>
                          <w:marRight w:val="0"/>
                          <w:marTop w:val="0"/>
                          <w:marBottom w:val="0"/>
                          <w:divBdr>
                            <w:top w:val="none" w:sz="0" w:space="0" w:color="auto"/>
                            <w:left w:val="none" w:sz="0" w:space="0" w:color="auto"/>
                            <w:bottom w:val="none" w:sz="0" w:space="0" w:color="auto"/>
                            <w:right w:val="none" w:sz="0" w:space="0" w:color="auto"/>
                          </w:divBdr>
                        </w:div>
                        <w:div w:id="1912540480">
                          <w:marLeft w:val="0"/>
                          <w:marRight w:val="0"/>
                          <w:marTop w:val="0"/>
                          <w:marBottom w:val="0"/>
                          <w:divBdr>
                            <w:top w:val="none" w:sz="0" w:space="0" w:color="auto"/>
                            <w:left w:val="none" w:sz="0" w:space="0" w:color="auto"/>
                            <w:bottom w:val="none" w:sz="0" w:space="0" w:color="auto"/>
                            <w:right w:val="none" w:sz="0" w:space="0" w:color="auto"/>
                          </w:divBdr>
                        </w:div>
                        <w:div w:id="165171943">
                          <w:marLeft w:val="0"/>
                          <w:marRight w:val="0"/>
                          <w:marTop w:val="0"/>
                          <w:marBottom w:val="0"/>
                          <w:divBdr>
                            <w:top w:val="none" w:sz="0" w:space="0" w:color="auto"/>
                            <w:left w:val="none" w:sz="0" w:space="0" w:color="auto"/>
                            <w:bottom w:val="none" w:sz="0" w:space="0" w:color="auto"/>
                            <w:right w:val="none" w:sz="0" w:space="0" w:color="auto"/>
                          </w:divBdr>
                          <w:divsChild>
                            <w:div w:id="1707636207">
                              <w:marLeft w:val="0"/>
                              <w:marRight w:val="0"/>
                              <w:marTop w:val="0"/>
                              <w:marBottom w:val="0"/>
                              <w:divBdr>
                                <w:top w:val="none" w:sz="0" w:space="0" w:color="auto"/>
                                <w:left w:val="none" w:sz="0" w:space="0" w:color="auto"/>
                                <w:bottom w:val="none" w:sz="0" w:space="0" w:color="auto"/>
                                <w:right w:val="none" w:sz="0" w:space="0" w:color="auto"/>
                              </w:divBdr>
                              <w:divsChild>
                                <w:div w:id="1817182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7005178">
                          <w:marLeft w:val="0"/>
                          <w:marRight w:val="0"/>
                          <w:marTop w:val="0"/>
                          <w:marBottom w:val="0"/>
                          <w:divBdr>
                            <w:top w:val="none" w:sz="0" w:space="0" w:color="auto"/>
                            <w:left w:val="none" w:sz="0" w:space="0" w:color="auto"/>
                            <w:bottom w:val="none" w:sz="0" w:space="0" w:color="auto"/>
                            <w:right w:val="none" w:sz="0" w:space="0" w:color="auto"/>
                          </w:divBdr>
                          <w:divsChild>
                            <w:div w:id="1430396195">
                              <w:marLeft w:val="0"/>
                              <w:marRight w:val="0"/>
                              <w:marTop w:val="0"/>
                              <w:marBottom w:val="0"/>
                              <w:divBdr>
                                <w:top w:val="none" w:sz="0" w:space="0" w:color="auto"/>
                                <w:left w:val="none" w:sz="0" w:space="0" w:color="auto"/>
                                <w:bottom w:val="none" w:sz="0" w:space="0" w:color="auto"/>
                                <w:right w:val="none" w:sz="0" w:space="0" w:color="auto"/>
                              </w:divBdr>
                              <w:divsChild>
                                <w:div w:id="429199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0685906">
                      <w:marLeft w:val="0"/>
                      <w:marRight w:val="0"/>
                      <w:marTop w:val="0"/>
                      <w:marBottom w:val="0"/>
                      <w:divBdr>
                        <w:top w:val="none" w:sz="0" w:space="0" w:color="auto"/>
                        <w:left w:val="none" w:sz="0" w:space="0" w:color="auto"/>
                        <w:bottom w:val="none" w:sz="0" w:space="0" w:color="auto"/>
                        <w:right w:val="none" w:sz="0" w:space="0" w:color="auto"/>
                      </w:divBdr>
                      <w:divsChild>
                        <w:div w:id="275529538">
                          <w:marLeft w:val="0"/>
                          <w:marRight w:val="0"/>
                          <w:marTop w:val="0"/>
                          <w:marBottom w:val="0"/>
                          <w:divBdr>
                            <w:top w:val="none" w:sz="0" w:space="0" w:color="auto"/>
                            <w:left w:val="none" w:sz="0" w:space="0" w:color="auto"/>
                            <w:bottom w:val="none" w:sz="0" w:space="0" w:color="auto"/>
                            <w:right w:val="none" w:sz="0" w:space="0" w:color="auto"/>
                          </w:divBdr>
                        </w:div>
                        <w:div w:id="1657419068">
                          <w:marLeft w:val="0"/>
                          <w:marRight w:val="0"/>
                          <w:marTop w:val="0"/>
                          <w:marBottom w:val="0"/>
                          <w:divBdr>
                            <w:top w:val="none" w:sz="0" w:space="0" w:color="auto"/>
                            <w:left w:val="none" w:sz="0" w:space="0" w:color="auto"/>
                            <w:bottom w:val="none" w:sz="0" w:space="0" w:color="auto"/>
                            <w:right w:val="none" w:sz="0" w:space="0" w:color="auto"/>
                          </w:divBdr>
                        </w:div>
                        <w:div w:id="1200555272">
                          <w:marLeft w:val="0"/>
                          <w:marRight w:val="0"/>
                          <w:marTop w:val="0"/>
                          <w:marBottom w:val="0"/>
                          <w:divBdr>
                            <w:top w:val="none" w:sz="0" w:space="0" w:color="auto"/>
                            <w:left w:val="none" w:sz="0" w:space="0" w:color="auto"/>
                            <w:bottom w:val="none" w:sz="0" w:space="0" w:color="auto"/>
                            <w:right w:val="none" w:sz="0" w:space="0" w:color="auto"/>
                          </w:divBdr>
                        </w:div>
                        <w:div w:id="128061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7806447">
          <w:marLeft w:val="0"/>
          <w:marRight w:val="0"/>
          <w:marTop w:val="0"/>
          <w:marBottom w:val="0"/>
          <w:divBdr>
            <w:top w:val="none" w:sz="0" w:space="0" w:color="auto"/>
            <w:left w:val="none" w:sz="0" w:space="0" w:color="auto"/>
            <w:bottom w:val="single" w:sz="6" w:space="0" w:color="333333"/>
            <w:right w:val="none" w:sz="0" w:space="0" w:color="auto"/>
          </w:divBdr>
          <w:divsChild>
            <w:div w:id="751319976">
              <w:marLeft w:val="0"/>
              <w:marRight w:val="0"/>
              <w:marTop w:val="0"/>
              <w:marBottom w:val="0"/>
              <w:divBdr>
                <w:top w:val="none" w:sz="0" w:space="0" w:color="auto"/>
                <w:left w:val="none" w:sz="0" w:space="0" w:color="auto"/>
                <w:bottom w:val="none" w:sz="0" w:space="0" w:color="auto"/>
                <w:right w:val="none" w:sz="0" w:space="0" w:color="auto"/>
              </w:divBdr>
              <w:divsChild>
                <w:div w:id="987322859">
                  <w:marLeft w:val="0"/>
                  <w:marRight w:val="0"/>
                  <w:marTop w:val="0"/>
                  <w:marBottom w:val="0"/>
                  <w:divBdr>
                    <w:top w:val="none" w:sz="0" w:space="0" w:color="auto"/>
                    <w:left w:val="none" w:sz="0" w:space="0" w:color="auto"/>
                    <w:bottom w:val="none" w:sz="0" w:space="0" w:color="auto"/>
                    <w:right w:val="none" w:sz="0" w:space="0" w:color="auto"/>
                  </w:divBdr>
                  <w:divsChild>
                    <w:div w:id="205603356">
                      <w:marLeft w:val="0"/>
                      <w:marRight w:val="0"/>
                      <w:marTop w:val="0"/>
                      <w:marBottom w:val="0"/>
                      <w:divBdr>
                        <w:top w:val="none" w:sz="0" w:space="0" w:color="auto"/>
                        <w:left w:val="none" w:sz="0" w:space="0" w:color="auto"/>
                        <w:bottom w:val="none" w:sz="0" w:space="0" w:color="auto"/>
                        <w:right w:val="none" w:sz="0" w:space="0" w:color="auto"/>
                      </w:divBdr>
                      <w:divsChild>
                        <w:div w:id="1199203332">
                          <w:marLeft w:val="0"/>
                          <w:marRight w:val="0"/>
                          <w:marTop w:val="0"/>
                          <w:marBottom w:val="0"/>
                          <w:divBdr>
                            <w:top w:val="none" w:sz="0" w:space="0" w:color="auto"/>
                            <w:left w:val="none" w:sz="0" w:space="0" w:color="auto"/>
                            <w:bottom w:val="dotted" w:sz="6" w:space="0" w:color="FEA957"/>
                            <w:right w:val="none" w:sz="0" w:space="0" w:color="auto"/>
                          </w:divBdr>
                          <w:divsChild>
                            <w:div w:id="1212107906">
                              <w:marLeft w:val="0"/>
                              <w:marRight w:val="0"/>
                              <w:marTop w:val="0"/>
                              <w:marBottom w:val="0"/>
                              <w:divBdr>
                                <w:top w:val="none" w:sz="0" w:space="0" w:color="auto"/>
                                <w:left w:val="none" w:sz="0" w:space="0" w:color="auto"/>
                                <w:bottom w:val="none" w:sz="0" w:space="0" w:color="auto"/>
                                <w:right w:val="none" w:sz="0" w:space="0" w:color="auto"/>
                              </w:divBdr>
                              <w:divsChild>
                                <w:div w:id="141654709">
                                  <w:marLeft w:val="0"/>
                                  <w:marRight w:val="0"/>
                                  <w:marTop w:val="0"/>
                                  <w:marBottom w:val="450"/>
                                  <w:divBdr>
                                    <w:top w:val="none" w:sz="0" w:space="0" w:color="auto"/>
                                    <w:left w:val="none" w:sz="0" w:space="0" w:color="auto"/>
                                    <w:bottom w:val="none" w:sz="0" w:space="0" w:color="auto"/>
                                    <w:right w:val="none" w:sz="0" w:space="0" w:color="auto"/>
                                  </w:divBdr>
                                  <w:divsChild>
                                    <w:div w:id="2131364251">
                                      <w:marLeft w:val="0"/>
                                      <w:marRight w:val="0"/>
                                      <w:marTop w:val="0"/>
                                      <w:marBottom w:val="375"/>
                                      <w:divBdr>
                                        <w:top w:val="none" w:sz="0" w:space="0" w:color="auto"/>
                                        <w:left w:val="none" w:sz="0" w:space="0" w:color="auto"/>
                                        <w:bottom w:val="none" w:sz="0" w:space="0" w:color="auto"/>
                                        <w:right w:val="none" w:sz="0" w:space="0" w:color="auto"/>
                                      </w:divBdr>
                                      <w:divsChild>
                                        <w:div w:id="888031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1573216">
                                  <w:marLeft w:val="0"/>
                                  <w:marRight w:val="0"/>
                                  <w:marTop w:val="0"/>
                                  <w:marBottom w:val="450"/>
                                  <w:divBdr>
                                    <w:top w:val="none" w:sz="0" w:space="0" w:color="auto"/>
                                    <w:left w:val="none" w:sz="0" w:space="0" w:color="auto"/>
                                    <w:bottom w:val="none" w:sz="0" w:space="0" w:color="auto"/>
                                    <w:right w:val="none" w:sz="0" w:space="0" w:color="auto"/>
                                  </w:divBdr>
                                  <w:divsChild>
                                    <w:div w:id="1904875734">
                                      <w:marLeft w:val="0"/>
                                      <w:marRight w:val="0"/>
                                      <w:marTop w:val="0"/>
                                      <w:marBottom w:val="375"/>
                                      <w:divBdr>
                                        <w:top w:val="none" w:sz="0" w:space="0" w:color="auto"/>
                                        <w:left w:val="none" w:sz="0" w:space="0" w:color="auto"/>
                                        <w:bottom w:val="none" w:sz="0" w:space="0" w:color="auto"/>
                                        <w:right w:val="none" w:sz="0" w:space="0" w:color="auto"/>
                                      </w:divBdr>
                                      <w:divsChild>
                                        <w:div w:id="289628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2131539">
                                  <w:marLeft w:val="0"/>
                                  <w:marRight w:val="0"/>
                                  <w:marTop w:val="0"/>
                                  <w:marBottom w:val="450"/>
                                  <w:divBdr>
                                    <w:top w:val="none" w:sz="0" w:space="0" w:color="auto"/>
                                    <w:left w:val="none" w:sz="0" w:space="0" w:color="auto"/>
                                    <w:bottom w:val="none" w:sz="0" w:space="0" w:color="auto"/>
                                    <w:right w:val="none" w:sz="0" w:space="0" w:color="auto"/>
                                  </w:divBdr>
                                  <w:divsChild>
                                    <w:div w:id="1092048239">
                                      <w:marLeft w:val="0"/>
                                      <w:marRight w:val="0"/>
                                      <w:marTop w:val="0"/>
                                      <w:marBottom w:val="375"/>
                                      <w:divBdr>
                                        <w:top w:val="none" w:sz="0" w:space="0" w:color="auto"/>
                                        <w:left w:val="none" w:sz="0" w:space="0" w:color="auto"/>
                                        <w:bottom w:val="none" w:sz="0" w:space="0" w:color="auto"/>
                                        <w:right w:val="none" w:sz="0" w:space="0" w:color="auto"/>
                                      </w:divBdr>
                                      <w:divsChild>
                                        <w:div w:id="1899508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9732531">
                                  <w:marLeft w:val="0"/>
                                  <w:marRight w:val="0"/>
                                  <w:marTop w:val="0"/>
                                  <w:marBottom w:val="450"/>
                                  <w:divBdr>
                                    <w:top w:val="none" w:sz="0" w:space="0" w:color="auto"/>
                                    <w:left w:val="none" w:sz="0" w:space="0" w:color="auto"/>
                                    <w:bottom w:val="none" w:sz="0" w:space="0" w:color="auto"/>
                                    <w:right w:val="none" w:sz="0" w:space="0" w:color="auto"/>
                                  </w:divBdr>
                                  <w:divsChild>
                                    <w:div w:id="346951448">
                                      <w:marLeft w:val="0"/>
                                      <w:marRight w:val="0"/>
                                      <w:marTop w:val="0"/>
                                      <w:marBottom w:val="375"/>
                                      <w:divBdr>
                                        <w:top w:val="none" w:sz="0" w:space="0" w:color="auto"/>
                                        <w:left w:val="none" w:sz="0" w:space="0" w:color="auto"/>
                                        <w:bottom w:val="none" w:sz="0" w:space="0" w:color="auto"/>
                                        <w:right w:val="none" w:sz="0" w:space="0" w:color="auto"/>
                                      </w:divBdr>
                                      <w:divsChild>
                                        <w:div w:id="185142770">
                                          <w:marLeft w:val="0"/>
                                          <w:marRight w:val="0"/>
                                          <w:marTop w:val="0"/>
                                          <w:marBottom w:val="0"/>
                                          <w:divBdr>
                                            <w:top w:val="none" w:sz="0" w:space="0" w:color="auto"/>
                                            <w:left w:val="none" w:sz="0" w:space="0" w:color="auto"/>
                                            <w:bottom w:val="none" w:sz="0" w:space="0" w:color="auto"/>
                                            <w:right w:val="none" w:sz="0" w:space="0" w:color="auto"/>
                                          </w:divBdr>
                                        </w:div>
                                      </w:divsChild>
                                    </w:div>
                                    <w:div w:id="1438132576">
                                      <w:marLeft w:val="0"/>
                                      <w:marRight w:val="0"/>
                                      <w:marTop w:val="0"/>
                                      <w:marBottom w:val="0"/>
                                      <w:divBdr>
                                        <w:top w:val="none" w:sz="0" w:space="0" w:color="auto"/>
                                        <w:left w:val="none" w:sz="0" w:space="0" w:color="auto"/>
                                        <w:bottom w:val="none" w:sz="0" w:space="0" w:color="auto"/>
                                        <w:right w:val="none" w:sz="0" w:space="0" w:color="auto"/>
                                      </w:divBdr>
                                    </w:div>
                                    <w:div w:id="1534151438">
                                      <w:marLeft w:val="0"/>
                                      <w:marRight w:val="0"/>
                                      <w:marTop w:val="0"/>
                                      <w:marBottom w:val="0"/>
                                      <w:divBdr>
                                        <w:top w:val="none" w:sz="0" w:space="0" w:color="auto"/>
                                        <w:left w:val="none" w:sz="0" w:space="0" w:color="auto"/>
                                        <w:bottom w:val="none" w:sz="0" w:space="0" w:color="auto"/>
                                        <w:right w:val="none" w:sz="0" w:space="0" w:color="auto"/>
                                      </w:divBdr>
                                    </w:div>
                                    <w:div w:id="23870729">
                                      <w:marLeft w:val="0"/>
                                      <w:marRight w:val="0"/>
                                      <w:marTop w:val="0"/>
                                      <w:marBottom w:val="0"/>
                                      <w:divBdr>
                                        <w:top w:val="none" w:sz="0" w:space="0" w:color="auto"/>
                                        <w:left w:val="none" w:sz="0" w:space="0" w:color="auto"/>
                                        <w:bottom w:val="none" w:sz="0" w:space="0" w:color="auto"/>
                                        <w:right w:val="none" w:sz="0" w:space="0" w:color="auto"/>
                                      </w:divBdr>
                                    </w:div>
                                    <w:div w:id="494151821">
                                      <w:marLeft w:val="0"/>
                                      <w:marRight w:val="0"/>
                                      <w:marTop w:val="0"/>
                                      <w:marBottom w:val="0"/>
                                      <w:divBdr>
                                        <w:top w:val="none" w:sz="0" w:space="0" w:color="auto"/>
                                        <w:left w:val="none" w:sz="0" w:space="0" w:color="auto"/>
                                        <w:bottom w:val="none" w:sz="0" w:space="0" w:color="auto"/>
                                        <w:right w:val="none" w:sz="0" w:space="0" w:color="auto"/>
                                      </w:divBdr>
                                      <w:divsChild>
                                        <w:div w:id="2105030975">
                                          <w:marLeft w:val="0"/>
                                          <w:marRight w:val="0"/>
                                          <w:marTop w:val="240"/>
                                          <w:marBottom w:val="480"/>
                                          <w:divBdr>
                                            <w:top w:val="none" w:sz="0" w:space="0" w:color="auto"/>
                                            <w:left w:val="none" w:sz="0" w:space="0" w:color="auto"/>
                                            <w:bottom w:val="none" w:sz="0" w:space="0" w:color="auto"/>
                                            <w:right w:val="none" w:sz="0" w:space="0" w:color="auto"/>
                                          </w:divBdr>
                                          <w:divsChild>
                                            <w:div w:id="758407715">
                                              <w:marLeft w:val="0"/>
                                              <w:marRight w:val="0"/>
                                              <w:marTop w:val="0"/>
                                              <w:marBottom w:val="0"/>
                                              <w:divBdr>
                                                <w:top w:val="single" w:sz="6" w:space="0" w:color="C6C6C6"/>
                                                <w:left w:val="single" w:sz="6" w:space="0" w:color="C6C6C6"/>
                                                <w:bottom w:val="single" w:sz="6" w:space="0" w:color="C6C6C6"/>
                                                <w:right w:val="single" w:sz="6" w:space="0" w:color="C6C6C6"/>
                                              </w:divBdr>
                                            </w:div>
                                            <w:div w:id="2033416367">
                                              <w:marLeft w:val="0"/>
                                              <w:marRight w:val="0"/>
                                              <w:marTop w:val="0"/>
                                              <w:marBottom w:val="0"/>
                                              <w:divBdr>
                                                <w:top w:val="none" w:sz="0" w:space="0" w:color="auto"/>
                                                <w:left w:val="none" w:sz="0" w:space="0" w:color="auto"/>
                                                <w:bottom w:val="dotted" w:sz="6" w:space="6" w:color="999999"/>
                                                <w:right w:val="none" w:sz="0" w:space="0" w:color="auto"/>
                                              </w:divBdr>
                                            </w:div>
                                          </w:divsChild>
                                        </w:div>
                                        <w:div w:id="751780642">
                                          <w:marLeft w:val="0"/>
                                          <w:marRight w:val="0"/>
                                          <w:marTop w:val="240"/>
                                          <w:marBottom w:val="480"/>
                                          <w:divBdr>
                                            <w:top w:val="none" w:sz="0" w:space="0" w:color="auto"/>
                                            <w:left w:val="none" w:sz="0" w:space="0" w:color="auto"/>
                                            <w:bottom w:val="none" w:sz="0" w:space="0" w:color="auto"/>
                                            <w:right w:val="none" w:sz="0" w:space="0" w:color="auto"/>
                                          </w:divBdr>
                                          <w:divsChild>
                                            <w:div w:id="1006790410">
                                              <w:marLeft w:val="0"/>
                                              <w:marRight w:val="0"/>
                                              <w:marTop w:val="0"/>
                                              <w:marBottom w:val="0"/>
                                              <w:divBdr>
                                                <w:top w:val="single" w:sz="6" w:space="0" w:color="C6C6C6"/>
                                                <w:left w:val="single" w:sz="6" w:space="0" w:color="C6C6C6"/>
                                                <w:bottom w:val="single" w:sz="6" w:space="0" w:color="C6C6C6"/>
                                                <w:right w:val="single" w:sz="6" w:space="0" w:color="C6C6C6"/>
                                              </w:divBdr>
                                            </w:div>
                                            <w:div w:id="477036672">
                                              <w:marLeft w:val="0"/>
                                              <w:marRight w:val="0"/>
                                              <w:marTop w:val="0"/>
                                              <w:marBottom w:val="0"/>
                                              <w:divBdr>
                                                <w:top w:val="none" w:sz="0" w:space="0" w:color="auto"/>
                                                <w:left w:val="none" w:sz="0" w:space="0" w:color="auto"/>
                                                <w:bottom w:val="dotted" w:sz="6" w:space="6" w:color="999999"/>
                                                <w:right w:val="none" w:sz="0" w:space="0" w:color="auto"/>
                                              </w:divBdr>
                                            </w:div>
                                          </w:divsChild>
                                        </w:div>
                                        <w:div w:id="530266099">
                                          <w:marLeft w:val="0"/>
                                          <w:marRight w:val="0"/>
                                          <w:marTop w:val="240"/>
                                          <w:marBottom w:val="480"/>
                                          <w:divBdr>
                                            <w:top w:val="none" w:sz="0" w:space="0" w:color="auto"/>
                                            <w:left w:val="none" w:sz="0" w:space="0" w:color="auto"/>
                                            <w:bottom w:val="none" w:sz="0" w:space="0" w:color="auto"/>
                                            <w:right w:val="none" w:sz="0" w:space="0" w:color="auto"/>
                                          </w:divBdr>
                                          <w:divsChild>
                                            <w:div w:id="1922442703">
                                              <w:marLeft w:val="0"/>
                                              <w:marRight w:val="0"/>
                                              <w:marTop w:val="0"/>
                                              <w:marBottom w:val="0"/>
                                              <w:divBdr>
                                                <w:top w:val="single" w:sz="6" w:space="0" w:color="C6C6C6"/>
                                                <w:left w:val="single" w:sz="6" w:space="0" w:color="C6C6C6"/>
                                                <w:bottom w:val="single" w:sz="6" w:space="0" w:color="C6C6C6"/>
                                                <w:right w:val="single" w:sz="6" w:space="0" w:color="C6C6C6"/>
                                              </w:divBdr>
                                            </w:div>
                                            <w:div w:id="248655369">
                                              <w:marLeft w:val="0"/>
                                              <w:marRight w:val="0"/>
                                              <w:marTop w:val="0"/>
                                              <w:marBottom w:val="0"/>
                                              <w:divBdr>
                                                <w:top w:val="none" w:sz="0" w:space="0" w:color="auto"/>
                                                <w:left w:val="none" w:sz="0" w:space="0" w:color="auto"/>
                                                <w:bottom w:val="dotted" w:sz="6" w:space="6" w:color="999999"/>
                                                <w:right w:val="none" w:sz="0" w:space="0" w:color="auto"/>
                                              </w:divBdr>
                                            </w:div>
                                          </w:divsChild>
                                        </w:div>
                                        <w:div w:id="696547651">
                                          <w:marLeft w:val="0"/>
                                          <w:marRight w:val="0"/>
                                          <w:marTop w:val="240"/>
                                          <w:marBottom w:val="480"/>
                                          <w:divBdr>
                                            <w:top w:val="none" w:sz="0" w:space="0" w:color="auto"/>
                                            <w:left w:val="none" w:sz="0" w:space="0" w:color="auto"/>
                                            <w:bottom w:val="none" w:sz="0" w:space="0" w:color="auto"/>
                                            <w:right w:val="none" w:sz="0" w:space="0" w:color="auto"/>
                                          </w:divBdr>
                                          <w:divsChild>
                                            <w:div w:id="533882251">
                                              <w:marLeft w:val="0"/>
                                              <w:marRight w:val="0"/>
                                              <w:marTop w:val="0"/>
                                              <w:marBottom w:val="0"/>
                                              <w:divBdr>
                                                <w:top w:val="single" w:sz="6" w:space="0" w:color="C6C6C6"/>
                                                <w:left w:val="single" w:sz="6" w:space="0" w:color="C6C6C6"/>
                                                <w:bottom w:val="single" w:sz="6" w:space="0" w:color="C6C6C6"/>
                                                <w:right w:val="single" w:sz="6" w:space="0" w:color="C6C6C6"/>
                                              </w:divBdr>
                                            </w:div>
                                            <w:div w:id="457526201">
                                              <w:marLeft w:val="0"/>
                                              <w:marRight w:val="0"/>
                                              <w:marTop w:val="0"/>
                                              <w:marBottom w:val="0"/>
                                              <w:divBdr>
                                                <w:top w:val="none" w:sz="0" w:space="0" w:color="auto"/>
                                                <w:left w:val="none" w:sz="0" w:space="0" w:color="auto"/>
                                                <w:bottom w:val="dotted" w:sz="6" w:space="6" w:color="999999"/>
                                                <w:right w:val="none" w:sz="0" w:space="0" w:color="auto"/>
                                              </w:divBdr>
                                            </w:div>
                                          </w:divsChild>
                                        </w:div>
                                        <w:div w:id="2105953206">
                                          <w:marLeft w:val="0"/>
                                          <w:marRight w:val="0"/>
                                          <w:marTop w:val="240"/>
                                          <w:marBottom w:val="480"/>
                                          <w:divBdr>
                                            <w:top w:val="none" w:sz="0" w:space="0" w:color="auto"/>
                                            <w:left w:val="none" w:sz="0" w:space="0" w:color="auto"/>
                                            <w:bottom w:val="none" w:sz="0" w:space="0" w:color="auto"/>
                                            <w:right w:val="none" w:sz="0" w:space="0" w:color="auto"/>
                                          </w:divBdr>
                                          <w:divsChild>
                                            <w:div w:id="1070885059">
                                              <w:marLeft w:val="0"/>
                                              <w:marRight w:val="0"/>
                                              <w:marTop w:val="0"/>
                                              <w:marBottom w:val="0"/>
                                              <w:divBdr>
                                                <w:top w:val="single" w:sz="6" w:space="0" w:color="C6C6C6"/>
                                                <w:left w:val="single" w:sz="6" w:space="0" w:color="C6C6C6"/>
                                                <w:bottom w:val="single" w:sz="6" w:space="0" w:color="C6C6C6"/>
                                                <w:right w:val="single" w:sz="6" w:space="0" w:color="C6C6C6"/>
                                              </w:divBdr>
                                            </w:div>
                                            <w:div w:id="41597819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690644579">
                                  <w:marLeft w:val="0"/>
                                  <w:marRight w:val="0"/>
                                  <w:marTop w:val="0"/>
                                  <w:marBottom w:val="450"/>
                                  <w:divBdr>
                                    <w:top w:val="none" w:sz="0" w:space="0" w:color="auto"/>
                                    <w:left w:val="none" w:sz="0" w:space="0" w:color="auto"/>
                                    <w:bottom w:val="none" w:sz="0" w:space="0" w:color="auto"/>
                                    <w:right w:val="none" w:sz="0" w:space="0" w:color="auto"/>
                                  </w:divBdr>
                                  <w:divsChild>
                                    <w:div w:id="1644850499">
                                      <w:marLeft w:val="0"/>
                                      <w:marRight w:val="0"/>
                                      <w:marTop w:val="0"/>
                                      <w:marBottom w:val="375"/>
                                      <w:divBdr>
                                        <w:top w:val="none" w:sz="0" w:space="0" w:color="auto"/>
                                        <w:left w:val="none" w:sz="0" w:space="0" w:color="auto"/>
                                        <w:bottom w:val="none" w:sz="0" w:space="0" w:color="auto"/>
                                        <w:right w:val="none" w:sz="0" w:space="0" w:color="auto"/>
                                      </w:divBdr>
                                      <w:divsChild>
                                        <w:div w:id="1890608391">
                                          <w:marLeft w:val="0"/>
                                          <w:marRight w:val="0"/>
                                          <w:marTop w:val="0"/>
                                          <w:marBottom w:val="0"/>
                                          <w:divBdr>
                                            <w:top w:val="none" w:sz="0" w:space="0" w:color="auto"/>
                                            <w:left w:val="none" w:sz="0" w:space="0" w:color="auto"/>
                                            <w:bottom w:val="none" w:sz="0" w:space="0" w:color="auto"/>
                                            <w:right w:val="none" w:sz="0" w:space="0" w:color="auto"/>
                                          </w:divBdr>
                                        </w:div>
                                      </w:divsChild>
                                    </w:div>
                                    <w:div w:id="1306856349">
                                      <w:marLeft w:val="0"/>
                                      <w:marRight w:val="0"/>
                                      <w:marTop w:val="0"/>
                                      <w:marBottom w:val="0"/>
                                      <w:divBdr>
                                        <w:top w:val="none" w:sz="0" w:space="0" w:color="auto"/>
                                        <w:left w:val="none" w:sz="0" w:space="0" w:color="auto"/>
                                        <w:bottom w:val="none" w:sz="0" w:space="0" w:color="auto"/>
                                        <w:right w:val="none" w:sz="0" w:space="0" w:color="auto"/>
                                      </w:divBdr>
                                      <w:divsChild>
                                        <w:div w:id="213277941">
                                          <w:marLeft w:val="0"/>
                                          <w:marRight w:val="0"/>
                                          <w:marTop w:val="240"/>
                                          <w:marBottom w:val="480"/>
                                          <w:divBdr>
                                            <w:top w:val="none" w:sz="0" w:space="0" w:color="auto"/>
                                            <w:left w:val="none" w:sz="0" w:space="0" w:color="auto"/>
                                            <w:bottom w:val="none" w:sz="0" w:space="0" w:color="auto"/>
                                            <w:right w:val="none" w:sz="0" w:space="0" w:color="auto"/>
                                          </w:divBdr>
                                          <w:divsChild>
                                            <w:div w:id="1223131023">
                                              <w:marLeft w:val="0"/>
                                              <w:marRight w:val="0"/>
                                              <w:marTop w:val="0"/>
                                              <w:marBottom w:val="0"/>
                                              <w:divBdr>
                                                <w:top w:val="single" w:sz="6" w:space="0" w:color="C6C6C6"/>
                                                <w:left w:val="single" w:sz="6" w:space="0" w:color="C6C6C6"/>
                                                <w:bottom w:val="single" w:sz="6" w:space="0" w:color="C6C6C6"/>
                                                <w:right w:val="single" w:sz="6" w:space="0" w:color="C6C6C6"/>
                                              </w:divBdr>
                                            </w:div>
                                            <w:div w:id="109498192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789202144">
                                      <w:marLeft w:val="0"/>
                                      <w:marRight w:val="0"/>
                                      <w:marTop w:val="0"/>
                                      <w:marBottom w:val="0"/>
                                      <w:divBdr>
                                        <w:top w:val="none" w:sz="0" w:space="0" w:color="auto"/>
                                        <w:left w:val="none" w:sz="0" w:space="0" w:color="auto"/>
                                        <w:bottom w:val="none" w:sz="0" w:space="0" w:color="auto"/>
                                        <w:right w:val="none" w:sz="0" w:space="0" w:color="auto"/>
                                      </w:divBdr>
                                      <w:divsChild>
                                        <w:div w:id="1500193717">
                                          <w:marLeft w:val="0"/>
                                          <w:marRight w:val="0"/>
                                          <w:marTop w:val="240"/>
                                          <w:marBottom w:val="480"/>
                                          <w:divBdr>
                                            <w:top w:val="none" w:sz="0" w:space="0" w:color="auto"/>
                                            <w:left w:val="none" w:sz="0" w:space="0" w:color="auto"/>
                                            <w:bottom w:val="none" w:sz="0" w:space="0" w:color="auto"/>
                                            <w:right w:val="none" w:sz="0" w:space="0" w:color="auto"/>
                                          </w:divBdr>
                                          <w:divsChild>
                                            <w:div w:id="1993289525">
                                              <w:marLeft w:val="0"/>
                                              <w:marRight w:val="0"/>
                                              <w:marTop w:val="0"/>
                                              <w:marBottom w:val="0"/>
                                              <w:divBdr>
                                                <w:top w:val="single" w:sz="6" w:space="0" w:color="C6C6C6"/>
                                                <w:left w:val="single" w:sz="6" w:space="0" w:color="C6C6C6"/>
                                                <w:bottom w:val="single" w:sz="6" w:space="0" w:color="C6C6C6"/>
                                                <w:right w:val="single" w:sz="6" w:space="0" w:color="C6C6C6"/>
                                              </w:divBdr>
                                            </w:div>
                                            <w:div w:id="439952365">
                                              <w:marLeft w:val="0"/>
                                              <w:marRight w:val="0"/>
                                              <w:marTop w:val="0"/>
                                              <w:marBottom w:val="0"/>
                                              <w:divBdr>
                                                <w:top w:val="none" w:sz="0" w:space="0" w:color="auto"/>
                                                <w:left w:val="none" w:sz="0" w:space="0" w:color="auto"/>
                                                <w:bottom w:val="dotted" w:sz="6" w:space="6" w:color="999999"/>
                                                <w:right w:val="none" w:sz="0" w:space="0" w:color="auto"/>
                                              </w:divBdr>
                                            </w:div>
                                          </w:divsChild>
                                        </w:div>
                                        <w:div w:id="403726828">
                                          <w:marLeft w:val="0"/>
                                          <w:marRight w:val="0"/>
                                          <w:marTop w:val="240"/>
                                          <w:marBottom w:val="480"/>
                                          <w:divBdr>
                                            <w:top w:val="none" w:sz="0" w:space="0" w:color="auto"/>
                                            <w:left w:val="none" w:sz="0" w:space="0" w:color="auto"/>
                                            <w:bottom w:val="none" w:sz="0" w:space="0" w:color="auto"/>
                                            <w:right w:val="none" w:sz="0" w:space="0" w:color="auto"/>
                                          </w:divBdr>
                                          <w:divsChild>
                                            <w:div w:id="1617907437">
                                              <w:marLeft w:val="0"/>
                                              <w:marRight w:val="0"/>
                                              <w:marTop w:val="0"/>
                                              <w:marBottom w:val="0"/>
                                              <w:divBdr>
                                                <w:top w:val="single" w:sz="6" w:space="0" w:color="C6C6C6"/>
                                                <w:left w:val="single" w:sz="6" w:space="0" w:color="C6C6C6"/>
                                                <w:bottom w:val="single" w:sz="6" w:space="0" w:color="C6C6C6"/>
                                                <w:right w:val="single" w:sz="6" w:space="0" w:color="C6C6C6"/>
                                              </w:divBdr>
                                            </w:div>
                                            <w:div w:id="2013095353">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520895893">
                                  <w:marLeft w:val="0"/>
                                  <w:marRight w:val="0"/>
                                  <w:marTop w:val="0"/>
                                  <w:marBottom w:val="450"/>
                                  <w:divBdr>
                                    <w:top w:val="none" w:sz="0" w:space="0" w:color="auto"/>
                                    <w:left w:val="none" w:sz="0" w:space="0" w:color="auto"/>
                                    <w:bottom w:val="none" w:sz="0" w:space="0" w:color="auto"/>
                                    <w:right w:val="none" w:sz="0" w:space="0" w:color="auto"/>
                                  </w:divBdr>
                                  <w:divsChild>
                                    <w:div w:id="1782989119">
                                      <w:marLeft w:val="0"/>
                                      <w:marRight w:val="0"/>
                                      <w:marTop w:val="0"/>
                                      <w:marBottom w:val="375"/>
                                      <w:divBdr>
                                        <w:top w:val="none" w:sz="0" w:space="0" w:color="auto"/>
                                        <w:left w:val="none" w:sz="0" w:space="0" w:color="auto"/>
                                        <w:bottom w:val="none" w:sz="0" w:space="0" w:color="auto"/>
                                        <w:right w:val="none" w:sz="0" w:space="0" w:color="auto"/>
                                      </w:divBdr>
                                      <w:divsChild>
                                        <w:div w:id="1702896652">
                                          <w:marLeft w:val="0"/>
                                          <w:marRight w:val="0"/>
                                          <w:marTop w:val="0"/>
                                          <w:marBottom w:val="0"/>
                                          <w:divBdr>
                                            <w:top w:val="none" w:sz="0" w:space="0" w:color="auto"/>
                                            <w:left w:val="none" w:sz="0" w:space="0" w:color="auto"/>
                                            <w:bottom w:val="none" w:sz="0" w:space="0" w:color="auto"/>
                                            <w:right w:val="none" w:sz="0" w:space="0" w:color="auto"/>
                                          </w:divBdr>
                                        </w:div>
                                      </w:divsChild>
                                    </w:div>
                                    <w:div w:id="101803324">
                                      <w:marLeft w:val="0"/>
                                      <w:marRight w:val="0"/>
                                      <w:marTop w:val="0"/>
                                      <w:marBottom w:val="0"/>
                                      <w:divBdr>
                                        <w:top w:val="none" w:sz="0" w:space="0" w:color="auto"/>
                                        <w:left w:val="none" w:sz="0" w:space="0" w:color="auto"/>
                                        <w:bottom w:val="none" w:sz="0" w:space="0" w:color="auto"/>
                                        <w:right w:val="none" w:sz="0" w:space="0" w:color="auto"/>
                                      </w:divBdr>
                                      <w:divsChild>
                                        <w:div w:id="1025322786">
                                          <w:marLeft w:val="0"/>
                                          <w:marRight w:val="0"/>
                                          <w:marTop w:val="240"/>
                                          <w:marBottom w:val="480"/>
                                          <w:divBdr>
                                            <w:top w:val="none" w:sz="0" w:space="0" w:color="auto"/>
                                            <w:left w:val="none" w:sz="0" w:space="0" w:color="auto"/>
                                            <w:bottom w:val="none" w:sz="0" w:space="0" w:color="auto"/>
                                            <w:right w:val="none" w:sz="0" w:space="0" w:color="auto"/>
                                          </w:divBdr>
                                          <w:divsChild>
                                            <w:div w:id="1666010188">
                                              <w:marLeft w:val="0"/>
                                              <w:marRight w:val="0"/>
                                              <w:marTop w:val="0"/>
                                              <w:marBottom w:val="0"/>
                                              <w:divBdr>
                                                <w:top w:val="single" w:sz="6" w:space="0" w:color="C6C6C6"/>
                                                <w:left w:val="single" w:sz="6" w:space="0" w:color="C6C6C6"/>
                                                <w:bottom w:val="single" w:sz="6" w:space="0" w:color="C6C6C6"/>
                                                <w:right w:val="single" w:sz="6" w:space="0" w:color="C6C6C6"/>
                                              </w:divBdr>
                                            </w:div>
                                            <w:div w:id="779488815">
                                              <w:marLeft w:val="0"/>
                                              <w:marRight w:val="0"/>
                                              <w:marTop w:val="0"/>
                                              <w:marBottom w:val="0"/>
                                              <w:divBdr>
                                                <w:top w:val="none" w:sz="0" w:space="0" w:color="auto"/>
                                                <w:left w:val="none" w:sz="0" w:space="0" w:color="auto"/>
                                                <w:bottom w:val="dotted" w:sz="6" w:space="6" w:color="999999"/>
                                                <w:right w:val="none" w:sz="0" w:space="0" w:color="auto"/>
                                              </w:divBdr>
                                            </w:div>
                                          </w:divsChild>
                                        </w:div>
                                        <w:div w:id="131487110">
                                          <w:marLeft w:val="0"/>
                                          <w:marRight w:val="0"/>
                                          <w:marTop w:val="240"/>
                                          <w:marBottom w:val="480"/>
                                          <w:divBdr>
                                            <w:top w:val="none" w:sz="0" w:space="0" w:color="auto"/>
                                            <w:left w:val="none" w:sz="0" w:space="0" w:color="auto"/>
                                            <w:bottom w:val="none" w:sz="0" w:space="0" w:color="auto"/>
                                            <w:right w:val="none" w:sz="0" w:space="0" w:color="auto"/>
                                          </w:divBdr>
                                          <w:divsChild>
                                            <w:div w:id="419109820">
                                              <w:marLeft w:val="0"/>
                                              <w:marRight w:val="0"/>
                                              <w:marTop w:val="0"/>
                                              <w:marBottom w:val="0"/>
                                              <w:divBdr>
                                                <w:top w:val="single" w:sz="6" w:space="0" w:color="C6C6C6"/>
                                                <w:left w:val="single" w:sz="6" w:space="0" w:color="C6C6C6"/>
                                                <w:bottom w:val="single" w:sz="6" w:space="0" w:color="C6C6C6"/>
                                                <w:right w:val="single" w:sz="6" w:space="0" w:color="C6C6C6"/>
                                              </w:divBdr>
                                            </w:div>
                                            <w:div w:id="8449446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71482910">
                                      <w:marLeft w:val="0"/>
                                      <w:marRight w:val="0"/>
                                      <w:marTop w:val="0"/>
                                      <w:marBottom w:val="0"/>
                                      <w:divBdr>
                                        <w:top w:val="none" w:sz="0" w:space="0" w:color="auto"/>
                                        <w:left w:val="none" w:sz="0" w:space="0" w:color="auto"/>
                                        <w:bottom w:val="none" w:sz="0" w:space="0" w:color="auto"/>
                                        <w:right w:val="none" w:sz="0" w:space="0" w:color="auto"/>
                                      </w:divBdr>
                                    </w:div>
                                  </w:divsChild>
                                </w:div>
                                <w:div w:id="2113088888">
                                  <w:marLeft w:val="0"/>
                                  <w:marRight w:val="0"/>
                                  <w:marTop w:val="0"/>
                                  <w:marBottom w:val="450"/>
                                  <w:divBdr>
                                    <w:top w:val="none" w:sz="0" w:space="0" w:color="auto"/>
                                    <w:left w:val="none" w:sz="0" w:space="0" w:color="auto"/>
                                    <w:bottom w:val="none" w:sz="0" w:space="0" w:color="auto"/>
                                    <w:right w:val="none" w:sz="0" w:space="0" w:color="auto"/>
                                  </w:divBdr>
                                  <w:divsChild>
                                    <w:div w:id="356153361">
                                      <w:marLeft w:val="0"/>
                                      <w:marRight w:val="0"/>
                                      <w:marTop w:val="0"/>
                                      <w:marBottom w:val="375"/>
                                      <w:divBdr>
                                        <w:top w:val="none" w:sz="0" w:space="0" w:color="auto"/>
                                        <w:left w:val="none" w:sz="0" w:space="0" w:color="auto"/>
                                        <w:bottom w:val="none" w:sz="0" w:space="0" w:color="auto"/>
                                        <w:right w:val="none" w:sz="0" w:space="0" w:color="auto"/>
                                      </w:divBdr>
                                      <w:divsChild>
                                        <w:div w:id="1991709868">
                                          <w:marLeft w:val="0"/>
                                          <w:marRight w:val="0"/>
                                          <w:marTop w:val="0"/>
                                          <w:marBottom w:val="0"/>
                                          <w:divBdr>
                                            <w:top w:val="none" w:sz="0" w:space="0" w:color="auto"/>
                                            <w:left w:val="none" w:sz="0" w:space="0" w:color="auto"/>
                                            <w:bottom w:val="none" w:sz="0" w:space="0" w:color="auto"/>
                                            <w:right w:val="none" w:sz="0" w:space="0" w:color="auto"/>
                                          </w:divBdr>
                                        </w:div>
                                      </w:divsChild>
                                    </w:div>
                                    <w:div w:id="104350460">
                                      <w:marLeft w:val="0"/>
                                      <w:marRight w:val="0"/>
                                      <w:marTop w:val="240"/>
                                      <w:marBottom w:val="480"/>
                                      <w:divBdr>
                                        <w:top w:val="none" w:sz="0" w:space="0" w:color="auto"/>
                                        <w:left w:val="none" w:sz="0" w:space="0" w:color="auto"/>
                                        <w:bottom w:val="none" w:sz="0" w:space="0" w:color="auto"/>
                                        <w:right w:val="none" w:sz="0" w:space="0" w:color="auto"/>
                                      </w:divBdr>
                                      <w:divsChild>
                                        <w:div w:id="1479036890">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411925927">
                                      <w:marLeft w:val="0"/>
                                      <w:marRight w:val="0"/>
                                      <w:marTop w:val="0"/>
                                      <w:marBottom w:val="0"/>
                                      <w:divBdr>
                                        <w:top w:val="none" w:sz="0" w:space="0" w:color="auto"/>
                                        <w:left w:val="none" w:sz="0" w:space="0" w:color="auto"/>
                                        <w:bottom w:val="none" w:sz="0" w:space="0" w:color="auto"/>
                                        <w:right w:val="none" w:sz="0" w:space="0" w:color="auto"/>
                                      </w:divBdr>
                                      <w:divsChild>
                                        <w:div w:id="972755961">
                                          <w:marLeft w:val="0"/>
                                          <w:marRight w:val="0"/>
                                          <w:marTop w:val="240"/>
                                          <w:marBottom w:val="480"/>
                                          <w:divBdr>
                                            <w:top w:val="none" w:sz="0" w:space="0" w:color="auto"/>
                                            <w:left w:val="none" w:sz="0" w:space="0" w:color="auto"/>
                                            <w:bottom w:val="none" w:sz="0" w:space="0" w:color="auto"/>
                                            <w:right w:val="none" w:sz="0" w:space="0" w:color="auto"/>
                                          </w:divBdr>
                                          <w:divsChild>
                                            <w:div w:id="1555504555">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980383834">
                                          <w:marLeft w:val="0"/>
                                          <w:marRight w:val="0"/>
                                          <w:marTop w:val="240"/>
                                          <w:marBottom w:val="480"/>
                                          <w:divBdr>
                                            <w:top w:val="none" w:sz="0" w:space="0" w:color="auto"/>
                                            <w:left w:val="none" w:sz="0" w:space="0" w:color="auto"/>
                                            <w:bottom w:val="none" w:sz="0" w:space="0" w:color="auto"/>
                                            <w:right w:val="none" w:sz="0" w:space="0" w:color="auto"/>
                                          </w:divBdr>
                                          <w:divsChild>
                                            <w:div w:id="1656688966">
                                              <w:marLeft w:val="0"/>
                                              <w:marRight w:val="0"/>
                                              <w:marTop w:val="0"/>
                                              <w:marBottom w:val="0"/>
                                              <w:divBdr>
                                                <w:top w:val="single" w:sz="6" w:space="0" w:color="C6C6C6"/>
                                                <w:left w:val="single" w:sz="6" w:space="0" w:color="C6C6C6"/>
                                                <w:bottom w:val="single" w:sz="6" w:space="0" w:color="C6C6C6"/>
                                                <w:right w:val="single" w:sz="6" w:space="0" w:color="C6C6C6"/>
                                              </w:divBdr>
                                            </w:div>
                                            <w:div w:id="70787341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873545332">
                                      <w:marLeft w:val="0"/>
                                      <w:marRight w:val="0"/>
                                      <w:marTop w:val="0"/>
                                      <w:marBottom w:val="0"/>
                                      <w:divBdr>
                                        <w:top w:val="none" w:sz="0" w:space="0" w:color="auto"/>
                                        <w:left w:val="none" w:sz="0" w:space="0" w:color="auto"/>
                                        <w:bottom w:val="none" w:sz="0" w:space="0" w:color="auto"/>
                                        <w:right w:val="none" w:sz="0" w:space="0" w:color="auto"/>
                                      </w:divBdr>
                                      <w:divsChild>
                                        <w:div w:id="281884583">
                                          <w:marLeft w:val="0"/>
                                          <w:marRight w:val="0"/>
                                          <w:marTop w:val="240"/>
                                          <w:marBottom w:val="480"/>
                                          <w:divBdr>
                                            <w:top w:val="none" w:sz="0" w:space="0" w:color="auto"/>
                                            <w:left w:val="none" w:sz="0" w:space="0" w:color="auto"/>
                                            <w:bottom w:val="none" w:sz="0" w:space="0" w:color="auto"/>
                                            <w:right w:val="none" w:sz="0" w:space="0" w:color="auto"/>
                                          </w:divBdr>
                                          <w:divsChild>
                                            <w:div w:id="1721198957">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738553822">
                                          <w:marLeft w:val="0"/>
                                          <w:marRight w:val="0"/>
                                          <w:marTop w:val="240"/>
                                          <w:marBottom w:val="480"/>
                                          <w:divBdr>
                                            <w:top w:val="none" w:sz="0" w:space="0" w:color="auto"/>
                                            <w:left w:val="none" w:sz="0" w:space="0" w:color="auto"/>
                                            <w:bottom w:val="none" w:sz="0" w:space="0" w:color="auto"/>
                                            <w:right w:val="none" w:sz="0" w:space="0" w:color="auto"/>
                                          </w:divBdr>
                                          <w:divsChild>
                                            <w:div w:id="1456827303">
                                              <w:marLeft w:val="0"/>
                                              <w:marRight w:val="0"/>
                                              <w:marTop w:val="0"/>
                                              <w:marBottom w:val="0"/>
                                              <w:divBdr>
                                                <w:top w:val="single" w:sz="6" w:space="0" w:color="C6C6C6"/>
                                                <w:left w:val="single" w:sz="6" w:space="0" w:color="C6C6C6"/>
                                                <w:bottom w:val="single" w:sz="6" w:space="0" w:color="C6C6C6"/>
                                                <w:right w:val="single" w:sz="6" w:space="0" w:color="C6C6C6"/>
                                              </w:divBdr>
                                            </w:div>
                                            <w:div w:id="31033404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2052801365">
                                  <w:marLeft w:val="0"/>
                                  <w:marRight w:val="0"/>
                                  <w:marTop w:val="0"/>
                                  <w:marBottom w:val="450"/>
                                  <w:divBdr>
                                    <w:top w:val="none" w:sz="0" w:space="0" w:color="auto"/>
                                    <w:left w:val="none" w:sz="0" w:space="0" w:color="auto"/>
                                    <w:bottom w:val="none" w:sz="0" w:space="0" w:color="auto"/>
                                    <w:right w:val="none" w:sz="0" w:space="0" w:color="auto"/>
                                  </w:divBdr>
                                  <w:divsChild>
                                    <w:div w:id="1094396390">
                                      <w:marLeft w:val="0"/>
                                      <w:marRight w:val="0"/>
                                      <w:marTop w:val="0"/>
                                      <w:marBottom w:val="375"/>
                                      <w:divBdr>
                                        <w:top w:val="none" w:sz="0" w:space="0" w:color="auto"/>
                                        <w:left w:val="none" w:sz="0" w:space="0" w:color="auto"/>
                                        <w:bottom w:val="none" w:sz="0" w:space="0" w:color="auto"/>
                                        <w:right w:val="none" w:sz="0" w:space="0" w:color="auto"/>
                                      </w:divBdr>
                                      <w:divsChild>
                                        <w:div w:id="1990671242">
                                          <w:marLeft w:val="0"/>
                                          <w:marRight w:val="0"/>
                                          <w:marTop w:val="0"/>
                                          <w:marBottom w:val="0"/>
                                          <w:divBdr>
                                            <w:top w:val="none" w:sz="0" w:space="0" w:color="auto"/>
                                            <w:left w:val="none" w:sz="0" w:space="0" w:color="auto"/>
                                            <w:bottom w:val="none" w:sz="0" w:space="0" w:color="auto"/>
                                            <w:right w:val="none" w:sz="0" w:space="0" w:color="auto"/>
                                          </w:divBdr>
                                        </w:div>
                                      </w:divsChild>
                                    </w:div>
                                    <w:div w:id="1066103049">
                                      <w:marLeft w:val="0"/>
                                      <w:marRight w:val="0"/>
                                      <w:marTop w:val="0"/>
                                      <w:marBottom w:val="0"/>
                                      <w:divBdr>
                                        <w:top w:val="none" w:sz="0" w:space="0" w:color="auto"/>
                                        <w:left w:val="none" w:sz="0" w:space="0" w:color="auto"/>
                                        <w:bottom w:val="none" w:sz="0" w:space="0" w:color="auto"/>
                                        <w:right w:val="none" w:sz="0" w:space="0" w:color="auto"/>
                                      </w:divBdr>
                                      <w:divsChild>
                                        <w:div w:id="1697270917">
                                          <w:marLeft w:val="0"/>
                                          <w:marRight w:val="0"/>
                                          <w:marTop w:val="0"/>
                                          <w:marBottom w:val="0"/>
                                          <w:divBdr>
                                            <w:top w:val="none" w:sz="0" w:space="0" w:color="auto"/>
                                            <w:left w:val="none" w:sz="0" w:space="0" w:color="auto"/>
                                            <w:bottom w:val="none" w:sz="0" w:space="0" w:color="auto"/>
                                            <w:right w:val="none" w:sz="0" w:space="0" w:color="auto"/>
                                          </w:divBdr>
                                        </w:div>
                                        <w:div w:id="557865980">
                                          <w:marLeft w:val="0"/>
                                          <w:marRight w:val="0"/>
                                          <w:marTop w:val="0"/>
                                          <w:marBottom w:val="0"/>
                                          <w:divBdr>
                                            <w:top w:val="none" w:sz="0" w:space="0" w:color="auto"/>
                                            <w:left w:val="none" w:sz="0" w:space="0" w:color="auto"/>
                                            <w:bottom w:val="none" w:sz="0" w:space="0" w:color="auto"/>
                                            <w:right w:val="none" w:sz="0" w:space="0" w:color="auto"/>
                                          </w:divBdr>
                                        </w:div>
                                        <w:div w:id="1711026915">
                                          <w:marLeft w:val="0"/>
                                          <w:marRight w:val="0"/>
                                          <w:marTop w:val="0"/>
                                          <w:marBottom w:val="0"/>
                                          <w:divBdr>
                                            <w:top w:val="none" w:sz="0" w:space="0" w:color="auto"/>
                                            <w:left w:val="none" w:sz="0" w:space="0" w:color="auto"/>
                                            <w:bottom w:val="none" w:sz="0" w:space="0" w:color="auto"/>
                                            <w:right w:val="none" w:sz="0" w:space="0" w:color="auto"/>
                                          </w:divBdr>
                                        </w:div>
                                      </w:divsChild>
                                    </w:div>
                                    <w:div w:id="444234503">
                                      <w:marLeft w:val="0"/>
                                      <w:marRight w:val="0"/>
                                      <w:marTop w:val="0"/>
                                      <w:marBottom w:val="0"/>
                                      <w:divBdr>
                                        <w:top w:val="none" w:sz="0" w:space="0" w:color="auto"/>
                                        <w:left w:val="none" w:sz="0" w:space="0" w:color="auto"/>
                                        <w:bottom w:val="none" w:sz="0" w:space="0" w:color="auto"/>
                                        <w:right w:val="none" w:sz="0" w:space="0" w:color="auto"/>
                                      </w:divBdr>
                                      <w:divsChild>
                                        <w:div w:id="155465373">
                                          <w:marLeft w:val="0"/>
                                          <w:marRight w:val="0"/>
                                          <w:marTop w:val="0"/>
                                          <w:marBottom w:val="0"/>
                                          <w:divBdr>
                                            <w:top w:val="none" w:sz="0" w:space="0" w:color="auto"/>
                                            <w:left w:val="none" w:sz="0" w:space="0" w:color="auto"/>
                                            <w:bottom w:val="none" w:sz="0" w:space="0" w:color="auto"/>
                                            <w:right w:val="none" w:sz="0" w:space="0" w:color="auto"/>
                                          </w:divBdr>
                                        </w:div>
                                        <w:div w:id="743991734">
                                          <w:marLeft w:val="0"/>
                                          <w:marRight w:val="0"/>
                                          <w:marTop w:val="0"/>
                                          <w:marBottom w:val="0"/>
                                          <w:divBdr>
                                            <w:top w:val="none" w:sz="0" w:space="0" w:color="auto"/>
                                            <w:left w:val="none" w:sz="0" w:space="0" w:color="auto"/>
                                            <w:bottom w:val="none" w:sz="0" w:space="0" w:color="auto"/>
                                            <w:right w:val="none" w:sz="0" w:space="0" w:color="auto"/>
                                          </w:divBdr>
                                        </w:div>
                                        <w:div w:id="494341241">
                                          <w:marLeft w:val="0"/>
                                          <w:marRight w:val="0"/>
                                          <w:marTop w:val="0"/>
                                          <w:marBottom w:val="0"/>
                                          <w:divBdr>
                                            <w:top w:val="none" w:sz="0" w:space="0" w:color="auto"/>
                                            <w:left w:val="none" w:sz="0" w:space="0" w:color="auto"/>
                                            <w:bottom w:val="none" w:sz="0" w:space="0" w:color="auto"/>
                                            <w:right w:val="none" w:sz="0" w:space="0" w:color="auto"/>
                                          </w:divBdr>
                                        </w:div>
                                      </w:divsChild>
                                    </w:div>
                                    <w:div w:id="1283725923">
                                      <w:marLeft w:val="0"/>
                                      <w:marRight w:val="0"/>
                                      <w:marTop w:val="0"/>
                                      <w:marBottom w:val="0"/>
                                      <w:divBdr>
                                        <w:top w:val="none" w:sz="0" w:space="0" w:color="auto"/>
                                        <w:left w:val="none" w:sz="0" w:space="0" w:color="auto"/>
                                        <w:bottom w:val="none" w:sz="0" w:space="0" w:color="auto"/>
                                        <w:right w:val="none" w:sz="0" w:space="0" w:color="auto"/>
                                      </w:divBdr>
                                      <w:divsChild>
                                        <w:div w:id="1980069477">
                                          <w:marLeft w:val="0"/>
                                          <w:marRight w:val="0"/>
                                          <w:marTop w:val="0"/>
                                          <w:marBottom w:val="0"/>
                                          <w:divBdr>
                                            <w:top w:val="none" w:sz="0" w:space="0" w:color="auto"/>
                                            <w:left w:val="none" w:sz="0" w:space="0" w:color="auto"/>
                                            <w:bottom w:val="none" w:sz="0" w:space="0" w:color="auto"/>
                                            <w:right w:val="none" w:sz="0" w:space="0" w:color="auto"/>
                                          </w:divBdr>
                                        </w:div>
                                        <w:div w:id="1004698599">
                                          <w:marLeft w:val="0"/>
                                          <w:marRight w:val="0"/>
                                          <w:marTop w:val="0"/>
                                          <w:marBottom w:val="0"/>
                                          <w:divBdr>
                                            <w:top w:val="none" w:sz="0" w:space="0" w:color="auto"/>
                                            <w:left w:val="none" w:sz="0" w:space="0" w:color="auto"/>
                                            <w:bottom w:val="none" w:sz="0" w:space="0" w:color="auto"/>
                                            <w:right w:val="none" w:sz="0" w:space="0" w:color="auto"/>
                                          </w:divBdr>
                                        </w:div>
                                        <w:div w:id="1895577556">
                                          <w:marLeft w:val="0"/>
                                          <w:marRight w:val="0"/>
                                          <w:marTop w:val="0"/>
                                          <w:marBottom w:val="0"/>
                                          <w:divBdr>
                                            <w:top w:val="none" w:sz="0" w:space="0" w:color="auto"/>
                                            <w:left w:val="none" w:sz="0" w:space="0" w:color="auto"/>
                                            <w:bottom w:val="none" w:sz="0" w:space="0" w:color="auto"/>
                                            <w:right w:val="none" w:sz="0" w:space="0" w:color="auto"/>
                                          </w:divBdr>
                                        </w:div>
                                        <w:div w:id="1712029327">
                                          <w:marLeft w:val="0"/>
                                          <w:marRight w:val="0"/>
                                          <w:marTop w:val="0"/>
                                          <w:marBottom w:val="0"/>
                                          <w:divBdr>
                                            <w:top w:val="none" w:sz="0" w:space="0" w:color="auto"/>
                                            <w:left w:val="none" w:sz="0" w:space="0" w:color="auto"/>
                                            <w:bottom w:val="none" w:sz="0" w:space="0" w:color="auto"/>
                                            <w:right w:val="none" w:sz="0" w:space="0" w:color="auto"/>
                                          </w:divBdr>
                                        </w:div>
                                        <w:div w:id="1922762371">
                                          <w:marLeft w:val="0"/>
                                          <w:marRight w:val="0"/>
                                          <w:marTop w:val="0"/>
                                          <w:marBottom w:val="0"/>
                                          <w:divBdr>
                                            <w:top w:val="none" w:sz="0" w:space="0" w:color="auto"/>
                                            <w:left w:val="none" w:sz="0" w:space="0" w:color="auto"/>
                                            <w:bottom w:val="none" w:sz="0" w:space="0" w:color="auto"/>
                                            <w:right w:val="none" w:sz="0" w:space="0" w:color="auto"/>
                                          </w:divBdr>
                                        </w:div>
                                      </w:divsChild>
                                    </w:div>
                                    <w:div w:id="529689552">
                                      <w:marLeft w:val="0"/>
                                      <w:marRight w:val="0"/>
                                      <w:marTop w:val="0"/>
                                      <w:marBottom w:val="0"/>
                                      <w:divBdr>
                                        <w:top w:val="none" w:sz="0" w:space="0" w:color="auto"/>
                                        <w:left w:val="none" w:sz="0" w:space="0" w:color="auto"/>
                                        <w:bottom w:val="none" w:sz="0" w:space="0" w:color="auto"/>
                                        <w:right w:val="none" w:sz="0" w:space="0" w:color="auto"/>
                                      </w:divBdr>
                                      <w:divsChild>
                                        <w:div w:id="1343778412">
                                          <w:marLeft w:val="0"/>
                                          <w:marRight w:val="0"/>
                                          <w:marTop w:val="0"/>
                                          <w:marBottom w:val="0"/>
                                          <w:divBdr>
                                            <w:top w:val="none" w:sz="0" w:space="0" w:color="auto"/>
                                            <w:left w:val="none" w:sz="0" w:space="0" w:color="auto"/>
                                            <w:bottom w:val="none" w:sz="0" w:space="0" w:color="auto"/>
                                            <w:right w:val="none" w:sz="0" w:space="0" w:color="auto"/>
                                          </w:divBdr>
                                        </w:div>
                                        <w:div w:id="1345671472">
                                          <w:marLeft w:val="0"/>
                                          <w:marRight w:val="0"/>
                                          <w:marTop w:val="0"/>
                                          <w:marBottom w:val="0"/>
                                          <w:divBdr>
                                            <w:top w:val="none" w:sz="0" w:space="0" w:color="auto"/>
                                            <w:left w:val="none" w:sz="0" w:space="0" w:color="auto"/>
                                            <w:bottom w:val="none" w:sz="0" w:space="0" w:color="auto"/>
                                            <w:right w:val="none" w:sz="0" w:space="0" w:color="auto"/>
                                          </w:divBdr>
                                        </w:div>
                                        <w:div w:id="853149869">
                                          <w:marLeft w:val="0"/>
                                          <w:marRight w:val="0"/>
                                          <w:marTop w:val="0"/>
                                          <w:marBottom w:val="0"/>
                                          <w:divBdr>
                                            <w:top w:val="none" w:sz="0" w:space="0" w:color="auto"/>
                                            <w:left w:val="none" w:sz="0" w:space="0" w:color="auto"/>
                                            <w:bottom w:val="none" w:sz="0" w:space="0" w:color="auto"/>
                                            <w:right w:val="none" w:sz="0" w:space="0" w:color="auto"/>
                                          </w:divBdr>
                                        </w:div>
                                        <w:div w:id="1783842385">
                                          <w:marLeft w:val="0"/>
                                          <w:marRight w:val="0"/>
                                          <w:marTop w:val="0"/>
                                          <w:marBottom w:val="0"/>
                                          <w:divBdr>
                                            <w:top w:val="none" w:sz="0" w:space="0" w:color="auto"/>
                                            <w:left w:val="none" w:sz="0" w:space="0" w:color="auto"/>
                                            <w:bottom w:val="none" w:sz="0" w:space="0" w:color="auto"/>
                                            <w:right w:val="none" w:sz="0" w:space="0" w:color="auto"/>
                                          </w:divBdr>
                                        </w:div>
                                      </w:divsChild>
                                    </w:div>
                                    <w:div w:id="1381394319">
                                      <w:marLeft w:val="0"/>
                                      <w:marRight w:val="0"/>
                                      <w:marTop w:val="0"/>
                                      <w:marBottom w:val="0"/>
                                      <w:divBdr>
                                        <w:top w:val="none" w:sz="0" w:space="0" w:color="auto"/>
                                        <w:left w:val="none" w:sz="0" w:space="0" w:color="auto"/>
                                        <w:bottom w:val="none" w:sz="0" w:space="0" w:color="auto"/>
                                        <w:right w:val="none" w:sz="0" w:space="0" w:color="auto"/>
                                      </w:divBdr>
                                      <w:divsChild>
                                        <w:div w:id="1058478218">
                                          <w:marLeft w:val="0"/>
                                          <w:marRight w:val="0"/>
                                          <w:marTop w:val="0"/>
                                          <w:marBottom w:val="0"/>
                                          <w:divBdr>
                                            <w:top w:val="none" w:sz="0" w:space="0" w:color="auto"/>
                                            <w:left w:val="none" w:sz="0" w:space="0" w:color="auto"/>
                                            <w:bottom w:val="none" w:sz="0" w:space="0" w:color="auto"/>
                                            <w:right w:val="none" w:sz="0" w:space="0" w:color="auto"/>
                                          </w:divBdr>
                                        </w:div>
                                        <w:div w:id="14312214">
                                          <w:marLeft w:val="0"/>
                                          <w:marRight w:val="0"/>
                                          <w:marTop w:val="0"/>
                                          <w:marBottom w:val="0"/>
                                          <w:divBdr>
                                            <w:top w:val="none" w:sz="0" w:space="0" w:color="auto"/>
                                            <w:left w:val="none" w:sz="0" w:space="0" w:color="auto"/>
                                            <w:bottom w:val="none" w:sz="0" w:space="0" w:color="auto"/>
                                            <w:right w:val="none" w:sz="0" w:space="0" w:color="auto"/>
                                          </w:divBdr>
                                        </w:div>
                                        <w:div w:id="1995985373">
                                          <w:marLeft w:val="0"/>
                                          <w:marRight w:val="0"/>
                                          <w:marTop w:val="0"/>
                                          <w:marBottom w:val="0"/>
                                          <w:divBdr>
                                            <w:top w:val="none" w:sz="0" w:space="0" w:color="auto"/>
                                            <w:left w:val="none" w:sz="0" w:space="0" w:color="auto"/>
                                            <w:bottom w:val="none" w:sz="0" w:space="0" w:color="auto"/>
                                            <w:right w:val="none" w:sz="0" w:space="0" w:color="auto"/>
                                          </w:divBdr>
                                        </w:div>
                                        <w:div w:id="871377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8051373">
                                  <w:marLeft w:val="0"/>
                                  <w:marRight w:val="0"/>
                                  <w:marTop w:val="0"/>
                                  <w:marBottom w:val="450"/>
                                  <w:divBdr>
                                    <w:top w:val="none" w:sz="0" w:space="0" w:color="auto"/>
                                    <w:left w:val="none" w:sz="0" w:space="0" w:color="auto"/>
                                    <w:bottom w:val="none" w:sz="0" w:space="0" w:color="auto"/>
                                    <w:right w:val="none" w:sz="0" w:space="0" w:color="auto"/>
                                  </w:divBdr>
                                  <w:divsChild>
                                    <w:div w:id="2100321687">
                                      <w:marLeft w:val="0"/>
                                      <w:marRight w:val="0"/>
                                      <w:marTop w:val="0"/>
                                      <w:marBottom w:val="375"/>
                                      <w:divBdr>
                                        <w:top w:val="none" w:sz="0" w:space="0" w:color="auto"/>
                                        <w:left w:val="none" w:sz="0" w:space="0" w:color="auto"/>
                                        <w:bottom w:val="none" w:sz="0" w:space="0" w:color="auto"/>
                                        <w:right w:val="none" w:sz="0" w:space="0" w:color="auto"/>
                                      </w:divBdr>
                                      <w:divsChild>
                                        <w:div w:id="860630663">
                                          <w:marLeft w:val="0"/>
                                          <w:marRight w:val="0"/>
                                          <w:marTop w:val="0"/>
                                          <w:marBottom w:val="0"/>
                                          <w:divBdr>
                                            <w:top w:val="none" w:sz="0" w:space="0" w:color="auto"/>
                                            <w:left w:val="none" w:sz="0" w:space="0" w:color="auto"/>
                                            <w:bottom w:val="none" w:sz="0" w:space="0" w:color="auto"/>
                                            <w:right w:val="none" w:sz="0" w:space="0" w:color="auto"/>
                                          </w:divBdr>
                                        </w:div>
                                      </w:divsChild>
                                    </w:div>
                                    <w:div w:id="376243938">
                                      <w:marLeft w:val="0"/>
                                      <w:marRight w:val="0"/>
                                      <w:marTop w:val="0"/>
                                      <w:marBottom w:val="0"/>
                                      <w:divBdr>
                                        <w:top w:val="none" w:sz="0" w:space="0" w:color="auto"/>
                                        <w:left w:val="none" w:sz="0" w:space="0" w:color="auto"/>
                                        <w:bottom w:val="none" w:sz="0" w:space="0" w:color="auto"/>
                                        <w:right w:val="none" w:sz="0" w:space="0" w:color="auto"/>
                                      </w:divBdr>
                                    </w:div>
                                    <w:div w:id="292365065">
                                      <w:marLeft w:val="0"/>
                                      <w:marRight w:val="0"/>
                                      <w:marTop w:val="0"/>
                                      <w:marBottom w:val="0"/>
                                      <w:divBdr>
                                        <w:top w:val="none" w:sz="0" w:space="0" w:color="auto"/>
                                        <w:left w:val="none" w:sz="0" w:space="0" w:color="auto"/>
                                        <w:bottom w:val="none" w:sz="0" w:space="0" w:color="auto"/>
                                        <w:right w:val="none" w:sz="0" w:space="0" w:color="auto"/>
                                      </w:divBdr>
                                    </w:div>
                                    <w:div w:id="795293352">
                                      <w:marLeft w:val="0"/>
                                      <w:marRight w:val="0"/>
                                      <w:marTop w:val="0"/>
                                      <w:marBottom w:val="0"/>
                                      <w:divBdr>
                                        <w:top w:val="none" w:sz="0" w:space="0" w:color="auto"/>
                                        <w:left w:val="none" w:sz="0" w:space="0" w:color="auto"/>
                                        <w:bottom w:val="none" w:sz="0" w:space="0" w:color="auto"/>
                                        <w:right w:val="none" w:sz="0" w:space="0" w:color="auto"/>
                                      </w:divBdr>
                                    </w:div>
                                    <w:div w:id="1915041275">
                                      <w:marLeft w:val="0"/>
                                      <w:marRight w:val="0"/>
                                      <w:marTop w:val="0"/>
                                      <w:marBottom w:val="0"/>
                                      <w:divBdr>
                                        <w:top w:val="none" w:sz="0" w:space="0" w:color="auto"/>
                                        <w:left w:val="none" w:sz="0" w:space="0" w:color="auto"/>
                                        <w:bottom w:val="none" w:sz="0" w:space="0" w:color="auto"/>
                                        <w:right w:val="none" w:sz="0" w:space="0" w:color="auto"/>
                                      </w:divBdr>
                                    </w:div>
                                    <w:div w:id="81265688">
                                      <w:marLeft w:val="0"/>
                                      <w:marRight w:val="0"/>
                                      <w:marTop w:val="0"/>
                                      <w:marBottom w:val="0"/>
                                      <w:divBdr>
                                        <w:top w:val="none" w:sz="0" w:space="0" w:color="auto"/>
                                        <w:left w:val="none" w:sz="0" w:space="0" w:color="auto"/>
                                        <w:bottom w:val="none" w:sz="0" w:space="0" w:color="auto"/>
                                        <w:right w:val="none" w:sz="0" w:space="0" w:color="auto"/>
                                      </w:divBdr>
                                    </w:div>
                                  </w:divsChild>
                                </w:div>
                                <w:div w:id="254364546">
                                  <w:marLeft w:val="0"/>
                                  <w:marRight w:val="0"/>
                                  <w:marTop w:val="0"/>
                                  <w:marBottom w:val="450"/>
                                  <w:divBdr>
                                    <w:top w:val="none" w:sz="0" w:space="0" w:color="auto"/>
                                    <w:left w:val="none" w:sz="0" w:space="0" w:color="auto"/>
                                    <w:bottom w:val="none" w:sz="0" w:space="0" w:color="auto"/>
                                    <w:right w:val="none" w:sz="0" w:space="0" w:color="auto"/>
                                  </w:divBdr>
                                  <w:divsChild>
                                    <w:div w:id="1491094133">
                                      <w:marLeft w:val="0"/>
                                      <w:marRight w:val="0"/>
                                      <w:marTop w:val="0"/>
                                      <w:marBottom w:val="375"/>
                                      <w:divBdr>
                                        <w:top w:val="none" w:sz="0" w:space="0" w:color="auto"/>
                                        <w:left w:val="none" w:sz="0" w:space="0" w:color="auto"/>
                                        <w:bottom w:val="none" w:sz="0" w:space="0" w:color="auto"/>
                                        <w:right w:val="none" w:sz="0" w:space="0" w:color="auto"/>
                                      </w:divBdr>
                                      <w:divsChild>
                                        <w:div w:id="79330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6990888">
      <w:bodyDiv w:val="1"/>
      <w:marLeft w:val="0"/>
      <w:marRight w:val="0"/>
      <w:marTop w:val="0"/>
      <w:marBottom w:val="0"/>
      <w:divBdr>
        <w:top w:val="none" w:sz="0" w:space="0" w:color="auto"/>
        <w:left w:val="none" w:sz="0" w:space="0" w:color="auto"/>
        <w:bottom w:val="none" w:sz="0" w:space="0" w:color="auto"/>
        <w:right w:val="none" w:sz="0" w:space="0" w:color="auto"/>
      </w:divBdr>
    </w:div>
    <w:div w:id="193275357">
      <w:bodyDiv w:val="1"/>
      <w:marLeft w:val="0"/>
      <w:marRight w:val="0"/>
      <w:marTop w:val="0"/>
      <w:marBottom w:val="0"/>
      <w:divBdr>
        <w:top w:val="none" w:sz="0" w:space="0" w:color="auto"/>
        <w:left w:val="none" w:sz="0" w:space="0" w:color="auto"/>
        <w:bottom w:val="none" w:sz="0" w:space="0" w:color="auto"/>
        <w:right w:val="none" w:sz="0" w:space="0" w:color="auto"/>
      </w:divBdr>
    </w:div>
    <w:div w:id="194655496">
      <w:bodyDiv w:val="1"/>
      <w:marLeft w:val="0"/>
      <w:marRight w:val="0"/>
      <w:marTop w:val="0"/>
      <w:marBottom w:val="0"/>
      <w:divBdr>
        <w:top w:val="none" w:sz="0" w:space="0" w:color="auto"/>
        <w:left w:val="none" w:sz="0" w:space="0" w:color="auto"/>
        <w:bottom w:val="none" w:sz="0" w:space="0" w:color="auto"/>
        <w:right w:val="none" w:sz="0" w:space="0" w:color="auto"/>
      </w:divBdr>
      <w:divsChild>
        <w:div w:id="1667903839">
          <w:marLeft w:val="0"/>
          <w:marRight w:val="0"/>
          <w:marTop w:val="0"/>
          <w:marBottom w:val="0"/>
          <w:divBdr>
            <w:top w:val="none" w:sz="0" w:space="0" w:color="auto"/>
            <w:left w:val="none" w:sz="0" w:space="0" w:color="auto"/>
            <w:bottom w:val="none" w:sz="0" w:space="0" w:color="auto"/>
            <w:right w:val="none" w:sz="0" w:space="0" w:color="auto"/>
          </w:divBdr>
          <w:divsChild>
            <w:div w:id="1937251251">
              <w:marLeft w:val="0"/>
              <w:marRight w:val="0"/>
              <w:marTop w:val="0"/>
              <w:marBottom w:val="120"/>
              <w:divBdr>
                <w:top w:val="none" w:sz="0" w:space="0" w:color="auto"/>
                <w:left w:val="none" w:sz="0" w:space="0" w:color="auto"/>
                <w:bottom w:val="none" w:sz="0" w:space="0" w:color="auto"/>
                <w:right w:val="none" w:sz="0" w:space="0" w:color="auto"/>
              </w:divBdr>
              <w:divsChild>
                <w:div w:id="1599754759">
                  <w:marLeft w:val="0"/>
                  <w:marRight w:val="0"/>
                  <w:marTop w:val="0"/>
                  <w:marBottom w:val="0"/>
                  <w:divBdr>
                    <w:top w:val="none" w:sz="0" w:space="0" w:color="auto"/>
                    <w:left w:val="none" w:sz="0" w:space="0" w:color="auto"/>
                    <w:bottom w:val="none" w:sz="0" w:space="0" w:color="auto"/>
                    <w:right w:val="none" w:sz="0" w:space="0" w:color="auto"/>
                  </w:divBdr>
                </w:div>
              </w:divsChild>
            </w:div>
            <w:div w:id="1368069584">
              <w:marLeft w:val="0"/>
              <w:marRight w:val="0"/>
              <w:marTop w:val="0"/>
              <w:marBottom w:val="120"/>
              <w:divBdr>
                <w:top w:val="none" w:sz="0" w:space="0" w:color="auto"/>
                <w:left w:val="none" w:sz="0" w:space="0" w:color="auto"/>
                <w:bottom w:val="none" w:sz="0" w:space="0" w:color="auto"/>
                <w:right w:val="none" w:sz="0" w:space="0" w:color="auto"/>
              </w:divBdr>
              <w:divsChild>
                <w:div w:id="1523737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7511206">
          <w:marLeft w:val="0"/>
          <w:marRight w:val="0"/>
          <w:marTop w:val="0"/>
          <w:marBottom w:val="480"/>
          <w:divBdr>
            <w:top w:val="none" w:sz="0" w:space="0" w:color="auto"/>
            <w:left w:val="none" w:sz="0" w:space="0" w:color="auto"/>
            <w:bottom w:val="single" w:sz="12" w:space="24" w:color="EBEBEB"/>
            <w:right w:val="none" w:sz="0" w:space="0" w:color="auto"/>
          </w:divBdr>
          <w:divsChild>
            <w:div w:id="2115661815">
              <w:marLeft w:val="0"/>
              <w:marRight w:val="0"/>
              <w:marTop w:val="0"/>
              <w:marBottom w:val="0"/>
              <w:divBdr>
                <w:top w:val="none" w:sz="0" w:space="0" w:color="auto"/>
                <w:left w:val="none" w:sz="0" w:space="0" w:color="auto"/>
                <w:bottom w:val="none" w:sz="0" w:space="0" w:color="auto"/>
                <w:right w:val="none" w:sz="0" w:space="0" w:color="auto"/>
              </w:divBdr>
              <w:divsChild>
                <w:div w:id="908266857">
                  <w:marLeft w:val="0"/>
                  <w:marRight w:val="0"/>
                  <w:marTop w:val="0"/>
                  <w:marBottom w:val="0"/>
                  <w:divBdr>
                    <w:top w:val="none" w:sz="0" w:space="0" w:color="auto"/>
                    <w:left w:val="none" w:sz="0" w:space="0" w:color="auto"/>
                    <w:bottom w:val="none" w:sz="0" w:space="0" w:color="auto"/>
                    <w:right w:val="none" w:sz="0" w:space="0" w:color="auto"/>
                  </w:divBdr>
                </w:div>
                <w:div w:id="319386394">
                  <w:marLeft w:val="0"/>
                  <w:marRight w:val="0"/>
                  <w:marTop w:val="0"/>
                  <w:marBottom w:val="0"/>
                  <w:divBdr>
                    <w:top w:val="none" w:sz="0" w:space="0" w:color="auto"/>
                    <w:left w:val="none" w:sz="0" w:space="0" w:color="auto"/>
                    <w:bottom w:val="none" w:sz="0" w:space="0" w:color="auto"/>
                    <w:right w:val="none" w:sz="0" w:space="0" w:color="auto"/>
                  </w:divBdr>
                </w:div>
                <w:div w:id="1678458627">
                  <w:marLeft w:val="0"/>
                  <w:marRight w:val="0"/>
                  <w:marTop w:val="0"/>
                  <w:marBottom w:val="0"/>
                  <w:divBdr>
                    <w:top w:val="none" w:sz="0" w:space="0" w:color="auto"/>
                    <w:left w:val="none" w:sz="0" w:space="0" w:color="auto"/>
                    <w:bottom w:val="none" w:sz="0" w:space="0" w:color="auto"/>
                    <w:right w:val="none" w:sz="0" w:space="0" w:color="auto"/>
                  </w:divBdr>
                </w:div>
                <w:div w:id="1834643618">
                  <w:marLeft w:val="0"/>
                  <w:marRight w:val="0"/>
                  <w:marTop w:val="0"/>
                  <w:marBottom w:val="0"/>
                  <w:divBdr>
                    <w:top w:val="none" w:sz="0" w:space="0" w:color="auto"/>
                    <w:left w:val="none" w:sz="0" w:space="0" w:color="auto"/>
                    <w:bottom w:val="none" w:sz="0" w:space="0" w:color="auto"/>
                    <w:right w:val="none" w:sz="0" w:space="0" w:color="auto"/>
                  </w:divBdr>
                </w:div>
                <w:div w:id="833834848">
                  <w:marLeft w:val="0"/>
                  <w:marRight w:val="0"/>
                  <w:marTop w:val="0"/>
                  <w:marBottom w:val="0"/>
                  <w:divBdr>
                    <w:top w:val="none" w:sz="0" w:space="0" w:color="auto"/>
                    <w:left w:val="none" w:sz="0" w:space="0" w:color="auto"/>
                    <w:bottom w:val="none" w:sz="0" w:space="0" w:color="auto"/>
                    <w:right w:val="none" w:sz="0" w:space="0" w:color="auto"/>
                  </w:divBdr>
                </w:div>
                <w:div w:id="1205679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6870698">
          <w:marLeft w:val="0"/>
          <w:marRight w:val="0"/>
          <w:marTop w:val="0"/>
          <w:marBottom w:val="0"/>
          <w:divBdr>
            <w:top w:val="none" w:sz="0" w:space="0" w:color="auto"/>
            <w:left w:val="none" w:sz="0" w:space="0" w:color="auto"/>
            <w:bottom w:val="none" w:sz="0" w:space="0" w:color="auto"/>
            <w:right w:val="none" w:sz="0" w:space="0" w:color="auto"/>
          </w:divBdr>
          <w:divsChild>
            <w:div w:id="85277006">
              <w:marLeft w:val="0"/>
              <w:marRight w:val="0"/>
              <w:marTop w:val="0"/>
              <w:marBottom w:val="0"/>
              <w:divBdr>
                <w:top w:val="none" w:sz="0" w:space="0" w:color="auto"/>
                <w:left w:val="none" w:sz="0" w:space="0" w:color="auto"/>
                <w:bottom w:val="none" w:sz="0" w:space="0" w:color="auto"/>
                <w:right w:val="none" w:sz="0" w:space="0" w:color="auto"/>
              </w:divBdr>
              <w:divsChild>
                <w:div w:id="1472019407">
                  <w:marLeft w:val="0"/>
                  <w:marRight w:val="0"/>
                  <w:marTop w:val="0"/>
                  <w:marBottom w:val="0"/>
                  <w:divBdr>
                    <w:top w:val="none" w:sz="0" w:space="0" w:color="auto"/>
                    <w:left w:val="none" w:sz="0" w:space="0" w:color="auto"/>
                    <w:bottom w:val="none" w:sz="0" w:space="0" w:color="auto"/>
                    <w:right w:val="none" w:sz="0" w:space="0" w:color="auto"/>
                  </w:divBdr>
                </w:div>
                <w:div w:id="750740621">
                  <w:marLeft w:val="0"/>
                  <w:marRight w:val="0"/>
                  <w:marTop w:val="0"/>
                  <w:marBottom w:val="0"/>
                  <w:divBdr>
                    <w:top w:val="none" w:sz="0" w:space="0" w:color="auto"/>
                    <w:left w:val="none" w:sz="0" w:space="0" w:color="auto"/>
                    <w:bottom w:val="none" w:sz="0" w:space="0" w:color="auto"/>
                    <w:right w:val="none" w:sz="0" w:space="0" w:color="auto"/>
                  </w:divBdr>
                </w:div>
                <w:div w:id="1335456654">
                  <w:marLeft w:val="0"/>
                  <w:marRight w:val="0"/>
                  <w:marTop w:val="0"/>
                  <w:marBottom w:val="0"/>
                  <w:divBdr>
                    <w:top w:val="none" w:sz="0" w:space="0" w:color="auto"/>
                    <w:left w:val="none" w:sz="0" w:space="0" w:color="auto"/>
                    <w:bottom w:val="none" w:sz="0" w:space="0" w:color="auto"/>
                    <w:right w:val="none" w:sz="0" w:space="0" w:color="auto"/>
                  </w:divBdr>
                </w:div>
                <w:div w:id="1378431977">
                  <w:marLeft w:val="0"/>
                  <w:marRight w:val="0"/>
                  <w:marTop w:val="0"/>
                  <w:marBottom w:val="0"/>
                  <w:divBdr>
                    <w:top w:val="none" w:sz="0" w:space="0" w:color="auto"/>
                    <w:left w:val="none" w:sz="0" w:space="0" w:color="auto"/>
                    <w:bottom w:val="none" w:sz="0" w:space="0" w:color="auto"/>
                    <w:right w:val="none" w:sz="0" w:space="0" w:color="auto"/>
                  </w:divBdr>
                </w:div>
                <w:div w:id="978346383">
                  <w:marLeft w:val="0"/>
                  <w:marRight w:val="0"/>
                  <w:marTop w:val="0"/>
                  <w:marBottom w:val="0"/>
                  <w:divBdr>
                    <w:top w:val="none" w:sz="0" w:space="0" w:color="auto"/>
                    <w:left w:val="none" w:sz="0" w:space="0" w:color="auto"/>
                    <w:bottom w:val="none" w:sz="0" w:space="0" w:color="auto"/>
                    <w:right w:val="none" w:sz="0" w:space="0" w:color="auto"/>
                  </w:divBdr>
                </w:div>
                <w:div w:id="1691296323">
                  <w:marLeft w:val="0"/>
                  <w:marRight w:val="0"/>
                  <w:marTop w:val="0"/>
                  <w:marBottom w:val="0"/>
                  <w:divBdr>
                    <w:top w:val="none" w:sz="0" w:space="0" w:color="auto"/>
                    <w:left w:val="none" w:sz="0" w:space="0" w:color="auto"/>
                    <w:bottom w:val="none" w:sz="0" w:space="0" w:color="auto"/>
                    <w:right w:val="none" w:sz="0" w:space="0" w:color="auto"/>
                  </w:divBdr>
                </w:div>
                <w:div w:id="5374138">
                  <w:marLeft w:val="0"/>
                  <w:marRight w:val="0"/>
                  <w:marTop w:val="0"/>
                  <w:marBottom w:val="0"/>
                  <w:divBdr>
                    <w:top w:val="none" w:sz="0" w:space="0" w:color="auto"/>
                    <w:left w:val="none" w:sz="0" w:space="0" w:color="auto"/>
                    <w:bottom w:val="none" w:sz="0" w:space="0" w:color="auto"/>
                    <w:right w:val="none" w:sz="0" w:space="0" w:color="auto"/>
                  </w:divBdr>
                </w:div>
                <w:div w:id="1461992663">
                  <w:marLeft w:val="0"/>
                  <w:marRight w:val="0"/>
                  <w:marTop w:val="0"/>
                  <w:marBottom w:val="0"/>
                  <w:divBdr>
                    <w:top w:val="none" w:sz="0" w:space="0" w:color="auto"/>
                    <w:left w:val="none" w:sz="0" w:space="0" w:color="auto"/>
                    <w:bottom w:val="none" w:sz="0" w:space="0" w:color="auto"/>
                    <w:right w:val="none" w:sz="0" w:space="0" w:color="auto"/>
                  </w:divBdr>
                </w:div>
                <w:div w:id="25104810">
                  <w:marLeft w:val="0"/>
                  <w:marRight w:val="0"/>
                  <w:marTop w:val="0"/>
                  <w:marBottom w:val="0"/>
                  <w:divBdr>
                    <w:top w:val="none" w:sz="0" w:space="0" w:color="auto"/>
                    <w:left w:val="none" w:sz="0" w:space="0" w:color="auto"/>
                    <w:bottom w:val="none" w:sz="0" w:space="0" w:color="auto"/>
                    <w:right w:val="none" w:sz="0" w:space="0" w:color="auto"/>
                  </w:divBdr>
                </w:div>
                <w:div w:id="1356660879">
                  <w:marLeft w:val="0"/>
                  <w:marRight w:val="0"/>
                  <w:marTop w:val="0"/>
                  <w:marBottom w:val="0"/>
                  <w:divBdr>
                    <w:top w:val="none" w:sz="0" w:space="0" w:color="auto"/>
                    <w:left w:val="none" w:sz="0" w:space="0" w:color="auto"/>
                    <w:bottom w:val="none" w:sz="0" w:space="0" w:color="auto"/>
                    <w:right w:val="none" w:sz="0" w:space="0" w:color="auto"/>
                  </w:divBdr>
                </w:div>
                <w:div w:id="1890678796">
                  <w:marLeft w:val="0"/>
                  <w:marRight w:val="0"/>
                  <w:marTop w:val="0"/>
                  <w:marBottom w:val="0"/>
                  <w:divBdr>
                    <w:top w:val="none" w:sz="0" w:space="0" w:color="auto"/>
                    <w:left w:val="none" w:sz="0" w:space="0" w:color="auto"/>
                    <w:bottom w:val="none" w:sz="0" w:space="0" w:color="auto"/>
                    <w:right w:val="none" w:sz="0" w:space="0" w:color="auto"/>
                  </w:divBdr>
                </w:div>
                <w:div w:id="1504858219">
                  <w:marLeft w:val="0"/>
                  <w:marRight w:val="0"/>
                  <w:marTop w:val="0"/>
                  <w:marBottom w:val="0"/>
                  <w:divBdr>
                    <w:top w:val="none" w:sz="0" w:space="0" w:color="auto"/>
                    <w:left w:val="none" w:sz="0" w:space="0" w:color="auto"/>
                    <w:bottom w:val="none" w:sz="0" w:space="0" w:color="auto"/>
                    <w:right w:val="none" w:sz="0" w:space="0" w:color="auto"/>
                  </w:divBdr>
                </w:div>
                <w:div w:id="449789986">
                  <w:marLeft w:val="0"/>
                  <w:marRight w:val="0"/>
                  <w:marTop w:val="0"/>
                  <w:marBottom w:val="0"/>
                  <w:divBdr>
                    <w:top w:val="none" w:sz="0" w:space="0" w:color="auto"/>
                    <w:left w:val="none" w:sz="0" w:space="0" w:color="auto"/>
                    <w:bottom w:val="none" w:sz="0" w:space="0" w:color="auto"/>
                    <w:right w:val="none" w:sz="0" w:space="0" w:color="auto"/>
                  </w:divBdr>
                </w:div>
                <w:div w:id="985209261">
                  <w:marLeft w:val="0"/>
                  <w:marRight w:val="0"/>
                  <w:marTop w:val="0"/>
                  <w:marBottom w:val="0"/>
                  <w:divBdr>
                    <w:top w:val="none" w:sz="0" w:space="0" w:color="auto"/>
                    <w:left w:val="none" w:sz="0" w:space="0" w:color="auto"/>
                    <w:bottom w:val="none" w:sz="0" w:space="0" w:color="auto"/>
                    <w:right w:val="none" w:sz="0" w:space="0" w:color="auto"/>
                  </w:divBdr>
                  <w:divsChild>
                    <w:div w:id="379019219">
                      <w:marLeft w:val="0"/>
                      <w:marRight w:val="0"/>
                      <w:marTop w:val="240"/>
                      <w:marBottom w:val="240"/>
                      <w:divBdr>
                        <w:top w:val="single" w:sz="12" w:space="0" w:color="EBEBEB"/>
                        <w:left w:val="none" w:sz="0" w:space="0" w:color="auto"/>
                        <w:bottom w:val="single" w:sz="12" w:space="0" w:color="EBEBEB"/>
                        <w:right w:val="none" w:sz="0" w:space="0" w:color="auto"/>
                      </w:divBdr>
                      <w:divsChild>
                        <w:div w:id="63152334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93284764">
          <w:marLeft w:val="0"/>
          <w:marRight w:val="0"/>
          <w:marTop w:val="0"/>
          <w:marBottom w:val="0"/>
          <w:divBdr>
            <w:top w:val="none" w:sz="0" w:space="0" w:color="auto"/>
            <w:left w:val="none" w:sz="0" w:space="0" w:color="auto"/>
            <w:bottom w:val="none" w:sz="0" w:space="0" w:color="auto"/>
            <w:right w:val="none" w:sz="0" w:space="0" w:color="auto"/>
          </w:divBdr>
          <w:divsChild>
            <w:div w:id="1462766423">
              <w:marLeft w:val="0"/>
              <w:marRight w:val="0"/>
              <w:marTop w:val="0"/>
              <w:marBottom w:val="0"/>
              <w:divBdr>
                <w:top w:val="none" w:sz="0" w:space="0" w:color="auto"/>
                <w:left w:val="none" w:sz="0" w:space="0" w:color="auto"/>
                <w:bottom w:val="none" w:sz="0" w:space="0" w:color="auto"/>
                <w:right w:val="none" w:sz="0" w:space="0" w:color="auto"/>
              </w:divBdr>
            </w:div>
          </w:divsChild>
        </w:div>
        <w:div w:id="841435245">
          <w:marLeft w:val="0"/>
          <w:marRight w:val="0"/>
          <w:marTop w:val="0"/>
          <w:marBottom w:val="0"/>
          <w:divBdr>
            <w:top w:val="none" w:sz="0" w:space="0" w:color="auto"/>
            <w:left w:val="none" w:sz="0" w:space="0" w:color="auto"/>
            <w:bottom w:val="none" w:sz="0" w:space="0" w:color="auto"/>
            <w:right w:val="none" w:sz="0" w:space="0" w:color="auto"/>
          </w:divBdr>
        </w:div>
        <w:div w:id="270555316">
          <w:marLeft w:val="0"/>
          <w:marRight w:val="0"/>
          <w:marTop w:val="0"/>
          <w:marBottom w:val="0"/>
          <w:divBdr>
            <w:top w:val="none" w:sz="0" w:space="0" w:color="auto"/>
            <w:left w:val="none" w:sz="0" w:space="0" w:color="auto"/>
            <w:bottom w:val="none" w:sz="0" w:space="0" w:color="auto"/>
            <w:right w:val="none" w:sz="0" w:space="0" w:color="auto"/>
          </w:divBdr>
        </w:div>
        <w:div w:id="1827284185">
          <w:marLeft w:val="0"/>
          <w:marRight w:val="0"/>
          <w:marTop w:val="0"/>
          <w:marBottom w:val="0"/>
          <w:divBdr>
            <w:top w:val="none" w:sz="0" w:space="0" w:color="auto"/>
            <w:left w:val="none" w:sz="0" w:space="0" w:color="auto"/>
            <w:bottom w:val="none" w:sz="0" w:space="0" w:color="auto"/>
            <w:right w:val="none" w:sz="0" w:space="0" w:color="auto"/>
          </w:divBdr>
          <w:divsChild>
            <w:div w:id="500701182">
              <w:marLeft w:val="0"/>
              <w:marRight w:val="0"/>
              <w:marTop w:val="0"/>
              <w:marBottom w:val="0"/>
              <w:divBdr>
                <w:top w:val="none" w:sz="0" w:space="0" w:color="auto"/>
                <w:left w:val="none" w:sz="0" w:space="0" w:color="auto"/>
                <w:bottom w:val="none" w:sz="0" w:space="0" w:color="auto"/>
                <w:right w:val="none" w:sz="0" w:space="0" w:color="auto"/>
              </w:divBdr>
            </w:div>
          </w:divsChild>
        </w:div>
        <w:div w:id="1016806025">
          <w:marLeft w:val="0"/>
          <w:marRight w:val="0"/>
          <w:marTop w:val="0"/>
          <w:marBottom w:val="0"/>
          <w:divBdr>
            <w:top w:val="none" w:sz="0" w:space="0" w:color="auto"/>
            <w:left w:val="none" w:sz="0" w:space="0" w:color="auto"/>
            <w:bottom w:val="none" w:sz="0" w:space="0" w:color="auto"/>
            <w:right w:val="none" w:sz="0" w:space="0" w:color="auto"/>
          </w:divBdr>
        </w:div>
        <w:div w:id="778452983">
          <w:marLeft w:val="0"/>
          <w:marRight w:val="0"/>
          <w:marTop w:val="0"/>
          <w:marBottom w:val="0"/>
          <w:divBdr>
            <w:top w:val="none" w:sz="0" w:space="0" w:color="auto"/>
            <w:left w:val="none" w:sz="0" w:space="0" w:color="auto"/>
            <w:bottom w:val="none" w:sz="0" w:space="0" w:color="auto"/>
            <w:right w:val="none" w:sz="0" w:space="0" w:color="auto"/>
          </w:divBdr>
        </w:div>
        <w:div w:id="1603142326">
          <w:marLeft w:val="0"/>
          <w:marRight w:val="0"/>
          <w:marTop w:val="0"/>
          <w:marBottom w:val="0"/>
          <w:divBdr>
            <w:top w:val="none" w:sz="0" w:space="0" w:color="auto"/>
            <w:left w:val="none" w:sz="0" w:space="0" w:color="auto"/>
            <w:bottom w:val="none" w:sz="0" w:space="0" w:color="auto"/>
            <w:right w:val="none" w:sz="0" w:space="0" w:color="auto"/>
          </w:divBdr>
          <w:divsChild>
            <w:div w:id="1981573924">
              <w:marLeft w:val="0"/>
              <w:marRight w:val="0"/>
              <w:marTop w:val="0"/>
              <w:marBottom w:val="0"/>
              <w:divBdr>
                <w:top w:val="none" w:sz="0" w:space="0" w:color="auto"/>
                <w:left w:val="none" w:sz="0" w:space="0" w:color="auto"/>
                <w:bottom w:val="none" w:sz="0" w:space="0" w:color="auto"/>
                <w:right w:val="none" w:sz="0" w:space="0" w:color="auto"/>
              </w:divBdr>
            </w:div>
          </w:divsChild>
        </w:div>
        <w:div w:id="244459769">
          <w:marLeft w:val="0"/>
          <w:marRight w:val="0"/>
          <w:marTop w:val="0"/>
          <w:marBottom w:val="0"/>
          <w:divBdr>
            <w:top w:val="none" w:sz="0" w:space="0" w:color="auto"/>
            <w:left w:val="none" w:sz="0" w:space="0" w:color="auto"/>
            <w:bottom w:val="none" w:sz="0" w:space="0" w:color="auto"/>
            <w:right w:val="none" w:sz="0" w:space="0" w:color="auto"/>
          </w:divBdr>
        </w:div>
        <w:div w:id="1643925449">
          <w:marLeft w:val="0"/>
          <w:marRight w:val="0"/>
          <w:marTop w:val="0"/>
          <w:marBottom w:val="0"/>
          <w:divBdr>
            <w:top w:val="none" w:sz="0" w:space="0" w:color="auto"/>
            <w:left w:val="none" w:sz="0" w:space="0" w:color="auto"/>
            <w:bottom w:val="none" w:sz="0" w:space="0" w:color="auto"/>
            <w:right w:val="none" w:sz="0" w:space="0" w:color="auto"/>
          </w:divBdr>
        </w:div>
        <w:div w:id="622005491">
          <w:marLeft w:val="0"/>
          <w:marRight w:val="0"/>
          <w:marTop w:val="0"/>
          <w:marBottom w:val="0"/>
          <w:divBdr>
            <w:top w:val="none" w:sz="0" w:space="0" w:color="auto"/>
            <w:left w:val="none" w:sz="0" w:space="0" w:color="auto"/>
            <w:bottom w:val="none" w:sz="0" w:space="0" w:color="auto"/>
            <w:right w:val="none" w:sz="0" w:space="0" w:color="auto"/>
          </w:divBdr>
          <w:divsChild>
            <w:div w:id="1881211441">
              <w:marLeft w:val="0"/>
              <w:marRight w:val="0"/>
              <w:marTop w:val="0"/>
              <w:marBottom w:val="0"/>
              <w:divBdr>
                <w:top w:val="none" w:sz="0" w:space="0" w:color="auto"/>
                <w:left w:val="none" w:sz="0" w:space="0" w:color="auto"/>
                <w:bottom w:val="none" w:sz="0" w:space="0" w:color="auto"/>
                <w:right w:val="none" w:sz="0" w:space="0" w:color="auto"/>
              </w:divBdr>
            </w:div>
          </w:divsChild>
        </w:div>
        <w:div w:id="1484925792">
          <w:marLeft w:val="0"/>
          <w:marRight w:val="0"/>
          <w:marTop w:val="0"/>
          <w:marBottom w:val="0"/>
          <w:divBdr>
            <w:top w:val="none" w:sz="0" w:space="0" w:color="auto"/>
            <w:left w:val="none" w:sz="0" w:space="0" w:color="auto"/>
            <w:bottom w:val="none" w:sz="0" w:space="0" w:color="auto"/>
            <w:right w:val="none" w:sz="0" w:space="0" w:color="auto"/>
          </w:divBdr>
        </w:div>
        <w:div w:id="148178072">
          <w:marLeft w:val="0"/>
          <w:marRight w:val="0"/>
          <w:marTop w:val="0"/>
          <w:marBottom w:val="0"/>
          <w:divBdr>
            <w:top w:val="none" w:sz="0" w:space="0" w:color="auto"/>
            <w:left w:val="none" w:sz="0" w:space="0" w:color="auto"/>
            <w:bottom w:val="none" w:sz="0" w:space="0" w:color="auto"/>
            <w:right w:val="none" w:sz="0" w:space="0" w:color="auto"/>
          </w:divBdr>
        </w:div>
        <w:div w:id="1939092791">
          <w:marLeft w:val="0"/>
          <w:marRight w:val="0"/>
          <w:marTop w:val="0"/>
          <w:marBottom w:val="0"/>
          <w:divBdr>
            <w:top w:val="none" w:sz="0" w:space="0" w:color="auto"/>
            <w:left w:val="none" w:sz="0" w:space="0" w:color="auto"/>
            <w:bottom w:val="none" w:sz="0" w:space="0" w:color="auto"/>
            <w:right w:val="none" w:sz="0" w:space="0" w:color="auto"/>
          </w:divBdr>
          <w:divsChild>
            <w:div w:id="1293251175">
              <w:marLeft w:val="0"/>
              <w:marRight w:val="0"/>
              <w:marTop w:val="0"/>
              <w:marBottom w:val="0"/>
              <w:divBdr>
                <w:top w:val="none" w:sz="0" w:space="0" w:color="auto"/>
                <w:left w:val="none" w:sz="0" w:space="0" w:color="auto"/>
                <w:bottom w:val="none" w:sz="0" w:space="0" w:color="auto"/>
                <w:right w:val="none" w:sz="0" w:space="0" w:color="auto"/>
              </w:divBdr>
            </w:div>
          </w:divsChild>
        </w:div>
        <w:div w:id="168256174">
          <w:marLeft w:val="0"/>
          <w:marRight w:val="0"/>
          <w:marTop w:val="0"/>
          <w:marBottom w:val="0"/>
          <w:divBdr>
            <w:top w:val="none" w:sz="0" w:space="0" w:color="auto"/>
            <w:left w:val="none" w:sz="0" w:space="0" w:color="auto"/>
            <w:bottom w:val="none" w:sz="0" w:space="0" w:color="auto"/>
            <w:right w:val="none" w:sz="0" w:space="0" w:color="auto"/>
          </w:divBdr>
        </w:div>
        <w:div w:id="1461411274">
          <w:marLeft w:val="0"/>
          <w:marRight w:val="0"/>
          <w:marTop w:val="0"/>
          <w:marBottom w:val="0"/>
          <w:divBdr>
            <w:top w:val="none" w:sz="0" w:space="0" w:color="auto"/>
            <w:left w:val="none" w:sz="0" w:space="0" w:color="auto"/>
            <w:bottom w:val="none" w:sz="0" w:space="0" w:color="auto"/>
            <w:right w:val="none" w:sz="0" w:space="0" w:color="auto"/>
          </w:divBdr>
        </w:div>
        <w:div w:id="91240562">
          <w:marLeft w:val="0"/>
          <w:marRight w:val="0"/>
          <w:marTop w:val="0"/>
          <w:marBottom w:val="0"/>
          <w:divBdr>
            <w:top w:val="none" w:sz="0" w:space="0" w:color="auto"/>
            <w:left w:val="none" w:sz="0" w:space="0" w:color="auto"/>
            <w:bottom w:val="none" w:sz="0" w:space="0" w:color="auto"/>
            <w:right w:val="none" w:sz="0" w:space="0" w:color="auto"/>
          </w:divBdr>
          <w:divsChild>
            <w:div w:id="581915163">
              <w:marLeft w:val="0"/>
              <w:marRight w:val="0"/>
              <w:marTop w:val="0"/>
              <w:marBottom w:val="0"/>
              <w:divBdr>
                <w:top w:val="none" w:sz="0" w:space="0" w:color="auto"/>
                <w:left w:val="none" w:sz="0" w:space="0" w:color="auto"/>
                <w:bottom w:val="none" w:sz="0" w:space="0" w:color="auto"/>
                <w:right w:val="none" w:sz="0" w:space="0" w:color="auto"/>
              </w:divBdr>
            </w:div>
          </w:divsChild>
        </w:div>
        <w:div w:id="2065984814">
          <w:marLeft w:val="0"/>
          <w:marRight w:val="0"/>
          <w:marTop w:val="0"/>
          <w:marBottom w:val="0"/>
          <w:divBdr>
            <w:top w:val="none" w:sz="0" w:space="0" w:color="auto"/>
            <w:left w:val="none" w:sz="0" w:space="0" w:color="auto"/>
            <w:bottom w:val="none" w:sz="0" w:space="0" w:color="auto"/>
            <w:right w:val="none" w:sz="0" w:space="0" w:color="auto"/>
          </w:divBdr>
        </w:div>
        <w:div w:id="860169140">
          <w:marLeft w:val="0"/>
          <w:marRight w:val="0"/>
          <w:marTop w:val="0"/>
          <w:marBottom w:val="0"/>
          <w:divBdr>
            <w:top w:val="none" w:sz="0" w:space="0" w:color="auto"/>
            <w:left w:val="none" w:sz="0" w:space="0" w:color="auto"/>
            <w:bottom w:val="none" w:sz="0" w:space="0" w:color="auto"/>
            <w:right w:val="none" w:sz="0" w:space="0" w:color="auto"/>
          </w:divBdr>
        </w:div>
        <w:div w:id="1311907122">
          <w:marLeft w:val="0"/>
          <w:marRight w:val="0"/>
          <w:marTop w:val="0"/>
          <w:marBottom w:val="0"/>
          <w:divBdr>
            <w:top w:val="none" w:sz="0" w:space="0" w:color="auto"/>
            <w:left w:val="none" w:sz="0" w:space="0" w:color="auto"/>
            <w:bottom w:val="none" w:sz="0" w:space="0" w:color="auto"/>
            <w:right w:val="none" w:sz="0" w:space="0" w:color="auto"/>
          </w:divBdr>
          <w:divsChild>
            <w:div w:id="1325473943">
              <w:marLeft w:val="0"/>
              <w:marRight w:val="0"/>
              <w:marTop w:val="0"/>
              <w:marBottom w:val="0"/>
              <w:divBdr>
                <w:top w:val="none" w:sz="0" w:space="0" w:color="auto"/>
                <w:left w:val="none" w:sz="0" w:space="0" w:color="auto"/>
                <w:bottom w:val="none" w:sz="0" w:space="0" w:color="auto"/>
                <w:right w:val="none" w:sz="0" w:space="0" w:color="auto"/>
              </w:divBdr>
            </w:div>
          </w:divsChild>
        </w:div>
        <w:div w:id="357004077">
          <w:marLeft w:val="0"/>
          <w:marRight w:val="0"/>
          <w:marTop w:val="0"/>
          <w:marBottom w:val="0"/>
          <w:divBdr>
            <w:top w:val="none" w:sz="0" w:space="0" w:color="auto"/>
            <w:left w:val="none" w:sz="0" w:space="0" w:color="auto"/>
            <w:bottom w:val="none" w:sz="0" w:space="0" w:color="auto"/>
            <w:right w:val="none" w:sz="0" w:space="0" w:color="auto"/>
          </w:divBdr>
        </w:div>
        <w:div w:id="1099909451">
          <w:marLeft w:val="0"/>
          <w:marRight w:val="0"/>
          <w:marTop w:val="0"/>
          <w:marBottom w:val="0"/>
          <w:divBdr>
            <w:top w:val="none" w:sz="0" w:space="0" w:color="auto"/>
            <w:left w:val="none" w:sz="0" w:space="0" w:color="auto"/>
            <w:bottom w:val="none" w:sz="0" w:space="0" w:color="auto"/>
            <w:right w:val="none" w:sz="0" w:space="0" w:color="auto"/>
          </w:divBdr>
        </w:div>
        <w:div w:id="587664900">
          <w:marLeft w:val="0"/>
          <w:marRight w:val="0"/>
          <w:marTop w:val="0"/>
          <w:marBottom w:val="0"/>
          <w:divBdr>
            <w:top w:val="none" w:sz="0" w:space="0" w:color="auto"/>
            <w:left w:val="none" w:sz="0" w:space="0" w:color="auto"/>
            <w:bottom w:val="none" w:sz="0" w:space="0" w:color="auto"/>
            <w:right w:val="none" w:sz="0" w:space="0" w:color="auto"/>
          </w:divBdr>
          <w:divsChild>
            <w:div w:id="1839224048">
              <w:marLeft w:val="0"/>
              <w:marRight w:val="0"/>
              <w:marTop w:val="0"/>
              <w:marBottom w:val="0"/>
              <w:divBdr>
                <w:top w:val="none" w:sz="0" w:space="0" w:color="auto"/>
                <w:left w:val="none" w:sz="0" w:space="0" w:color="auto"/>
                <w:bottom w:val="none" w:sz="0" w:space="0" w:color="auto"/>
                <w:right w:val="none" w:sz="0" w:space="0" w:color="auto"/>
              </w:divBdr>
            </w:div>
          </w:divsChild>
        </w:div>
        <w:div w:id="812791450">
          <w:marLeft w:val="0"/>
          <w:marRight w:val="0"/>
          <w:marTop w:val="0"/>
          <w:marBottom w:val="0"/>
          <w:divBdr>
            <w:top w:val="none" w:sz="0" w:space="0" w:color="auto"/>
            <w:left w:val="none" w:sz="0" w:space="0" w:color="auto"/>
            <w:bottom w:val="none" w:sz="0" w:space="0" w:color="auto"/>
            <w:right w:val="none" w:sz="0" w:space="0" w:color="auto"/>
          </w:divBdr>
        </w:div>
        <w:div w:id="1440833243">
          <w:marLeft w:val="0"/>
          <w:marRight w:val="0"/>
          <w:marTop w:val="0"/>
          <w:marBottom w:val="0"/>
          <w:divBdr>
            <w:top w:val="none" w:sz="0" w:space="0" w:color="auto"/>
            <w:left w:val="none" w:sz="0" w:space="0" w:color="auto"/>
            <w:bottom w:val="none" w:sz="0" w:space="0" w:color="auto"/>
            <w:right w:val="none" w:sz="0" w:space="0" w:color="auto"/>
          </w:divBdr>
        </w:div>
        <w:div w:id="1369331676">
          <w:marLeft w:val="0"/>
          <w:marRight w:val="0"/>
          <w:marTop w:val="0"/>
          <w:marBottom w:val="0"/>
          <w:divBdr>
            <w:top w:val="none" w:sz="0" w:space="0" w:color="auto"/>
            <w:left w:val="none" w:sz="0" w:space="0" w:color="auto"/>
            <w:bottom w:val="none" w:sz="0" w:space="0" w:color="auto"/>
            <w:right w:val="none" w:sz="0" w:space="0" w:color="auto"/>
          </w:divBdr>
          <w:divsChild>
            <w:div w:id="319888481">
              <w:marLeft w:val="0"/>
              <w:marRight w:val="0"/>
              <w:marTop w:val="0"/>
              <w:marBottom w:val="0"/>
              <w:divBdr>
                <w:top w:val="none" w:sz="0" w:space="0" w:color="auto"/>
                <w:left w:val="none" w:sz="0" w:space="0" w:color="auto"/>
                <w:bottom w:val="none" w:sz="0" w:space="0" w:color="auto"/>
                <w:right w:val="none" w:sz="0" w:space="0" w:color="auto"/>
              </w:divBdr>
            </w:div>
          </w:divsChild>
        </w:div>
        <w:div w:id="756053529">
          <w:marLeft w:val="0"/>
          <w:marRight w:val="0"/>
          <w:marTop w:val="0"/>
          <w:marBottom w:val="0"/>
          <w:divBdr>
            <w:top w:val="none" w:sz="0" w:space="0" w:color="auto"/>
            <w:left w:val="none" w:sz="0" w:space="0" w:color="auto"/>
            <w:bottom w:val="none" w:sz="0" w:space="0" w:color="auto"/>
            <w:right w:val="none" w:sz="0" w:space="0" w:color="auto"/>
          </w:divBdr>
        </w:div>
        <w:div w:id="941380856">
          <w:marLeft w:val="0"/>
          <w:marRight w:val="0"/>
          <w:marTop w:val="0"/>
          <w:marBottom w:val="0"/>
          <w:divBdr>
            <w:top w:val="none" w:sz="0" w:space="0" w:color="auto"/>
            <w:left w:val="none" w:sz="0" w:space="0" w:color="auto"/>
            <w:bottom w:val="none" w:sz="0" w:space="0" w:color="auto"/>
            <w:right w:val="none" w:sz="0" w:space="0" w:color="auto"/>
          </w:divBdr>
        </w:div>
        <w:div w:id="1750106050">
          <w:marLeft w:val="0"/>
          <w:marRight w:val="0"/>
          <w:marTop w:val="0"/>
          <w:marBottom w:val="0"/>
          <w:divBdr>
            <w:top w:val="none" w:sz="0" w:space="0" w:color="auto"/>
            <w:left w:val="none" w:sz="0" w:space="0" w:color="auto"/>
            <w:bottom w:val="none" w:sz="0" w:space="0" w:color="auto"/>
            <w:right w:val="none" w:sz="0" w:space="0" w:color="auto"/>
          </w:divBdr>
          <w:divsChild>
            <w:div w:id="1272786439">
              <w:marLeft w:val="0"/>
              <w:marRight w:val="0"/>
              <w:marTop w:val="0"/>
              <w:marBottom w:val="0"/>
              <w:divBdr>
                <w:top w:val="none" w:sz="0" w:space="0" w:color="auto"/>
                <w:left w:val="none" w:sz="0" w:space="0" w:color="auto"/>
                <w:bottom w:val="none" w:sz="0" w:space="0" w:color="auto"/>
                <w:right w:val="none" w:sz="0" w:space="0" w:color="auto"/>
              </w:divBdr>
            </w:div>
          </w:divsChild>
        </w:div>
        <w:div w:id="1468742360">
          <w:marLeft w:val="0"/>
          <w:marRight w:val="0"/>
          <w:marTop w:val="0"/>
          <w:marBottom w:val="0"/>
          <w:divBdr>
            <w:top w:val="none" w:sz="0" w:space="0" w:color="auto"/>
            <w:left w:val="none" w:sz="0" w:space="0" w:color="auto"/>
            <w:bottom w:val="none" w:sz="0" w:space="0" w:color="auto"/>
            <w:right w:val="none" w:sz="0" w:space="0" w:color="auto"/>
          </w:divBdr>
        </w:div>
        <w:div w:id="468282974">
          <w:marLeft w:val="0"/>
          <w:marRight w:val="0"/>
          <w:marTop w:val="0"/>
          <w:marBottom w:val="0"/>
          <w:divBdr>
            <w:top w:val="none" w:sz="0" w:space="0" w:color="auto"/>
            <w:left w:val="none" w:sz="0" w:space="0" w:color="auto"/>
            <w:bottom w:val="none" w:sz="0" w:space="0" w:color="auto"/>
            <w:right w:val="none" w:sz="0" w:space="0" w:color="auto"/>
          </w:divBdr>
        </w:div>
        <w:div w:id="587543833">
          <w:marLeft w:val="0"/>
          <w:marRight w:val="0"/>
          <w:marTop w:val="0"/>
          <w:marBottom w:val="0"/>
          <w:divBdr>
            <w:top w:val="none" w:sz="0" w:space="0" w:color="auto"/>
            <w:left w:val="none" w:sz="0" w:space="0" w:color="auto"/>
            <w:bottom w:val="none" w:sz="0" w:space="0" w:color="auto"/>
            <w:right w:val="none" w:sz="0" w:space="0" w:color="auto"/>
          </w:divBdr>
          <w:divsChild>
            <w:div w:id="1176649063">
              <w:marLeft w:val="0"/>
              <w:marRight w:val="0"/>
              <w:marTop w:val="0"/>
              <w:marBottom w:val="0"/>
              <w:divBdr>
                <w:top w:val="none" w:sz="0" w:space="0" w:color="auto"/>
                <w:left w:val="none" w:sz="0" w:space="0" w:color="auto"/>
                <w:bottom w:val="none" w:sz="0" w:space="0" w:color="auto"/>
                <w:right w:val="none" w:sz="0" w:space="0" w:color="auto"/>
              </w:divBdr>
            </w:div>
          </w:divsChild>
        </w:div>
        <w:div w:id="660543504">
          <w:marLeft w:val="0"/>
          <w:marRight w:val="0"/>
          <w:marTop w:val="0"/>
          <w:marBottom w:val="0"/>
          <w:divBdr>
            <w:top w:val="none" w:sz="0" w:space="0" w:color="auto"/>
            <w:left w:val="none" w:sz="0" w:space="0" w:color="auto"/>
            <w:bottom w:val="none" w:sz="0" w:space="0" w:color="auto"/>
            <w:right w:val="none" w:sz="0" w:space="0" w:color="auto"/>
          </w:divBdr>
        </w:div>
        <w:div w:id="939335079">
          <w:marLeft w:val="0"/>
          <w:marRight w:val="0"/>
          <w:marTop w:val="0"/>
          <w:marBottom w:val="0"/>
          <w:divBdr>
            <w:top w:val="none" w:sz="0" w:space="0" w:color="auto"/>
            <w:left w:val="none" w:sz="0" w:space="0" w:color="auto"/>
            <w:bottom w:val="none" w:sz="0" w:space="0" w:color="auto"/>
            <w:right w:val="none" w:sz="0" w:space="0" w:color="auto"/>
          </w:divBdr>
        </w:div>
        <w:div w:id="1859660725">
          <w:marLeft w:val="0"/>
          <w:marRight w:val="0"/>
          <w:marTop w:val="0"/>
          <w:marBottom w:val="0"/>
          <w:divBdr>
            <w:top w:val="none" w:sz="0" w:space="0" w:color="auto"/>
            <w:left w:val="none" w:sz="0" w:space="0" w:color="auto"/>
            <w:bottom w:val="none" w:sz="0" w:space="0" w:color="auto"/>
            <w:right w:val="none" w:sz="0" w:space="0" w:color="auto"/>
          </w:divBdr>
          <w:divsChild>
            <w:div w:id="411008362">
              <w:marLeft w:val="0"/>
              <w:marRight w:val="0"/>
              <w:marTop w:val="0"/>
              <w:marBottom w:val="0"/>
              <w:divBdr>
                <w:top w:val="none" w:sz="0" w:space="0" w:color="auto"/>
                <w:left w:val="none" w:sz="0" w:space="0" w:color="auto"/>
                <w:bottom w:val="none" w:sz="0" w:space="0" w:color="auto"/>
                <w:right w:val="none" w:sz="0" w:space="0" w:color="auto"/>
              </w:divBdr>
            </w:div>
          </w:divsChild>
        </w:div>
        <w:div w:id="1631784497">
          <w:marLeft w:val="0"/>
          <w:marRight w:val="0"/>
          <w:marTop w:val="0"/>
          <w:marBottom w:val="0"/>
          <w:divBdr>
            <w:top w:val="none" w:sz="0" w:space="0" w:color="auto"/>
            <w:left w:val="none" w:sz="0" w:space="0" w:color="auto"/>
            <w:bottom w:val="none" w:sz="0" w:space="0" w:color="auto"/>
            <w:right w:val="none" w:sz="0" w:space="0" w:color="auto"/>
          </w:divBdr>
        </w:div>
        <w:div w:id="1792167683">
          <w:marLeft w:val="0"/>
          <w:marRight w:val="0"/>
          <w:marTop w:val="0"/>
          <w:marBottom w:val="0"/>
          <w:divBdr>
            <w:top w:val="none" w:sz="0" w:space="0" w:color="auto"/>
            <w:left w:val="none" w:sz="0" w:space="0" w:color="auto"/>
            <w:bottom w:val="none" w:sz="0" w:space="0" w:color="auto"/>
            <w:right w:val="none" w:sz="0" w:space="0" w:color="auto"/>
          </w:divBdr>
        </w:div>
        <w:div w:id="564222389">
          <w:marLeft w:val="0"/>
          <w:marRight w:val="0"/>
          <w:marTop w:val="0"/>
          <w:marBottom w:val="0"/>
          <w:divBdr>
            <w:top w:val="none" w:sz="0" w:space="0" w:color="auto"/>
            <w:left w:val="none" w:sz="0" w:space="0" w:color="auto"/>
            <w:bottom w:val="none" w:sz="0" w:space="0" w:color="auto"/>
            <w:right w:val="none" w:sz="0" w:space="0" w:color="auto"/>
          </w:divBdr>
          <w:divsChild>
            <w:div w:id="912743745">
              <w:marLeft w:val="0"/>
              <w:marRight w:val="0"/>
              <w:marTop w:val="0"/>
              <w:marBottom w:val="0"/>
              <w:divBdr>
                <w:top w:val="none" w:sz="0" w:space="0" w:color="auto"/>
                <w:left w:val="none" w:sz="0" w:space="0" w:color="auto"/>
                <w:bottom w:val="none" w:sz="0" w:space="0" w:color="auto"/>
                <w:right w:val="none" w:sz="0" w:space="0" w:color="auto"/>
              </w:divBdr>
            </w:div>
          </w:divsChild>
        </w:div>
        <w:div w:id="525486327">
          <w:marLeft w:val="0"/>
          <w:marRight w:val="0"/>
          <w:marTop w:val="0"/>
          <w:marBottom w:val="0"/>
          <w:divBdr>
            <w:top w:val="none" w:sz="0" w:space="0" w:color="auto"/>
            <w:left w:val="none" w:sz="0" w:space="0" w:color="auto"/>
            <w:bottom w:val="none" w:sz="0" w:space="0" w:color="auto"/>
            <w:right w:val="none" w:sz="0" w:space="0" w:color="auto"/>
          </w:divBdr>
        </w:div>
        <w:div w:id="1167599383">
          <w:marLeft w:val="0"/>
          <w:marRight w:val="0"/>
          <w:marTop w:val="0"/>
          <w:marBottom w:val="0"/>
          <w:divBdr>
            <w:top w:val="none" w:sz="0" w:space="0" w:color="auto"/>
            <w:left w:val="none" w:sz="0" w:space="0" w:color="auto"/>
            <w:bottom w:val="none" w:sz="0" w:space="0" w:color="auto"/>
            <w:right w:val="none" w:sz="0" w:space="0" w:color="auto"/>
          </w:divBdr>
        </w:div>
        <w:div w:id="1892879983">
          <w:marLeft w:val="0"/>
          <w:marRight w:val="0"/>
          <w:marTop w:val="0"/>
          <w:marBottom w:val="0"/>
          <w:divBdr>
            <w:top w:val="none" w:sz="0" w:space="0" w:color="auto"/>
            <w:left w:val="none" w:sz="0" w:space="0" w:color="auto"/>
            <w:bottom w:val="none" w:sz="0" w:space="0" w:color="auto"/>
            <w:right w:val="none" w:sz="0" w:space="0" w:color="auto"/>
          </w:divBdr>
          <w:divsChild>
            <w:div w:id="1096902863">
              <w:marLeft w:val="0"/>
              <w:marRight w:val="0"/>
              <w:marTop w:val="0"/>
              <w:marBottom w:val="0"/>
              <w:divBdr>
                <w:top w:val="none" w:sz="0" w:space="0" w:color="auto"/>
                <w:left w:val="none" w:sz="0" w:space="0" w:color="auto"/>
                <w:bottom w:val="none" w:sz="0" w:space="0" w:color="auto"/>
                <w:right w:val="none" w:sz="0" w:space="0" w:color="auto"/>
              </w:divBdr>
            </w:div>
          </w:divsChild>
        </w:div>
        <w:div w:id="852186132">
          <w:marLeft w:val="0"/>
          <w:marRight w:val="0"/>
          <w:marTop w:val="0"/>
          <w:marBottom w:val="0"/>
          <w:divBdr>
            <w:top w:val="none" w:sz="0" w:space="0" w:color="auto"/>
            <w:left w:val="none" w:sz="0" w:space="0" w:color="auto"/>
            <w:bottom w:val="none" w:sz="0" w:space="0" w:color="auto"/>
            <w:right w:val="none" w:sz="0" w:space="0" w:color="auto"/>
          </w:divBdr>
        </w:div>
        <w:div w:id="542401311">
          <w:marLeft w:val="0"/>
          <w:marRight w:val="0"/>
          <w:marTop w:val="0"/>
          <w:marBottom w:val="0"/>
          <w:divBdr>
            <w:top w:val="none" w:sz="0" w:space="0" w:color="auto"/>
            <w:left w:val="none" w:sz="0" w:space="0" w:color="auto"/>
            <w:bottom w:val="none" w:sz="0" w:space="0" w:color="auto"/>
            <w:right w:val="none" w:sz="0" w:space="0" w:color="auto"/>
          </w:divBdr>
        </w:div>
        <w:div w:id="759526411">
          <w:marLeft w:val="0"/>
          <w:marRight w:val="0"/>
          <w:marTop w:val="0"/>
          <w:marBottom w:val="0"/>
          <w:divBdr>
            <w:top w:val="none" w:sz="0" w:space="0" w:color="auto"/>
            <w:left w:val="none" w:sz="0" w:space="0" w:color="auto"/>
            <w:bottom w:val="none" w:sz="0" w:space="0" w:color="auto"/>
            <w:right w:val="none" w:sz="0" w:space="0" w:color="auto"/>
          </w:divBdr>
          <w:divsChild>
            <w:div w:id="1047333773">
              <w:marLeft w:val="0"/>
              <w:marRight w:val="0"/>
              <w:marTop w:val="0"/>
              <w:marBottom w:val="0"/>
              <w:divBdr>
                <w:top w:val="none" w:sz="0" w:space="0" w:color="auto"/>
                <w:left w:val="none" w:sz="0" w:space="0" w:color="auto"/>
                <w:bottom w:val="none" w:sz="0" w:space="0" w:color="auto"/>
                <w:right w:val="none" w:sz="0" w:space="0" w:color="auto"/>
              </w:divBdr>
            </w:div>
          </w:divsChild>
        </w:div>
        <w:div w:id="1833448075">
          <w:marLeft w:val="0"/>
          <w:marRight w:val="0"/>
          <w:marTop w:val="0"/>
          <w:marBottom w:val="0"/>
          <w:divBdr>
            <w:top w:val="none" w:sz="0" w:space="0" w:color="auto"/>
            <w:left w:val="none" w:sz="0" w:space="0" w:color="auto"/>
            <w:bottom w:val="none" w:sz="0" w:space="0" w:color="auto"/>
            <w:right w:val="none" w:sz="0" w:space="0" w:color="auto"/>
          </w:divBdr>
        </w:div>
        <w:div w:id="660473505">
          <w:marLeft w:val="0"/>
          <w:marRight w:val="0"/>
          <w:marTop w:val="0"/>
          <w:marBottom w:val="0"/>
          <w:divBdr>
            <w:top w:val="none" w:sz="0" w:space="0" w:color="auto"/>
            <w:left w:val="none" w:sz="0" w:space="0" w:color="auto"/>
            <w:bottom w:val="none" w:sz="0" w:space="0" w:color="auto"/>
            <w:right w:val="none" w:sz="0" w:space="0" w:color="auto"/>
          </w:divBdr>
        </w:div>
        <w:div w:id="911426030">
          <w:marLeft w:val="0"/>
          <w:marRight w:val="0"/>
          <w:marTop w:val="0"/>
          <w:marBottom w:val="0"/>
          <w:divBdr>
            <w:top w:val="none" w:sz="0" w:space="0" w:color="auto"/>
            <w:left w:val="none" w:sz="0" w:space="0" w:color="auto"/>
            <w:bottom w:val="none" w:sz="0" w:space="0" w:color="auto"/>
            <w:right w:val="none" w:sz="0" w:space="0" w:color="auto"/>
          </w:divBdr>
          <w:divsChild>
            <w:div w:id="1534079114">
              <w:marLeft w:val="0"/>
              <w:marRight w:val="0"/>
              <w:marTop w:val="0"/>
              <w:marBottom w:val="0"/>
              <w:divBdr>
                <w:top w:val="none" w:sz="0" w:space="0" w:color="auto"/>
                <w:left w:val="none" w:sz="0" w:space="0" w:color="auto"/>
                <w:bottom w:val="none" w:sz="0" w:space="0" w:color="auto"/>
                <w:right w:val="none" w:sz="0" w:space="0" w:color="auto"/>
              </w:divBdr>
            </w:div>
          </w:divsChild>
        </w:div>
        <w:div w:id="1607031845">
          <w:marLeft w:val="0"/>
          <w:marRight w:val="0"/>
          <w:marTop w:val="0"/>
          <w:marBottom w:val="0"/>
          <w:divBdr>
            <w:top w:val="none" w:sz="0" w:space="0" w:color="auto"/>
            <w:left w:val="none" w:sz="0" w:space="0" w:color="auto"/>
            <w:bottom w:val="none" w:sz="0" w:space="0" w:color="auto"/>
            <w:right w:val="none" w:sz="0" w:space="0" w:color="auto"/>
          </w:divBdr>
        </w:div>
        <w:div w:id="766846428">
          <w:marLeft w:val="0"/>
          <w:marRight w:val="0"/>
          <w:marTop w:val="0"/>
          <w:marBottom w:val="0"/>
          <w:divBdr>
            <w:top w:val="none" w:sz="0" w:space="0" w:color="auto"/>
            <w:left w:val="none" w:sz="0" w:space="0" w:color="auto"/>
            <w:bottom w:val="none" w:sz="0" w:space="0" w:color="auto"/>
            <w:right w:val="none" w:sz="0" w:space="0" w:color="auto"/>
          </w:divBdr>
        </w:div>
        <w:div w:id="1814103795">
          <w:marLeft w:val="0"/>
          <w:marRight w:val="0"/>
          <w:marTop w:val="0"/>
          <w:marBottom w:val="0"/>
          <w:divBdr>
            <w:top w:val="none" w:sz="0" w:space="0" w:color="auto"/>
            <w:left w:val="none" w:sz="0" w:space="0" w:color="auto"/>
            <w:bottom w:val="none" w:sz="0" w:space="0" w:color="auto"/>
            <w:right w:val="none" w:sz="0" w:space="0" w:color="auto"/>
          </w:divBdr>
          <w:divsChild>
            <w:div w:id="254020968">
              <w:marLeft w:val="0"/>
              <w:marRight w:val="0"/>
              <w:marTop w:val="0"/>
              <w:marBottom w:val="0"/>
              <w:divBdr>
                <w:top w:val="none" w:sz="0" w:space="0" w:color="auto"/>
                <w:left w:val="none" w:sz="0" w:space="0" w:color="auto"/>
                <w:bottom w:val="none" w:sz="0" w:space="0" w:color="auto"/>
                <w:right w:val="none" w:sz="0" w:space="0" w:color="auto"/>
              </w:divBdr>
            </w:div>
          </w:divsChild>
        </w:div>
        <w:div w:id="823935503">
          <w:marLeft w:val="0"/>
          <w:marRight w:val="0"/>
          <w:marTop w:val="0"/>
          <w:marBottom w:val="0"/>
          <w:divBdr>
            <w:top w:val="none" w:sz="0" w:space="0" w:color="auto"/>
            <w:left w:val="none" w:sz="0" w:space="0" w:color="auto"/>
            <w:bottom w:val="none" w:sz="0" w:space="0" w:color="auto"/>
            <w:right w:val="none" w:sz="0" w:space="0" w:color="auto"/>
          </w:divBdr>
        </w:div>
        <w:div w:id="1215576941">
          <w:marLeft w:val="0"/>
          <w:marRight w:val="0"/>
          <w:marTop w:val="0"/>
          <w:marBottom w:val="0"/>
          <w:divBdr>
            <w:top w:val="none" w:sz="0" w:space="0" w:color="auto"/>
            <w:left w:val="none" w:sz="0" w:space="0" w:color="auto"/>
            <w:bottom w:val="none" w:sz="0" w:space="0" w:color="auto"/>
            <w:right w:val="none" w:sz="0" w:space="0" w:color="auto"/>
          </w:divBdr>
        </w:div>
        <w:div w:id="1340473778">
          <w:marLeft w:val="0"/>
          <w:marRight w:val="0"/>
          <w:marTop w:val="0"/>
          <w:marBottom w:val="0"/>
          <w:divBdr>
            <w:top w:val="none" w:sz="0" w:space="0" w:color="auto"/>
            <w:left w:val="none" w:sz="0" w:space="0" w:color="auto"/>
            <w:bottom w:val="none" w:sz="0" w:space="0" w:color="auto"/>
            <w:right w:val="none" w:sz="0" w:space="0" w:color="auto"/>
          </w:divBdr>
          <w:divsChild>
            <w:div w:id="1496609055">
              <w:marLeft w:val="0"/>
              <w:marRight w:val="0"/>
              <w:marTop w:val="0"/>
              <w:marBottom w:val="0"/>
              <w:divBdr>
                <w:top w:val="none" w:sz="0" w:space="0" w:color="auto"/>
                <w:left w:val="none" w:sz="0" w:space="0" w:color="auto"/>
                <w:bottom w:val="none" w:sz="0" w:space="0" w:color="auto"/>
                <w:right w:val="none" w:sz="0" w:space="0" w:color="auto"/>
              </w:divBdr>
            </w:div>
          </w:divsChild>
        </w:div>
        <w:div w:id="5136164">
          <w:marLeft w:val="0"/>
          <w:marRight w:val="0"/>
          <w:marTop w:val="0"/>
          <w:marBottom w:val="0"/>
          <w:divBdr>
            <w:top w:val="none" w:sz="0" w:space="0" w:color="auto"/>
            <w:left w:val="none" w:sz="0" w:space="0" w:color="auto"/>
            <w:bottom w:val="none" w:sz="0" w:space="0" w:color="auto"/>
            <w:right w:val="none" w:sz="0" w:space="0" w:color="auto"/>
          </w:divBdr>
        </w:div>
        <w:div w:id="439565653">
          <w:marLeft w:val="0"/>
          <w:marRight w:val="0"/>
          <w:marTop w:val="0"/>
          <w:marBottom w:val="0"/>
          <w:divBdr>
            <w:top w:val="none" w:sz="0" w:space="0" w:color="auto"/>
            <w:left w:val="none" w:sz="0" w:space="0" w:color="auto"/>
            <w:bottom w:val="none" w:sz="0" w:space="0" w:color="auto"/>
            <w:right w:val="none" w:sz="0" w:space="0" w:color="auto"/>
          </w:divBdr>
        </w:div>
        <w:div w:id="596060109">
          <w:marLeft w:val="0"/>
          <w:marRight w:val="0"/>
          <w:marTop w:val="0"/>
          <w:marBottom w:val="0"/>
          <w:divBdr>
            <w:top w:val="none" w:sz="0" w:space="0" w:color="auto"/>
            <w:left w:val="none" w:sz="0" w:space="0" w:color="auto"/>
            <w:bottom w:val="none" w:sz="0" w:space="0" w:color="auto"/>
            <w:right w:val="none" w:sz="0" w:space="0" w:color="auto"/>
          </w:divBdr>
          <w:divsChild>
            <w:div w:id="268047572">
              <w:marLeft w:val="0"/>
              <w:marRight w:val="0"/>
              <w:marTop w:val="0"/>
              <w:marBottom w:val="0"/>
              <w:divBdr>
                <w:top w:val="none" w:sz="0" w:space="0" w:color="auto"/>
                <w:left w:val="none" w:sz="0" w:space="0" w:color="auto"/>
                <w:bottom w:val="none" w:sz="0" w:space="0" w:color="auto"/>
                <w:right w:val="none" w:sz="0" w:space="0" w:color="auto"/>
              </w:divBdr>
            </w:div>
          </w:divsChild>
        </w:div>
        <w:div w:id="2105686505">
          <w:marLeft w:val="0"/>
          <w:marRight w:val="0"/>
          <w:marTop w:val="0"/>
          <w:marBottom w:val="0"/>
          <w:divBdr>
            <w:top w:val="none" w:sz="0" w:space="0" w:color="auto"/>
            <w:left w:val="none" w:sz="0" w:space="0" w:color="auto"/>
            <w:bottom w:val="none" w:sz="0" w:space="0" w:color="auto"/>
            <w:right w:val="none" w:sz="0" w:space="0" w:color="auto"/>
          </w:divBdr>
        </w:div>
        <w:div w:id="893811883">
          <w:marLeft w:val="0"/>
          <w:marRight w:val="0"/>
          <w:marTop w:val="0"/>
          <w:marBottom w:val="0"/>
          <w:divBdr>
            <w:top w:val="none" w:sz="0" w:space="0" w:color="auto"/>
            <w:left w:val="none" w:sz="0" w:space="0" w:color="auto"/>
            <w:bottom w:val="none" w:sz="0" w:space="0" w:color="auto"/>
            <w:right w:val="none" w:sz="0" w:space="0" w:color="auto"/>
          </w:divBdr>
        </w:div>
        <w:div w:id="1484663953">
          <w:marLeft w:val="0"/>
          <w:marRight w:val="0"/>
          <w:marTop w:val="0"/>
          <w:marBottom w:val="0"/>
          <w:divBdr>
            <w:top w:val="none" w:sz="0" w:space="0" w:color="auto"/>
            <w:left w:val="none" w:sz="0" w:space="0" w:color="auto"/>
            <w:bottom w:val="none" w:sz="0" w:space="0" w:color="auto"/>
            <w:right w:val="none" w:sz="0" w:space="0" w:color="auto"/>
          </w:divBdr>
          <w:divsChild>
            <w:div w:id="1490829742">
              <w:marLeft w:val="0"/>
              <w:marRight w:val="0"/>
              <w:marTop w:val="0"/>
              <w:marBottom w:val="0"/>
              <w:divBdr>
                <w:top w:val="none" w:sz="0" w:space="0" w:color="auto"/>
                <w:left w:val="none" w:sz="0" w:space="0" w:color="auto"/>
                <w:bottom w:val="none" w:sz="0" w:space="0" w:color="auto"/>
                <w:right w:val="none" w:sz="0" w:space="0" w:color="auto"/>
              </w:divBdr>
            </w:div>
          </w:divsChild>
        </w:div>
        <w:div w:id="1232035943">
          <w:marLeft w:val="0"/>
          <w:marRight w:val="0"/>
          <w:marTop w:val="0"/>
          <w:marBottom w:val="0"/>
          <w:divBdr>
            <w:top w:val="none" w:sz="0" w:space="0" w:color="auto"/>
            <w:left w:val="none" w:sz="0" w:space="0" w:color="auto"/>
            <w:bottom w:val="none" w:sz="0" w:space="0" w:color="auto"/>
            <w:right w:val="none" w:sz="0" w:space="0" w:color="auto"/>
          </w:divBdr>
        </w:div>
        <w:div w:id="1737898679">
          <w:marLeft w:val="0"/>
          <w:marRight w:val="0"/>
          <w:marTop w:val="0"/>
          <w:marBottom w:val="0"/>
          <w:divBdr>
            <w:top w:val="none" w:sz="0" w:space="0" w:color="auto"/>
            <w:left w:val="none" w:sz="0" w:space="0" w:color="auto"/>
            <w:bottom w:val="none" w:sz="0" w:space="0" w:color="auto"/>
            <w:right w:val="none" w:sz="0" w:space="0" w:color="auto"/>
          </w:divBdr>
        </w:div>
        <w:div w:id="588923784">
          <w:marLeft w:val="0"/>
          <w:marRight w:val="0"/>
          <w:marTop w:val="0"/>
          <w:marBottom w:val="0"/>
          <w:divBdr>
            <w:top w:val="none" w:sz="0" w:space="0" w:color="auto"/>
            <w:left w:val="none" w:sz="0" w:space="0" w:color="auto"/>
            <w:bottom w:val="none" w:sz="0" w:space="0" w:color="auto"/>
            <w:right w:val="none" w:sz="0" w:space="0" w:color="auto"/>
          </w:divBdr>
          <w:divsChild>
            <w:div w:id="367337622">
              <w:marLeft w:val="0"/>
              <w:marRight w:val="0"/>
              <w:marTop w:val="0"/>
              <w:marBottom w:val="0"/>
              <w:divBdr>
                <w:top w:val="none" w:sz="0" w:space="0" w:color="auto"/>
                <w:left w:val="none" w:sz="0" w:space="0" w:color="auto"/>
                <w:bottom w:val="none" w:sz="0" w:space="0" w:color="auto"/>
                <w:right w:val="none" w:sz="0" w:space="0" w:color="auto"/>
              </w:divBdr>
            </w:div>
          </w:divsChild>
        </w:div>
        <w:div w:id="1477530507">
          <w:marLeft w:val="0"/>
          <w:marRight w:val="0"/>
          <w:marTop w:val="0"/>
          <w:marBottom w:val="0"/>
          <w:divBdr>
            <w:top w:val="none" w:sz="0" w:space="0" w:color="auto"/>
            <w:left w:val="none" w:sz="0" w:space="0" w:color="auto"/>
            <w:bottom w:val="none" w:sz="0" w:space="0" w:color="auto"/>
            <w:right w:val="none" w:sz="0" w:space="0" w:color="auto"/>
          </w:divBdr>
        </w:div>
        <w:div w:id="352270658">
          <w:marLeft w:val="0"/>
          <w:marRight w:val="0"/>
          <w:marTop w:val="0"/>
          <w:marBottom w:val="0"/>
          <w:divBdr>
            <w:top w:val="none" w:sz="0" w:space="0" w:color="auto"/>
            <w:left w:val="none" w:sz="0" w:space="0" w:color="auto"/>
            <w:bottom w:val="none" w:sz="0" w:space="0" w:color="auto"/>
            <w:right w:val="none" w:sz="0" w:space="0" w:color="auto"/>
          </w:divBdr>
        </w:div>
        <w:div w:id="42291034">
          <w:marLeft w:val="0"/>
          <w:marRight w:val="0"/>
          <w:marTop w:val="0"/>
          <w:marBottom w:val="0"/>
          <w:divBdr>
            <w:top w:val="none" w:sz="0" w:space="0" w:color="auto"/>
            <w:left w:val="none" w:sz="0" w:space="0" w:color="auto"/>
            <w:bottom w:val="none" w:sz="0" w:space="0" w:color="auto"/>
            <w:right w:val="none" w:sz="0" w:space="0" w:color="auto"/>
          </w:divBdr>
          <w:divsChild>
            <w:div w:id="1102996527">
              <w:marLeft w:val="0"/>
              <w:marRight w:val="0"/>
              <w:marTop w:val="0"/>
              <w:marBottom w:val="0"/>
              <w:divBdr>
                <w:top w:val="none" w:sz="0" w:space="0" w:color="auto"/>
                <w:left w:val="none" w:sz="0" w:space="0" w:color="auto"/>
                <w:bottom w:val="none" w:sz="0" w:space="0" w:color="auto"/>
                <w:right w:val="none" w:sz="0" w:space="0" w:color="auto"/>
              </w:divBdr>
            </w:div>
          </w:divsChild>
        </w:div>
        <w:div w:id="1598096728">
          <w:marLeft w:val="0"/>
          <w:marRight w:val="0"/>
          <w:marTop w:val="0"/>
          <w:marBottom w:val="0"/>
          <w:divBdr>
            <w:top w:val="none" w:sz="0" w:space="0" w:color="auto"/>
            <w:left w:val="none" w:sz="0" w:space="0" w:color="auto"/>
            <w:bottom w:val="none" w:sz="0" w:space="0" w:color="auto"/>
            <w:right w:val="none" w:sz="0" w:space="0" w:color="auto"/>
          </w:divBdr>
        </w:div>
        <w:div w:id="294455668">
          <w:marLeft w:val="0"/>
          <w:marRight w:val="0"/>
          <w:marTop w:val="0"/>
          <w:marBottom w:val="0"/>
          <w:divBdr>
            <w:top w:val="none" w:sz="0" w:space="0" w:color="auto"/>
            <w:left w:val="none" w:sz="0" w:space="0" w:color="auto"/>
            <w:bottom w:val="none" w:sz="0" w:space="0" w:color="auto"/>
            <w:right w:val="none" w:sz="0" w:space="0" w:color="auto"/>
          </w:divBdr>
        </w:div>
        <w:div w:id="779375765">
          <w:marLeft w:val="0"/>
          <w:marRight w:val="0"/>
          <w:marTop w:val="0"/>
          <w:marBottom w:val="0"/>
          <w:divBdr>
            <w:top w:val="none" w:sz="0" w:space="0" w:color="auto"/>
            <w:left w:val="none" w:sz="0" w:space="0" w:color="auto"/>
            <w:bottom w:val="none" w:sz="0" w:space="0" w:color="auto"/>
            <w:right w:val="none" w:sz="0" w:space="0" w:color="auto"/>
          </w:divBdr>
          <w:divsChild>
            <w:div w:id="520120932">
              <w:marLeft w:val="0"/>
              <w:marRight w:val="0"/>
              <w:marTop w:val="0"/>
              <w:marBottom w:val="0"/>
              <w:divBdr>
                <w:top w:val="none" w:sz="0" w:space="0" w:color="auto"/>
                <w:left w:val="none" w:sz="0" w:space="0" w:color="auto"/>
                <w:bottom w:val="none" w:sz="0" w:space="0" w:color="auto"/>
                <w:right w:val="none" w:sz="0" w:space="0" w:color="auto"/>
              </w:divBdr>
            </w:div>
          </w:divsChild>
        </w:div>
        <w:div w:id="2006929256">
          <w:marLeft w:val="0"/>
          <w:marRight w:val="0"/>
          <w:marTop w:val="0"/>
          <w:marBottom w:val="0"/>
          <w:divBdr>
            <w:top w:val="none" w:sz="0" w:space="0" w:color="auto"/>
            <w:left w:val="none" w:sz="0" w:space="0" w:color="auto"/>
            <w:bottom w:val="none" w:sz="0" w:space="0" w:color="auto"/>
            <w:right w:val="none" w:sz="0" w:space="0" w:color="auto"/>
          </w:divBdr>
        </w:div>
        <w:div w:id="1652245299">
          <w:marLeft w:val="0"/>
          <w:marRight w:val="0"/>
          <w:marTop w:val="0"/>
          <w:marBottom w:val="0"/>
          <w:divBdr>
            <w:top w:val="none" w:sz="0" w:space="0" w:color="auto"/>
            <w:left w:val="none" w:sz="0" w:space="0" w:color="auto"/>
            <w:bottom w:val="none" w:sz="0" w:space="0" w:color="auto"/>
            <w:right w:val="none" w:sz="0" w:space="0" w:color="auto"/>
          </w:divBdr>
        </w:div>
        <w:div w:id="254366250">
          <w:marLeft w:val="0"/>
          <w:marRight w:val="0"/>
          <w:marTop w:val="0"/>
          <w:marBottom w:val="0"/>
          <w:divBdr>
            <w:top w:val="none" w:sz="0" w:space="0" w:color="auto"/>
            <w:left w:val="none" w:sz="0" w:space="0" w:color="auto"/>
            <w:bottom w:val="none" w:sz="0" w:space="0" w:color="auto"/>
            <w:right w:val="none" w:sz="0" w:space="0" w:color="auto"/>
          </w:divBdr>
          <w:divsChild>
            <w:div w:id="630788948">
              <w:marLeft w:val="0"/>
              <w:marRight w:val="0"/>
              <w:marTop w:val="0"/>
              <w:marBottom w:val="0"/>
              <w:divBdr>
                <w:top w:val="none" w:sz="0" w:space="0" w:color="auto"/>
                <w:left w:val="none" w:sz="0" w:space="0" w:color="auto"/>
                <w:bottom w:val="none" w:sz="0" w:space="0" w:color="auto"/>
                <w:right w:val="none" w:sz="0" w:space="0" w:color="auto"/>
              </w:divBdr>
            </w:div>
          </w:divsChild>
        </w:div>
        <w:div w:id="749350265">
          <w:marLeft w:val="0"/>
          <w:marRight w:val="0"/>
          <w:marTop w:val="0"/>
          <w:marBottom w:val="0"/>
          <w:divBdr>
            <w:top w:val="none" w:sz="0" w:space="0" w:color="auto"/>
            <w:left w:val="none" w:sz="0" w:space="0" w:color="auto"/>
            <w:bottom w:val="none" w:sz="0" w:space="0" w:color="auto"/>
            <w:right w:val="none" w:sz="0" w:space="0" w:color="auto"/>
          </w:divBdr>
        </w:div>
        <w:div w:id="322197230">
          <w:marLeft w:val="0"/>
          <w:marRight w:val="0"/>
          <w:marTop w:val="0"/>
          <w:marBottom w:val="0"/>
          <w:divBdr>
            <w:top w:val="none" w:sz="0" w:space="0" w:color="auto"/>
            <w:left w:val="none" w:sz="0" w:space="0" w:color="auto"/>
            <w:bottom w:val="none" w:sz="0" w:space="0" w:color="auto"/>
            <w:right w:val="none" w:sz="0" w:space="0" w:color="auto"/>
          </w:divBdr>
        </w:div>
        <w:div w:id="334387155">
          <w:marLeft w:val="0"/>
          <w:marRight w:val="0"/>
          <w:marTop w:val="0"/>
          <w:marBottom w:val="0"/>
          <w:divBdr>
            <w:top w:val="none" w:sz="0" w:space="0" w:color="auto"/>
            <w:left w:val="none" w:sz="0" w:space="0" w:color="auto"/>
            <w:bottom w:val="none" w:sz="0" w:space="0" w:color="auto"/>
            <w:right w:val="none" w:sz="0" w:space="0" w:color="auto"/>
          </w:divBdr>
        </w:div>
        <w:div w:id="1457020929">
          <w:marLeft w:val="0"/>
          <w:marRight w:val="0"/>
          <w:marTop w:val="0"/>
          <w:marBottom w:val="0"/>
          <w:divBdr>
            <w:top w:val="none" w:sz="0" w:space="0" w:color="auto"/>
            <w:left w:val="none" w:sz="0" w:space="0" w:color="auto"/>
            <w:bottom w:val="none" w:sz="0" w:space="0" w:color="auto"/>
            <w:right w:val="none" w:sz="0" w:space="0" w:color="auto"/>
          </w:divBdr>
        </w:div>
        <w:div w:id="847597630">
          <w:marLeft w:val="0"/>
          <w:marRight w:val="0"/>
          <w:marTop w:val="0"/>
          <w:marBottom w:val="0"/>
          <w:divBdr>
            <w:top w:val="none" w:sz="0" w:space="0" w:color="auto"/>
            <w:left w:val="none" w:sz="0" w:space="0" w:color="auto"/>
            <w:bottom w:val="none" w:sz="0" w:space="0" w:color="auto"/>
            <w:right w:val="none" w:sz="0" w:space="0" w:color="auto"/>
          </w:divBdr>
        </w:div>
        <w:div w:id="125701255">
          <w:marLeft w:val="0"/>
          <w:marRight w:val="0"/>
          <w:marTop w:val="0"/>
          <w:marBottom w:val="0"/>
          <w:divBdr>
            <w:top w:val="none" w:sz="0" w:space="0" w:color="auto"/>
            <w:left w:val="none" w:sz="0" w:space="0" w:color="auto"/>
            <w:bottom w:val="none" w:sz="0" w:space="0" w:color="auto"/>
            <w:right w:val="none" w:sz="0" w:space="0" w:color="auto"/>
          </w:divBdr>
          <w:divsChild>
            <w:div w:id="101994375">
              <w:marLeft w:val="0"/>
              <w:marRight w:val="0"/>
              <w:marTop w:val="0"/>
              <w:marBottom w:val="0"/>
              <w:divBdr>
                <w:top w:val="none" w:sz="0" w:space="0" w:color="auto"/>
                <w:left w:val="none" w:sz="0" w:space="0" w:color="auto"/>
                <w:bottom w:val="none" w:sz="0" w:space="0" w:color="auto"/>
                <w:right w:val="none" w:sz="0" w:space="0" w:color="auto"/>
              </w:divBdr>
            </w:div>
          </w:divsChild>
        </w:div>
        <w:div w:id="717708823">
          <w:marLeft w:val="0"/>
          <w:marRight w:val="0"/>
          <w:marTop w:val="0"/>
          <w:marBottom w:val="0"/>
          <w:divBdr>
            <w:top w:val="none" w:sz="0" w:space="0" w:color="auto"/>
            <w:left w:val="none" w:sz="0" w:space="0" w:color="auto"/>
            <w:bottom w:val="none" w:sz="0" w:space="0" w:color="auto"/>
            <w:right w:val="none" w:sz="0" w:space="0" w:color="auto"/>
          </w:divBdr>
        </w:div>
        <w:div w:id="733047425">
          <w:marLeft w:val="0"/>
          <w:marRight w:val="0"/>
          <w:marTop w:val="0"/>
          <w:marBottom w:val="0"/>
          <w:divBdr>
            <w:top w:val="none" w:sz="0" w:space="0" w:color="auto"/>
            <w:left w:val="none" w:sz="0" w:space="0" w:color="auto"/>
            <w:bottom w:val="none" w:sz="0" w:space="0" w:color="auto"/>
            <w:right w:val="none" w:sz="0" w:space="0" w:color="auto"/>
          </w:divBdr>
        </w:div>
        <w:div w:id="618222343">
          <w:marLeft w:val="0"/>
          <w:marRight w:val="0"/>
          <w:marTop w:val="0"/>
          <w:marBottom w:val="0"/>
          <w:divBdr>
            <w:top w:val="none" w:sz="0" w:space="0" w:color="auto"/>
            <w:left w:val="none" w:sz="0" w:space="0" w:color="auto"/>
            <w:bottom w:val="none" w:sz="0" w:space="0" w:color="auto"/>
            <w:right w:val="none" w:sz="0" w:space="0" w:color="auto"/>
          </w:divBdr>
          <w:divsChild>
            <w:div w:id="283080653">
              <w:marLeft w:val="0"/>
              <w:marRight w:val="0"/>
              <w:marTop w:val="0"/>
              <w:marBottom w:val="0"/>
              <w:divBdr>
                <w:top w:val="none" w:sz="0" w:space="0" w:color="auto"/>
                <w:left w:val="none" w:sz="0" w:space="0" w:color="auto"/>
                <w:bottom w:val="none" w:sz="0" w:space="0" w:color="auto"/>
                <w:right w:val="none" w:sz="0" w:space="0" w:color="auto"/>
              </w:divBdr>
            </w:div>
          </w:divsChild>
        </w:div>
        <w:div w:id="1253390023">
          <w:marLeft w:val="0"/>
          <w:marRight w:val="0"/>
          <w:marTop w:val="0"/>
          <w:marBottom w:val="0"/>
          <w:divBdr>
            <w:top w:val="none" w:sz="0" w:space="0" w:color="auto"/>
            <w:left w:val="none" w:sz="0" w:space="0" w:color="auto"/>
            <w:bottom w:val="none" w:sz="0" w:space="0" w:color="auto"/>
            <w:right w:val="none" w:sz="0" w:space="0" w:color="auto"/>
          </w:divBdr>
        </w:div>
        <w:div w:id="2134857176">
          <w:marLeft w:val="0"/>
          <w:marRight w:val="0"/>
          <w:marTop w:val="0"/>
          <w:marBottom w:val="0"/>
          <w:divBdr>
            <w:top w:val="none" w:sz="0" w:space="0" w:color="auto"/>
            <w:left w:val="none" w:sz="0" w:space="0" w:color="auto"/>
            <w:bottom w:val="none" w:sz="0" w:space="0" w:color="auto"/>
            <w:right w:val="none" w:sz="0" w:space="0" w:color="auto"/>
          </w:divBdr>
        </w:div>
        <w:div w:id="1569723856">
          <w:marLeft w:val="0"/>
          <w:marRight w:val="0"/>
          <w:marTop w:val="0"/>
          <w:marBottom w:val="0"/>
          <w:divBdr>
            <w:top w:val="none" w:sz="0" w:space="0" w:color="auto"/>
            <w:left w:val="none" w:sz="0" w:space="0" w:color="auto"/>
            <w:bottom w:val="none" w:sz="0" w:space="0" w:color="auto"/>
            <w:right w:val="none" w:sz="0" w:space="0" w:color="auto"/>
          </w:divBdr>
          <w:divsChild>
            <w:div w:id="1450978476">
              <w:marLeft w:val="0"/>
              <w:marRight w:val="0"/>
              <w:marTop w:val="0"/>
              <w:marBottom w:val="0"/>
              <w:divBdr>
                <w:top w:val="none" w:sz="0" w:space="0" w:color="auto"/>
                <w:left w:val="none" w:sz="0" w:space="0" w:color="auto"/>
                <w:bottom w:val="none" w:sz="0" w:space="0" w:color="auto"/>
                <w:right w:val="none" w:sz="0" w:space="0" w:color="auto"/>
              </w:divBdr>
            </w:div>
          </w:divsChild>
        </w:div>
        <w:div w:id="1227303737">
          <w:marLeft w:val="0"/>
          <w:marRight w:val="0"/>
          <w:marTop w:val="0"/>
          <w:marBottom w:val="0"/>
          <w:divBdr>
            <w:top w:val="none" w:sz="0" w:space="0" w:color="auto"/>
            <w:left w:val="none" w:sz="0" w:space="0" w:color="auto"/>
            <w:bottom w:val="none" w:sz="0" w:space="0" w:color="auto"/>
            <w:right w:val="none" w:sz="0" w:space="0" w:color="auto"/>
          </w:divBdr>
        </w:div>
        <w:div w:id="754323639">
          <w:marLeft w:val="0"/>
          <w:marRight w:val="0"/>
          <w:marTop w:val="0"/>
          <w:marBottom w:val="0"/>
          <w:divBdr>
            <w:top w:val="none" w:sz="0" w:space="0" w:color="auto"/>
            <w:left w:val="none" w:sz="0" w:space="0" w:color="auto"/>
            <w:bottom w:val="none" w:sz="0" w:space="0" w:color="auto"/>
            <w:right w:val="none" w:sz="0" w:space="0" w:color="auto"/>
          </w:divBdr>
        </w:div>
        <w:div w:id="350185185">
          <w:marLeft w:val="0"/>
          <w:marRight w:val="0"/>
          <w:marTop w:val="0"/>
          <w:marBottom w:val="0"/>
          <w:divBdr>
            <w:top w:val="none" w:sz="0" w:space="0" w:color="auto"/>
            <w:left w:val="none" w:sz="0" w:space="0" w:color="auto"/>
            <w:bottom w:val="none" w:sz="0" w:space="0" w:color="auto"/>
            <w:right w:val="none" w:sz="0" w:space="0" w:color="auto"/>
          </w:divBdr>
          <w:divsChild>
            <w:div w:id="1213156378">
              <w:marLeft w:val="0"/>
              <w:marRight w:val="0"/>
              <w:marTop w:val="0"/>
              <w:marBottom w:val="0"/>
              <w:divBdr>
                <w:top w:val="none" w:sz="0" w:space="0" w:color="auto"/>
                <w:left w:val="none" w:sz="0" w:space="0" w:color="auto"/>
                <w:bottom w:val="none" w:sz="0" w:space="0" w:color="auto"/>
                <w:right w:val="none" w:sz="0" w:space="0" w:color="auto"/>
              </w:divBdr>
            </w:div>
          </w:divsChild>
        </w:div>
        <w:div w:id="1919291984">
          <w:marLeft w:val="0"/>
          <w:marRight w:val="0"/>
          <w:marTop w:val="0"/>
          <w:marBottom w:val="0"/>
          <w:divBdr>
            <w:top w:val="none" w:sz="0" w:space="0" w:color="auto"/>
            <w:left w:val="none" w:sz="0" w:space="0" w:color="auto"/>
            <w:bottom w:val="none" w:sz="0" w:space="0" w:color="auto"/>
            <w:right w:val="none" w:sz="0" w:space="0" w:color="auto"/>
          </w:divBdr>
        </w:div>
        <w:div w:id="255284481">
          <w:marLeft w:val="0"/>
          <w:marRight w:val="0"/>
          <w:marTop w:val="0"/>
          <w:marBottom w:val="0"/>
          <w:divBdr>
            <w:top w:val="none" w:sz="0" w:space="0" w:color="auto"/>
            <w:left w:val="none" w:sz="0" w:space="0" w:color="auto"/>
            <w:bottom w:val="none" w:sz="0" w:space="0" w:color="auto"/>
            <w:right w:val="none" w:sz="0" w:space="0" w:color="auto"/>
          </w:divBdr>
        </w:div>
        <w:div w:id="1614941970">
          <w:marLeft w:val="0"/>
          <w:marRight w:val="0"/>
          <w:marTop w:val="0"/>
          <w:marBottom w:val="0"/>
          <w:divBdr>
            <w:top w:val="none" w:sz="0" w:space="0" w:color="auto"/>
            <w:left w:val="none" w:sz="0" w:space="0" w:color="auto"/>
            <w:bottom w:val="none" w:sz="0" w:space="0" w:color="auto"/>
            <w:right w:val="none" w:sz="0" w:space="0" w:color="auto"/>
          </w:divBdr>
          <w:divsChild>
            <w:div w:id="625281384">
              <w:marLeft w:val="0"/>
              <w:marRight w:val="0"/>
              <w:marTop w:val="0"/>
              <w:marBottom w:val="0"/>
              <w:divBdr>
                <w:top w:val="none" w:sz="0" w:space="0" w:color="auto"/>
                <w:left w:val="none" w:sz="0" w:space="0" w:color="auto"/>
                <w:bottom w:val="none" w:sz="0" w:space="0" w:color="auto"/>
                <w:right w:val="none" w:sz="0" w:space="0" w:color="auto"/>
              </w:divBdr>
            </w:div>
          </w:divsChild>
        </w:div>
        <w:div w:id="519587662">
          <w:marLeft w:val="0"/>
          <w:marRight w:val="0"/>
          <w:marTop w:val="0"/>
          <w:marBottom w:val="0"/>
          <w:divBdr>
            <w:top w:val="none" w:sz="0" w:space="0" w:color="auto"/>
            <w:left w:val="none" w:sz="0" w:space="0" w:color="auto"/>
            <w:bottom w:val="none" w:sz="0" w:space="0" w:color="auto"/>
            <w:right w:val="none" w:sz="0" w:space="0" w:color="auto"/>
          </w:divBdr>
        </w:div>
        <w:div w:id="206724414">
          <w:marLeft w:val="0"/>
          <w:marRight w:val="0"/>
          <w:marTop w:val="0"/>
          <w:marBottom w:val="0"/>
          <w:divBdr>
            <w:top w:val="none" w:sz="0" w:space="0" w:color="auto"/>
            <w:left w:val="none" w:sz="0" w:space="0" w:color="auto"/>
            <w:bottom w:val="none" w:sz="0" w:space="0" w:color="auto"/>
            <w:right w:val="none" w:sz="0" w:space="0" w:color="auto"/>
          </w:divBdr>
        </w:div>
        <w:div w:id="1146121420">
          <w:marLeft w:val="0"/>
          <w:marRight w:val="0"/>
          <w:marTop w:val="0"/>
          <w:marBottom w:val="0"/>
          <w:divBdr>
            <w:top w:val="none" w:sz="0" w:space="0" w:color="auto"/>
            <w:left w:val="none" w:sz="0" w:space="0" w:color="auto"/>
            <w:bottom w:val="none" w:sz="0" w:space="0" w:color="auto"/>
            <w:right w:val="none" w:sz="0" w:space="0" w:color="auto"/>
          </w:divBdr>
          <w:divsChild>
            <w:div w:id="1247880196">
              <w:marLeft w:val="0"/>
              <w:marRight w:val="0"/>
              <w:marTop w:val="0"/>
              <w:marBottom w:val="0"/>
              <w:divBdr>
                <w:top w:val="none" w:sz="0" w:space="0" w:color="auto"/>
                <w:left w:val="none" w:sz="0" w:space="0" w:color="auto"/>
                <w:bottom w:val="none" w:sz="0" w:space="0" w:color="auto"/>
                <w:right w:val="none" w:sz="0" w:space="0" w:color="auto"/>
              </w:divBdr>
            </w:div>
          </w:divsChild>
        </w:div>
        <w:div w:id="1851335890">
          <w:marLeft w:val="0"/>
          <w:marRight w:val="0"/>
          <w:marTop w:val="0"/>
          <w:marBottom w:val="0"/>
          <w:divBdr>
            <w:top w:val="none" w:sz="0" w:space="0" w:color="auto"/>
            <w:left w:val="none" w:sz="0" w:space="0" w:color="auto"/>
            <w:bottom w:val="none" w:sz="0" w:space="0" w:color="auto"/>
            <w:right w:val="none" w:sz="0" w:space="0" w:color="auto"/>
          </w:divBdr>
        </w:div>
        <w:div w:id="323626205">
          <w:marLeft w:val="0"/>
          <w:marRight w:val="0"/>
          <w:marTop w:val="0"/>
          <w:marBottom w:val="0"/>
          <w:divBdr>
            <w:top w:val="none" w:sz="0" w:space="0" w:color="auto"/>
            <w:left w:val="none" w:sz="0" w:space="0" w:color="auto"/>
            <w:bottom w:val="none" w:sz="0" w:space="0" w:color="auto"/>
            <w:right w:val="none" w:sz="0" w:space="0" w:color="auto"/>
          </w:divBdr>
        </w:div>
        <w:div w:id="335618531">
          <w:marLeft w:val="0"/>
          <w:marRight w:val="0"/>
          <w:marTop w:val="0"/>
          <w:marBottom w:val="0"/>
          <w:divBdr>
            <w:top w:val="none" w:sz="0" w:space="0" w:color="auto"/>
            <w:left w:val="none" w:sz="0" w:space="0" w:color="auto"/>
            <w:bottom w:val="none" w:sz="0" w:space="0" w:color="auto"/>
            <w:right w:val="none" w:sz="0" w:space="0" w:color="auto"/>
          </w:divBdr>
          <w:divsChild>
            <w:div w:id="885679885">
              <w:marLeft w:val="0"/>
              <w:marRight w:val="0"/>
              <w:marTop w:val="0"/>
              <w:marBottom w:val="0"/>
              <w:divBdr>
                <w:top w:val="none" w:sz="0" w:space="0" w:color="auto"/>
                <w:left w:val="none" w:sz="0" w:space="0" w:color="auto"/>
                <w:bottom w:val="none" w:sz="0" w:space="0" w:color="auto"/>
                <w:right w:val="none" w:sz="0" w:space="0" w:color="auto"/>
              </w:divBdr>
            </w:div>
          </w:divsChild>
        </w:div>
        <w:div w:id="265113924">
          <w:marLeft w:val="0"/>
          <w:marRight w:val="0"/>
          <w:marTop w:val="0"/>
          <w:marBottom w:val="0"/>
          <w:divBdr>
            <w:top w:val="none" w:sz="0" w:space="0" w:color="auto"/>
            <w:left w:val="none" w:sz="0" w:space="0" w:color="auto"/>
            <w:bottom w:val="none" w:sz="0" w:space="0" w:color="auto"/>
            <w:right w:val="none" w:sz="0" w:space="0" w:color="auto"/>
          </w:divBdr>
        </w:div>
        <w:div w:id="1109355853">
          <w:marLeft w:val="0"/>
          <w:marRight w:val="0"/>
          <w:marTop w:val="0"/>
          <w:marBottom w:val="0"/>
          <w:divBdr>
            <w:top w:val="none" w:sz="0" w:space="0" w:color="auto"/>
            <w:left w:val="none" w:sz="0" w:space="0" w:color="auto"/>
            <w:bottom w:val="none" w:sz="0" w:space="0" w:color="auto"/>
            <w:right w:val="none" w:sz="0" w:space="0" w:color="auto"/>
          </w:divBdr>
        </w:div>
        <w:div w:id="1595280514">
          <w:marLeft w:val="0"/>
          <w:marRight w:val="0"/>
          <w:marTop w:val="0"/>
          <w:marBottom w:val="0"/>
          <w:divBdr>
            <w:top w:val="none" w:sz="0" w:space="0" w:color="auto"/>
            <w:left w:val="none" w:sz="0" w:space="0" w:color="auto"/>
            <w:bottom w:val="none" w:sz="0" w:space="0" w:color="auto"/>
            <w:right w:val="none" w:sz="0" w:space="0" w:color="auto"/>
          </w:divBdr>
          <w:divsChild>
            <w:div w:id="1125544337">
              <w:marLeft w:val="0"/>
              <w:marRight w:val="0"/>
              <w:marTop w:val="0"/>
              <w:marBottom w:val="0"/>
              <w:divBdr>
                <w:top w:val="none" w:sz="0" w:space="0" w:color="auto"/>
                <w:left w:val="none" w:sz="0" w:space="0" w:color="auto"/>
                <w:bottom w:val="none" w:sz="0" w:space="0" w:color="auto"/>
                <w:right w:val="none" w:sz="0" w:space="0" w:color="auto"/>
              </w:divBdr>
            </w:div>
          </w:divsChild>
        </w:div>
        <w:div w:id="1476752126">
          <w:marLeft w:val="0"/>
          <w:marRight w:val="0"/>
          <w:marTop w:val="0"/>
          <w:marBottom w:val="0"/>
          <w:divBdr>
            <w:top w:val="none" w:sz="0" w:space="0" w:color="auto"/>
            <w:left w:val="none" w:sz="0" w:space="0" w:color="auto"/>
            <w:bottom w:val="none" w:sz="0" w:space="0" w:color="auto"/>
            <w:right w:val="none" w:sz="0" w:space="0" w:color="auto"/>
          </w:divBdr>
        </w:div>
        <w:div w:id="636449077">
          <w:marLeft w:val="0"/>
          <w:marRight w:val="0"/>
          <w:marTop w:val="0"/>
          <w:marBottom w:val="0"/>
          <w:divBdr>
            <w:top w:val="none" w:sz="0" w:space="0" w:color="auto"/>
            <w:left w:val="none" w:sz="0" w:space="0" w:color="auto"/>
            <w:bottom w:val="none" w:sz="0" w:space="0" w:color="auto"/>
            <w:right w:val="none" w:sz="0" w:space="0" w:color="auto"/>
          </w:divBdr>
        </w:div>
        <w:div w:id="288123800">
          <w:marLeft w:val="0"/>
          <w:marRight w:val="0"/>
          <w:marTop w:val="0"/>
          <w:marBottom w:val="0"/>
          <w:divBdr>
            <w:top w:val="none" w:sz="0" w:space="0" w:color="auto"/>
            <w:left w:val="none" w:sz="0" w:space="0" w:color="auto"/>
            <w:bottom w:val="none" w:sz="0" w:space="0" w:color="auto"/>
            <w:right w:val="none" w:sz="0" w:space="0" w:color="auto"/>
          </w:divBdr>
          <w:divsChild>
            <w:div w:id="837037510">
              <w:marLeft w:val="0"/>
              <w:marRight w:val="0"/>
              <w:marTop w:val="0"/>
              <w:marBottom w:val="0"/>
              <w:divBdr>
                <w:top w:val="none" w:sz="0" w:space="0" w:color="auto"/>
                <w:left w:val="none" w:sz="0" w:space="0" w:color="auto"/>
                <w:bottom w:val="none" w:sz="0" w:space="0" w:color="auto"/>
                <w:right w:val="none" w:sz="0" w:space="0" w:color="auto"/>
              </w:divBdr>
            </w:div>
          </w:divsChild>
        </w:div>
        <w:div w:id="1394961832">
          <w:marLeft w:val="0"/>
          <w:marRight w:val="0"/>
          <w:marTop w:val="0"/>
          <w:marBottom w:val="0"/>
          <w:divBdr>
            <w:top w:val="none" w:sz="0" w:space="0" w:color="auto"/>
            <w:left w:val="none" w:sz="0" w:space="0" w:color="auto"/>
            <w:bottom w:val="none" w:sz="0" w:space="0" w:color="auto"/>
            <w:right w:val="none" w:sz="0" w:space="0" w:color="auto"/>
          </w:divBdr>
        </w:div>
        <w:div w:id="1555503234">
          <w:marLeft w:val="0"/>
          <w:marRight w:val="0"/>
          <w:marTop w:val="0"/>
          <w:marBottom w:val="0"/>
          <w:divBdr>
            <w:top w:val="none" w:sz="0" w:space="0" w:color="auto"/>
            <w:left w:val="none" w:sz="0" w:space="0" w:color="auto"/>
            <w:bottom w:val="none" w:sz="0" w:space="0" w:color="auto"/>
            <w:right w:val="none" w:sz="0" w:space="0" w:color="auto"/>
          </w:divBdr>
        </w:div>
        <w:div w:id="1402174952">
          <w:marLeft w:val="0"/>
          <w:marRight w:val="0"/>
          <w:marTop w:val="0"/>
          <w:marBottom w:val="0"/>
          <w:divBdr>
            <w:top w:val="none" w:sz="0" w:space="0" w:color="auto"/>
            <w:left w:val="none" w:sz="0" w:space="0" w:color="auto"/>
            <w:bottom w:val="none" w:sz="0" w:space="0" w:color="auto"/>
            <w:right w:val="none" w:sz="0" w:space="0" w:color="auto"/>
          </w:divBdr>
          <w:divsChild>
            <w:div w:id="822626134">
              <w:marLeft w:val="0"/>
              <w:marRight w:val="0"/>
              <w:marTop w:val="0"/>
              <w:marBottom w:val="0"/>
              <w:divBdr>
                <w:top w:val="none" w:sz="0" w:space="0" w:color="auto"/>
                <w:left w:val="none" w:sz="0" w:space="0" w:color="auto"/>
                <w:bottom w:val="none" w:sz="0" w:space="0" w:color="auto"/>
                <w:right w:val="none" w:sz="0" w:space="0" w:color="auto"/>
              </w:divBdr>
            </w:div>
          </w:divsChild>
        </w:div>
        <w:div w:id="1411853704">
          <w:marLeft w:val="0"/>
          <w:marRight w:val="0"/>
          <w:marTop w:val="0"/>
          <w:marBottom w:val="0"/>
          <w:divBdr>
            <w:top w:val="none" w:sz="0" w:space="0" w:color="auto"/>
            <w:left w:val="none" w:sz="0" w:space="0" w:color="auto"/>
            <w:bottom w:val="none" w:sz="0" w:space="0" w:color="auto"/>
            <w:right w:val="none" w:sz="0" w:space="0" w:color="auto"/>
          </w:divBdr>
        </w:div>
        <w:div w:id="1390612346">
          <w:marLeft w:val="0"/>
          <w:marRight w:val="0"/>
          <w:marTop w:val="0"/>
          <w:marBottom w:val="0"/>
          <w:divBdr>
            <w:top w:val="none" w:sz="0" w:space="0" w:color="auto"/>
            <w:left w:val="none" w:sz="0" w:space="0" w:color="auto"/>
            <w:bottom w:val="none" w:sz="0" w:space="0" w:color="auto"/>
            <w:right w:val="none" w:sz="0" w:space="0" w:color="auto"/>
          </w:divBdr>
        </w:div>
        <w:div w:id="469175270">
          <w:marLeft w:val="0"/>
          <w:marRight w:val="0"/>
          <w:marTop w:val="0"/>
          <w:marBottom w:val="0"/>
          <w:divBdr>
            <w:top w:val="none" w:sz="0" w:space="0" w:color="auto"/>
            <w:left w:val="none" w:sz="0" w:space="0" w:color="auto"/>
            <w:bottom w:val="none" w:sz="0" w:space="0" w:color="auto"/>
            <w:right w:val="none" w:sz="0" w:space="0" w:color="auto"/>
          </w:divBdr>
          <w:divsChild>
            <w:div w:id="1278412211">
              <w:marLeft w:val="0"/>
              <w:marRight w:val="0"/>
              <w:marTop w:val="0"/>
              <w:marBottom w:val="0"/>
              <w:divBdr>
                <w:top w:val="none" w:sz="0" w:space="0" w:color="auto"/>
                <w:left w:val="none" w:sz="0" w:space="0" w:color="auto"/>
                <w:bottom w:val="none" w:sz="0" w:space="0" w:color="auto"/>
                <w:right w:val="none" w:sz="0" w:space="0" w:color="auto"/>
              </w:divBdr>
            </w:div>
          </w:divsChild>
        </w:div>
        <w:div w:id="201938840">
          <w:marLeft w:val="0"/>
          <w:marRight w:val="0"/>
          <w:marTop w:val="0"/>
          <w:marBottom w:val="0"/>
          <w:divBdr>
            <w:top w:val="none" w:sz="0" w:space="0" w:color="auto"/>
            <w:left w:val="none" w:sz="0" w:space="0" w:color="auto"/>
            <w:bottom w:val="none" w:sz="0" w:space="0" w:color="auto"/>
            <w:right w:val="none" w:sz="0" w:space="0" w:color="auto"/>
          </w:divBdr>
        </w:div>
        <w:div w:id="2056540593">
          <w:marLeft w:val="0"/>
          <w:marRight w:val="0"/>
          <w:marTop w:val="0"/>
          <w:marBottom w:val="0"/>
          <w:divBdr>
            <w:top w:val="none" w:sz="0" w:space="0" w:color="auto"/>
            <w:left w:val="none" w:sz="0" w:space="0" w:color="auto"/>
            <w:bottom w:val="none" w:sz="0" w:space="0" w:color="auto"/>
            <w:right w:val="none" w:sz="0" w:space="0" w:color="auto"/>
          </w:divBdr>
        </w:div>
        <w:div w:id="1827667995">
          <w:marLeft w:val="0"/>
          <w:marRight w:val="0"/>
          <w:marTop w:val="0"/>
          <w:marBottom w:val="0"/>
          <w:divBdr>
            <w:top w:val="none" w:sz="0" w:space="0" w:color="auto"/>
            <w:left w:val="none" w:sz="0" w:space="0" w:color="auto"/>
            <w:bottom w:val="none" w:sz="0" w:space="0" w:color="auto"/>
            <w:right w:val="none" w:sz="0" w:space="0" w:color="auto"/>
          </w:divBdr>
          <w:divsChild>
            <w:div w:id="549466335">
              <w:marLeft w:val="0"/>
              <w:marRight w:val="0"/>
              <w:marTop w:val="0"/>
              <w:marBottom w:val="0"/>
              <w:divBdr>
                <w:top w:val="none" w:sz="0" w:space="0" w:color="auto"/>
                <w:left w:val="none" w:sz="0" w:space="0" w:color="auto"/>
                <w:bottom w:val="none" w:sz="0" w:space="0" w:color="auto"/>
                <w:right w:val="none" w:sz="0" w:space="0" w:color="auto"/>
              </w:divBdr>
            </w:div>
          </w:divsChild>
        </w:div>
        <w:div w:id="519590638">
          <w:marLeft w:val="0"/>
          <w:marRight w:val="0"/>
          <w:marTop w:val="0"/>
          <w:marBottom w:val="0"/>
          <w:divBdr>
            <w:top w:val="none" w:sz="0" w:space="0" w:color="auto"/>
            <w:left w:val="none" w:sz="0" w:space="0" w:color="auto"/>
            <w:bottom w:val="none" w:sz="0" w:space="0" w:color="auto"/>
            <w:right w:val="none" w:sz="0" w:space="0" w:color="auto"/>
          </w:divBdr>
        </w:div>
        <w:div w:id="474833543">
          <w:marLeft w:val="0"/>
          <w:marRight w:val="0"/>
          <w:marTop w:val="0"/>
          <w:marBottom w:val="0"/>
          <w:divBdr>
            <w:top w:val="none" w:sz="0" w:space="0" w:color="auto"/>
            <w:left w:val="none" w:sz="0" w:space="0" w:color="auto"/>
            <w:bottom w:val="none" w:sz="0" w:space="0" w:color="auto"/>
            <w:right w:val="none" w:sz="0" w:space="0" w:color="auto"/>
          </w:divBdr>
        </w:div>
        <w:div w:id="138814593">
          <w:marLeft w:val="0"/>
          <w:marRight w:val="0"/>
          <w:marTop w:val="0"/>
          <w:marBottom w:val="0"/>
          <w:divBdr>
            <w:top w:val="none" w:sz="0" w:space="0" w:color="auto"/>
            <w:left w:val="none" w:sz="0" w:space="0" w:color="auto"/>
            <w:bottom w:val="none" w:sz="0" w:space="0" w:color="auto"/>
            <w:right w:val="none" w:sz="0" w:space="0" w:color="auto"/>
          </w:divBdr>
          <w:divsChild>
            <w:div w:id="162165461">
              <w:marLeft w:val="0"/>
              <w:marRight w:val="0"/>
              <w:marTop w:val="0"/>
              <w:marBottom w:val="0"/>
              <w:divBdr>
                <w:top w:val="none" w:sz="0" w:space="0" w:color="auto"/>
                <w:left w:val="none" w:sz="0" w:space="0" w:color="auto"/>
                <w:bottom w:val="none" w:sz="0" w:space="0" w:color="auto"/>
                <w:right w:val="none" w:sz="0" w:space="0" w:color="auto"/>
              </w:divBdr>
            </w:div>
          </w:divsChild>
        </w:div>
        <w:div w:id="2063170629">
          <w:marLeft w:val="0"/>
          <w:marRight w:val="0"/>
          <w:marTop w:val="0"/>
          <w:marBottom w:val="0"/>
          <w:divBdr>
            <w:top w:val="none" w:sz="0" w:space="0" w:color="auto"/>
            <w:left w:val="none" w:sz="0" w:space="0" w:color="auto"/>
            <w:bottom w:val="none" w:sz="0" w:space="0" w:color="auto"/>
            <w:right w:val="none" w:sz="0" w:space="0" w:color="auto"/>
          </w:divBdr>
        </w:div>
        <w:div w:id="590970469">
          <w:marLeft w:val="0"/>
          <w:marRight w:val="0"/>
          <w:marTop w:val="0"/>
          <w:marBottom w:val="0"/>
          <w:divBdr>
            <w:top w:val="none" w:sz="0" w:space="0" w:color="auto"/>
            <w:left w:val="none" w:sz="0" w:space="0" w:color="auto"/>
            <w:bottom w:val="none" w:sz="0" w:space="0" w:color="auto"/>
            <w:right w:val="none" w:sz="0" w:space="0" w:color="auto"/>
          </w:divBdr>
        </w:div>
        <w:div w:id="622811694">
          <w:marLeft w:val="0"/>
          <w:marRight w:val="0"/>
          <w:marTop w:val="0"/>
          <w:marBottom w:val="0"/>
          <w:divBdr>
            <w:top w:val="none" w:sz="0" w:space="0" w:color="auto"/>
            <w:left w:val="none" w:sz="0" w:space="0" w:color="auto"/>
            <w:bottom w:val="none" w:sz="0" w:space="0" w:color="auto"/>
            <w:right w:val="none" w:sz="0" w:space="0" w:color="auto"/>
          </w:divBdr>
        </w:div>
        <w:div w:id="1008482127">
          <w:marLeft w:val="0"/>
          <w:marRight w:val="0"/>
          <w:marTop w:val="0"/>
          <w:marBottom w:val="0"/>
          <w:divBdr>
            <w:top w:val="none" w:sz="0" w:space="0" w:color="auto"/>
            <w:left w:val="none" w:sz="0" w:space="0" w:color="auto"/>
            <w:bottom w:val="none" w:sz="0" w:space="0" w:color="auto"/>
            <w:right w:val="none" w:sz="0" w:space="0" w:color="auto"/>
          </w:divBdr>
        </w:div>
        <w:div w:id="1646007869">
          <w:marLeft w:val="0"/>
          <w:marRight w:val="0"/>
          <w:marTop w:val="0"/>
          <w:marBottom w:val="0"/>
          <w:divBdr>
            <w:top w:val="none" w:sz="0" w:space="0" w:color="auto"/>
            <w:left w:val="none" w:sz="0" w:space="0" w:color="auto"/>
            <w:bottom w:val="none" w:sz="0" w:space="0" w:color="auto"/>
            <w:right w:val="none" w:sz="0" w:space="0" w:color="auto"/>
          </w:divBdr>
        </w:div>
        <w:div w:id="694771620">
          <w:marLeft w:val="0"/>
          <w:marRight w:val="0"/>
          <w:marTop w:val="0"/>
          <w:marBottom w:val="0"/>
          <w:divBdr>
            <w:top w:val="none" w:sz="0" w:space="0" w:color="auto"/>
            <w:left w:val="none" w:sz="0" w:space="0" w:color="auto"/>
            <w:bottom w:val="none" w:sz="0" w:space="0" w:color="auto"/>
            <w:right w:val="none" w:sz="0" w:space="0" w:color="auto"/>
          </w:divBdr>
        </w:div>
        <w:div w:id="1889993876">
          <w:marLeft w:val="0"/>
          <w:marRight w:val="0"/>
          <w:marTop w:val="0"/>
          <w:marBottom w:val="0"/>
          <w:divBdr>
            <w:top w:val="none" w:sz="0" w:space="0" w:color="auto"/>
            <w:left w:val="none" w:sz="0" w:space="0" w:color="auto"/>
            <w:bottom w:val="none" w:sz="0" w:space="0" w:color="auto"/>
            <w:right w:val="none" w:sz="0" w:space="0" w:color="auto"/>
          </w:divBdr>
          <w:divsChild>
            <w:div w:id="969939662">
              <w:marLeft w:val="0"/>
              <w:marRight w:val="0"/>
              <w:marTop w:val="0"/>
              <w:marBottom w:val="0"/>
              <w:divBdr>
                <w:top w:val="none" w:sz="0" w:space="0" w:color="auto"/>
                <w:left w:val="none" w:sz="0" w:space="0" w:color="auto"/>
                <w:bottom w:val="none" w:sz="0" w:space="0" w:color="auto"/>
                <w:right w:val="none" w:sz="0" w:space="0" w:color="auto"/>
              </w:divBdr>
            </w:div>
          </w:divsChild>
        </w:div>
        <w:div w:id="528228874">
          <w:marLeft w:val="0"/>
          <w:marRight w:val="0"/>
          <w:marTop w:val="0"/>
          <w:marBottom w:val="0"/>
          <w:divBdr>
            <w:top w:val="none" w:sz="0" w:space="0" w:color="auto"/>
            <w:left w:val="none" w:sz="0" w:space="0" w:color="auto"/>
            <w:bottom w:val="none" w:sz="0" w:space="0" w:color="auto"/>
            <w:right w:val="none" w:sz="0" w:space="0" w:color="auto"/>
          </w:divBdr>
        </w:div>
        <w:div w:id="2118256890">
          <w:marLeft w:val="0"/>
          <w:marRight w:val="0"/>
          <w:marTop w:val="0"/>
          <w:marBottom w:val="0"/>
          <w:divBdr>
            <w:top w:val="none" w:sz="0" w:space="0" w:color="auto"/>
            <w:left w:val="none" w:sz="0" w:space="0" w:color="auto"/>
            <w:bottom w:val="none" w:sz="0" w:space="0" w:color="auto"/>
            <w:right w:val="none" w:sz="0" w:space="0" w:color="auto"/>
          </w:divBdr>
        </w:div>
        <w:div w:id="2109227334">
          <w:marLeft w:val="0"/>
          <w:marRight w:val="0"/>
          <w:marTop w:val="0"/>
          <w:marBottom w:val="0"/>
          <w:divBdr>
            <w:top w:val="none" w:sz="0" w:space="0" w:color="auto"/>
            <w:left w:val="none" w:sz="0" w:space="0" w:color="auto"/>
            <w:bottom w:val="none" w:sz="0" w:space="0" w:color="auto"/>
            <w:right w:val="none" w:sz="0" w:space="0" w:color="auto"/>
          </w:divBdr>
          <w:divsChild>
            <w:div w:id="1492018456">
              <w:marLeft w:val="0"/>
              <w:marRight w:val="0"/>
              <w:marTop w:val="0"/>
              <w:marBottom w:val="0"/>
              <w:divBdr>
                <w:top w:val="none" w:sz="0" w:space="0" w:color="auto"/>
                <w:left w:val="none" w:sz="0" w:space="0" w:color="auto"/>
                <w:bottom w:val="none" w:sz="0" w:space="0" w:color="auto"/>
                <w:right w:val="none" w:sz="0" w:space="0" w:color="auto"/>
              </w:divBdr>
            </w:div>
          </w:divsChild>
        </w:div>
        <w:div w:id="912741261">
          <w:marLeft w:val="0"/>
          <w:marRight w:val="0"/>
          <w:marTop w:val="0"/>
          <w:marBottom w:val="0"/>
          <w:divBdr>
            <w:top w:val="none" w:sz="0" w:space="0" w:color="auto"/>
            <w:left w:val="none" w:sz="0" w:space="0" w:color="auto"/>
            <w:bottom w:val="none" w:sz="0" w:space="0" w:color="auto"/>
            <w:right w:val="none" w:sz="0" w:space="0" w:color="auto"/>
          </w:divBdr>
        </w:div>
        <w:div w:id="1884057071">
          <w:marLeft w:val="0"/>
          <w:marRight w:val="0"/>
          <w:marTop w:val="0"/>
          <w:marBottom w:val="0"/>
          <w:divBdr>
            <w:top w:val="none" w:sz="0" w:space="0" w:color="auto"/>
            <w:left w:val="none" w:sz="0" w:space="0" w:color="auto"/>
            <w:bottom w:val="none" w:sz="0" w:space="0" w:color="auto"/>
            <w:right w:val="none" w:sz="0" w:space="0" w:color="auto"/>
          </w:divBdr>
        </w:div>
        <w:div w:id="479006176">
          <w:marLeft w:val="0"/>
          <w:marRight w:val="0"/>
          <w:marTop w:val="0"/>
          <w:marBottom w:val="0"/>
          <w:divBdr>
            <w:top w:val="none" w:sz="0" w:space="0" w:color="auto"/>
            <w:left w:val="none" w:sz="0" w:space="0" w:color="auto"/>
            <w:bottom w:val="none" w:sz="0" w:space="0" w:color="auto"/>
            <w:right w:val="none" w:sz="0" w:space="0" w:color="auto"/>
          </w:divBdr>
          <w:divsChild>
            <w:div w:id="112554433">
              <w:marLeft w:val="0"/>
              <w:marRight w:val="0"/>
              <w:marTop w:val="0"/>
              <w:marBottom w:val="0"/>
              <w:divBdr>
                <w:top w:val="none" w:sz="0" w:space="0" w:color="auto"/>
                <w:left w:val="none" w:sz="0" w:space="0" w:color="auto"/>
                <w:bottom w:val="none" w:sz="0" w:space="0" w:color="auto"/>
                <w:right w:val="none" w:sz="0" w:space="0" w:color="auto"/>
              </w:divBdr>
            </w:div>
          </w:divsChild>
        </w:div>
        <w:div w:id="1595281189">
          <w:marLeft w:val="0"/>
          <w:marRight w:val="0"/>
          <w:marTop w:val="0"/>
          <w:marBottom w:val="0"/>
          <w:divBdr>
            <w:top w:val="none" w:sz="0" w:space="0" w:color="auto"/>
            <w:left w:val="none" w:sz="0" w:space="0" w:color="auto"/>
            <w:bottom w:val="none" w:sz="0" w:space="0" w:color="auto"/>
            <w:right w:val="none" w:sz="0" w:space="0" w:color="auto"/>
          </w:divBdr>
        </w:div>
        <w:div w:id="15233328">
          <w:marLeft w:val="0"/>
          <w:marRight w:val="0"/>
          <w:marTop w:val="0"/>
          <w:marBottom w:val="0"/>
          <w:divBdr>
            <w:top w:val="none" w:sz="0" w:space="0" w:color="auto"/>
            <w:left w:val="none" w:sz="0" w:space="0" w:color="auto"/>
            <w:bottom w:val="none" w:sz="0" w:space="0" w:color="auto"/>
            <w:right w:val="none" w:sz="0" w:space="0" w:color="auto"/>
          </w:divBdr>
        </w:div>
        <w:div w:id="270552158">
          <w:marLeft w:val="0"/>
          <w:marRight w:val="0"/>
          <w:marTop w:val="0"/>
          <w:marBottom w:val="0"/>
          <w:divBdr>
            <w:top w:val="none" w:sz="0" w:space="0" w:color="auto"/>
            <w:left w:val="none" w:sz="0" w:space="0" w:color="auto"/>
            <w:bottom w:val="none" w:sz="0" w:space="0" w:color="auto"/>
            <w:right w:val="none" w:sz="0" w:space="0" w:color="auto"/>
          </w:divBdr>
          <w:divsChild>
            <w:div w:id="1565095875">
              <w:marLeft w:val="0"/>
              <w:marRight w:val="0"/>
              <w:marTop w:val="0"/>
              <w:marBottom w:val="0"/>
              <w:divBdr>
                <w:top w:val="none" w:sz="0" w:space="0" w:color="auto"/>
                <w:left w:val="none" w:sz="0" w:space="0" w:color="auto"/>
                <w:bottom w:val="none" w:sz="0" w:space="0" w:color="auto"/>
                <w:right w:val="none" w:sz="0" w:space="0" w:color="auto"/>
              </w:divBdr>
            </w:div>
          </w:divsChild>
        </w:div>
        <w:div w:id="1519082855">
          <w:marLeft w:val="0"/>
          <w:marRight w:val="0"/>
          <w:marTop w:val="0"/>
          <w:marBottom w:val="0"/>
          <w:divBdr>
            <w:top w:val="none" w:sz="0" w:space="0" w:color="auto"/>
            <w:left w:val="none" w:sz="0" w:space="0" w:color="auto"/>
            <w:bottom w:val="none" w:sz="0" w:space="0" w:color="auto"/>
            <w:right w:val="none" w:sz="0" w:space="0" w:color="auto"/>
          </w:divBdr>
        </w:div>
        <w:div w:id="1750998891">
          <w:marLeft w:val="0"/>
          <w:marRight w:val="0"/>
          <w:marTop w:val="0"/>
          <w:marBottom w:val="0"/>
          <w:divBdr>
            <w:top w:val="none" w:sz="0" w:space="0" w:color="auto"/>
            <w:left w:val="none" w:sz="0" w:space="0" w:color="auto"/>
            <w:bottom w:val="none" w:sz="0" w:space="0" w:color="auto"/>
            <w:right w:val="none" w:sz="0" w:space="0" w:color="auto"/>
          </w:divBdr>
        </w:div>
        <w:div w:id="1800030904">
          <w:marLeft w:val="0"/>
          <w:marRight w:val="0"/>
          <w:marTop w:val="0"/>
          <w:marBottom w:val="0"/>
          <w:divBdr>
            <w:top w:val="none" w:sz="0" w:space="0" w:color="auto"/>
            <w:left w:val="none" w:sz="0" w:space="0" w:color="auto"/>
            <w:bottom w:val="none" w:sz="0" w:space="0" w:color="auto"/>
            <w:right w:val="none" w:sz="0" w:space="0" w:color="auto"/>
          </w:divBdr>
          <w:divsChild>
            <w:div w:id="1851142974">
              <w:marLeft w:val="0"/>
              <w:marRight w:val="0"/>
              <w:marTop w:val="0"/>
              <w:marBottom w:val="0"/>
              <w:divBdr>
                <w:top w:val="none" w:sz="0" w:space="0" w:color="auto"/>
                <w:left w:val="none" w:sz="0" w:space="0" w:color="auto"/>
                <w:bottom w:val="none" w:sz="0" w:space="0" w:color="auto"/>
                <w:right w:val="none" w:sz="0" w:space="0" w:color="auto"/>
              </w:divBdr>
            </w:div>
          </w:divsChild>
        </w:div>
        <w:div w:id="19212789">
          <w:marLeft w:val="0"/>
          <w:marRight w:val="0"/>
          <w:marTop w:val="0"/>
          <w:marBottom w:val="0"/>
          <w:divBdr>
            <w:top w:val="none" w:sz="0" w:space="0" w:color="auto"/>
            <w:left w:val="none" w:sz="0" w:space="0" w:color="auto"/>
            <w:bottom w:val="none" w:sz="0" w:space="0" w:color="auto"/>
            <w:right w:val="none" w:sz="0" w:space="0" w:color="auto"/>
          </w:divBdr>
        </w:div>
        <w:div w:id="756681661">
          <w:marLeft w:val="0"/>
          <w:marRight w:val="0"/>
          <w:marTop w:val="0"/>
          <w:marBottom w:val="0"/>
          <w:divBdr>
            <w:top w:val="none" w:sz="0" w:space="0" w:color="auto"/>
            <w:left w:val="none" w:sz="0" w:space="0" w:color="auto"/>
            <w:bottom w:val="none" w:sz="0" w:space="0" w:color="auto"/>
            <w:right w:val="none" w:sz="0" w:space="0" w:color="auto"/>
          </w:divBdr>
        </w:div>
        <w:div w:id="879586362">
          <w:marLeft w:val="0"/>
          <w:marRight w:val="0"/>
          <w:marTop w:val="0"/>
          <w:marBottom w:val="0"/>
          <w:divBdr>
            <w:top w:val="none" w:sz="0" w:space="0" w:color="auto"/>
            <w:left w:val="none" w:sz="0" w:space="0" w:color="auto"/>
            <w:bottom w:val="none" w:sz="0" w:space="0" w:color="auto"/>
            <w:right w:val="none" w:sz="0" w:space="0" w:color="auto"/>
          </w:divBdr>
          <w:divsChild>
            <w:div w:id="1491404878">
              <w:marLeft w:val="0"/>
              <w:marRight w:val="0"/>
              <w:marTop w:val="0"/>
              <w:marBottom w:val="0"/>
              <w:divBdr>
                <w:top w:val="none" w:sz="0" w:space="0" w:color="auto"/>
                <w:left w:val="none" w:sz="0" w:space="0" w:color="auto"/>
                <w:bottom w:val="none" w:sz="0" w:space="0" w:color="auto"/>
                <w:right w:val="none" w:sz="0" w:space="0" w:color="auto"/>
              </w:divBdr>
            </w:div>
          </w:divsChild>
        </w:div>
        <w:div w:id="337199923">
          <w:marLeft w:val="0"/>
          <w:marRight w:val="0"/>
          <w:marTop w:val="0"/>
          <w:marBottom w:val="0"/>
          <w:divBdr>
            <w:top w:val="none" w:sz="0" w:space="0" w:color="auto"/>
            <w:left w:val="none" w:sz="0" w:space="0" w:color="auto"/>
            <w:bottom w:val="none" w:sz="0" w:space="0" w:color="auto"/>
            <w:right w:val="none" w:sz="0" w:space="0" w:color="auto"/>
          </w:divBdr>
        </w:div>
        <w:div w:id="165904362">
          <w:marLeft w:val="0"/>
          <w:marRight w:val="0"/>
          <w:marTop w:val="0"/>
          <w:marBottom w:val="0"/>
          <w:divBdr>
            <w:top w:val="none" w:sz="0" w:space="0" w:color="auto"/>
            <w:left w:val="none" w:sz="0" w:space="0" w:color="auto"/>
            <w:bottom w:val="none" w:sz="0" w:space="0" w:color="auto"/>
            <w:right w:val="none" w:sz="0" w:space="0" w:color="auto"/>
          </w:divBdr>
        </w:div>
        <w:div w:id="130365356">
          <w:marLeft w:val="0"/>
          <w:marRight w:val="0"/>
          <w:marTop w:val="0"/>
          <w:marBottom w:val="0"/>
          <w:divBdr>
            <w:top w:val="none" w:sz="0" w:space="0" w:color="auto"/>
            <w:left w:val="none" w:sz="0" w:space="0" w:color="auto"/>
            <w:bottom w:val="none" w:sz="0" w:space="0" w:color="auto"/>
            <w:right w:val="none" w:sz="0" w:space="0" w:color="auto"/>
          </w:divBdr>
          <w:divsChild>
            <w:div w:id="1496188345">
              <w:marLeft w:val="0"/>
              <w:marRight w:val="0"/>
              <w:marTop w:val="0"/>
              <w:marBottom w:val="0"/>
              <w:divBdr>
                <w:top w:val="none" w:sz="0" w:space="0" w:color="auto"/>
                <w:left w:val="none" w:sz="0" w:space="0" w:color="auto"/>
                <w:bottom w:val="none" w:sz="0" w:space="0" w:color="auto"/>
                <w:right w:val="none" w:sz="0" w:space="0" w:color="auto"/>
              </w:divBdr>
            </w:div>
          </w:divsChild>
        </w:div>
        <w:div w:id="1703094429">
          <w:marLeft w:val="0"/>
          <w:marRight w:val="0"/>
          <w:marTop w:val="0"/>
          <w:marBottom w:val="0"/>
          <w:divBdr>
            <w:top w:val="none" w:sz="0" w:space="0" w:color="auto"/>
            <w:left w:val="none" w:sz="0" w:space="0" w:color="auto"/>
            <w:bottom w:val="none" w:sz="0" w:space="0" w:color="auto"/>
            <w:right w:val="none" w:sz="0" w:space="0" w:color="auto"/>
          </w:divBdr>
        </w:div>
        <w:div w:id="704405756">
          <w:marLeft w:val="0"/>
          <w:marRight w:val="0"/>
          <w:marTop w:val="0"/>
          <w:marBottom w:val="0"/>
          <w:divBdr>
            <w:top w:val="none" w:sz="0" w:space="0" w:color="auto"/>
            <w:left w:val="none" w:sz="0" w:space="0" w:color="auto"/>
            <w:bottom w:val="none" w:sz="0" w:space="0" w:color="auto"/>
            <w:right w:val="none" w:sz="0" w:space="0" w:color="auto"/>
          </w:divBdr>
        </w:div>
        <w:div w:id="132793117">
          <w:marLeft w:val="0"/>
          <w:marRight w:val="0"/>
          <w:marTop w:val="0"/>
          <w:marBottom w:val="0"/>
          <w:divBdr>
            <w:top w:val="none" w:sz="0" w:space="0" w:color="auto"/>
            <w:left w:val="none" w:sz="0" w:space="0" w:color="auto"/>
            <w:bottom w:val="none" w:sz="0" w:space="0" w:color="auto"/>
            <w:right w:val="none" w:sz="0" w:space="0" w:color="auto"/>
          </w:divBdr>
          <w:divsChild>
            <w:div w:id="1237857137">
              <w:marLeft w:val="0"/>
              <w:marRight w:val="0"/>
              <w:marTop w:val="0"/>
              <w:marBottom w:val="0"/>
              <w:divBdr>
                <w:top w:val="none" w:sz="0" w:space="0" w:color="auto"/>
                <w:left w:val="none" w:sz="0" w:space="0" w:color="auto"/>
                <w:bottom w:val="none" w:sz="0" w:space="0" w:color="auto"/>
                <w:right w:val="none" w:sz="0" w:space="0" w:color="auto"/>
              </w:divBdr>
            </w:div>
          </w:divsChild>
        </w:div>
        <w:div w:id="1403454346">
          <w:marLeft w:val="0"/>
          <w:marRight w:val="0"/>
          <w:marTop w:val="0"/>
          <w:marBottom w:val="0"/>
          <w:divBdr>
            <w:top w:val="none" w:sz="0" w:space="0" w:color="auto"/>
            <w:left w:val="none" w:sz="0" w:space="0" w:color="auto"/>
            <w:bottom w:val="none" w:sz="0" w:space="0" w:color="auto"/>
            <w:right w:val="none" w:sz="0" w:space="0" w:color="auto"/>
          </w:divBdr>
        </w:div>
        <w:div w:id="1167287364">
          <w:marLeft w:val="0"/>
          <w:marRight w:val="0"/>
          <w:marTop w:val="0"/>
          <w:marBottom w:val="0"/>
          <w:divBdr>
            <w:top w:val="none" w:sz="0" w:space="0" w:color="auto"/>
            <w:left w:val="none" w:sz="0" w:space="0" w:color="auto"/>
            <w:bottom w:val="none" w:sz="0" w:space="0" w:color="auto"/>
            <w:right w:val="none" w:sz="0" w:space="0" w:color="auto"/>
          </w:divBdr>
        </w:div>
        <w:div w:id="799805462">
          <w:marLeft w:val="0"/>
          <w:marRight w:val="0"/>
          <w:marTop w:val="0"/>
          <w:marBottom w:val="0"/>
          <w:divBdr>
            <w:top w:val="none" w:sz="0" w:space="0" w:color="auto"/>
            <w:left w:val="none" w:sz="0" w:space="0" w:color="auto"/>
            <w:bottom w:val="none" w:sz="0" w:space="0" w:color="auto"/>
            <w:right w:val="none" w:sz="0" w:space="0" w:color="auto"/>
          </w:divBdr>
          <w:divsChild>
            <w:div w:id="546798111">
              <w:marLeft w:val="0"/>
              <w:marRight w:val="0"/>
              <w:marTop w:val="0"/>
              <w:marBottom w:val="0"/>
              <w:divBdr>
                <w:top w:val="none" w:sz="0" w:space="0" w:color="auto"/>
                <w:left w:val="none" w:sz="0" w:space="0" w:color="auto"/>
                <w:bottom w:val="none" w:sz="0" w:space="0" w:color="auto"/>
                <w:right w:val="none" w:sz="0" w:space="0" w:color="auto"/>
              </w:divBdr>
            </w:div>
          </w:divsChild>
        </w:div>
        <w:div w:id="548998666">
          <w:marLeft w:val="0"/>
          <w:marRight w:val="0"/>
          <w:marTop w:val="0"/>
          <w:marBottom w:val="0"/>
          <w:divBdr>
            <w:top w:val="none" w:sz="0" w:space="0" w:color="auto"/>
            <w:left w:val="none" w:sz="0" w:space="0" w:color="auto"/>
            <w:bottom w:val="none" w:sz="0" w:space="0" w:color="auto"/>
            <w:right w:val="none" w:sz="0" w:space="0" w:color="auto"/>
          </w:divBdr>
        </w:div>
        <w:div w:id="762183910">
          <w:marLeft w:val="0"/>
          <w:marRight w:val="0"/>
          <w:marTop w:val="0"/>
          <w:marBottom w:val="0"/>
          <w:divBdr>
            <w:top w:val="none" w:sz="0" w:space="0" w:color="auto"/>
            <w:left w:val="none" w:sz="0" w:space="0" w:color="auto"/>
            <w:bottom w:val="none" w:sz="0" w:space="0" w:color="auto"/>
            <w:right w:val="none" w:sz="0" w:space="0" w:color="auto"/>
          </w:divBdr>
        </w:div>
        <w:div w:id="92669535">
          <w:marLeft w:val="0"/>
          <w:marRight w:val="0"/>
          <w:marTop w:val="0"/>
          <w:marBottom w:val="0"/>
          <w:divBdr>
            <w:top w:val="none" w:sz="0" w:space="0" w:color="auto"/>
            <w:left w:val="none" w:sz="0" w:space="0" w:color="auto"/>
            <w:bottom w:val="none" w:sz="0" w:space="0" w:color="auto"/>
            <w:right w:val="none" w:sz="0" w:space="0" w:color="auto"/>
          </w:divBdr>
          <w:divsChild>
            <w:div w:id="2126381450">
              <w:marLeft w:val="0"/>
              <w:marRight w:val="0"/>
              <w:marTop w:val="0"/>
              <w:marBottom w:val="0"/>
              <w:divBdr>
                <w:top w:val="none" w:sz="0" w:space="0" w:color="auto"/>
                <w:left w:val="none" w:sz="0" w:space="0" w:color="auto"/>
                <w:bottom w:val="none" w:sz="0" w:space="0" w:color="auto"/>
                <w:right w:val="none" w:sz="0" w:space="0" w:color="auto"/>
              </w:divBdr>
            </w:div>
          </w:divsChild>
        </w:div>
        <w:div w:id="1858495032">
          <w:marLeft w:val="0"/>
          <w:marRight w:val="0"/>
          <w:marTop w:val="0"/>
          <w:marBottom w:val="0"/>
          <w:divBdr>
            <w:top w:val="none" w:sz="0" w:space="0" w:color="auto"/>
            <w:left w:val="none" w:sz="0" w:space="0" w:color="auto"/>
            <w:bottom w:val="none" w:sz="0" w:space="0" w:color="auto"/>
            <w:right w:val="none" w:sz="0" w:space="0" w:color="auto"/>
          </w:divBdr>
        </w:div>
        <w:div w:id="604269795">
          <w:marLeft w:val="0"/>
          <w:marRight w:val="0"/>
          <w:marTop w:val="0"/>
          <w:marBottom w:val="0"/>
          <w:divBdr>
            <w:top w:val="none" w:sz="0" w:space="0" w:color="auto"/>
            <w:left w:val="none" w:sz="0" w:space="0" w:color="auto"/>
            <w:bottom w:val="none" w:sz="0" w:space="0" w:color="auto"/>
            <w:right w:val="none" w:sz="0" w:space="0" w:color="auto"/>
          </w:divBdr>
        </w:div>
        <w:div w:id="1264148035">
          <w:marLeft w:val="0"/>
          <w:marRight w:val="0"/>
          <w:marTop w:val="0"/>
          <w:marBottom w:val="0"/>
          <w:divBdr>
            <w:top w:val="none" w:sz="0" w:space="0" w:color="auto"/>
            <w:left w:val="none" w:sz="0" w:space="0" w:color="auto"/>
            <w:bottom w:val="none" w:sz="0" w:space="0" w:color="auto"/>
            <w:right w:val="none" w:sz="0" w:space="0" w:color="auto"/>
          </w:divBdr>
          <w:divsChild>
            <w:div w:id="1692799626">
              <w:marLeft w:val="0"/>
              <w:marRight w:val="0"/>
              <w:marTop w:val="0"/>
              <w:marBottom w:val="0"/>
              <w:divBdr>
                <w:top w:val="none" w:sz="0" w:space="0" w:color="auto"/>
                <w:left w:val="none" w:sz="0" w:space="0" w:color="auto"/>
                <w:bottom w:val="none" w:sz="0" w:space="0" w:color="auto"/>
                <w:right w:val="none" w:sz="0" w:space="0" w:color="auto"/>
              </w:divBdr>
            </w:div>
          </w:divsChild>
        </w:div>
        <w:div w:id="1277906822">
          <w:marLeft w:val="0"/>
          <w:marRight w:val="0"/>
          <w:marTop w:val="0"/>
          <w:marBottom w:val="0"/>
          <w:divBdr>
            <w:top w:val="none" w:sz="0" w:space="0" w:color="auto"/>
            <w:left w:val="none" w:sz="0" w:space="0" w:color="auto"/>
            <w:bottom w:val="none" w:sz="0" w:space="0" w:color="auto"/>
            <w:right w:val="none" w:sz="0" w:space="0" w:color="auto"/>
          </w:divBdr>
        </w:div>
        <w:div w:id="1828088381">
          <w:marLeft w:val="0"/>
          <w:marRight w:val="0"/>
          <w:marTop w:val="0"/>
          <w:marBottom w:val="0"/>
          <w:divBdr>
            <w:top w:val="none" w:sz="0" w:space="0" w:color="auto"/>
            <w:left w:val="none" w:sz="0" w:space="0" w:color="auto"/>
            <w:bottom w:val="none" w:sz="0" w:space="0" w:color="auto"/>
            <w:right w:val="none" w:sz="0" w:space="0" w:color="auto"/>
          </w:divBdr>
        </w:div>
        <w:div w:id="1011103053">
          <w:marLeft w:val="0"/>
          <w:marRight w:val="0"/>
          <w:marTop w:val="0"/>
          <w:marBottom w:val="0"/>
          <w:divBdr>
            <w:top w:val="none" w:sz="0" w:space="0" w:color="auto"/>
            <w:left w:val="none" w:sz="0" w:space="0" w:color="auto"/>
            <w:bottom w:val="none" w:sz="0" w:space="0" w:color="auto"/>
            <w:right w:val="none" w:sz="0" w:space="0" w:color="auto"/>
          </w:divBdr>
          <w:divsChild>
            <w:div w:id="1373767358">
              <w:marLeft w:val="0"/>
              <w:marRight w:val="0"/>
              <w:marTop w:val="0"/>
              <w:marBottom w:val="0"/>
              <w:divBdr>
                <w:top w:val="none" w:sz="0" w:space="0" w:color="auto"/>
                <w:left w:val="none" w:sz="0" w:space="0" w:color="auto"/>
                <w:bottom w:val="none" w:sz="0" w:space="0" w:color="auto"/>
                <w:right w:val="none" w:sz="0" w:space="0" w:color="auto"/>
              </w:divBdr>
            </w:div>
          </w:divsChild>
        </w:div>
        <w:div w:id="1607732429">
          <w:marLeft w:val="0"/>
          <w:marRight w:val="0"/>
          <w:marTop w:val="0"/>
          <w:marBottom w:val="0"/>
          <w:divBdr>
            <w:top w:val="none" w:sz="0" w:space="0" w:color="auto"/>
            <w:left w:val="none" w:sz="0" w:space="0" w:color="auto"/>
            <w:bottom w:val="none" w:sz="0" w:space="0" w:color="auto"/>
            <w:right w:val="none" w:sz="0" w:space="0" w:color="auto"/>
          </w:divBdr>
        </w:div>
        <w:div w:id="741829671">
          <w:marLeft w:val="0"/>
          <w:marRight w:val="0"/>
          <w:marTop w:val="0"/>
          <w:marBottom w:val="0"/>
          <w:divBdr>
            <w:top w:val="none" w:sz="0" w:space="0" w:color="auto"/>
            <w:left w:val="none" w:sz="0" w:space="0" w:color="auto"/>
            <w:bottom w:val="none" w:sz="0" w:space="0" w:color="auto"/>
            <w:right w:val="none" w:sz="0" w:space="0" w:color="auto"/>
          </w:divBdr>
        </w:div>
        <w:div w:id="2123454144">
          <w:marLeft w:val="0"/>
          <w:marRight w:val="0"/>
          <w:marTop w:val="0"/>
          <w:marBottom w:val="0"/>
          <w:divBdr>
            <w:top w:val="none" w:sz="0" w:space="0" w:color="auto"/>
            <w:left w:val="none" w:sz="0" w:space="0" w:color="auto"/>
            <w:bottom w:val="none" w:sz="0" w:space="0" w:color="auto"/>
            <w:right w:val="none" w:sz="0" w:space="0" w:color="auto"/>
          </w:divBdr>
          <w:divsChild>
            <w:div w:id="786194308">
              <w:marLeft w:val="0"/>
              <w:marRight w:val="0"/>
              <w:marTop w:val="0"/>
              <w:marBottom w:val="0"/>
              <w:divBdr>
                <w:top w:val="none" w:sz="0" w:space="0" w:color="auto"/>
                <w:left w:val="none" w:sz="0" w:space="0" w:color="auto"/>
                <w:bottom w:val="none" w:sz="0" w:space="0" w:color="auto"/>
                <w:right w:val="none" w:sz="0" w:space="0" w:color="auto"/>
              </w:divBdr>
            </w:div>
          </w:divsChild>
        </w:div>
        <w:div w:id="692923056">
          <w:marLeft w:val="0"/>
          <w:marRight w:val="0"/>
          <w:marTop w:val="0"/>
          <w:marBottom w:val="0"/>
          <w:divBdr>
            <w:top w:val="none" w:sz="0" w:space="0" w:color="auto"/>
            <w:left w:val="none" w:sz="0" w:space="0" w:color="auto"/>
            <w:bottom w:val="none" w:sz="0" w:space="0" w:color="auto"/>
            <w:right w:val="none" w:sz="0" w:space="0" w:color="auto"/>
          </w:divBdr>
        </w:div>
        <w:div w:id="809444292">
          <w:marLeft w:val="0"/>
          <w:marRight w:val="0"/>
          <w:marTop w:val="0"/>
          <w:marBottom w:val="0"/>
          <w:divBdr>
            <w:top w:val="none" w:sz="0" w:space="0" w:color="auto"/>
            <w:left w:val="none" w:sz="0" w:space="0" w:color="auto"/>
            <w:bottom w:val="none" w:sz="0" w:space="0" w:color="auto"/>
            <w:right w:val="none" w:sz="0" w:space="0" w:color="auto"/>
          </w:divBdr>
        </w:div>
        <w:div w:id="1242179260">
          <w:marLeft w:val="0"/>
          <w:marRight w:val="0"/>
          <w:marTop w:val="0"/>
          <w:marBottom w:val="0"/>
          <w:divBdr>
            <w:top w:val="none" w:sz="0" w:space="0" w:color="auto"/>
            <w:left w:val="none" w:sz="0" w:space="0" w:color="auto"/>
            <w:bottom w:val="none" w:sz="0" w:space="0" w:color="auto"/>
            <w:right w:val="none" w:sz="0" w:space="0" w:color="auto"/>
          </w:divBdr>
          <w:divsChild>
            <w:div w:id="676812905">
              <w:marLeft w:val="0"/>
              <w:marRight w:val="0"/>
              <w:marTop w:val="0"/>
              <w:marBottom w:val="0"/>
              <w:divBdr>
                <w:top w:val="none" w:sz="0" w:space="0" w:color="auto"/>
                <w:left w:val="none" w:sz="0" w:space="0" w:color="auto"/>
                <w:bottom w:val="none" w:sz="0" w:space="0" w:color="auto"/>
                <w:right w:val="none" w:sz="0" w:space="0" w:color="auto"/>
              </w:divBdr>
            </w:div>
          </w:divsChild>
        </w:div>
        <w:div w:id="541403985">
          <w:marLeft w:val="0"/>
          <w:marRight w:val="0"/>
          <w:marTop w:val="0"/>
          <w:marBottom w:val="0"/>
          <w:divBdr>
            <w:top w:val="none" w:sz="0" w:space="0" w:color="auto"/>
            <w:left w:val="none" w:sz="0" w:space="0" w:color="auto"/>
            <w:bottom w:val="none" w:sz="0" w:space="0" w:color="auto"/>
            <w:right w:val="none" w:sz="0" w:space="0" w:color="auto"/>
          </w:divBdr>
        </w:div>
        <w:div w:id="1308365474">
          <w:marLeft w:val="0"/>
          <w:marRight w:val="0"/>
          <w:marTop w:val="0"/>
          <w:marBottom w:val="0"/>
          <w:divBdr>
            <w:top w:val="none" w:sz="0" w:space="0" w:color="auto"/>
            <w:left w:val="none" w:sz="0" w:space="0" w:color="auto"/>
            <w:bottom w:val="none" w:sz="0" w:space="0" w:color="auto"/>
            <w:right w:val="none" w:sz="0" w:space="0" w:color="auto"/>
          </w:divBdr>
        </w:div>
        <w:div w:id="1430930901">
          <w:marLeft w:val="0"/>
          <w:marRight w:val="0"/>
          <w:marTop w:val="0"/>
          <w:marBottom w:val="0"/>
          <w:divBdr>
            <w:top w:val="none" w:sz="0" w:space="0" w:color="auto"/>
            <w:left w:val="none" w:sz="0" w:space="0" w:color="auto"/>
            <w:bottom w:val="none" w:sz="0" w:space="0" w:color="auto"/>
            <w:right w:val="none" w:sz="0" w:space="0" w:color="auto"/>
          </w:divBdr>
          <w:divsChild>
            <w:div w:id="1813013436">
              <w:marLeft w:val="0"/>
              <w:marRight w:val="0"/>
              <w:marTop w:val="0"/>
              <w:marBottom w:val="0"/>
              <w:divBdr>
                <w:top w:val="none" w:sz="0" w:space="0" w:color="auto"/>
                <w:left w:val="none" w:sz="0" w:space="0" w:color="auto"/>
                <w:bottom w:val="none" w:sz="0" w:space="0" w:color="auto"/>
                <w:right w:val="none" w:sz="0" w:space="0" w:color="auto"/>
              </w:divBdr>
            </w:div>
          </w:divsChild>
        </w:div>
        <w:div w:id="105078416">
          <w:marLeft w:val="0"/>
          <w:marRight w:val="0"/>
          <w:marTop w:val="0"/>
          <w:marBottom w:val="0"/>
          <w:divBdr>
            <w:top w:val="none" w:sz="0" w:space="0" w:color="auto"/>
            <w:left w:val="none" w:sz="0" w:space="0" w:color="auto"/>
            <w:bottom w:val="none" w:sz="0" w:space="0" w:color="auto"/>
            <w:right w:val="none" w:sz="0" w:space="0" w:color="auto"/>
          </w:divBdr>
        </w:div>
        <w:div w:id="1824394507">
          <w:marLeft w:val="0"/>
          <w:marRight w:val="0"/>
          <w:marTop w:val="0"/>
          <w:marBottom w:val="0"/>
          <w:divBdr>
            <w:top w:val="none" w:sz="0" w:space="0" w:color="auto"/>
            <w:left w:val="none" w:sz="0" w:space="0" w:color="auto"/>
            <w:bottom w:val="none" w:sz="0" w:space="0" w:color="auto"/>
            <w:right w:val="none" w:sz="0" w:space="0" w:color="auto"/>
          </w:divBdr>
        </w:div>
        <w:div w:id="512258306">
          <w:marLeft w:val="0"/>
          <w:marRight w:val="0"/>
          <w:marTop w:val="0"/>
          <w:marBottom w:val="0"/>
          <w:divBdr>
            <w:top w:val="none" w:sz="0" w:space="0" w:color="auto"/>
            <w:left w:val="none" w:sz="0" w:space="0" w:color="auto"/>
            <w:bottom w:val="none" w:sz="0" w:space="0" w:color="auto"/>
            <w:right w:val="none" w:sz="0" w:space="0" w:color="auto"/>
          </w:divBdr>
          <w:divsChild>
            <w:div w:id="1589272383">
              <w:marLeft w:val="0"/>
              <w:marRight w:val="0"/>
              <w:marTop w:val="0"/>
              <w:marBottom w:val="0"/>
              <w:divBdr>
                <w:top w:val="none" w:sz="0" w:space="0" w:color="auto"/>
                <w:left w:val="none" w:sz="0" w:space="0" w:color="auto"/>
                <w:bottom w:val="none" w:sz="0" w:space="0" w:color="auto"/>
                <w:right w:val="none" w:sz="0" w:space="0" w:color="auto"/>
              </w:divBdr>
            </w:div>
          </w:divsChild>
        </w:div>
        <w:div w:id="155924835">
          <w:marLeft w:val="0"/>
          <w:marRight w:val="0"/>
          <w:marTop w:val="0"/>
          <w:marBottom w:val="0"/>
          <w:divBdr>
            <w:top w:val="none" w:sz="0" w:space="0" w:color="auto"/>
            <w:left w:val="none" w:sz="0" w:space="0" w:color="auto"/>
            <w:bottom w:val="none" w:sz="0" w:space="0" w:color="auto"/>
            <w:right w:val="none" w:sz="0" w:space="0" w:color="auto"/>
          </w:divBdr>
        </w:div>
        <w:div w:id="587545766">
          <w:marLeft w:val="0"/>
          <w:marRight w:val="0"/>
          <w:marTop w:val="0"/>
          <w:marBottom w:val="0"/>
          <w:divBdr>
            <w:top w:val="none" w:sz="0" w:space="0" w:color="auto"/>
            <w:left w:val="none" w:sz="0" w:space="0" w:color="auto"/>
            <w:bottom w:val="none" w:sz="0" w:space="0" w:color="auto"/>
            <w:right w:val="none" w:sz="0" w:space="0" w:color="auto"/>
          </w:divBdr>
        </w:div>
        <w:div w:id="868832702">
          <w:marLeft w:val="0"/>
          <w:marRight w:val="0"/>
          <w:marTop w:val="0"/>
          <w:marBottom w:val="0"/>
          <w:divBdr>
            <w:top w:val="none" w:sz="0" w:space="0" w:color="auto"/>
            <w:left w:val="none" w:sz="0" w:space="0" w:color="auto"/>
            <w:bottom w:val="none" w:sz="0" w:space="0" w:color="auto"/>
            <w:right w:val="none" w:sz="0" w:space="0" w:color="auto"/>
          </w:divBdr>
          <w:divsChild>
            <w:div w:id="1294599603">
              <w:marLeft w:val="0"/>
              <w:marRight w:val="0"/>
              <w:marTop w:val="0"/>
              <w:marBottom w:val="0"/>
              <w:divBdr>
                <w:top w:val="none" w:sz="0" w:space="0" w:color="auto"/>
                <w:left w:val="none" w:sz="0" w:space="0" w:color="auto"/>
                <w:bottom w:val="none" w:sz="0" w:space="0" w:color="auto"/>
                <w:right w:val="none" w:sz="0" w:space="0" w:color="auto"/>
              </w:divBdr>
            </w:div>
          </w:divsChild>
        </w:div>
        <w:div w:id="241571614">
          <w:marLeft w:val="0"/>
          <w:marRight w:val="0"/>
          <w:marTop w:val="0"/>
          <w:marBottom w:val="0"/>
          <w:divBdr>
            <w:top w:val="none" w:sz="0" w:space="0" w:color="auto"/>
            <w:left w:val="none" w:sz="0" w:space="0" w:color="auto"/>
            <w:bottom w:val="none" w:sz="0" w:space="0" w:color="auto"/>
            <w:right w:val="none" w:sz="0" w:space="0" w:color="auto"/>
          </w:divBdr>
        </w:div>
        <w:div w:id="1675647400">
          <w:marLeft w:val="0"/>
          <w:marRight w:val="0"/>
          <w:marTop w:val="0"/>
          <w:marBottom w:val="0"/>
          <w:divBdr>
            <w:top w:val="none" w:sz="0" w:space="0" w:color="auto"/>
            <w:left w:val="none" w:sz="0" w:space="0" w:color="auto"/>
            <w:bottom w:val="none" w:sz="0" w:space="0" w:color="auto"/>
            <w:right w:val="none" w:sz="0" w:space="0" w:color="auto"/>
          </w:divBdr>
        </w:div>
        <w:div w:id="419567122">
          <w:marLeft w:val="0"/>
          <w:marRight w:val="0"/>
          <w:marTop w:val="0"/>
          <w:marBottom w:val="0"/>
          <w:divBdr>
            <w:top w:val="none" w:sz="0" w:space="0" w:color="auto"/>
            <w:left w:val="none" w:sz="0" w:space="0" w:color="auto"/>
            <w:bottom w:val="none" w:sz="0" w:space="0" w:color="auto"/>
            <w:right w:val="none" w:sz="0" w:space="0" w:color="auto"/>
          </w:divBdr>
          <w:divsChild>
            <w:div w:id="567350874">
              <w:marLeft w:val="0"/>
              <w:marRight w:val="0"/>
              <w:marTop w:val="0"/>
              <w:marBottom w:val="0"/>
              <w:divBdr>
                <w:top w:val="none" w:sz="0" w:space="0" w:color="auto"/>
                <w:left w:val="none" w:sz="0" w:space="0" w:color="auto"/>
                <w:bottom w:val="none" w:sz="0" w:space="0" w:color="auto"/>
                <w:right w:val="none" w:sz="0" w:space="0" w:color="auto"/>
              </w:divBdr>
            </w:div>
          </w:divsChild>
        </w:div>
        <w:div w:id="878054421">
          <w:marLeft w:val="0"/>
          <w:marRight w:val="0"/>
          <w:marTop w:val="0"/>
          <w:marBottom w:val="0"/>
          <w:divBdr>
            <w:top w:val="none" w:sz="0" w:space="0" w:color="auto"/>
            <w:left w:val="none" w:sz="0" w:space="0" w:color="auto"/>
            <w:bottom w:val="none" w:sz="0" w:space="0" w:color="auto"/>
            <w:right w:val="none" w:sz="0" w:space="0" w:color="auto"/>
          </w:divBdr>
        </w:div>
        <w:div w:id="132261064">
          <w:marLeft w:val="0"/>
          <w:marRight w:val="0"/>
          <w:marTop w:val="0"/>
          <w:marBottom w:val="0"/>
          <w:divBdr>
            <w:top w:val="none" w:sz="0" w:space="0" w:color="auto"/>
            <w:left w:val="none" w:sz="0" w:space="0" w:color="auto"/>
            <w:bottom w:val="none" w:sz="0" w:space="0" w:color="auto"/>
            <w:right w:val="none" w:sz="0" w:space="0" w:color="auto"/>
          </w:divBdr>
        </w:div>
        <w:div w:id="1815104782">
          <w:marLeft w:val="0"/>
          <w:marRight w:val="0"/>
          <w:marTop w:val="0"/>
          <w:marBottom w:val="0"/>
          <w:divBdr>
            <w:top w:val="none" w:sz="0" w:space="0" w:color="auto"/>
            <w:left w:val="none" w:sz="0" w:space="0" w:color="auto"/>
            <w:bottom w:val="none" w:sz="0" w:space="0" w:color="auto"/>
            <w:right w:val="none" w:sz="0" w:space="0" w:color="auto"/>
          </w:divBdr>
          <w:divsChild>
            <w:div w:id="646133713">
              <w:marLeft w:val="0"/>
              <w:marRight w:val="0"/>
              <w:marTop w:val="0"/>
              <w:marBottom w:val="0"/>
              <w:divBdr>
                <w:top w:val="none" w:sz="0" w:space="0" w:color="auto"/>
                <w:left w:val="none" w:sz="0" w:space="0" w:color="auto"/>
                <w:bottom w:val="none" w:sz="0" w:space="0" w:color="auto"/>
                <w:right w:val="none" w:sz="0" w:space="0" w:color="auto"/>
              </w:divBdr>
            </w:div>
          </w:divsChild>
        </w:div>
        <w:div w:id="776632287">
          <w:marLeft w:val="0"/>
          <w:marRight w:val="0"/>
          <w:marTop w:val="0"/>
          <w:marBottom w:val="0"/>
          <w:divBdr>
            <w:top w:val="none" w:sz="0" w:space="0" w:color="auto"/>
            <w:left w:val="none" w:sz="0" w:space="0" w:color="auto"/>
            <w:bottom w:val="none" w:sz="0" w:space="0" w:color="auto"/>
            <w:right w:val="none" w:sz="0" w:space="0" w:color="auto"/>
          </w:divBdr>
        </w:div>
        <w:div w:id="1398627371">
          <w:marLeft w:val="0"/>
          <w:marRight w:val="0"/>
          <w:marTop w:val="0"/>
          <w:marBottom w:val="0"/>
          <w:divBdr>
            <w:top w:val="none" w:sz="0" w:space="0" w:color="auto"/>
            <w:left w:val="none" w:sz="0" w:space="0" w:color="auto"/>
            <w:bottom w:val="none" w:sz="0" w:space="0" w:color="auto"/>
            <w:right w:val="none" w:sz="0" w:space="0" w:color="auto"/>
          </w:divBdr>
        </w:div>
        <w:div w:id="2092576813">
          <w:marLeft w:val="0"/>
          <w:marRight w:val="0"/>
          <w:marTop w:val="0"/>
          <w:marBottom w:val="0"/>
          <w:divBdr>
            <w:top w:val="none" w:sz="0" w:space="0" w:color="auto"/>
            <w:left w:val="none" w:sz="0" w:space="0" w:color="auto"/>
            <w:bottom w:val="none" w:sz="0" w:space="0" w:color="auto"/>
            <w:right w:val="none" w:sz="0" w:space="0" w:color="auto"/>
          </w:divBdr>
          <w:divsChild>
            <w:div w:id="1973361536">
              <w:marLeft w:val="0"/>
              <w:marRight w:val="0"/>
              <w:marTop w:val="0"/>
              <w:marBottom w:val="0"/>
              <w:divBdr>
                <w:top w:val="none" w:sz="0" w:space="0" w:color="auto"/>
                <w:left w:val="none" w:sz="0" w:space="0" w:color="auto"/>
                <w:bottom w:val="none" w:sz="0" w:space="0" w:color="auto"/>
                <w:right w:val="none" w:sz="0" w:space="0" w:color="auto"/>
              </w:divBdr>
            </w:div>
          </w:divsChild>
        </w:div>
        <w:div w:id="1397390242">
          <w:marLeft w:val="0"/>
          <w:marRight w:val="0"/>
          <w:marTop w:val="0"/>
          <w:marBottom w:val="0"/>
          <w:divBdr>
            <w:top w:val="none" w:sz="0" w:space="0" w:color="auto"/>
            <w:left w:val="none" w:sz="0" w:space="0" w:color="auto"/>
            <w:bottom w:val="none" w:sz="0" w:space="0" w:color="auto"/>
            <w:right w:val="none" w:sz="0" w:space="0" w:color="auto"/>
          </w:divBdr>
        </w:div>
        <w:div w:id="818690900">
          <w:marLeft w:val="0"/>
          <w:marRight w:val="0"/>
          <w:marTop w:val="0"/>
          <w:marBottom w:val="0"/>
          <w:divBdr>
            <w:top w:val="none" w:sz="0" w:space="0" w:color="auto"/>
            <w:left w:val="none" w:sz="0" w:space="0" w:color="auto"/>
            <w:bottom w:val="none" w:sz="0" w:space="0" w:color="auto"/>
            <w:right w:val="none" w:sz="0" w:space="0" w:color="auto"/>
          </w:divBdr>
        </w:div>
        <w:div w:id="2054117844">
          <w:marLeft w:val="0"/>
          <w:marRight w:val="0"/>
          <w:marTop w:val="0"/>
          <w:marBottom w:val="0"/>
          <w:divBdr>
            <w:top w:val="none" w:sz="0" w:space="0" w:color="auto"/>
            <w:left w:val="none" w:sz="0" w:space="0" w:color="auto"/>
            <w:bottom w:val="none" w:sz="0" w:space="0" w:color="auto"/>
            <w:right w:val="none" w:sz="0" w:space="0" w:color="auto"/>
          </w:divBdr>
          <w:divsChild>
            <w:div w:id="709914545">
              <w:marLeft w:val="0"/>
              <w:marRight w:val="0"/>
              <w:marTop w:val="0"/>
              <w:marBottom w:val="0"/>
              <w:divBdr>
                <w:top w:val="none" w:sz="0" w:space="0" w:color="auto"/>
                <w:left w:val="none" w:sz="0" w:space="0" w:color="auto"/>
                <w:bottom w:val="none" w:sz="0" w:space="0" w:color="auto"/>
                <w:right w:val="none" w:sz="0" w:space="0" w:color="auto"/>
              </w:divBdr>
            </w:div>
          </w:divsChild>
        </w:div>
        <w:div w:id="1221089455">
          <w:marLeft w:val="0"/>
          <w:marRight w:val="0"/>
          <w:marTop w:val="0"/>
          <w:marBottom w:val="0"/>
          <w:divBdr>
            <w:top w:val="none" w:sz="0" w:space="0" w:color="auto"/>
            <w:left w:val="none" w:sz="0" w:space="0" w:color="auto"/>
            <w:bottom w:val="none" w:sz="0" w:space="0" w:color="auto"/>
            <w:right w:val="none" w:sz="0" w:space="0" w:color="auto"/>
          </w:divBdr>
        </w:div>
        <w:div w:id="1421178387">
          <w:marLeft w:val="0"/>
          <w:marRight w:val="0"/>
          <w:marTop w:val="0"/>
          <w:marBottom w:val="0"/>
          <w:divBdr>
            <w:top w:val="none" w:sz="0" w:space="0" w:color="auto"/>
            <w:left w:val="none" w:sz="0" w:space="0" w:color="auto"/>
            <w:bottom w:val="none" w:sz="0" w:space="0" w:color="auto"/>
            <w:right w:val="none" w:sz="0" w:space="0" w:color="auto"/>
          </w:divBdr>
        </w:div>
        <w:div w:id="1215190666">
          <w:marLeft w:val="0"/>
          <w:marRight w:val="0"/>
          <w:marTop w:val="0"/>
          <w:marBottom w:val="0"/>
          <w:divBdr>
            <w:top w:val="none" w:sz="0" w:space="0" w:color="auto"/>
            <w:left w:val="none" w:sz="0" w:space="0" w:color="auto"/>
            <w:bottom w:val="none" w:sz="0" w:space="0" w:color="auto"/>
            <w:right w:val="none" w:sz="0" w:space="0" w:color="auto"/>
          </w:divBdr>
          <w:divsChild>
            <w:div w:id="1884517699">
              <w:marLeft w:val="0"/>
              <w:marRight w:val="0"/>
              <w:marTop w:val="0"/>
              <w:marBottom w:val="0"/>
              <w:divBdr>
                <w:top w:val="none" w:sz="0" w:space="0" w:color="auto"/>
                <w:left w:val="none" w:sz="0" w:space="0" w:color="auto"/>
                <w:bottom w:val="none" w:sz="0" w:space="0" w:color="auto"/>
                <w:right w:val="none" w:sz="0" w:space="0" w:color="auto"/>
              </w:divBdr>
            </w:div>
          </w:divsChild>
        </w:div>
        <w:div w:id="2095125695">
          <w:marLeft w:val="0"/>
          <w:marRight w:val="0"/>
          <w:marTop w:val="0"/>
          <w:marBottom w:val="0"/>
          <w:divBdr>
            <w:top w:val="none" w:sz="0" w:space="0" w:color="auto"/>
            <w:left w:val="none" w:sz="0" w:space="0" w:color="auto"/>
            <w:bottom w:val="none" w:sz="0" w:space="0" w:color="auto"/>
            <w:right w:val="none" w:sz="0" w:space="0" w:color="auto"/>
          </w:divBdr>
        </w:div>
        <w:div w:id="2112160722">
          <w:marLeft w:val="0"/>
          <w:marRight w:val="0"/>
          <w:marTop w:val="0"/>
          <w:marBottom w:val="0"/>
          <w:divBdr>
            <w:top w:val="none" w:sz="0" w:space="0" w:color="auto"/>
            <w:left w:val="none" w:sz="0" w:space="0" w:color="auto"/>
            <w:bottom w:val="none" w:sz="0" w:space="0" w:color="auto"/>
            <w:right w:val="none" w:sz="0" w:space="0" w:color="auto"/>
          </w:divBdr>
        </w:div>
        <w:div w:id="286007475">
          <w:marLeft w:val="0"/>
          <w:marRight w:val="0"/>
          <w:marTop w:val="0"/>
          <w:marBottom w:val="0"/>
          <w:divBdr>
            <w:top w:val="none" w:sz="0" w:space="0" w:color="auto"/>
            <w:left w:val="none" w:sz="0" w:space="0" w:color="auto"/>
            <w:bottom w:val="none" w:sz="0" w:space="0" w:color="auto"/>
            <w:right w:val="none" w:sz="0" w:space="0" w:color="auto"/>
          </w:divBdr>
          <w:divsChild>
            <w:div w:id="504856011">
              <w:marLeft w:val="0"/>
              <w:marRight w:val="0"/>
              <w:marTop w:val="0"/>
              <w:marBottom w:val="0"/>
              <w:divBdr>
                <w:top w:val="none" w:sz="0" w:space="0" w:color="auto"/>
                <w:left w:val="none" w:sz="0" w:space="0" w:color="auto"/>
                <w:bottom w:val="none" w:sz="0" w:space="0" w:color="auto"/>
                <w:right w:val="none" w:sz="0" w:space="0" w:color="auto"/>
              </w:divBdr>
            </w:div>
          </w:divsChild>
        </w:div>
        <w:div w:id="325090713">
          <w:marLeft w:val="0"/>
          <w:marRight w:val="0"/>
          <w:marTop w:val="0"/>
          <w:marBottom w:val="0"/>
          <w:divBdr>
            <w:top w:val="none" w:sz="0" w:space="0" w:color="auto"/>
            <w:left w:val="none" w:sz="0" w:space="0" w:color="auto"/>
            <w:bottom w:val="none" w:sz="0" w:space="0" w:color="auto"/>
            <w:right w:val="none" w:sz="0" w:space="0" w:color="auto"/>
          </w:divBdr>
        </w:div>
        <w:div w:id="356274639">
          <w:marLeft w:val="0"/>
          <w:marRight w:val="0"/>
          <w:marTop w:val="0"/>
          <w:marBottom w:val="0"/>
          <w:divBdr>
            <w:top w:val="none" w:sz="0" w:space="0" w:color="auto"/>
            <w:left w:val="none" w:sz="0" w:space="0" w:color="auto"/>
            <w:bottom w:val="none" w:sz="0" w:space="0" w:color="auto"/>
            <w:right w:val="none" w:sz="0" w:space="0" w:color="auto"/>
          </w:divBdr>
        </w:div>
        <w:div w:id="343359042">
          <w:marLeft w:val="0"/>
          <w:marRight w:val="0"/>
          <w:marTop w:val="0"/>
          <w:marBottom w:val="0"/>
          <w:divBdr>
            <w:top w:val="none" w:sz="0" w:space="0" w:color="auto"/>
            <w:left w:val="none" w:sz="0" w:space="0" w:color="auto"/>
            <w:bottom w:val="none" w:sz="0" w:space="0" w:color="auto"/>
            <w:right w:val="none" w:sz="0" w:space="0" w:color="auto"/>
          </w:divBdr>
          <w:divsChild>
            <w:div w:id="504831385">
              <w:marLeft w:val="0"/>
              <w:marRight w:val="0"/>
              <w:marTop w:val="0"/>
              <w:marBottom w:val="0"/>
              <w:divBdr>
                <w:top w:val="none" w:sz="0" w:space="0" w:color="auto"/>
                <w:left w:val="none" w:sz="0" w:space="0" w:color="auto"/>
                <w:bottom w:val="none" w:sz="0" w:space="0" w:color="auto"/>
                <w:right w:val="none" w:sz="0" w:space="0" w:color="auto"/>
              </w:divBdr>
            </w:div>
          </w:divsChild>
        </w:div>
        <w:div w:id="2033870241">
          <w:marLeft w:val="0"/>
          <w:marRight w:val="0"/>
          <w:marTop w:val="0"/>
          <w:marBottom w:val="0"/>
          <w:divBdr>
            <w:top w:val="none" w:sz="0" w:space="0" w:color="auto"/>
            <w:left w:val="none" w:sz="0" w:space="0" w:color="auto"/>
            <w:bottom w:val="none" w:sz="0" w:space="0" w:color="auto"/>
            <w:right w:val="none" w:sz="0" w:space="0" w:color="auto"/>
          </w:divBdr>
        </w:div>
        <w:div w:id="1709722170">
          <w:marLeft w:val="0"/>
          <w:marRight w:val="0"/>
          <w:marTop w:val="0"/>
          <w:marBottom w:val="0"/>
          <w:divBdr>
            <w:top w:val="none" w:sz="0" w:space="0" w:color="auto"/>
            <w:left w:val="none" w:sz="0" w:space="0" w:color="auto"/>
            <w:bottom w:val="none" w:sz="0" w:space="0" w:color="auto"/>
            <w:right w:val="none" w:sz="0" w:space="0" w:color="auto"/>
          </w:divBdr>
        </w:div>
        <w:div w:id="693460527">
          <w:marLeft w:val="0"/>
          <w:marRight w:val="0"/>
          <w:marTop w:val="0"/>
          <w:marBottom w:val="0"/>
          <w:divBdr>
            <w:top w:val="none" w:sz="0" w:space="0" w:color="auto"/>
            <w:left w:val="none" w:sz="0" w:space="0" w:color="auto"/>
            <w:bottom w:val="none" w:sz="0" w:space="0" w:color="auto"/>
            <w:right w:val="none" w:sz="0" w:space="0" w:color="auto"/>
          </w:divBdr>
          <w:divsChild>
            <w:div w:id="772626306">
              <w:marLeft w:val="0"/>
              <w:marRight w:val="0"/>
              <w:marTop w:val="0"/>
              <w:marBottom w:val="0"/>
              <w:divBdr>
                <w:top w:val="none" w:sz="0" w:space="0" w:color="auto"/>
                <w:left w:val="none" w:sz="0" w:space="0" w:color="auto"/>
                <w:bottom w:val="none" w:sz="0" w:space="0" w:color="auto"/>
                <w:right w:val="none" w:sz="0" w:space="0" w:color="auto"/>
              </w:divBdr>
            </w:div>
          </w:divsChild>
        </w:div>
        <w:div w:id="1625387599">
          <w:marLeft w:val="0"/>
          <w:marRight w:val="0"/>
          <w:marTop w:val="0"/>
          <w:marBottom w:val="0"/>
          <w:divBdr>
            <w:top w:val="none" w:sz="0" w:space="0" w:color="auto"/>
            <w:left w:val="none" w:sz="0" w:space="0" w:color="auto"/>
            <w:bottom w:val="none" w:sz="0" w:space="0" w:color="auto"/>
            <w:right w:val="none" w:sz="0" w:space="0" w:color="auto"/>
          </w:divBdr>
        </w:div>
        <w:div w:id="1566259015">
          <w:marLeft w:val="0"/>
          <w:marRight w:val="0"/>
          <w:marTop w:val="0"/>
          <w:marBottom w:val="0"/>
          <w:divBdr>
            <w:top w:val="none" w:sz="0" w:space="0" w:color="auto"/>
            <w:left w:val="none" w:sz="0" w:space="0" w:color="auto"/>
            <w:bottom w:val="none" w:sz="0" w:space="0" w:color="auto"/>
            <w:right w:val="none" w:sz="0" w:space="0" w:color="auto"/>
          </w:divBdr>
        </w:div>
        <w:div w:id="326397286">
          <w:marLeft w:val="0"/>
          <w:marRight w:val="0"/>
          <w:marTop w:val="0"/>
          <w:marBottom w:val="0"/>
          <w:divBdr>
            <w:top w:val="none" w:sz="0" w:space="0" w:color="auto"/>
            <w:left w:val="none" w:sz="0" w:space="0" w:color="auto"/>
            <w:bottom w:val="none" w:sz="0" w:space="0" w:color="auto"/>
            <w:right w:val="none" w:sz="0" w:space="0" w:color="auto"/>
          </w:divBdr>
          <w:divsChild>
            <w:div w:id="1171212123">
              <w:marLeft w:val="0"/>
              <w:marRight w:val="0"/>
              <w:marTop w:val="0"/>
              <w:marBottom w:val="0"/>
              <w:divBdr>
                <w:top w:val="none" w:sz="0" w:space="0" w:color="auto"/>
                <w:left w:val="none" w:sz="0" w:space="0" w:color="auto"/>
                <w:bottom w:val="none" w:sz="0" w:space="0" w:color="auto"/>
                <w:right w:val="none" w:sz="0" w:space="0" w:color="auto"/>
              </w:divBdr>
            </w:div>
          </w:divsChild>
        </w:div>
        <w:div w:id="2026789428">
          <w:marLeft w:val="0"/>
          <w:marRight w:val="0"/>
          <w:marTop w:val="0"/>
          <w:marBottom w:val="0"/>
          <w:divBdr>
            <w:top w:val="none" w:sz="0" w:space="0" w:color="auto"/>
            <w:left w:val="none" w:sz="0" w:space="0" w:color="auto"/>
            <w:bottom w:val="none" w:sz="0" w:space="0" w:color="auto"/>
            <w:right w:val="none" w:sz="0" w:space="0" w:color="auto"/>
          </w:divBdr>
        </w:div>
        <w:div w:id="758873473">
          <w:marLeft w:val="0"/>
          <w:marRight w:val="0"/>
          <w:marTop w:val="0"/>
          <w:marBottom w:val="0"/>
          <w:divBdr>
            <w:top w:val="none" w:sz="0" w:space="0" w:color="auto"/>
            <w:left w:val="none" w:sz="0" w:space="0" w:color="auto"/>
            <w:bottom w:val="none" w:sz="0" w:space="0" w:color="auto"/>
            <w:right w:val="none" w:sz="0" w:space="0" w:color="auto"/>
          </w:divBdr>
        </w:div>
        <w:div w:id="1672754123">
          <w:marLeft w:val="0"/>
          <w:marRight w:val="0"/>
          <w:marTop w:val="0"/>
          <w:marBottom w:val="0"/>
          <w:divBdr>
            <w:top w:val="none" w:sz="0" w:space="0" w:color="auto"/>
            <w:left w:val="none" w:sz="0" w:space="0" w:color="auto"/>
            <w:bottom w:val="none" w:sz="0" w:space="0" w:color="auto"/>
            <w:right w:val="none" w:sz="0" w:space="0" w:color="auto"/>
          </w:divBdr>
          <w:divsChild>
            <w:div w:id="1612662872">
              <w:marLeft w:val="0"/>
              <w:marRight w:val="0"/>
              <w:marTop w:val="0"/>
              <w:marBottom w:val="0"/>
              <w:divBdr>
                <w:top w:val="none" w:sz="0" w:space="0" w:color="auto"/>
                <w:left w:val="none" w:sz="0" w:space="0" w:color="auto"/>
                <w:bottom w:val="none" w:sz="0" w:space="0" w:color="auto"/>
                <w:right w:val="none" w:sz="0" w:space="0" w:color="auto"/>
              </w:divBdr>
            </w:div>
          </w:divsChild>
        </w:div>
        <w:div w:id="102774838">
          <w:marLeft w:val="0"/>
          <w:marRight w:val="0"/>
          <w:marTop w:val="0"/>
          <w:marBottom w:val="0"/>
          <w:divBdr>
            <w:top w:val="none" w:sz="0" w:space="0" w:color="auto"/>
            <w:left w:val="none" w:sz="0" w:space="0" w:color="auto"/>
            <w:bottom w:val="none" w:sz="0" w:space="0" w:color="auto"/>
            <w:right w:val="none" w:sz="0" w:space="0" w:color="auto"/>
          </w:divBdr>
        </w:div>
        <w:div w:id="175075923">
          <w:marLeft w:val="0"/>
          <w:marRight w:val="0"/>
          <w:marTop w:val="0"/>
          <w:marBottom w:val="0"/>
          <w:divBdr>
            <w:top w:val="none" w:sz="0" w:space="0" w:color="auto"/>
            <w:left w:val="none" w:sz="0" w:space="0" w:color="auto"/>
            <w:bottom w:val="none" w:sz="0" w:space="0" w:color="auto"/>
            <w:right w:val="none" w:sz="0" w:space="0" w:color="auto"/>
          </w:divBdr>
        </w:div>
        <w:div w:id="268898159">
          <w:marLeft w:val="0"/>
          <w:marRight w:val="0"/>
          <w:marTop w:val="0"/>
          <w:marBottom w:val="0"/>
          <w:divBdr>
            <w:top w:val="none" w:sz="0" w:space="0" w:color="auto"/>
            <w:left w:val="none" w:sz="0" w:space="0" w:color="auto"/>
            <w:bottom w:val="none" w:sz="0" w:space="0" w:color="auto"/>
            <w:right w:val="none" w:sz="0" w:space="0" w:color="auto"/>
          </w:divBdr>
          <w:divsChild>
            <w:div w:id="2091807429">
              <w:marLeft w:val="0"/>
              <w:marRight w:val="0"/>
              <w:marTop w:val="0"/>
              <w:marBottom w:val="0"/>
              <w:divBdr>
                <w:top w:val="none" w:sz="0" w:space="0" w:color="auto"/>
                <w:left w:val="none" w:sz="0" w:space="0" w:color="auto"/>
                <w:bottom w:val="none" w:sz="0" w:space="0" w:color="auto"/>
                <w:right w:val="none" w:sz="0" w:space="0" w:color="auto"/>
              </w:divBdr>
            </w:div>
          </w:divsChild>
        </w:div>
        <w:div w:id="835388838">
          <w:marLeft w:val="0"/>
          <w:marRight w:val="0"/>
          <w:marTop w:val="0"/>
          <w:marBottom w:val="0"/>
          <w:divBdr>
            <w:top w:val="none" w:sz="0" w:space="0" w:color="auto"/>
            <w:left w:val="none" w:sz="0" w:space="0" w:color="auto"/>
            <w:bottom w:val="none" w:sz="0" w:space="0" w:color="auto"/>
            <w:right w:val="none" w:sz="0" w:space="0" w:color="auto"/>
          </w:divBdr>
        </w:div>
        <w:div w:id="1254432925">
          <w:marLeft w:val="0"/>
          <w:marRight w:val="0"/>
          <w:marTop w:val="0"/>
          <w:marBottom w:val="0"/>
          <w:divBdr>
            <w:top w:val="none" w:sz="0" w:space="0" w:color="auto"/>
            <w:left w:val="none" w:sz="0" w:space="0" w:color="auto"/>
            <w:bottom w:val="none" w:sz="0" w:space="0" w:color="auto"/>
            <w:right w:val="none" w:sz="0" w:space="0" w:color="auto"/>
          </w:divBdr>
        </w:div>
        <w:div w:id="907375235">
          <w:marLeft w:val="0"/>
          <w:marRight w:val="0"/>
          <w:marTop w:val="0"/>
          <w:marBottom w:val="0"/>
          <w:divBdr>
            <w:top w:val="none" w:sz="0" w:space="0" w:color="auto"/>
            <w:left w:val="none" w:sz="0" w:space="0" w:color="auto"/>
            <w:bottom w:val="none" w:sz="0" w:space="0" w:color="auto"/>
            <w:right w:val="none" w:sz="0" w:space="0" w:color="auto"/>
          </w:divBdr>
          <w:divsChild>
            <w:div w:id="1039473877">
              <w:marLeft w:val="0"/>
              <w:marRight w:val="0"/>
              <w:marTop w:val="0"/>
              <w:marBottom w:val="0"/>
              <w:divBdr>
                <w:top w:val="none" w:sz="0" w:space="0" w:color="auto"/>
                <w:left w:val="none" w:sz="0" w:space="0" w:color="auto"/>
                <w:bottom w:val="none" w:sz="0" w:space="0" w:color="auto"/>
                <w:right w:val="none" w:sz="0" w:space="0" w:color="auto"/>
              </w:divBdr>
            </w:div>
          </w:divsChild>
        </w:div>
        <w:div w:id="834878735">
          <w:marLeft w:val="0"/>
          <w:marRight w:val="0"/>
          <w:marTop w:val="0"/>
          <w:marBottom w:val="0"/>
          <w:divBdr>
            <w:top w:val="none" w:sz="0" w:space="0" w:color="auto"/>
            <w:left w:val="none" w:sz="0" w:space="0" w:color="auto"/>
            <w:bottom w:val="none" w:sz="0" w:space="0" w:color="auto"/>
            <w:right w:val="none" w:sz="0" w:space="0" w:color="auto"/>
          </w:divBdr>
        </w:div>
        <w:div w:id="1924603947">
          <w:marLeft w:val="0"/>
          <w:marRight w:val="0"/>
          <w:marTop w:val="0"/>
          <w:marBottom w:val="0"/>
          <w:divBdr>
            <w:top w:val="none" w:sz="0" w:space="0" w:color="auto"/>
            <w:left w:val="none" w:sz="0" w:space="0" w:color="auto"/>
            <w:bottom w:val="none" w:sz="0" w:space="0" w:color="auto"/>
            <w:right w:val="none" w:sz="0" w:space="0" w:color="auto"/>
          </w:divBdr>
        </w:div>
        <w:div w:id="1258902051">
          <w:marLeft w:val="0"/>
          <w:marRight w:val="0"/>
          <w:marTop w:val="0"/>
          <w:marBottom w:val="0"/>
          <w:divBdr>
            <w:top w:val="none" w:sz="0" w:space="0" w:color="auto"/>
            <w:left w:val="none" w:sz="0" w:space="0" w:color="auto"/>
            <w:bottom w:val="none" w:sz="0" w:space="0" w:color="auto"/>
            <w:right w:val="none" w:sz="0" w:space="0" w:color="auto"/>
          </w:divBdr>
          <w:divsChild>
            <w:div w:id="583077204">
              <w:marLeft w:val="0"/>
              <w:marRight w:val="0"/>
              <w:marTop w:val="0"/>
              <w:marBottom w:val="0"/>
              <w:divBdr>
                <w:top w:val="none" w:sz="0" w:space="0" w:color="auto"/>
                <w:left w:val="none" w:sz="0" w:space="0" w:color="auto"/>
                <w:bottom w:val="none" w:sz="0" w:space="0" w:color="auto"/>
                <w:right w:val="none" w:sz="0" w:space="0" w:color="auto"/>
              </w:divBdr>
            </w:div>
          </w:divsChild>
        </w:div>
        <w:div w:id="896401640">
          <w:marLeft w:val="0"/>
          <w:marRight w:val="0"/>
          <w:marTop w:val="0"/>
          <w:marBottom w:val="0"/>
          <w:divBdr>
            <w:top w:val="none" w:sz="0" w:space="0" w:color="auto"/>
            <w:left w:val="none" w:sz="0" w:space="0" w:color="auto"/>
            <w:bottom w:val="none" w:sz="0" w:space="0" w:color="auto"/>
            <w:right w:val="none" w:sz="0" w:space="0" w:color="auto"/>
          </w:divBdr>
        </w:div>
        <w:div w:id="1324046738">
          <w:marLeft w:val="0"/>
          <w:marRight w:val="0"/>
          <w:marTop w:val="0"/>
          <w:marBottom w:val="0"/>
          <w:divBdr>
            <w:top w:val="none" w:sz="0" w:space="0" w:color="auto"/>
            <w:left w:val="none" w:sz="0" w:space="0" w:color="auto"/>
            <w:bottom w:val="none" w:sz="0" w:space="0" w:color="auto"/>
            <w:right w:val="none" w:sz="0" w:space="0" w:color="auto"/>
          </w:divBdr>
        </w:div>
        <w:div w:id="448745506">
          <w:marLeft w:val="0"/>
          <w:marRight w:val="0"/>
          <w:marTop w:val="0"/>
          <w:marBottom w:val="0"/>
          <w:divBdr>
            <w:top w:val="none" w:sz="0" w:space="0" w:color="auto"/>
            <w:left w:val="none" w:sz="0" w:space="0" w:color="auto"/>
            <w:bottom w:val="none" w:sz="0" w:space="0" w:color="auto"/>
            <w:right w:val="none" w:sz="0" w:space="0" w:color="auto"/>
          </w:divBdr>
          <w:divsChild>
            <w:div w:id="1704016891">
              <w:marLeft w:val="0"/>
              <w:marRight w:val="0"/>
              <w:marTop w:val="0"/>
              <w:marBottom w:val="0"/>
              <w:divBdr>
                <w:top w:val="none" w:sz="0" w:space="0" w:color="auto"/>
                <w:left w:val="none" w:sz="0" w:space="0" w:color="auto"/>
                <w:bottom w:val="none" w:sz="0" w:space="0" w:color="auto"/>
                <w:right w:val="none" w:sz="0" w:space="0" w:color="auto"/>
              </w:divBdr>
            </w:div>
          </w:divsChild>
        </w:div>
        <w:div w:id="1059355756">
          <w:marLeft w:val="0"/>
          <w:marRight w:val="0"/>
          <w:marTop w:val="0"/>
          <w:marBottom w:val="0"/>
          <w:divBdr>
            <w:top w:val="none" w:sz="0" w:space="0" w:color="auto"/>
            <w:left w:val="none" w:sz="0" w:space="0" w:color="auto"/>
            <w:bottom w:val="none" w:sz="0" w:space="0" w:color="auto"/>
            <w:right w:val="none" w:sz="0" w:space="0" w:color="auto"/>
          </w:divBdr>
        </w:div>
        <w:div w:id="1551070050">
          <w:marLeft w:val="0"/>
          <w:marRight w:val="0"/>
          <w:marTop w:val="0"/>
          <w:marBottom w:val="0"/>
          <w:divBdr>
            <w:top w:val="none" w:sz="0" w:space="0" w:color="auto"/>
            <w:left w:val="none" w:sz="0" w:space="0" w:color="auto"/>
            <w:bottom w:val="none" w:sz="0" w:space="0" w:color="auto"/>
            <w:right w:val="none" w:sz="0" w:space="0" w:color="auto"/>
          </w:divBdr>
        </w:div>
        <w:div w:id="1987009414">
          <w:marLeft w:val="0"/>
          <w:marRight w:val="0"/>
          <w:marTop w:val="0"/>
          <w:marBottom w:val="0"/>
          <w:divBdr>
            <w:top w:val="none" w:sz="0" w:space="0" w:color="auto"/>
            <w:left w:val="none" w:sz="0" w:space="0" w:color="auto"/>
            <w:bottom w:val="none" w:sz="0" w:space="0" w:color="auto"/>
            <w:right w:val="none" w:sz="0" w:space="0" w:color="auto"/>
          </w:divBdr>
          <w:divsChild>
            <w:div w:id="413745246">
              <w:marLeft w:val="0"/>
              <w:marRight w:val="0"/>
              <w:marTop w:val="0"/>
              <w:marBottom w:val="0"/>
              <w:divBdr>
                <w:top w:val="none" w:sz="0" w:space="0" w:color="auto"/>
                <w:left w:val="none" w:sz="0" w:space="0" w:color="auto"/>
                <w:bottom w:val="none" w:sz="0" w:space="0" w:color="auto"/>
                <w:right w:val="none" w:sz="0" w:space="0" w:color="auto"/>
              </w:divBdr>
            </w:div>
          </w:divsChild>
        </w:div>
        <w:div w:id="1385791404">
          <w:marLeft w:val="0"/>
          <w:marRight w:val="0"/>
          <w:marTop w:val="0"/>
          <w:marBottom w:val="0"/>
          <w:divBdr>
            <w:top w:val="none" w:sz="0" w:space="0" w:color="auto"/>
            <w:left w:val="none" w:sz="0" w:space="0" w:color="auto"/>
            <w:bottom w:val="none" w:sz="0" w:space="0" w:color="auto"/>
            <w:right w:val="none" w:sz="0" w:space="0" w:color="auto"/>
          </w:divBdr>
        </w:div>
        <w:div w:id="349113280">
          <w:marLeft w:val="0"/>
          <w:marRight w:val="0"/>
          <w:marTop w:val="0"/>
          <w:marBottom w:val="0"/>
          <w:divBdr>
            <w:top w:val="none" w:sz="0" w:space="0" w:color="auto"/>
            <w:left w:val="none" w:sz="0" w:space="0" w:color="auto"/>
            <w:bottom w:val="none" w:sz="0" w:space="0" w:color="auto"/>
            <w:right w:val="none" w:sz="0" w:space="0" w:color="auto"/>
          </w:divBdr>
        </w:div>
        <w:div w:id="334190714">
          <w:marLeft w:val="0"/>
          <w:marRight w:val="0"/>
          <w:marTop w:val="0"/>
          <w:marBottom w:val="0"/>
          <w:divBdr>
            <w:top w:val="none" w:sz="0" w:space="0" w:color="auto"/>
            <w:left w:val="none" w:sz="0" w:space="0" w:color="auto"/>
            <w:bottom w:val="none" w:sz="0" w:space="0" w:color="auto"/>
            <w:right w:val="none" w:sz="0" w:space="0" w:color="auto"/>
          </w:divBdr>
          <w:divsChild>
            <w:div w:id="1182204975">
              <w:marLeft w:val="0"/>
              <w:marRight w:val="0"/>
              <w:marTop w:val="0"/>
              <w:marBottom w:val="0"/>
              <w:divBdr>
                <w:top w:val="none" w:sz="0" w:space="0" w:color="auto"/>
                <w:left w:val="none" w:sz="0" w:space="0" w:color="auto"/>
                <w:bottom w:val="none" w:sz="0" w:space="0" w:color="auto"/>
                <w:right w:val="none" w:sz="0" w:space="0" w:color="auto"/>
              </w:divBdr>
            </w:div>
          </w:divsChild>
        </w:div>
        <w:div w:id="1338077863">
          <w:marLeft w:val="0"/>
          <w:marRight w:val="0"/>
          <w:marTop w:val="0"/>
          <w:marBottom w:val="0"/>
          <w:divBdr>
            <w:top w:val="none" w:sz="0" w:space="0" w:color="auto"/>
            <w:left w:val="none" w:sz="0" w:space="0" w:color="auto"/>
            <w:bottom w:val="none" w:sz="0" w:space="0" w:color="auto"/>
            <w:right w:val="none" w:sz="0" w:space="0" w:color="auto"/>
          </w:divBdr>
        </w:div>
        <w:div w:id="715616577">
          <w:marLeft w:val="0"/>
          <w:marRight w:val="0"/>
          <w:marTop w:val="0"/>
          <w:marBottom w:val="0"/>
          <w:divBdr>
            <w:top w:val="none" w:sz="0" w:space="0" w:color="auto"/>
            <w:left w:val="none" w:sz="0" w:space="0" w:color="auto"/>
            <w:bottom w:val="none" w:sz="0" w:space="0" w:color="auto"/>
            <w:right w:val="none" w:sz="0" w:space="0" w:color="auto"/>
          </w:divBdr>
        </w:div>
        <w:div w:id="1639804224">
          <w:marLeft w:val="0"/>
          <w:marRight w:val="0"/>
          <w:marTop w:val="0"/>
          <w:marBottom w:val="0"/>
          <w:divBdr>
            <w:top w:val="none" w:sz="0" w:space="0" w:color="auto"/>
            <w:left w:val="none" w:sz="0" w:space="0" w:color="auto"/>
            <w:bottom w:val="none" w:sz="0" w:space="0" w:color="auto"/>
            <w:right w:val="none" w:sz="0" w:space="0" w:color="auto"/>
          </w:divBdr>
          <w:divsChild>
            <w:div w:id="1848474558">
              <w:marLeft w:val="0"/>
              <w:marRight w:val="0"/>
              <w:marTop w:val="0"/>
              <w:marBottom w:val="0"/>
              <w:divBdr>
                <w:top w:val="none" w:sz="0" w:space="0" w:color="auto"/>
                <w:left w:val="none" w:sz="0" w:space="0" w:color="auto"/>
                <w:bottom w:val="none" w:sz="0" w:space="0" w:color="auto"/>
                <w:right w:val="none" w:sz="0" w:space="0" w:color="auto"/>
              </w:divBdr>
            </w:div>
          </w:divsChild>
        </w:div>
        <w:div w:id="1299529606">
          <w:marLeft w:val="0"/>
          <w:marRight w:val="0"/>
          <w:marTop w:val="0"/>
          <w:marBottom w:val="0"/>
          <w:divBdr>
            <w:top w:val="none" w:sz="0" w:space="0" w:color="auto"/>
            <w:left w:val="none" w:sz="0" w:space="0" w:color="auto"/>
            <w:bottom w:val="none" w:sz="0" w:space="0" w:color="auto"/>
            <w:right w:val="none" w:sz="0" w:space="0" w:color="auto"/>
          </w:divBdr>
        </w:div>
        <w:div w:id="260063804">
          <w:marLeft w:val="0"/>
          <w:marRight w:val="0"/>
          <w:marTop w:val="0"/>
          <w:marBottom w:val="0"/>
          <w:divBdr>
            <w:top w:val="none" w:sz="0" w:space="0" w:color="auto"/>
            <w:left w:val="none" w:sz="0" w:space="0" w:color="auto"/>
            <w:bottom w:val="none" w:sz="0" w:space="0" w:color="auto"/>
            <w:right w:val="none" w:sz="0" w:space="0" w:color="auto"/>
          </w:divBdr>
        </w:div>
        <w:div w:id="1445492729">
          <w:marLeft w:val="0"/>
          <w:marRight w:val="0"/>
          <w:marTop w:val="0"/>
          <w:marBottom w:val="0"/>
          <w:divBdr>
            <w:top w:val="none" w:sz="0" w:space="0" w:color="auto"/>
            <w:left w:val="none" w:sz="0" w:space="0" w:color="auto"/>
            <w:bottom w:val="none" w:sz="0" w:space="0" w:color="auto"/>
            <w:right w:val="none" w:sz="0" w:space="0" w:color="auto"/>
          </w:divBdr>
          <w:divsChild>
            <w:div w:id="239143755">
              <w:marLeft w:val="0"/>
              <w:marRight w:val="0"/>
              <w:marTop w:val="0"/>
              <w:marBottom w:val="0"/>
              <w:divBdr>
                <w:top w:val="none" w:sz="0" w:space="0" w:color="auto"/>
                <w:left w:val="none" w:sz="0" w:space="0" w:color="auto"/>
                <w:bottom w:val="none" w:sz="0" w:space="0" w:color="auto"/>
                <w:right w:val="none" w:sz="0" w:space="0" w:color="auto"/>
              </w:divBdr>
            </w:div>
          </w:divsChild>
        </w:div>
        <w:div w:id="1142309998">
          <w:marLeft w:val="0"/>
          <w:marRight w:val="0"/>
          <w:marTop w:val="0"/>
          <w:marBottom w:val="0"/>
          <w:divBdr>
            <w:top w:val="none" w:sz="0" w:space="0" w:color="auto"/>
            <w:left w:val="none" w:sz="0" w:space="0" w:color="auto"/>
            <w:bottom w:val="none" w:sz="0" w:space="0" w:color="auto"/>
            <w:right w:val="none" w:sz="0" w:space="0" w:color="auto"/>
          </w:divBdr>
        </w:div>
        <w:div w:id="1187215095">
          <w:marLeft w:val="0"/>
          <w:marRight w:val="0"/>
          <w:marTop w:val="0"/>
          <w:marBottom w:val="0"/>
          <w:divBdr>
            <w:top w:val="none" w:sz="0" w:space="0" w:color="auto"/>
            <w:left w:val="none" w:sz="0" w:space="0" w:color="auto"/>
            <w:bottom w:val="none" w:sz="0" w:space="0" w:color="auto"/>
            <w:right w:val="none" w:sz="0" w:space="0" w:color="auto"/>
          </w:divBdr>
        </w:div>
        <w:div w:id="89544319">
          <w:marLeft w:val="0"/>
          <w:marRight w:val="0"/>
          <w:marTop w:val="0"/>
          <w:marBottom w:val="0"/>
          <w:divBdr>
            <w:top w:val="none" w:sz="0" w:space="0" w:color="auto"/>
            <w:left w:val="none" w:sz="0" w:space="0" w:color="auto"/>
            <w:bottom w:val="none" w:sz="0" w:space="0" w:color="auto"/>
            <w:right w:val="none" w:sz="0" w:space="0" w:color="auto"/>
          </w:divBdr>
          <w:divsChild>
            <w:div w:id="95905392">
              <w:marLeft w:val="0"/>
              <w:marRight w:val="0"/>
              <w:marTop w:val="0"/>
              <w:marBottom w:val="0"/>
              <w:divBdr>
                <w:top w:val="none" w:sz="0" w:space="0" w:color="auto"/>
                <w:left w:val="none" w:sz="0" w:space="0" w:color="auto"/>
                <w:bottom w:val="none" w:sz="0" w:space="0" w:color="auto"/>
                <w:right w:val="none" w:sz="0" w:space="0" w:color="auto"/>
              </w:divBdr>
            </w:div>
          </w:divsChild>
        </w:div>
        <w:div w:id="2013530597">
          <w:marLeft w:val="0"/>
          <w:marRight w:val="0"/>
          <w:marTop w:val="0"/>
          <w:marBottom w:val="0"/>
          <w:divBdr>
            <w:top w:val="none" w:sz="0" w:space="0" w:color="auto"/>
            <w:left w:val="none" w:sz="0" w:space="0" w:color="auto"/>
            <w:bottom w:val="none" w:sz="0" w:space="0" w:color="auto"/>
            <w:right w:val="none" w:sz="0" w:space="0" w:color="auto"/>
          </w:divBdr>
        </w:div>
        <w:div w:id="510267974">
          <w:marLeft w:val="0"/>
          <w:marRight w:val="0"/>
          <w:marTop w:val="0"/>
          <w:marBottom w:val="0"/>
          <w:divBdr>
            <w:top w:val="none" w:sz="0" w:space="0" w:color="auto"/>
            <w:left w:val="none" w:sz="0" w:space="0" w:color="auto"/>
            <w:bottom w:val="none" w:sz="0" w:space="0" w:color="auto"/>
            <w:right w:val="none" w:sz="0" w:space="0" w:color="auto"/>
          </w:divBdr>
        </w:div>
        <w:div w:id="1473864061">
          <w:marLeft w:val="0"/>
          <w:marRight w:val="0"/>
          <w:marTop w:val="0"/>
          <w:marBottom w:val="0"/>
          <w:divBdr>
            <w:top w:val="none" w:sz="0" w:space="0" w:color="auto"/>
            <w:left w:val="none" w:sz="0" w:space="0" w:color="auto"/>
            <w:bottom w:val="none" w:sz="0" w:space="0" w:color="auto"/>
            <w:right w:val="none" w:sz="0" w:space="0" w:color="auto"/>
          </w:divBdr>
          <w:divsChild>
            <w:div w:id="455292861">
              <w:marLeft w:val="0"/>
              <w:marRight w:val="0"/>
              <w:marTop w:val="0"/>
              <w:marBottom w:val="0"/>
              <w:divBdr>
                <w:top w:val="none" w:sz="0" w:space="0" w:color="auto"/>
                <w:left w:val="none" w:sz="0" w:space="0" w:color="auto"/>
                <w:bottom w:val="none" w:sz="0" w:space="0" w:color="auto"/>
                <w:right w:val="none" w:sz="0" w:space="0" w:color="auto"/>
              </w:divBdr>
            </w:div>
          </w:divsChild>
        </w:div>
        <w:div w:id="646785931">
          <w:marLeft w:val="0"/>
          <w:marRight w:val="0"/>
          <w:marTop w:val="0"/>
          <w:marBottom w:val="0"/>
          <w:divBdr>
            <w:top w:val="none" w:sz="0" w:space="0" w:color="auto"/>
            <w:left w:val="none" w:sz="0" w:space="0" w:color="auto"/>
            <w:bottom w:val="none" w:sz="0" w:space="0" w:color="auto"/>
            <w:right w:val="none" w:sz="0" w:space="0" w:color="auto"/>
          </w:divBdr>
        </w:div>
        <w:div w:id="2022732909">
          <w:marLeft w:val="0"/>
          <w:marRight w:val="0"/>
          <w:marTop w:val="0"/>
          <w:marBottom w:val="0"/>
          <w:divBdr>
            <w:top w:val="none" w:sz="0" w:space="0" w:color="auto"/>
            <w:left w:val="none" w:sz="0" w:space="0" w:color="auto"/>
            <w:bottom w:val="none" w:sz="0" w:space="0" w:color="auto"/>
            <w:right w:val="none" w:sz="0" w:space="0" w:color="auto"/>
          </w:divBdr>
        </w:div>
        <w:div w:id="1601988293">
          <w:marLeft w:val="0"/>
          <w:marRight w:val="0"/>
          <w:marTop w:val="0"/>
          <w:marBottom w:val="0"/>
          <w:divBdr>
            <w:top w:val="none" w:sz="0" w:space="0" w:color="auto"/>
            <w:left w:val="none" w:sz="0" w:space="0" w:color="auto"/>
            <w:bottom w:val="none" w:sz="0" w:space="0" w:color="auto"/>
            <w:right w:val="none" w:sz="0" w:space="0" w:color="auto"/>
          </w:divBdr>
          <w:divsChild>
            <w:div w:id="659885837">
              <w:marLeft w:val="0"/>
              <w:marRight w:val="0"/>
              <w:marTop w:val="0"/>
              <w:marBottom w:val="0"/>
              <w:divBdr>
                <w:top w:val="none" w:sz="0" w:space="0" w:color="auto"/>
                <w:left w:val="none" w:sz="0" w:space="0" w:color="auto"/>
                <w:bottom w:val="none" w:sz="0" w:space="0" w:color="auto"/>
                <w:right w:val="none" w:sz="0" w:space="0" w:color="auto"/>
              </w:divBdr>
            </w:div>
          </w:divsChild>
        </w:div>
        <w:div w:id="682441869">
          <w:marLeft w:val="0"/>
          <w:marRight w:val="0"/>
          <w:marTop w:val="0"/>
          <w:marBottom w:val="0"/>
          <w:divBdr>
            <w:top w:val="none" w:sz="0" w:space="0" w:color="auto"/>
            <w:left w:val="none" w:sz="0" w:space="0" w:color="auto"/>
            <w:bottom w:val="none" w:sz="0" w:space="0" w:color="auto"/>
            <w:right w:val="none" w:sz="0" w:space="0" w:color="auto"/>
          </w:divBdr>
        </w:div>
        <w:div w:id="278923036">
          <w:marLeft w:val="0"/>
          <w:marRight w:val="0"/>
          <w:marTop w:val="0"/>
          <w:marBottom w:val="0"/>
          <w:divBdr>
            <w:top w:val="none" w:sz="0" w:space="0" w:color="auto"/>
            <w:left w:val="none" w:sz="0" w:space="0" w:color="auto"/>
            <w:bottom w:val="none" w:sz="0" w:space="0" w:color="auto"/>
            <w:right w:val="none" w:sz="0" w:space="0" w:color="auto"/>
          </w:divBdr>
        </w:div>
        <w:div w:id="1821070408">
          <w:marLeft w:val="0"/>
          <w:marRight w:val="0"/>
          <w:marTop w:val="0"/>
          <w:marBottom w:val="0"/>
          <w:divBdr>
            <w:top w:val="none" w:sz="0" w:space="0" w:color="auto"/>
            <w:left w:val="none" w:sz="0" w:space="0" w:color="auto"/>
            <w:bottom w:val="none" w:sz="0" w:space="0" w:color="auto"/>
            <w:right w:val="none" w:sz="0" w:space="0" w:color="auto"/>
          </w:divBdr>
          <w:divsChild>
            <w:div w:id="1501461355">
              <w:marLeft w:val="0"/>
              <w:marRight w:val="0"/>
              <w:marTop w:val="0"/>
              <w:marBottom w:val="0"/>
              <w:divBdr>
                <w:top w:val="none" w:sz="0" w:space="0" w:color="auto"/>
                <w:left w:val="none" w:sz="0" w:space="0" w:color="auto"/>
                <w:bottom w:val="none" w:sz="0" w:space="0" w:color="auto"/>
                <w:right w:val="none" w:sz="0" w:space="0" w:color="auto"/>
              </w:divBdr>
            </w:div>
          </w:divsChild>
        </w:div>
        <w:div w:id="5328282">
          <w:marLeft w:val="0"/>
          <w:marRight w:val="0"/>
          <w:marTop w:val="0"/>
          <w:marBottom w:val="0"/>
          <w:divBdr>
            <w:top w:val="none" w:sz="0" w:space="0" w:color="auto"/>
            <w:left w:val="none" w:sz="0" w:space="0" w:color="auto"/>
            <w:bottom w:val="none" w:sz="0" w:space="0" w:color="auto"/>
            <w:right w:val="none" w:sz="0" w:space="0" w:color="auto"/>
          </w:divBdr>
        </w:div>
        <w:div w:id="634995201">
          <w:marLeft w:val="0"/>
          <w:marRight w:val="0"/>
          <w:marTop w:val="0"/>
          <w:marBottom w:val="0"/>
          <w:divBdr>
            <w:top w:val="none" w:sz="0" w:space="0" w:color="auto"/>
            <w:left w:val="none" w:sz="0" w:space="0" w:color="auto"/>
            <w:bottom w:val="none" w:sz="0" w:space="0" w:color="auto"/>
            <w:right w:val="none" w:sz="0" w:space="0" w:color="auto"/>
          </w:divBdr>
        </w:div>
        <w:div w:id="429813940">
          <w:marLeft w:val="0"/>
          <w:marRight w:val="0"/>
          <w:marTop w:val="0"/>
          <w:marBottom w:val="0"/>
          <w:divBdr>
            <w:top w:val="none" w:sz="0" w:space="0" w:color="auto"/>
            <w:left w:val="none" w:sz="0" w:space="0" w:color="auto"/>
            <w:bottom w:val="none" w:sz="0" w:space="0" w:color="auto"/>
            <w:right w:val="none" w:sz="0" w:space="0" w:color="auto"/>
          </w:divBdr>
          <w:divsChild>
            <w:div w:id="1322730721">
              <w:marLeft w:val="0"/>
              <w:marRight w:val="0"/>
              <w:marTop w:val="0"/>
              <w:marBottom w:val="0"/>
              <w:divBdr>
                <w:top w:val="none" w:sz="0" w:space="0" w:color="auto"/>
                <w:left w:val="none" w:sz="0" w:space="0" w:color="auto"/>
                <w:bottom w:val="none" w:sz="0" w:space="0" w:color="auto"/>
                <w:right w:val="none" w:sz="0" w:space="0" w:color="auto"/>
              </w:divBdr>
            </w:div>
          </w:divsChild>
        </w:div>
        <w:div w:id="1598169766">
          <w:marLeft w:val="0"/>
          <w:marRight w:val="0"/>
          <w:marTop w:val="0"/>
          <w:marBottom w:val="0"/>
          <w:divBdr>
            <w:top w:val="none" w:sz="0" w:space="0" w:color="auto"/>
            <w:left w:val="none" w:sz="0" w:space="0" w:color="auto"/>
            <w:bottom w:val="none" w:sz="0" w:space="0" w:color="auto"/>
            <w:right w:val="none" w:sz="0" w:space="0" w:color="auto"/>
          </w:divBdr>
        </w:div>
        <w:div w:id="1552764600">
          <w:marLeft w:val="0"/>
          <w:marRight w:val="0"/>
          <w:marTop w:val="0"/>
          <w:marBottom w:val="0"/>
          <w:divBdr>
            <w:top w:val="none" w:sz="0" w:space="0" w:color="auto"/>
            <w:left w:val="none" w:sz="0" w:space="0" w:color="auto"/>
            <w:bottom w:val="none" w:sz="0" w:space="0" w:color="auto"/>
            <w:right w:val="none" w:sz="0" w:space="0" w:color="auto"/>
          </w:divBdr>
        </w:div>
        <w:div w:id="126825327">
          <w:marLeft w:val="0"/>
          <w:marRight w:val="0"/>
          <w:marTop w:val="0"/>
          <w:marBottom w:val="0"/>
          <w:divBdr>
            <w:top w:val="none" w:sz="0" w:space="0" w:color="auto"/>
            <w:left w:val="none" w:sz="0" w:space="0" w:color="auto"/>
            <w:bottom w:val="none" w:sz="0" w:space="0" w:color="auto"/>
            <w:right w:val="none" w:sz="0" w:space="0" w:color="auto"/>
          </w:divBdr>
          <w:divsChild>
            <w:div w:id="2035686702">
              <w:marLeft w:val="0"/>
              <w:marRight w:val="0"/>
              <w:marTop w:val="0"/>
              <w:marBottom w:val="0"/>
              <w:divBdr>
                <w:top w:val="none" w:sz="0" w:space="0" w:color="auto"/>
                <w:left w:val="none" w:sz="0" w:space="0" w:color="auto"/>
                <w:bottom w:val="none" w:sz="0" w:space="0" w:color="auto"/>
                <w:right w:val="none" w:sz="0" w:space="0" w:color="auto"/>
              </w:divBdr>
            </w:div>
          </w:divsChild>
        </w:div>
        <w:div w:id="1343509900">
          <w:marLeft w:val="0"/>
          <w:marRight w:val="0"/>
          <w:marTop w:val="0"/>
          <w:marBottom w:val="0"/>
          <w:divBdr>
            <w:top w:val="none" w:sz="0" w:space="0" w:color="auto"/>
            <w:left w:val="none" w:sz="0" w:space="0" w:color="auto"/>
            <w:bottom w:val="none" w:sz="0" w:space="0" w:color="auto"/>
            <w:right w:val="none" w:sz="0" w:space="0" w:color="auto"/>
          </w:divBdr>
        </w:div>
        <w:div w:id="1889369954">
          <w:marLeft w:val="0"/>
          <w:marRight w:val="0"/>
          <w:marTop w:val="0"/>
          <w:marBottom w:val="0"/>
          <w:divBdr>
            <w:top w:val="none" w:sz="0" w:space="0" w:color="auto"/>
            <w:left w:val="none" w:sz="0" w:space="0" w:color="auto"/>
            <w:bottom w:val="none" w:sz="0" w:space="0" w:color="auto"/>
            <w:right w:val="none" w:sz="0" w:space="0" w:color="auto"/>
          </w:divBdr>
        </w:div>
        <w:div w:id="1637711073">
          <w:marLeft w:val="0"/>
          <w:marRight w:val="0"/>
          <w:marTop w:val="0"/>
          <w:marBottom w:val="0"/>
          <w:divBdr>
            <w:top w:val="none" w:sz="0" w:space="0" w:color="auto"/>
            <w:left w:val="none" w:sz="0" w:space="0" w:color="auto"/>
            <w:bottom w:val="none" w:sz="0" w:space="0" w:color="auto"/>
            <w:right w:val="none" w:sz="0" w:space="0" w:color="auto"/>
          </w:divBdr>
          <w:divsChild>
            <w:div w:id="258031793">
              <w:marLeft w:val="0"/>
              <w:marRight w:val="0"/>
              <w:marTop w:val="0"/>
              <w:marBottom w:val="0"/>
              <w:divBdr>
                <w:top w:val="none" w:sz="0" w:space="0" w:color="auto"/>
                <w:left w:val="none" w:sz="0" w:space="0" w:color="auto"/>
                <w:bottom w:val="none" w:sz="0" w:space="0" w:color="auto"/>
                <w:right w:val="none" w:sz="0" w:space="0" w:color="auto"/>
              </w:divBdr>
            </w:div>
          </w:divsChild>
        </w:div>
        <w:div w:id="1754819994">
          <w:marLeft w:val="0"/>
          <w:marRight w:val="0"/>
          <w:marTop w:val="0"/>
          <w:marBottom w:val="0"/>
          <w:divBdr>
            <w:top w:val="none" w:sz="0" w:space="0" w:color="auto"/>
            <w:left w:val="none" w:sz="0" w:space="0" w:color="auto"/>
            <w:bottom w:val="none" w:sz="0" w:space="0" w:color="auto"/>
            <w:right w:val="none" w:sz="0" w:space="0" w:color="auto"/>
          </w:divBdr>
        </w:div>
        <w:div w:id="1664964854">
          <w:marLeft w:val="0"/>
          <w:marRight w:val="0"/>
          <w:marTop w:val="0"/>
          <w:marBottom w:val="0"/>
          <w:divBdr>
            <w:top w:val="none" w:sz="0" w:space="0" w:color="auto"/>
            <w:left w:val="none" w:sz="0" w:space="0" w:color="auto"/>
            <w:bottom w:val="none" w:sz="0" w:space="0" w:color="auto"/>
            <w:right w:val="none" w:sz="0" w:space="0" w:color="auto"/>
          </w:divBdr>
        </w:div>
        <w:div w:id="1113986070">
          <w:marLeft w:val="0"/>
          <w:marRight w:val="0"/>
          <w:marTop w:val="0"/>
          <w:marBottom w:val="0"/>
          <w:divBdr>
            <w:top w:val="none" w:sz="0" w:space="0" w:color="auto"/>
            <w:left w:val="none" w:sz="0" w:space="0" w:color="auto"/>
            <w:bottom w:val="none" w:sz="0" w:space="0" w:color="auto"/>
            <w:right w:val="none" w:sz="0" w:space="0" w:color="auto"/>
          </w:divBdr>
          <w:divsChild>
            <w:div w:id="1939866389">
              <w:marLeft w:val="0"/>
              <w:marRight w:val="0"/>
              <w:marTop w:val="0"/>
              <w:marBottom w:val="0"/>
              <w:divBdr>
                <w:top w:val="none" w:sz="0" w:space="0" w:color="auto"/>
                <w:left w:val="none" w:sz="0" w:space="0" w:color="auto"/>
                <w:bottom w:val="none" w:sz="0" w:space="0" w:color="auto"/>
                <w:right w:val="none" w:sz="0" w:space="0" w:color="auto"/>
              </w:divBdr>
            </w:div>
          </w:divsChild>
        </w:div>
        <w:div w:id="501239298">
          <w:marLeft w:val="0"/>
          <w:marRight w:val="0"/>
          <w:marTop w:val="0"/>
          <w:marBottom w:val="0"/>
          <w:divBdr>
            <w:top w:val="none" w:sz="0" w:space="0" w:color="auto"/>
            <w:left w:val="none" w:sz="0" w:space="0" w:color="auto"/>
            <w:bottom w:val="none" w:sz="0" w:space="0" w:color="auto"/>
            <w:right w:val="none" w:sz="0" w:space="0" w:color="auto"/>
          </w:divBdr>
        </w:div>
        <w:div w:id="1333796401">
          <w:marLeft w:val="0"/>
          <w:marRight w:val="0"/>
          <w:marTop w:val="0"/>
          <w:marBottom w:val="0"/>
          <w:divBdr>
            <w:top w:val="none" w:sz="0" w:space="0" w:color="auto"/>
            <w:left w:val="none" w:sz="0" w:space="0" w:color="auto"/>
            <w:bottom w:val="none" w:sz="0" w:space="0" w:color="auto"/>
            <w:right w:val="none" w:sz="0" w:space="0" w:color="auto"/>
          </w:divBdr>
        </w:div>
        <w:div w:id="170922198">
          <w:marLeft w:val="0"/>
          <w:marRight w:val="0"/>
          <w:marTop w:val="0"/>
          <w:marBottom w:val="0"/>
          <w:divBdr>
            <w:top w:val="none" w:sz="0" w:space="0" w:color="auto"/>
            <w:left w:val="none" w:sz="0" w:space="0" w:color="auto"/>
            <w:bottom w:val="none" w:sz="0" w:space="0" w:color="auto"/>
            <w:right w:val="none" w:sz="0" w:space="0" w:color="auto"/>
          </w:divBdr>
          <w:divsChild>
            <w:div w:id="1254826323">
              <w:marLeft w:val="0"/>
              <w:marRight w:val="0"/>
              <w:marTop w:val="0"/>
              <w:marBottom w:val="0"/>
              <w:divBdr>
                <w:top w:val="none" w:sz="0" w:space="0" w:color="auto"/>
                <w:left w:val="none" w:sz="0" w:space="0" w:color="auto"/>
                <w:bottom w:val="none" w:sz="0" w:space="0" w:color="auto"/>
                <w:right w:val="none" w:sz="0" w:space="0" w:color="auto"/>
              </w:divBdr>
            </w:div>
          </w:divsChild>
        </w:div>
        <w:div w:id="1538202192">
          <w:marLeft w:val="0"/>
          <w:marRight w:val="0"/>
          <w:marTop w:val="0"/>
          <w:marBottom w:val="0"/>
          <w:divBdr>
            <w:top w:val="none" w:sz="0" w:space="0" w:color="auto"/>
            <w:left w:val="none" w:sz="0" w:space="0" w:color="auto"/>
            <w:bottom w:val="none" w:sz="0" w:space="0" w:color="auto"/>
            <w:right w:val="none" w:sz="0" w:space="0" w:color="auto"/>
          </w:divBdr>
        </w:div>
        <w:div w:id="1875462896">
          <w:marLeft w:val="0"/>
          <w:marRight w:val="0"/>
          <w:marTop w:val="0"/>
          <w:marBottom w:val="0"/>
          <w:divBdr>
            <w:top w:val="none" w:sz="0" w:space="0" w:color="auto"/>
            <w:left w:val="none" w:sz="0" w:space="0" w:color="auto"/>
            <w:bottom w:val="none" w:sz="0" w:space="0" w:color="auto"/>
            <w:right w:val="none" w:sz="0" w:space="0" w:color="auto"/>
          </w:divBdr>
        </w:div>
        <w:div w:id="1966736912">
          <w:marLeft w:val="0"/>
          <w:marRight w:val="0"/>
          <w:marTop w:val="0"/>
          <w:marBottom w:val="0"/>
          <w:divBdr>
            <w:top w:val="none" w:sz="0" w:space="0" w:color="auto"/>
            <w:left w:val="none" w:sz="0" w:space="0" w:color="auto"/>
            <w:bottom w:val="none" w:sz="0" w:space="0" w:color="auto"/>
            <w:right w:val="none" w:sz="0" w:space="0" w:color="auto"/>
          </w:divBdr>
          <w:divsChild>
            <w:div w:id="68381513">
              <w:marLeft w:val="0"/>
              <w:marRight w:val="0"/>
              <w:marTop w:val="0"/>
              <w:marBottom w:val="0"/>
              <w:divBdr>
                <w:top w:val="none" w:sz="0" w:space="0" w:color="auto"/>
                <w:left w:val="none" w:sz="0" w:space="0" w:color="auto"/>
                <w:bottom w:val="none" w:sz="0" w:space="0" w:color="auto"/>
                <w:right w:val="none" w:sz="0" w:space="0" w:color="auto"/>
              </w:divBdr>
            </w:div>
          </w:divsChild>
        </w:div>
        <w:div w:id="326859459">
          <w:marLeft w:val="0"/>
          <w:marRight w:val="0"/>
          <w:marTop w:val="0"/>
          <w:marBottom w:val="0"/>
          <w:divBdr>
            <w:top w:val="none" w:sz="0" w:space="0" w:color="auto"/>
            <w:left w:val="none" w:sz="0" w:space="0" w:color="auto"/>
            <w:bottom w:val="none" w:sz="0" w:space="0" w:color="auto"/>
            <w:right w:val="none" w:sz="0" w:space="0" w:color="auto"/>
          </w:divBdr>
        </w:div>
        <w:div w:id="725033710">
          <w:marLeft w:val="0"/>
          <w:marRight w:val="0"/>
          <w:marTop w:val="0"/>
          <w:marBottom w:val="0"/>
          <w:divBdr>
            <w:top w:val="none" w:sz="0" w:space="0" w:color="auto"/>
            <w:left w:val="none" w:sz="0" w:space="0" w:color="auto"/>
            <w:bottom w:val="none" w:sz="0" w:space="0" w:color="auto"/>
            <w:right w:val="none" w:sz="0" w:space="0" w:color="auto"/>
          </w:divBdr>
        </w:div>
        <w:div w:id="33309954">
          <w:marLeft w:val="0"/>
          <w:marRight w:val="0"/>
          <w:marTop w:val="0"/>
          <w:marBottom w:val="0"/>
          <w:divBdr>
            <w:top w:val="none" w:sz="0" w:space="0" w:color="auto"/>
            <w:left w:val="none" w:sz="0" w:space="0" w:color="auto"/>
            <w:bottom w:val="none" w:sz="0" w:space="0" w:color="auto"/>
            <w:right w:val="none" w:sz="0" w:space="0" w:color="auto"/>
          </w:divBdr>
          <w:divsChild>
            <w:div w:id="304430411">
              <w:marLeft w:val="0"/>
              <w:marRight w:val="0"/>
              <w:marTop w:val="0"/>
              <w:marBottom w:val="0"/>
              <w:divBdr>
                <w:top w:val="none" w:sz="0" w:space="0" w:color="auto"/>
                <w:left w:val="none" w:sz="0" w:space="0" w:color="auto"/>
                <w:bottom w:val="none" w:sz="0" w:space="0" w:color="auto"/>
                <w:right w:val="none" w:sz="0" w:space="0" w:color="auto"/>
              </w:divBdr>
            </w:div>
          </w:divsChild>
        </w:div>
        <w:div w:id="1890651381">
          <w:marLeft w:val="0"/>
          <w:marRight w:val="0"/>
          <w:marTop w:val="0"/>
          <w:marBottom w:val="0"/>
          <w:divBdr>
            <w:top w:val="none" w:sz="0" w:space="0" w:color="auto"/>
            <w:left w:val="none" w:sz="0" w:space="0" w:color="auto"/>
            <w:bottom w:val="none" w:sz="0" w:space="0" w:color="auto"/>
            <w:right w:val="none" w:sz="0" w:space="0" w:color="auto"/>
          </w:divBdr>
        </w:div>
        <w:div w:id="744568661">
          <w:marLeft w:val="0"/>
          <w:marRight w:val="0"/>
          <w:marTop w:val="0"/>
          <w:marBottom w:val="0"/>
          <w:divBdr>
            <w:top w:val="none" w:sz="0" w:space="0" w:color="auto"/>
            <w:left w:val="none" w:sz="0" w:space="0" w:color="auto"/>
            <w:bottom w:val="none" w:sz="0" w:space="0" w:color="auto"/>
            <w:right w:val="none" w:sz="0" w:space="0" w:color="auto"/>
          </w:divBdr>
        </w:div>
        <w:div w:id="1464957880">
          <w:marLeft w:val="0"/>
          <w:marRight w:val="0"/>
          <w:marTop w:val="0"/>
          <w:marBottom w:val="0"/>
          <w:divBdr>
            <w:top w:val="none" w:sz="0" w:space="0" w:color="auto"/>
            <w:left w:val="none" w:sz="0" w:space="0" w:color="auto"/>
            <w:bottom w:val="none" w:sz="0" w:space="0" w:color="auto"/>
            <w:right w:val="none" w:sz="0" w:space="0" w:color="auto"/>
          </w:divBdr>
          <w:divsChild>
            <w:div w:id="1409351836">
              <w:marLeft w:val="0"/>
              <w:marRight w:val="0"/>
              <w:marTop w:val="0"/>
              <w:marBottom w:val="0"/>
              <w:divBdr>
                <w:top w:val="none" w:sz="0" w:space="0" w:color="auto"/>
                <w:left w:val="none" w:sz="0" w:space="0" w:color="auto"/>
                <w:bottom w:val="none" w:sz="0" w:space="0" w:color="auto"/>
                <w:right w:val="none" w:sz="0" w:space="0" w:color="auto"/>
              </w:divBdr>
            </w:div>
          </w:divsChild>
        </w:div>
        <w:div w:id="2104566476">
          <w:marLeft w:val="0"/>
          <w:marRight w:val="0"/>
          <w:marTop w:val="0"/>
          <w:marBottom w:val="0"/>
          <w:divBdr>
            <w:top w:val="none" w:sz="0" w:space="0" w:color="auto"/>
            <w:left w:val="none" w:sz="0" w:space="0" w:color="auto"/>
            <w:bottom w:val="none" w:sz="0" w:space="0" w:color="auto"/>
            <w:right w:val="none" w:sz="0" w:space="0" w:color="auto"/>
          </w:divBdr>
        </w:div>
        <w:div w:id="2009870617">
          <w:marLeft w:val="0"/>
          <w:marRight w:val="0"/>
          <w:marTop w:val="0"/>
          <w:marBottom w:val="0"/>
          <w:divBdr>
            <w:top w:val="none" w:sz="0" w:space="0" w:color="auto"/>
            <w:left w:val="none" w:sz="0" w:space="0" w:color="auto"/>
            <w:bottom w:val="none" w:sz="0" w:space="0" w:color="auto"/>
            <w:right w:val="none" w:sz="0" w:space="0" w:color="auto"/>
          </w:divBdr>
        </w:div>
        <w:div w:id="1854755861">
          <w:marLeft w:val="0"/>
          <w:marRight w:val="0"/>
          <w:marTop w:val="0"/>
          <w:marBottom w:val="0"/>
          <w:divBdr>
            <w:top w:val="none" w:sz="0" w:space="0" w:color="auto"/>
            <w:left w:val="none" w:sz="0" w:space="0" w:color="auto"/>
            <w:bottom w:val="none" w:sz="0" w:space="0" w:color="auto"/>
            <w:right w:val="none" w:sz="0" w:space="0" w:color="auto"/>
          </w:divBdr>
          <w:divsChild>
            <w:div w:id="766537028">
              <w:marLeft w:val="0"/>
              <w:marRight w:val="0"/>
              <w:marTop w:val="0"/>
              <w:marBottom w:val="0"/>
              <w:divBdr>
                <w:top w:val="none" w:sz="0" w:space="0" w:color="auto"/>
                <w:left w:val="none" w:sz="0" w:space="0" w:color="auto"/>
                <w:bottom w:val="none" w:sz="0" w:space="0" w:color="auto"/>
                <w:right w:val="none" w:sz="0" w:space="0" w:color="auto"/>
              </w:divBdr>
            </w:div>
          </w:divsChild>
        </w:div>
        <w:div w:id="1181703434">
          <w:marLeft w:val="0"/>
          <w:marRight w:val="0"/>
          <w:marTop w:val="0"/>
          <w:marBottom w:val="0"/>
          <w:divBdr>
            <w:top w:val="none" w:sz="0" w:space="0" w:color="auto"/>
            <w:left w:val="none" w:sz="0" w:space="0" w:color="auto"/>
            <w:bottom w:val="none" w:sz="0" w:space="0" w:color="auto"/>
            <w:right w:val="none" w:sz="0" w:space="0" w:color="auto"/>
          </w:divBdr>
        </w:div>
        <w:div w:id="1773088728">
          <w:marLeft w:val="0"/>
          <w:marRight w:val="0"/>
          <w:marTop w:val="0"/>
          <w:marBottom w:val="0"/>
          <w:divBdr>
            <w:top w:val="none" w:sz="0" w:space="0" w:color="auto"/>
            <w:left w:val="none" w:sz="0" w:space="0" w:color="auto"/>
            <w:bottom w:val="none" w:sz="0" w:space="0" w:color="auto"/>
            <w:right w:val="none" w:sz="0" w:space="0" w:color="auto"/>
          </w:divBdr>
        </w:div>
        <w:div w:id="438724262">
          <w:marLeft w:val="0"/>
          <w:marRight w:val="0"/>
          <w:marTop w:val="0"/>
          <w:marBottom w:val="0"/>
          <w:divBdr>
            <w:top w:val="none" w:sz="0" w:space="0" w:color="auto"/>
            <w:left w:val="none" w:sz="0" w:space="0" w:color="auto"/>
            <w:bottom w:val="none" w:sz="0" w:space="0" w:color="auto"/>
            <w:right w:val="none" w:sz="0" w:space="0" w:color="auto"/>
          </w:divBdr>
          <w:divsChild>
            <w:div w:id="2064481873">
              <w:marLeft w:val="0"/>
              <w:marRight w:val="0"/>
              <w:marTop w:val="0"/>
              <w:marBottom w:val="0"/>
              <w:divBdr>
                <w:top w:val="none" w:sz="0" w:space="0" w:color="auto"/>
                <w:left w:val="none" w:sz="0" w:space="0" w:color="auto"/>
                <w:bottom w:val="none" w:sz="0" w:space="0" w:color="auto"/>
                <w:right w:val="none" w:sz="0" w:space="0" w:color="auto"/>
              </w:divBdr>
            </w:div>
          </w:divsChild>
        </w:div>
        <w:div w:id="157500736">
          <w:marLeft w:val="0"/>
          <w:marRight w:val="0"/>
          <w:marTop w:val="0"/>
          <w:marBottom w:val="0"/>
          <w:divBdr>
            <w:top w:val="none" w:sz="0" w:space="0" w:color="auto"/>
            <w:left w:val="none" w:sz="0" w:space="0" w:color="auto"/>
            <w:bottom w:val="none" w:sz="0" w:space="0" w:color="auto"/>
            <w:right w:val="none" w:sz="0" w:space="0" w:color="auto"/>
          </w:divBdr>
        </w:div>
        <w:div w:id="1286425736">
          <w:marLeft w:val="0"/>
          <w:marRight w:val="0"/>
          <w:marTop w:val="0"/>
          <w:marBottom w:val="0"/>
          <w:divBdr>
            <w:top w:val="none" w:sz="0" w:space="0" w:color="auto"/>
            <w:left w:val="none" w:sz="0" w:space="0" w:color="auto"/>
            <w:bottom w:val="none" w:sz="0" w:space="0" w:color="auto"/>
            <w:right w:val="none" w:sz="0" w:space="0" w:color="auto"/>
          </w:divBdr>
        </w:div>
        <w:div w:id="1529635593">
          <w:marLeft w:val="0"/>
          <w:marRight w:val="0"/>
          <w:marTop w:val="0"/>
          <w:marBottom w:val="0"/>
          <w:divBdr>
            <w:top w:val="none" w:sz="0" w:space="0" w:color="auto"/>
            <w:left w:val="none" w:sz="0" w:space="0" w:color="auto"/>
            <w:bottom w:val="none" w:sz="0" w:space="0" w:color="auto"/>
            <w:right w:val="none" w:sz="0" w:space="0" w:color="auto"/>
          </w:divBdr>
          <w:divsChild>
            <w:div w:id="584723805">
              <w:marLeft w:val="0"/>
              <w:marRight w:val="0"/>
              <w:marTop w:val="0"/>
              <w:marBottom w:val="0"/>
              <w:divBdr>
                <w:top w:val="none" w:sz="0" w:space="0" w:color="auto"/>
                <w:left w:val="none" w:sz="0" w:space="0" w:color="auto"/>
                <w:bottom w:val="none" w:sz="0" w:space="0" w:color="auto"/>
                <w:right w:val="none" w:sz="0" w:space="0" w:color="auto"/>
              </w:divBdr>
            </w:div>
          </w:divsChild>
        </w:div>
        <w:div w:id="142624830">
          <w:marLeft w:val="0"/>
          <w:marRight w:val="0"/>
          <w:marTop w:val="0"/>
          <w:marBottom w:val="0"/>
          <w:divBdr>
            <w:top w:val="none" w:sz="0" w:space="0" w:color="auto"/>
            <w:left w:val="none" w:sz="0" w:space="0" w:color="auto"/>
            <w:bottom w:val="none" w:sz="0" w:space="0" w:color="auto"/>
            <w:right w:val="none" w:sz="0" w:space="0" w:color="auto"/>
          </w:divBdr>
        </w:div>
        <w:div w:id="570042202">
          <w:marLeft w:val="0"/>
          <w:marRight w:val="0"/>
          <w:marTop w:val="0"/>
          <w:marBottom w:val="0"/>
          <w:divBdr>
            <w:top w:val="none" w:sz="0" w:space="0" w:color="auto"/>
            <w:left w:val="none" w:sz="0" w:space="0" w:color="auto"/>
            <w:bottom w:val="none" w:sz="0" w:space="0" w:color="auto"/>
            <w:right w:val="none" w:sz="0" w:space="0" w:color="auto"/>
          </w:divBdr>
        </w:div>
        <w:div w:id="1692340369">
          <w:marLeft w:val="0"/>
          <w:marRight w:val="0"/>
          <w:marTop w:val="0"/>
          <w:marBottom w:val="0"/>
          <w:divBdr>
            <w:top w:val="none" w:sz="0" w:space="0" w:color="auto"/>
            <w:left w:val="none" w:sz="0" w:space="0" w:color="auto"/>
            <w:bottom w:val="none" w:sz="0" w:space="0" w:color="auto"/>
            <w:right w:val="none" w:sz="0" w:space="0" w:color="auto"/>
          </w:divBdr>
          <w:divsChild>
            <w:div w:id="806357362">
              <w:marLeft w:val="0"/>
              <w:marRight w:val="0"/>
              <w:marTop w:val="0"/>
              <w:marBottom w:val="0"/>
              <w:divBdr>
                <w:top w:val="none" w:sz="0" w:space="0" w:color="auto"/>
                <w:left w:val="none" w:sz="0" w:space="0" w:color="auto"/>
                <w:bottom w:val="none" w:sz="0" w:space="0" w:color="auto"/>
                <w:right w:val="none" w:sz="0" w:space="0" w:color="auto"/>
              </w:divBdr>
            </w:div>
          </w:divsChild>
        </w:div>
        <w:div w:id="352196536">
          <w:marLeft w:val="0"/>
          <w:marRight w:val="0"/>
          <w:marTop w:val="0"/>
          <w:marBottom w:val="0"/>
          <w:divBdr>
            <w:top w:val="none" w:sz="0" w:space="0" w:color="auto"/>
            <w:left w:val="none" w:sz="0" w:space="0" w:color="auto"/>
            <w:bottom w:val="none" w:sz="0" w:space="0" w:color="auto"/>
            <w:right w:val="none" w:sz="0" w:space="0" w:color="auto"/>
          </w:divBdr>
        </w:div>
        <w:div w:id="203560720">
          <w:marLeft w:val="0"/>
          <w:marRight w:val="0"/>
          <w:marTop w:val="0"/>
          <w:marBottom w:val="0"/>
          <w:divBdr>
            <w:top w:val="none" w:sz="0" w:space="0" w:color="auto"/>
            <w:left w:val="none" w:sz="0" w:space="0" w:color="auto"/>
            <w:bottom w:val="none" w:sz="0" w:space="0" w:color="auto"/>
            <w:right w:val="none" w:sz="0" w:space="0" w:color="auto"/>
          </w:divBdr>
        </w:div>
        <w:div w:id="1704986346">
          <w:marLeft w:val="0"/>
          <w:marRight w:val="0"/>
          <w:marTop w:val="0"/>
          <w:marBottom w:val="0"/>
          <w:divBdr>
            <w:top w:val="none" w:sz="0" w:space="0" w:color="auto"/>
            <w:left w:val="none" w:sz="0" w:space="0" w:color="auto"/>
            <w:bottom w:val="none" w:sz="0" w:space="0" w:color="auto"/>
            <w:right w:val="none" w:sz="0" w:space="0" w:color="auto"/>
          </w:divBdr>
          <w:divsChild>
            <w:div w:id="1086269128">
              <w:marLeft w:val="0"/>
              <w:marRight w:val="0"/>
              <w:marTop w:val="0"/>
              <w:marBottom w:val="0"/>
              <w:divBdr>
                <w:top w:val="none" w:sz="0" w:space="0" w:color="auto"/>
                <w:left w:val="none" w:sz="0" w:space="0" w:color="auto"/>
                <w:bottom w:val="none" w:sz="0" w:space="0" w:color="auto"/>
                <w:right w:val="none" w:sz="0" w:space="0" w:color="auto"/>
              </w:divBdr>
            </w:div>
          </w:divsChild>
        </w:div>
        <w:div w:id="1447774857">
          <w:marLeft w:val="0"/>
          <w:marRight w:val="0"/>
          <w:marTop w:val="0"/>
          <w:marBottom w:val="0"/>
          <w:divBdr>
            <w:top w:val="none" w:sz="0" w:space="0" w:color="auto"/>
            <w:left w:val="none" w:sz="0" w:space="0" w:color="auto"/>
            <w:bottom w:val="none" w:sz="0" w:space="0" w:color="auto"/>
            <w:right w:val="none" w:sz="0" w:space="0" w:color="auto"/>
          </w:divBdr>
        </w:div>
        <w:div w:id="239873934">
          <w:marLeft w:val="0"/>
          <w:marRight w:val="0"/>
          <w:marTop w:val="0"/>
          <w:marBottom w:val="0"/>
          <w:divBdr>
            <w:top w:val="none" w:sz="0" w:space="0" w:color="auto"/>
            <w:left w:val="none" w:sz="0" w:space="0" w:color="auto"/>
            <w:bottom w:val="none" w:sz="0" w:space="0" w:color="auto"/>
            <w:right w:val="none" w:sz="0" w:space="0" w:color="auto"/>
          </w:divBdr>
        </w:div>
        <w:div w:id="782772974">
          <w:marLeft w:val="0"/>
          <w:marRight w:val="0"/>
          <w:marTop w:val="0"/>
          <w:marBottom w:val="0"/>
          <w:divBdr>
            <w:top w:val="none" w:sz="0" w:space="0" w:color="auto"/>
            <w:left w:val="none" w:sz="0" w:space="0" w:color="auto"/>
            <w:bottom w:val="none" w:sz="0" w:space="0" w:color="auto"/>
            <w:right w:val="none" w:sz="0" w:space="0" w:color="auto"/>
          </w:divBdr>
          <w:divsChild>
            <w:div w:id="1982073037">
              <w:marLeft w:val="0"/>
              <w:marRight w:val="0"/>
              <w:marTop w:val="0"/>
              <w:marBottom w:val="0"/>
              <w:divBdr>
                <w:top w:val="none" w:sz="0" w:space="0" w:color="auto"/>
                <w:left w:val="none" w:sz="0" w:space="0" w:color="auto"/>
                <w:bottom w:val="none" w:sz="0" w:space="0" w:color="auto"/>
                <w:right w:val="none" w:sz="0" w:space="0" w:color="auto"/>
              </w:divBdr>
            </w:div>
          </w:divsChild>
        </w:div>
        <w:div w:id="302125798">
          <w:marLeft w:val="0"/>
          <w:marRight w:val="0"/>
          <w:marTop w:val="0"/>
          <w:marBottom w:val="0"/>
          <w:divBdr>
            <w:top w:val="none" w:sz="0" w:space="0" w:color="auto"/>
            <w:left w:val="none" w:sz="0" w:space="0" w:color="auto"/>
            <w:bottom w:val="none" w:sz="0" w:space="0" w:color="auto"/>
            <w:right w:val="none" w:sz="0" w:space="0" w:color="auto"/>
          </w:divBdr>
        </w:div>
        <w:div w:id="76636400">
          <w:marLeft w:val="0"/>
          <w:marRight w:val="0"/>
          <w:marTop w:val="0"/>
          <w:marBottom w:val="0"/>
          <w:divBdr>
            <w:top w:val="none" w:sz="0" w:space="0" w:color="auto"/>
            <w:left w:val="none" w:sz="0" w:space="0" w:color="auto"/>
            <w:bottom w:val="none" w:sz="0" w:space="0" w:color="auto"/>
            <w:right w:val="none" w:sz="0" w:space="0" w:color="auto"/>
          </w:divBdr>
        </w:div>
        <w:div w:id="1110051064">
          <w:marLeft w:val="0"/>
          <w:marRight w:val="0"/>
          <w:marTop w:val="0"/>
          <w:marBottom w:val="0"/>
          <w:divBdr>
            <w:top w:val="none" w:sz="0" w:space="0" w:color="auto"/>
            <w:left w:val="none" w:sz="0" w:space="0" w:color="auto"/>
            <w:bottom w:val="none" w:sz="0" w:space="0" w:color="auto"/>
            <w:right w:val="none" w:sz="0" w:space="0" w:color="auto"/>
          </w:divBdr>
          <w:divsChild>
            <w:div w:id="1976904789">
              <w:marLeft w:val="0"/>
              <w:marRight w:val="0"/>
              <w:marTop w:val="0"/>
              <w:marBottom w:val="0"/>
              <w:divBdr>
                <w:top w:val="none" w:sz="0" w:space="0" w:color="auto"/>
                <w:left w:val="none" w:sz="0" w:space="0" w:color="auto"/>
                <w:bottom w:val="none" w:sz="0" w:space="0" w:color="auto"/>
                <w:right w:val="none" w:sz="0" w:space="0" w:color="auto"/>
              </w:divBdr>
            </w:div>
          </w:divsChild>
        </w:div>
        <w:div w:id="506527791">
          <w:marLeft w:val="0"/>
          <w:marRight w:val="0"/>
          <w:marTop w:val="0"/>
          <w:marBottom w:val="0"/>
          <w:divBdr>
            <w:top w:val="none" w:sz="0" w:space="0" w:color="auto"/>
            <w:left w:val="none" w:sz="0" w:space="0" w:color="auto"/>
            <w:bottom w:val="none" w:sz="0" w:space="0" w:color="auto"/>
            <w:right w:val="none" w:sz="0" w:space="0" w:color="auto"/>
          </w:divBdr>
        </w:div>
        <w:div w:id="448740816">
          <w:marLeft w:val="0"/>
          <w:marRight w:val="0"/>
          <w:marTop w:val="0"/>
          <w:marBottom w:val="0"/>
          <w:divBdr>
            <w:top w:val="none" w:sz="0" w:space="0" w:color="auto"/>
            <w:left w:val="none" w:sz="0" w:space="0" w:color="auto"/>
            <w:bottom w:val="none" w:sz="0" w:space="0" w:color="auto"/>
            <w:right w:val="none" w:sz="0" w:space="0" w:color="auto"/>
          </w:divBdr>
        </w:div>
        <w:div w:id="1235317316">
          <w:marLeft w:val="0"/>
          <w:marRight w:val="0"/>
          <w:marTop w:val="0"/>
          <w:marBottom w:val="0"/>
          <w:divBdr>
            <w:top w:val="none" w:sz="0" w:space="0" w:color="auto"/>
            <w:left w:val="none" w:sz="0" w:space="0" w:color="auto"/>
            <w:bottom w:val="none" w:sz="0" w:space="0" w:color="auto"/>
            <w:right w:val="none" w:sz="0" w:space="0" w:color="auto"/>
          </w:divBdr>
          <w:divsChild>
            <w:div w:id="1972589893">
              <w:marLeft w:val="0"/>
              <w:marRight w:val="0"/>
              <w:marTop w:val="0"/>
              <w:marBottom w:val="0"/>
              <w:divBdr>
                <w:top w:val="none" w:sz="0" w:space="0" w:color="auto"/>
                <w:left w:val="none" w:sz="0" w:space="0" w:color="auto"/>
                <w:bottom w:val="none" w:sz="0" w:space="0" w:color="auto"/>
                <w:right w:val="none" w:sz="0" w:space="0" w:color="auto"/>
              </w:divBdr>
            </w:div>
          </w:divsChild>
        </w:div>
        <w:div w:id="1428381056">
          <w:marLeft w:val="0"/>
          <w:marRight w:val="0"/>
          <w:marTop w:val="0"/>
          <w:marBottom w:val="0"/>
          <w:divBdr>
            <w:top w:val="none" w:sz="0" w:space="0" w:color="auto"/>
            <w:left w:val="none" w:sz="0" w:space="0" w:color="auto"/>
            <w:bottom w:val="none" w:sz="0" w:space="0" w:color="auto"/>
            <w:right w:val="none" w:sz="0" w:space="0" w:color="auto"/>
          </w:divBdr>
        </w:div>
        <w:div w:id="410321845">
          <w:marLeft w:val="0"/>
          <w:marRight w:val="0"/>
          <w:marTop w:val="0"/>
          <w:marBottom w:val="0"/>
          <w:divBdr>
            <w:top w:val="none" w:sz="0" w:space="0" w:color="auto"/>
            <w:left w:val="none" w:sz="0" w:space="0" w:color="auto"/>
            <w:bottom w:val="none" w:sz="0" w:space="0" w:color="auto"/>
            <w:right w:val="none" w:sz="0" w:space="0" w:color="auto"/>
          </w:divBdr>
        </w:div>
        <w:div w:id="737022684">
          <w:marLeft w:val="0"/>
          <w:marRight w:val="0"/>
          <w:marTop w:val="0"/>
          <w:marBottom w:val="0"/>
          <w:divBdr>
            <w:top w:val="none" w:sz="0" w:space="0" w:color="auto"/>
            <w:left w:val="none" w:sz="0" w:space="0" w:color="auto"/>
            <w:bottom w:val="none" w:sz="0" w:space="0" w:color="auto"/>
            <w:right w:val="none" w:sz="0" w:space="0" w:color="auto"/>
          </w:divBdr>
          <w:divsChild>
            <w:div w:id="1357270690">
              <w:marLeft w:val="0"/>
              <w:marRight w:val="0"/>
              <w:marTop w:val="0"/>
              <w:marBottom w:val="0"/>
              <w:divBdr>
                <w:top w:val="none" w:sz="0" w:space="0" w:color="auto"/>
                <w:left w:val="none" w:sz="0" w:space="0" w:color="auto"/>
                <w:bottom w:val="none" w:sz="0" w:space="0" w:color="auto"/>
                <w:right w:val="none" w:sz="0" w:space="0" w:color="auto"/>
              </w:divBdr>
            </w:div>
          </w:divsChild>
        </w:div>
        <w:div w:id="536434312">
          <w:marLeft w:val="0"/>
          <w:marRight w:val="0"/>
          <w:marTop w:val="0"/>
          <w:marBottom w:val="0"/>
          <w:divBdr>
            <w:top w:val="none" w:sz="0" w:space="0" w:color="auto"/>
            <w:left w:val="none" w:sz="0" w:space="0" w:color="auto"/>
            <w:bottom w:val="none" w:sz="0" w:space="0" w:color="auto"/>
            <w:right w:val="none" w:sz="0" w:space="0" w:color="auto"/>
          </w:divBdr>
        </w:div>
        <w:div w:id="1220626669">
          <w:marLeft w:val="0"/>
          <w:marRight w:val="0"/>
          <w:marTop w:val="0"/>
          <w:marBottom w:val="0"/>
          <w:divBdr>
            <w:top w:val="none" w:sz="0" w:space="0" w:color="auto"/>
            <w:left w:val="none" w:sz="0" w:space="0" w:color="auto"/>
            <w:bottom w:val="none" w:sz="0" w:space="0" w:color="auto"/>
            <w:right w:val="none" w:sz="0" w:space="0" w:color="auto"/>
          </w:divBdr>
        </w:div>
        <w:div w:id="983045400">
          <w:marLeft w:val="0"/>
          <w:marRight w:val="0"/>
          <w:marTop w:val="0"/>
          <w:marBottom w:val="0"/>
          <w:divBdr>
            <w:top w:val="none" w:sz="0" w:space="0" w:color="auto"/>
            <w:left w:val="none" w:sz="0" w:space="0" w:color="auto"/>
            <w:bottom w:val="none" w:sz="0" w:space="0" w:color="auto"/>
            <w:right w:val="none" w:sz="0" w:space="0" w:color="auto"/>
          </w:divBdr>
          <w:divsChild>
            <w:div w:id="1313294526">
              <w:marLeft w:val="0"/>
              <w:marRight w:val="0"/>
              <w:marTop w:val="0"/>
              <w:marBottom w:val="0"/>
              <w:divBdr>
                <w:top w:val="none" w:sz="0" w:space="0" w:color="auto"/>
                <w:left w:val="none" w:sz="0" w:space="0" w:color="auto"/>
                <w:bottom w:val="none" w:sz="0" w:space="0" w:color="auto"/>
                <w:right w:val="none" w:sz="0" w:space="0" w:color="auto"/>
              </w:divBdr>
            </w:div>
          </w:divsChild>
        </w:div>
        <w:div w:id="1205484945">
          <w:marLeft w:val="0"/>
          <w:marRight w:val="0"/>
          <w:marTop w:val="0"/>
          <w:marBottom w:val="0"/>
          <w:divBdr>
            <w:top w:val="none" w:sz="0" w:space="0" w:color="auto"/>
            <w:left w:val="none" w:sz="0" w:space="0" w:color="auto"/>
            <w:bottom w:val="none" w:sz="0" w:space="0" w:color="auto"/>
            <w:right w:val="none" w:sz="0" w:space="0" w:color="auto"/>
          </w:divBdr>
        </w:div>
        <w:div w:id="1875342786">
          <w:marLeft w:val="0"/>
          <w:marRight w:val="0"/>
          <w:marTop w:val="0"/>
          <w:marBottom w:val="0"/>
          <w:divBdr>
            <w:top w:val="none" w:sz="0" w:space="0" w:color="auto"/>
            <w:left w:val="none" w:sz="0" w:space="0" w:color="auto"/>
            <w:bottom w:val="none" w:sz="0" w:space="0" w:color="auto"/>
            <w:right w:val="none" w:sz="0" w:space="0" w:color="auto"/>
          </w:divBdr>
        </w:div>
        <w:div w:id="1648048511">
          <w:marLeft w:val="0"/>
          <w:marRight w:val="0"/>
          <w:marTop w:val="0"/>
          <w:marBottom w:val="0"/>
          <w:divBdr>
            <w:top w:val="none" w:sz="0" w:space="0" w:color="auto"/>
            <w:left w:val="none" w:sz="0" w:space="0" w:color="auto"/>
            <w:bottom w:val="none" w:sz="0" w:space="0" w:color="auto"/>
            <w:right w:val="none" w:sz="0" w:space="0" w:color="auto"/>
          </w:divBdr>
          <w:divsChild>
            <w:div w:id="1082288935">
              <w:marLeft w:val="0"/>
              <w:marRight w:val="0"/>
              <w:marTop w:val="0"/>
              <w:marBottom w:val="0"/>
              <w:divBdr>
                <w:top w:val="none" w:sz="0" w:space="0" w:color="auto"/>
                <w:left w:val="none" w:sz="0" w:space="0" w:color="auto"/>
                <w:bottom w:val="none" w:sz="0" w:space="0" w:color="auto"/>
                <w:right w:val="none" w:sz="0" w:space="0" w:color="auto"/>
              </w:divBdr>
            </w:div>
          </w:divsChild>
        </w:div>
        <w:div w:id="1710253017">
          <w:marLeft w:val="0"/>
          <w:marRight w:val="0"/>
          <w:marTop w:val="0"/>
          <w:marBottom w:val="0"/>
          <w:divBdr>
            <w:top w:val="none" w:sz="0" w:space="0" w:color="auto"/>
            <w:left w:val="none" w:sz="0" w:space="0" w:color="auto"/>
            <w:bottom w:val="none" w:sz="0" w:space="0" w:color="auto"/>
            <w:right w:val="none" w:sz="0" w:space="0" w:color="auto"/>
          </w:divBdr>
        </w:div>
        <w:div w:id="877623661">
          <w:marLeft w:val="0"/>
          <w:marRight w:val="0"/>
          <w:marTop w:val="0"/>
          <w:marBottom w:val="0"/>
          <w:divBdr>
            <w:top w:val="none" w:sz="0" w:space="0" w:color="auto"/>
            <w:left w:val="none" w:sz="0" w:space="0" w:color="auto"/>
            <w:bottom w:val="none" w:sz="0" w:space="0" w:color="auto"/>
            <w:right w:val="none" w:sz="0" w:space="0" w:color="auto"/>
          </w:divBdr>
        </w:div>
        <w:div w:id="923612648">
          <w:marLeft w:val="0"/>
          <w:marRight w:val="0"/>
          <w:marTop w:val="0"/>
          <w:marBottom w:val="0"/>
          <w:divBdr>
            <w:top w:val="none" w:sz="0" w:space="0" w:color="auto"/>
            <w:left w:val="none" w:sz="0" w:space="0" w:color="auto"/>
            <w:bottom w:val="none" w:sz="0" w:space="0" w:color="auto"/>
            <w:right w:val="none" w:sz="0" w:space="0" w:color="auto"/>
          </w:divBdr>
          <w:divsChild>
            <w:div w:id="1679651926">
              <w:marLeft w:val="0"/>
              <w:marRight w:val="0"/>
              <w:marTop w:val="0"/>
              <w:marBottom w:val="0"/>
              <w:divBdr>
                <w:top w:val="none" w:sz="0" w:space="0" w:color="auto"/>
                <w:left w:val="none" w:sz="0" w:space="0" w:color="auto"/>
                <w:bottom w:val="none" w:sz="0" w:space="0" w:color="auto"/>
                <w:right w:val="none" w:sz="0" w:space="0" w:color="auto"/>
              </w:divBdr>
            </w:div>
          </w:divsChild>
        </w:div>
        <w:div w:id="393627132">
          <w:marLeft w:val="0"/>
          <w:marRight w:val="0"/>
          <w:marTop w:val="0"/>
          <w:marBottom w:val="0"/>
          <w:divBdr>
            <w:top w:val="none" w:sz="0" w:space="0" w:color="auto"/>
            <w:left w:val="none" w:sz="0" w:space="0" w:color="auto"/>
            <w:bottom w:val="none" w:sz="0" w:space="0" w:color="auto"/>
            <w:right w:val="none" w:sz="0" w:space="0" w:color="auto"/>
          </w:divBdr>
        </w:div>
        <w:div w:id="37248712">
          <w:marLeft w:val="0"/>
          <w:marRight w:val="0"/>
          <w:marTop w:val="0"/>
          <w:marBottom w:val="0"/>
          <w:divBdr>
            <w:top w:val="none" w:sz="0" w:space="0" w:color="auto"/>
            <w:left w:val="none" w:sz="0" w:space="0" w:color="auto"/>
            <w:bottom w:val="none" w:sz="0" w:space="0" w:color="auto"/>
            <w:right w:val="none" w:sz="0" w:space="0" w:color="auto"/>
          </w:divBdr>
        </w:div>
        <w:div w:id="278337976">
          <w:marLeft w:val="0"/>
          <w:marRight w:val="0"/>
          <w:marTop w:val="0"/>
          <w:marBottom w:val="0"/>
          <w:divBdr>
            <w:top w:val="none" w:sz="0" w:space="0" w:color="auto"/>
            <w:left w:val="none" w:sz="0" w:space="0" w:color="auto"/>
            <w:bottom w:val="none" w:sz="0" w:space="0" w:color="auto"/>
            <w:right w:val="none" w:sz="0" w:space="0" w:color="auto"/>
          </w:divBdr>
          <w:divsChild>
            <w:div w:id="1280987492">
              <w:marLeft w:val="0"/>
              <w:marRight w:val="0"/>
              <w:marTop w:val="0"/>
              <w:marBottom w:val="0"/>
              <w:divBdr>
                <w:top w:val="none" w:sz="0" w:space="0" w:color="auto"/>
                <w:left w:val="none" w:sz="0" w:space="0" w:color="auto"/>
                <w:bottom w:val="none" w:sz="0" w:space="0" w:color="auto"/>
                <w:right w:val="none" w:sz="0" w:space="0" w:color="auto"/>
              </w:divBdr>
            </w:div>
          </w:divsChild>
        </w:div>
        <w:div w:id="819884890">
          <w:marLeft w:val="0"/>
          <w:marRight w:val="0"/>
          <w:marTop w:val="0"/>
          <w:marBottom w:val="0"/>
          <w:divBdr>
            <w:top w:val="none" w:sz="0" w:space="0" w:color="auto"/>
            <w:left w:val="none" w:sz="0" w:space="0" w:color="auto"/>
            <w:bottom w:val="none" w:sz="0" w:space="0" w:color="auto"/>
            <w:right w:val="none" w:sz="0" w:space="0" w:color="auto"/>
          </w:divBdr>
        </w:div>
        <w:div w:id="1735738794">
          <w:marLeft w:val="0"/>
          <w:marRight w:val="0"/>
          <w:marTop w:val="0"/>
          <w:marBottom w:val="0"/>
          <w:divBdr>
            <w:top w:val="none" w:sz="0" w:space="0" w:color="auto"/>
            <w:left w:val="none" w:sz="0" w:space="0" w:color="auto"/>
            <w:bottom w:val="none" w:sz="0" w:space="0" w:color="auto"/>
            <w:right w:val="none" w:sz="0" w:space="0" w:color="auto"/>
          </w:divBdr>
        </w:div>
        <w:div w:id="99227360">
          <w:marLeft w:val="0"/>
          <w:marRight w:val="0"/>
          <w:marTop w:val="0"/>
          <w:marBottom w:val="0"/>
          <w:divBdr>
            <w:top w:val="none" w:sz="0" w:space="0" w:color="auto"/>
            <w:left w:val="none" w:sz="0" w:space="0" w:color="auto"/>
            <w:bottom w:val="none" w:sz="0" w:space="0" w:color="auto"/>
            <w:right w:val="none" w:sz="0" w:space="0" w:color="auto"/>
          </w:divBdr>
          <w:divsChild>
            <w:div w:id="418215878">
              <w:marLeft w:val="0"/>
              <w:marRight w:val="0"/>
              <w:marTop w:val="0"/>
              <w:marBottom w:val="0"/>
              <w:divBdr>
                <w:top w:val="none" w:sz="0" w:space="0" w:color="auto"/>
                <w:left w:val="none" w:sz="0" w:space="0" w:color="auto"/>
                <w:bottom w:val="none" w:sz="0" w:space="0" w:color="auto"/>
                <w:right w:val="none" w:sz="0" w:space="0" w:color="auto"/>
              </w:divBdr>
            </w:div>
          </w:divsChild>
        </w:div>
        <w:div w:id="550306947">
          <w:marLeft w:val="0"/>
          <w:marRight w:val="0"/>
          <w:marTop w:val="0"/>
          <w:marBottom w:val="0"/>
          <w:divBdr>
            <w:top w:val="none" w:sz="0" w:space="0" w:color="auto"/>
            <w:left w:val="none" w:sz="0" w:space="0" w:color="auto"/>
            <w:bottom w:val="none" w:sz="0" w:space="0" w:color="auto"/>
            <w:right w:val="none" w:sz="0" w:space="0" w:color="auto"/>
          </w:divBdr>
        </w:div>
        <w:div w:id="704062166">
          <w:marLeft w:val="0"/>
          <w:marRight w:val="0"/>
          <w:marTop w:val="0"/>
          <w:marBottom w:val="0"/>
          <w:divBdr>
            <w:top w:val="none" w:sz="0" w:space="0" w:color="auto"/>
            <w:left w:val="none" w:sz="0" w:space="0" w:color="auto"/>
            <w:bottom w:val="none" w:sz="0" w:space="0" w:color="auto"/>
            <w:right w:val="none" w:sz="0" w:space="0" w:color="auto"/>
          </w:divBdr>
        </w:div>
        <w:div w:id="1074936503">
          <w:marLeft w:val="0"/>
          <w:marRight w:val="0"/>
          <w:marTop w:val="0"/>
          <w:marBottom w:val="0"/>
          <w:divBdr>
            <w:top w:val="none" w:sz="0" w:space="0" w:color="auto"/>
            <w:left w:val="none" w:sz="0" w:space="0" w:color="auto"/>
            <w:bottom w:val="none" w:sz="0" w:space="0" w:color="auto"/>
            <w:right w:val="none" w:sz="0" w:space="0" w:color="auto"/>
          </w:divBdr>
          <w:divsChild>
            <w:div w:id="2143420701">
              <w:marLeft w:val="0"/>
              <w:marRight w:val="0"/>
              <w:marTop w:val="0"/>
              <w:marBottom w:val="0"/>
              <w:divBdr>
                <w:top w:val="none" w:sz="0" w:space="0" w:color="auto"/>
                <w:left w:val="none" w:sz="0" w:space="0" w:color="auto"/>
                <w:bottom w:val="none" w:sz="0" w:space="0" w:color="auto"/>
                <w:right w:val="none" w:sz="0" w:space="0" w:color="auto"/>
              </w:divBdr>
            </w:div>
          </w:divsChild>
        </w:div>
        <w:div w:id="647638225">
          <w:marLeft w:val="0"/>
          <w:marRight w:val="0"/>
          <w:marTop w:val="0"/>
          <w:marBottom w:val="0"/>
          <w:divBdr>
            <w:top w:val="none" w:sz="0" w:space="0" w:color="auto"/>
            <w:left w:val="none" w:sz="0" w:space="0" w:color="auto"/>
            <w:bottom w:val="none" w:sz="0" w:space="0" w:color="auto"/>
            <w:right w:val="none" w:sz="0" w:space="0" w:color="auto"/>
          </w:divBdr>
        </w:div>
        <w:div w:id="1861552541">
          <w:marLeft w:val="0"/>
          <w:marRight w:val="0"/>
          <w:marTop w:val="0"/>
          <w:marBottom w:val="0"/>
          <w:divBdr>
            <w:top w:val="none" w:sz="0" w:space="0" w:color="auto"/>
            <w:left w:val="none" w:sz="0" w:space="0" w:color="auto"/>
            <w:bottom w:val="none" w:sz="0" w:space="0" w:color="auto"/>
            <w:right w:val="none" w:sz="0" w:space="0" w:color="auto"/>
          </w:divBdr>
        </w:div>
        <w:div w:id="1597327331">
          <w:marLeft w:val="0"/>
          <w:marRight w:val="0"/>
          <w:marTop w:val="0"/>
          <w:marBottom w:val="0"/>
          <w:divBdr>
            <w:top w:val="none" w:sz="0" w:space="0" w:color="auto"/>
            <w:left w:val="none" w:sz="0" w:space="0" w:color="auto"/>
            <w:bottom w:val="none" w:sz="0" w:space="0" w:color="auto"/>
            <w:right w:val="none" w:sz="0" w:space="0" w:color="auto"/>
          </w:divBdr>
          <w:divsChild>
            <w:div w:id="1593974388">
              <w:marLeft w:val="0"/>
              <w:marRight w:val="0"/>
              <w:marTop w:val="0"/>
              <w:marBottom w:val="0"/>
              <w:divBdr>
                <w:top w:val="none" w:sz="0" w:space="0" w:color="auto"/>
                <w:left w:val="none" w:sz="0" w:space="0" w:color="auto"/>
                <w:bottom w:val="none" w:sz="0" w:space="0" w:color="auto"/>
                <w:right w:val="none" w:sz="0" w:space="0" w:color="auto"/>
              </w:divBdr>
            </w:div>
          </w:divsChild>
        </w:div>
        <w:div w:id="1518303319">
          <w:marLeft w:val="0"/>
          <w:marRight w:val="0"/>
          <w:marTop w:val="0"/>
          <w:marBottom w:val="0"/>
          <w:divBdr>
            <w:top w:val="none" w:sz="0" w:space="0" w:color="auto"/>
            <w:left w:val="none" w:sz="0" w:space="0" w:color="auto"/>
            <w:bottom w:val="none" w:sz="0" w:space="0" w:color="auto"/>
            <w:right w:val="none" w:sz="0" w:space="0" w:color="auto"/>
          </w:divBdr>
        </w:div>
        <w:div w:id="1074350973">
          <w:marLeft w:val="0"/>
          <w:marRight w:val="0"/>
          <w:marTop w:val="0"/>
          <w:marBottom w:val="0"/>
          <w:divBdr>
            <w:top w:val="none" w:sz="0" w:space="0" w:color="auto"/>
            <w:left w:val="none" w:sz="0" w:space="0" w:color="auto"/>
            <w:bottom w:val="none" w:sz="0" w:space="0" w:color="auto"/>
            <w:right w:val="none" w:sz="0" w:space="0" w:color="auto"/>
          </w:divBdr>
        </w:div>
        <w:div w:id="62871886">
          <w:marLeft w:val="0"/>
          <w:marRight w:val="0"/>
          <w:marTop w:val="0"/>
          <w:marBottom w:val="0"/>
          <w:divBdr>
            <w:top w:val="none" w:sz="0" w:space="0" w:color="auto"/>
            <w:left w:val="none" w:sz="0" w:space="0" w:color="auto"/>
            <w:bottom w:val="none" w:sz="0" w:space="0" w:color="auto"/>
            <w:right w:val="none" w:sz="0" w:space="0" w:color="auto"/>
          </w:divBdr>
          <w:divsChild>
            <w:div w:id="414668312">
              <w:marLeft w:val="0"/>
              <w:marRight w:val="0"/>
              <w:marTop w:val="0"/>
              <w:marBottom w:val="0"/>
              <w:divBdr>
                <w:top w:val="none" w:sz="0" w:space="0" w:color="auto"/>
                <w:left w:val="none" w:sz="0" w:space="0" w:color="auto"/>
                <w:bottom w:val="none" w:sz="0" w:space="0" w:color="auto"/>
                <w:right w:val="none" w:sz="0" w:space="0" w:color="auto"/>
              </w:divBdr>
            </w:div>
          </w:divsChild>
        </w:div>
        <w:div w:id="931666594">
          <w:marLeft w:val="0"/>
          <w:marRight w:val="0"/>
          <w:marTop w:val="0"/>
          <w:marBottom w:val="0"/>
          <w:divBdr>
            <w:top w:val="none" w:sz="0" w:space="0" w:color="auto"/>
            <w:left w:val="none" w:sz="0" w:space="0" w:color="auto"/>
            <w:bottom w:val="none" w:sz="0" w:space="0" w:color="auto"/>
            <w:right w:val="none" w:sz="0" w:space="0" w:color="auto"/>
          </w:divBdr>
        </w:div>
        <w:div w:id="1171484044">
          <w:marLeft w:val="0"/>
          <w:marRight w:val="0"/>
          <w:marTop w:val="0"/>
          <w:marBottom w:val="0"/>
          <w:divBdr>
            <w:top w:val="none" w:sz="0" w:space="0" w:color="auto"/>
            <w:left w:val="none" w:sz="0" w:space="0" w:color="auto"/>
            <w:bottom w:val="none" w:sz="0" w:space="0" w:color="auto"/>
            <w:right w:val="none" w:sz="0" w:space="0" w:color="auto"/>
          </w:divBdr>
        </w:div>
        <w:div w:id="1041633944">
          <w:marLeft w:val="0"/>
          <w:marRight w:val="0"/>
          <w:marTop w:val="0"/>
          <w:marBottom w:val="0"/>
          <w:divBdr>
            <w:top w:val="none" w:sz="0" w:space="0" w:color="auto"/>
            <w:left w:val="none" w:sz="0" w:space="0" w:color="auto"/>
            <w:bottom w:val="none" w:sz="0" w:space="0" w:color="auto"/>
            <w:right w:val="none" w:sz="0" w:space="0" w:color="auto"/>
          </w:divBdr>
          <w:divsChild>
            <w:div w:id="1049111049">
              <w:marLeft w:val="0"/>
              <w:marRight w:val="0"/>
              <w:marTop w:val="0"/>
              <w:marBottom w:val="0"/>
              <w:divBdr>
                <w:top w:val="none" w:sz="0" w:space="0" w:color="auto"/>
                <w:left w:val="none" w:sz="0" w:space="0" w:color="auto"/>
                <w:bottom w:val="none" w:sz="0" w:space="0" w:color="auto"/>
                <w:right w:val="none" w:sz="0" w:space="0" w:color="auto"/>
              </w:divBdr>
            </w:div>
          </w:divsChild>
        </w:div>
        <w:div w:id="1668244733">
          <w:marLeft w:val="0"/>
          <w:marRight w:val="0"/>
          <w:marTop w:val="0"/>
          <w:marBottom w:val="0"/>
          <w:divBdr>
            <w:top w:val="none" w:sz="0" w:space="0" w:color="auto"/>
            <w:left w:val="none" w:sz="0" w:space="0" w:color="auto"/>
            <w:bottom w:val="none" w:sz="0" w:space="0" w:color="auto"/>
            <w:right w:val="none" w:sz="0" w:space="0" w:color="auto"/>
          </w:divBdr>
        </w:div>
        <w:div w:id="1815566228">
          <w:marLeft w:val="0"/>
          <w:marRight w:val="0"/>
          <w:marTop w:val="0"/>
          <w:marBottom w:val="0"/>
          <w:divBdr>
            <w:top w:val="none" w:sz="0" w:space="0" w:color="auto"/>
            <w:left w:val="none" w:sz="0" w:space="0" w:color="auto"/>
            <w:bottom w:val="none" w:sz="0" w:space="0" w:color="auto"/>
            <w:right w:val="none" w:sz="0" w:space="0" w:color="auto"/>
          </w:divBdr>
        </w:div>
        <w:div w:id="1955207911">
          <w:marLeft w:val="0"/>
          <w:marRight w:val="0"/>
          <w:marTop w:val="0"/>
          <w:marBottom w:val="0"/>
          <w:divBdr>
            <w:top w:val="none" w:sz="0" w:space="0" w:color="auto"/>
            <w:left w:val="none" w:sz="0" w:space="0" w:color="auto"/>
            <w:bottom w:val="none" w:sz="0" w:space="0" w:color="auto"/>
            <w:right w:val="none" w:sz="0" w:space="0" w:color="auto"/>
          </w:divBdr>
          <w:divsChild>
            <w:div w:id="1554199242">
              <w:marLeft w:val="0"/>
              <w:marRight w:val="0"/>
              <w:marTop w:val="0"/>
              <w:marBottom w:val="0"/>
              <w:divBdr>
                <w:top w:val="none" w:sz="0" w:space="0" w:color="auto"/>
                <w:left w:val="none" w:sz="0" w:space="0" w:color="auto"/>
                <w:bottom w:val="none" w:sz="0" w:space="0" w:color="auto"/>
                <w:right w:val="none" w:sz="0" w:space="0" w:color="auto"/>
              </w:divBdr>
            </w:div>
          </w:divsChild>
        </w:div>
        <w:div w:id="566260984">
          <w:marLeft w:val="0"/>
          <w:marRight w:val="0"/>
          <w:marTop w:val="0"/>
          <w:marBottom w:val="0"/>
          <w:divBdr>
            <w:top w:val="none" w:sz="0" w:space="0" w:color="auto"/>
            <w:left w:val="none" w:sz="0" w:space="0" w:color="auto"/>
            <w:bottom w:val="none" w:sz="0" w:space="0" w:color="auto"/>
            <w:right w:val="none" w:sz="0" w:space="0" w:color="auto"/>
          </w:divBdr>
        </w:div>
        <w:div w:id="2033914639">
          <w:marLeft w:val="0"/>
          <w:marRight w:val="0"/>
          <w:marTop w:val="0"/>
          <w:marBottom w:val="0"/>
          <w:divBdr>
            <w:top w:val="none" w:sz="0" w:space="0" w:color="auto"/>
            <w:left w:val="none" w:sz="0" w:space="0" w:color="auto"/>
            <w:bottom w:val="none" w:sz="0" w:space="0" w:color="auto"/>
            <w:right w:val="none" w:sz="0" w:space="0" w:color="auto"/>
          </w:divBdr>
        </w:div>
        <w:div w:id="613362488">
          <w:marLeft w:val="0"/>
          <w:marRight w:val="0"/>
          <w:marTop w:val="0"/>
          <w:marBottom w:val="0"/>
          <w:divBdr>
            <w:top w:val="none" w:sz="0" w:space="0" w:color="auto"/>
            <w:left w:val="none" w:sz="0" w:space="0" w:color="auto"/>
            <w:bottom w:val="none" w:sz="0" w:space="0" w:color="auto"/>
            <w:right w:val="none" w:sz="0" w:space="0" w:color="auto"/>
          </w:divBdr>
          <w:divsChild>
            <w:div w:id="618805797">
              <w:marLeft w:val="0"/>
              <w:marRight w:val="0"/>
              <w:marTop w:val="0"/>
              <w:marBottom w:val="0"/>
              <w:divBdr>
                <w:top w:val="none" w:sz="0" w:space="0" w:color="auto"/>
                <w:left w:val="none" w:sz="0" w:space="0" w:color="auto"/>
                <w:bottom w:val="none" w:sz="0" w:space="0" w:color="auto"/>
                <w:right w:val="none" w:sz="0" w:space="0" w:color="auto"/>
              </w:divBdr>
            </w:div>
          </w:divsChild>
        </w:div>
        <w:div w:id="334386728">
          <w:marLeft w:val="0"/>
          <w:marRight w:val="0"/>
          <w:marTop w:val="0"/>
          <w:marBottom w:val="0"/>
          <w:divBdr>
            <w:top w:val="none" w:sz="0" w:space="0" w:color="auto"/>
            <w:left w:val="none" w:sz="0" w:space="0" w:color="auto"/>
            <w:bottom w:val="none" w:sz="0" w:space="0" w:color="auto"/>
            <w:right w:val="none" w:sz="0" w:space="0" w:color="auto"/>
          </w:divBdr>
        </w:div>
        <w:div w:id="1746491435">
          <w:marLeft w:val="0"/>
          <w:marRight w:val="0"/>
          <w:marTop w:val="0"/>
          <w:marBottom w:val="0"/>
          <w:divBdr>
            <w:top w:val="none" w:sz="0" w:space="0" w:color="auto"/>
            <w:left w:val="none" w:sz="0" w:space="0" w:color="auto"/>
            <w:bottom w:val="none" w:sz="0" w:space="0" w:color="auto"/>
            <w:right w:val="none" w:sz="0" w:space="0" w:color="auto"/>
          </w:divBdr>
        </w:div>
        <w:div w:id="1481388578">
          <w:marLeft w:val="0"/>
          <w:marRight w:val="0"/>
          <w:marTop w:val="0"/>
          <w:marBottom w:val="0"/>
          <w:divBdr>
            <w:top w:val="none" w:sz="0" w:space="0" w:color="auto"/>
            <w:left w:val="none" w:sz="0" w:space="0" w:color="auto"/>
            <w:bottom w:val="none" w:sz="0" w:space="0" w:color="auto"/>
            <w:right w:val="none" w:sz="0" w:space="0" w:color="auto"/>
          </w:divBdr>
          <w:divsChild>
            <w:div w:id="190074150">
              <w:marLeft w:val="0"/>
              <w:marRight w:val="0"/>
              <w:marTop w:val="0"/>
              <w:marBottom w:val="0"/>
              <w:divBdr>
                <w:top w:val="none" w:sz="0" w:space="0" w:color="auto"/>
                <w:left w:val="none" w:sz="0" w:space="0" w:color="auto"/>
                <w:bottom w:val="none" w:sz="0" w:space="0" w:color="auto"/>
                <w:right w:val="none" w:sz="0" w:space="0" w:color="auto"/>
              </w:divBdr>
            </w:div>
          </w:divsChild>
        </w:div>
        <w:div w:id="1253777828">
          <w:marLeft w:val="0"/>
          <w:marRight w:val="0"/>
          <w:marTop w:val="0"/>
          <w:marBottom w:val="0"/>
          <w:divBdr>
            <w:top w:val="none" w:sz="0" w:space="0" w:color="auto"/>
            <w:left w:val="none" w:sz="0" w:space="0" w:color="auto"/>
            <w:bottom w:val="none" w:sz="0" w:space="0" w:color="auto"/>
            <w:right w:val="none" w:sz="0" w:space="0" w:color="auto"/>
          </w:divBdr>
        </w:div>
        <w:div w:id="887184289">
          <w:marLeft w:val="0"/>
          <w:marRight w:val="0"/>
          <w:marTop w:val="0"/>
          <w:marBottom w:val="0"/>
          <w:divBdr>
            <w:top w:val="none" w:sz="0" w:space="0" w:color="auto"/>
            <w:left w:val="none" w:sz="0" w:space="0" w:color="auto"/>
            <w:bottom w:val="none" w:sz="0" w:space="0" w:color="auto"/>
            <w:right w:val="none" w:sz="0" w:space="0" w:color="auto"/>
          </w:divBdr>
        </w:div>
        <w:div w:id="1312366746">
          <w:marLeft w:val="0"/>
          <w:marRight w:val="0"/>
          <w:marTop w:val="0"/>
          <w:marBottom w:val="0"/>
          <w:divBdr>
            <w:top w:val="none" w:sz="0" w:space="0" w:color="auto"/>
            <w:left w:val="none" w:sz="0" w:space="0" w:color="auto"/>
            <w:bottom w:val="none" w:sz="0" w:space="0" w:color="auto"/>
            <w:right w:val="none" w:sz="0" w:space="0" w:color="auto"/>
          </w:divBdr>
          <w:divsChild>
            <w:div w:id="1442608078">
              <w:marLeft w:val="0"/>
              <w:marRight w:val="0"/>
              <w:marTop w:val="0"/>
              <w:marBottom w:val="0"/>
              <w:divBdr>
                <w:top w:val="none" w:sz="0" w:space="0" w:color="auto"/>
                <w:left w:val="none" w:sz="0" w:space="0" w:color="auto"/>
                <w:bottom w:val="none" w:sz="0" w:space="0" w:color="auto"/>
                <w:right w:val="none" w:sz="0" w:space="0" w:color="auto"/>
              </w:divBdr>
            </w:div>
          </w:divsChild>
        </w:div>
        <w:div w:id="944070430">
          <w:marLeft w:val="0"/>
          <w:marRight w:val="0"/>
          <w:marTop w:val="0"/>
          <w:marBottom w:val="0"/>
          <w:divBdr>
            <w:top w:val="none" w:sz="0" w:space="0" w:color="auto"/>
            <w:left w:val="none" w:sz="0" w:space="0" w:color="auto"/>
            <w:bottom w:val="none" w:sz="0" w:space="0" w:color="auto"/>
            <w:right w:val="none" w:sz="0" w:space="0" w:color="auto"/>
          </w:divBdr>
        </w:div>
        <w:div w:id="893542251">
          <w:marLeft w:val="0"/>
          <w:marRight w:val="0"/>
          <w:marTop w:val="0"/>
          <w:marBottom w:val="0"/>
          <w:divBdr>
            <w:top w:val="none" w:sz="0" w:space="0" w:color="auto"/>
            <w:left w:val="none" w:sz="0" w:space="0" w:color="auto"/>
            <w:bottom w:val="none" w:sz="0" w:space="0" w:color="auto"/>
            <w:right w:val="none" w:sz="0" w:space="0" w:color="auto"/>
          </w:divBdr>
        </w:div>
        <w:div w:id="1076131869">
          <w:marLeft w:val="0"/>
          <w:marRight w:val="0"/>
          <w:marTop w:val="0"/>
          <w:marBottom w:val="0"/>
          <w:divBdr>
            <w:top w:val="none" w:sz="0" w:space="0" w:color="auto"/>
            <w:left w:val="none" w:sz="0" w:space="0" w:color="auto"/>
            <w:bottom w:val="none" w:sz="0" w:space="0" w:color="auto"/>
            <w:right w:val="none" w:sz="0" w:space="0" w:color="auto"/>
          </w:divBdr>
          <w:divsChild>
            <w:div w:id="785973837">
              <w:marLeft w:val="0"/>
              <w:marRight w:val="0"/>
              <w:marTop w:val="0"/>
              <w:marBottom w:val="0"/>
              <w:divBdr>
                <w:top w:val="none" w:sz="0" w:space="0" w:color="auto"/>
                <w:left w:val="none" w:sz="0" w:space="0" w:color="auto"/>
                <w:bottom w:val="none" w:sz="0" w:space="0" w:color="auto"/>
                <w:right w:val="none" w:sz="0" w:space="0" w:color="auto"/>
              </w:divBdr>
            </w:div>
          </w:divsChild>
        </w:div>
        <w:div w:id="315382322">
          <w:marLeft w:val="0"/>
          <w:marRight w:val="0"/>
          <w:marTop w:val="0"/>
          <w:marBottom w:val="0"/>
          <w:divBdr>
            <w:top w:val="none" w:sz="0" w:space="0" w:color="auto"/>
            <w:left w:val="none" w:sz="0" w:space="0" w:color="auto"/>
            <w:bottom w:val="none" w:sz="0" w:space="0" w:color="auto"/>
            <w:right w:val="none" w:sz="0" w:space="0" w:color="auto"/>
          </w:divBdr>
        </w:div>
        <w:div w:id="1647663898">
          <w:marLeft w:val="0"/>
          <w:marRight w:val="0"/>
          <w:marTop w:val="0"/>
          <w:marBottom w:val="0"/>
          <w:divBdr>
            <w:top w:val="none" w:sz="0" w:space="0" w:color="auto"/>
            <w:left w:val="none" w:sz="0" w:space="0" w:color="auto"/>
            <w:bottom w:val="none" w:sz="0" w:space="0" w:color="auto"/>
            <w:right w:val="none" w:sz="0" w:space="0" w:color="auto"/>
          </w:divBdr>
        </w:div>
        <w:div w:id="572659819">
          <w:marLeft w:val="0"/>
          <w:marRight w:val="0"/>
          <w:marTop w:val="0"/>
          <w:marBottom w:val="0"/>
          <w:divBdr>
            <w:top w:val="none" w:sz="0" w:space="0" w:color="auto"/>
            <w:left w:val="none" w:sz="0" w:space="0" w:color="auto"/>
            <w:bottom w:val="none" w:sz="0" w:space="0" w:color="auto"/>
            <w:right w:val="none" w:sz="0" w:space="0" w:color="auto"/>
          </w:divBdr>
          <w:divsChild>
            <w:div w:id="198276258">
              <w:marLeft w:val="0"/>
              <w:marRight w:val="0"/>
              <w:marTop w:val="0"/>
              <w:marBottom w:val="0"/>
              <w:divBdr>
                <w:top w:val="none" w:sz="0" w:space="0" w:color="auto"/>
                <w:left w:val="none" w:sz="0" w:space="0" w:color="auto"/>
                <w:bottom w:val="none" w:sz="0" w:space="0" w:color="auto"/>
                <w:right w:val="none" w:sz="0" w:space="0" w:color="auto"/>
              </w:divBdr>
            </w:div>
          </w:divsChild>
        </w:div>
        <w:div w:id="1364597883">
          <w:marLeft w:val="0"/>
          <w:marRight w:val="0"/>
          <w:marTop w:val="0"/>
          <w:marBottom w:val="0"/>
          <w:divBdr>
            <w:top w:val="none" w:sz="0" w:space="0" w:color="auto"/>
            <w:left w:val="none" w:sz="0" w:space="0" w:color="auto"/>
            <w:bottom w:val="none" w:sz="0" w:space="0" w:color="auto"/>
            <w:right w:val="none" w:sz="0" w:space="0" w:color="auto"/>
          </w:divBdr>
        </w:div>
        <w:div w:id="883566079">
          <w:marLeft w:val="0"/>
          <w:marRight w:val="0"/>
          <w:marTop w:val="0"/>
          <w:marBottom w:val="0"/>
          <w:divBdr>
            <w:top w:val="none" w:sz="0" w:space="0" w:color="auto"/>
            <w:left w:val="none" w:sz="0" w:space="0" w:color="auto"/>
            <w:bottom w:val="none" w:sz="0" w:space="0" w:color="auto"/>
            <w:right w:val="none" w:sz="0" w:space="0" w:color="auto"/>
          </w:divBdr>
        </w:div>
        <w:div w:id="1053577710">
          <w:marLeft w:val="0"/>
          <w:marRight w:val="0"/>
          <w:marTop w:val="0"/>
          <w:marBottom w:val="0"/>
          <w:divBdr>
            <w:top w:val="none" w:sz="0" w:space="0" w:color="auto"/>
            <w:left w:val="none" w:sz="0" w:space="0" w:color="auto"/>
            <w:bottom w:val="none" w:sz="0" w:space="0" w:color="auto"/>
            <w:right w:val="none" w:sz="0" w:space="0" w:color="auto"/>
          </w:divBdr>
          <w:divsChild>
            <w:div w:id="718280430">
              <w:marLeft w:val="0"/>
              <w:marRight w:val="0"/>
              <w:marTop w:val="0"/>
              <w:marBottom w:val="0"/>
              <w:divBdr>
                <w:top w:val="none" w:sz="0" w:space="0" w:color="auto"/>
                <w:left w:val="none" w:sz="0" w:space="0" w:color="auto"/>
                <w:bottom w:val="none" w:sz="0" w:space="0" w:color="auto"/>
                <w:right w:val="none" w:sz="0" w:space="0" w:color="auto"/>
              </w:divBdr>
            </w:div>
          </w:divsChild>
        </w:div>
        <w:div w:id="770124569">
          <w:marLeft w:val="0"/>
          <w:marRight w:val="0"/>
          <w:marTop w:val="0"/>
          <w:marBottom w:val="0"/>
          <w:divBdr>
            <w:top w:val="none" w:sz="0" w:space="0" w:color="auto"/>
            <w:left w:val="none" w:sz="0" w:space="0" w:color="auto"/>
            <w:bottom w:val="none" w:sz="0" w:space="0" w:color="auto"/>
            <w:right w:val="none" w:sz="0" w:space="0" w:color="auto"/>
          </w:divBdr>
        </w:div>
        <w:div w:id="66146680">
          <w:marLeft w:val="0"/>
          <w:marRight w:val="0"/>
          <w:marTop w:val="0"/>
          <w:marBottom w:val="0"/>
          <w:divBdr>
            <w:top w:val="none" w:sz="0" w:space="0" w:color="auto"/>
            <w:left w:val="none" w:sz="0" w:space="0" w:color="auto"/>
            <w:bottom w:val="none" w:sz="0" w:space="0" w:color="auto"/>
            <w:right w:val="none" w:sz="0" w:space="0" w:color="auto"/>
          </w:divBdr>
        </w:div>
        <w:div w:id="324669442">
          <w:marLeft w:val="0"/>
          <w:marRight w:val="0"/>
          <w:marTop w:val="0"/>
          <w:marBottom w:val="0"/>
          <w:divBdr>
            <w:top w:val="none" w:sz="0" w:space="0" w:color="auto"/>
            <w:left w:val="none" w:sz="0" w:space="0" w:color="auto"/>
            <w:bottom w:val="none" w:sz="0" w:space="0" w:color="auto"/>
            <w:right w:val="none" w:sz="0" w:space="0" w:color="auto"/>
          </w:divBdr>
          <w:divsChild>
            <w:div w:id="431050031">
              <w:marLeft w:val="0"/>
              <w:marRight w:val="0"/>
              <w:marTop w:val="0"/>
              <w:marBottom w:val="0"/>
              <w:divBdr>
                <w:top w:val="none" w:sz="0" w:space="0" w:color="auto"/>
                <w:left w:val="none" w:sz="0" w:space="0" w:color="auto"/>
                <w:bottom w:val="none" w:sz="0" w:space="0" w:color="auto"/>
                <w:right w:val="none" w:sz="0" w:space="0" w:color="auto"/>
              </w:divBdr>
            </w:div>
          </w:divsChild>
        </w:div>
        <w:div w:id="524639512">
          <w:marLeft w:val="0"/>
          <w:marRight w:val="0"/>
          <w:marTop w:val="0"/>
          <w:marBottom w:val="0"/>
          <w:divBdr>
            <w:top w:val="none" w:sz="0" w:space="0" w:color="auto"/>
            <w:left w:val="none" w:sz="0" w:space="0" w:color="auto"/>
            <w:bottom w:val="none" w:sz="0" w:space="0" w:color="auto"/>
            <w:right w:val="none" w:sz="0" w:space="0" w:color="auto"/>
          </w:divBdr>
        </w:div>
        <w:div w:id="1986350625">
          <w:marLeft w:val="0"/>
          <w:marRight w:val="0"/>
          <w:marTop w:val="0"/>
          <w:marBottom w:val="0"/>
          <w:divBdr>
            <w:top w:val="none" w:sz="0" w:space="0" w:color="auto"/>
            <w:left w:val="none" w:sz="0" w:space="0" w:color="auto"/>
            <w:bottom w:val="none" w:sz="0" w:space="0" w:color="auto"/>
            <w:right w:val="none" w:sz="0" w:space="0" w:color="auto"/>
          </w:divBdr>
        </w:div>
        <w:div w:id="1048454436">
          <w:marLeft w:val="0"/>
          <w:marRight w:val="0"/>
          <w:marTop w:val="0"/>
          <w:marBottom w:val="0"/>
          <w:divBdr>
            <w:top w:val="none" w:sz="0" w:space="0" w:color="auto"/>
            <w:left w:val="none" w:sz="0" w:space="0" w:color="auto"/>
            <w:bottom w:val="none" w:sz="0" w:space="0" w:color="auto"/>
            <w:right w:val="none" w:sz="0" w:space="0" w:color="auto"/>
          </w:divBdr>
          <w:divsChild>
            <w:div w:id="1690713684">
              <w:marLeft w:val="0"/>
              <w:marRight w:val="0"/>
              <w:marTop w:val="0"/>
              <w:marBottom w:val="0"/>
              <w:divBdr>
                <w:top w:val="none" w:sz="0" w:space="0" w:color="auto"/>
                <w:left w:val="none" w:sz="0" w:space="0" w:color="auto"/>
                <w:bottom w:val="none" w:sz="0" w:space="0" w:color="auto"/>
                <w:right w:val="none" w:sz="0" w:space="0" w:color="auto"/>
              </w:divBdr>
            </w:div>
          </w:divsChild>
        </w:div>
        <w:div w:id="1981109307">
          <w:marLeft w:val="0"/>
          <w:marRight w:val="0"/>
          <w:marTop w:val="0"/>
          <w:marBottom w:val="0"/>
          <w:divBdr>
            <w:top w:val="none" w:sz="0" w:space="0" w:color="auto"/>
            <w:left w:val="none" w:sz="0" w:space="0" w:color="auto"/>
            <w:bottom w:val="none" w:sz="0" w:space="0" w:color="auto"/>
            <w:right w:val="none" w:sz="0" w:space="0" w:color="auto"/>
          </w:divBdr>
        </w:div>
        <w:div w:id="253170206">
          <w:marLeft w:val="0"/>
          <w:marRight w:val="0"/>
          <w:marTop w:val="0"/>
          <w:marBottom w:val="0"/>
          <w:divBdr>
            <w:top w:val="none" w:sz="0" w:space="0" w:color="auto"/>
            <w:left w:val="none" w:sz="0" w:space="0" w:color="auto"/>
            <w:bottom w:val="none" w:sz="0" w:space="0" w:color="auto"/>
            <w:right w:val="none" w:sz="0" w:space="0" w:color="auto"/>
          </w:divBdr>
        </w:div>
        <w:div w:id="36590893">
          <w:marLeft w:val="0"/>
          <w:marRight w:val="0"/>
          <w:marTop w:val="0"/>
          <w:marBottom w:val="0"/>
          <w:divBdr>
            <w:top w:val="none" w:sz="0" w:space="0" w:color="auto"/>
            <w:left w:val="none" w:sz="0" w:space="0" w:color="auto"/>
            <w:bottom w:val="none" w:sz="0" w:space="0" w:color="auto"/>
            <w:right w:val="none" w:sz="0" w:space="0" w:color="auto"/>
          </w:divBdr>
          <w:divsChild>
            <w:div w:id="134372485">
              <w:marLeft w:val="0"/>
              <w:marRight w:val="0"/>
              <w:marTop w:val="0"/>
              <w:marBottom w:val="0"/>
              <w:divBdr>
                <w:top w:val="none" w:sz="0" w:space="0" w:color="auto"/>
                <w:left w:val="none" w:sz="0" w:space="0" w:color="auto"/>
                <w:bottom w:val="none" w:sz="0" w:space="0" w:color="auto"/>
                <w:right w:val="none" w:sz="0" w:space="0" w:color="auto"/>
              </w:divBdr>
            </w:div>
          </w:divsChild>
        </w:div>
        <w:div w:id="1053622288">
          <w:marLeft w:val="0"/>
          <w:marRight w:val="0"/>
          <w:marTop w:val="0"/>
          <w:marBottom w:val="0"/>
          <w:divBdr>
            <w:top w:val="none" w:sz="0" w:space="0" w:color="auto"/>
            <w:left w:val="none" w:sz="0" w:space="0" w:color="auto"/>
            <w:bottom w:val="none" w:sz="0" w:space="0" w:color="auto"/>
            <w:right w:val="none" w:sz="0" w:space="0" w:color="auto"/>
          </w:divBdr>
        </w:div>
        <w:div w:id="1854345193">
          <w:marLeft w:val="0"/>
          <w:marRight w:val="0"/>
          <w:marTop w:val="0"/>
          <w:marBottom w:val="0"/>
          <w:divBdr>
            <w:top w:val="none" w:sz="0" w:space="0" w:color="auto"/>
            <w:left w:val="none" w:sz="0" w:space="0" w:color="auto"/>
            <w:bottom w:val="none" w:sz="0" w:space="0" w:color="auto"/>
            <w:right w:val="none" w:sz="0" w:space="0" w:color="auto"/>
          </w:divBdr>
        </w:div>
        <w:div w:id="2093037951">
          <w:marLeft w:val="0"/>
          <w:marRight w:val="0"/>
          <w:marTop w:val="0"/>
          <w:marBottom w:val="0"/>
          <w:divBdr>
            <w:top w:val="none" w:sz="0" w:space="0" w:color="auto"/>
            <w:left w:val="none" w:sz="0" w:space="0" w:color="auto"/>
            <w:bottom w:val="none" w:sz="0" w:space="0" w:color="auto"/>
            <w:right w:val="none" w:sz="0" w:space="0" w:color="auto"/>
          </w:divBdr>
          <w:divsChild>
            <w:div w:id="2030522924">
              <w:marLeft w:val="0"/>
              <w:marRight w:val="0"/>
              <w:marTop w:val="0"/>
              <w:marBottom w:val="0"/>
              <w:divBdr>
                <w:top w:val="none" w:sz="0" w:space="0" w:color="auto"/>
                <w:left w:val="none" w:sz="0" w:space="0" w:color="auto"/>
                <w:bottom w:val="none" w:sz="0" w:space="0" w:color="auto"/>
                <w:right w:val="none" w:sz="0" w:space="0" w:color="auto"/>
              </w:divBdr>
            </w:div>
          </w:divsChild>
        </w:div>
        <w:div w:id="1582442597">
          <w:marLeft w:val="0"/>
          <w:marRight w:val="0"/>
          <w:marTop w:val="0"/>
          <w:marBottom w:val="0"/>
          <w:divBdr>
            <w:top w:val="none" w:sz="0" w:space="0" w:color="auto"/>
            <w:left w:val="none" w:sz="0" w:space="0" w:color="auto"/>
            <w:bottom w:val="none" w:sz="0" w:space="0" w:color="auto"/>
            <w:right w:val="none" w:sz="0" w:space="0" w:color="auto"/>
          </w:divBdr>
        </w:div>
        <w:div w:id="1151095440">
          <w:marLeft w:val="0"/>
          <w:marRight w:val="0"/>
          <w:marTop w:val="0"/>
          <w:marBottom w:val="0"/>
          <w:divBdr>
            <w:top w:val="none" w:sz="0" w:space="0" w:color="auto"/>
            <w:left w:val="none" w:sz="0" w:space="0" w:color="auto"/>
            <w:bottom w:val="none" w:sz="0" w:space="0" w:color="auto"/>
            <w:right w:val="none" w:sz="0" w:space="0" w:color="auto"/>
          </w:divBdr>
        </w:div>
        <w:div w:id="1608582940">
          <w:marLeft w:val="0"/>
          <w:marRight w:val="0"/>
          <w:marTop w:val="0"/>
          <w:marBottom w:val="0"/>
          <w:divBdr>
            <w:top w:val="none" w:sz="0" w:space="0" w:color="auto"/>
            <w:left w:val="none" w:sz="0" w:space="0" w:color="auto"/>
            <w:bottom w:val="none" w:sz="0" w:space="0" w:color="auto"/>
            <w:right w:val="none" w:sz="0" w:space="0" w:color="auto"/>
          </w:divBdr>
          <w:divsChild>
            <w:div w:id="1929270157">
              <w:marLeft w:val="0"/>
              <w:marRight w:val="0"/>
              <w:marTop w:val="0"/>
              <w:marBottom w:val="0"/>
              <w:divBdr>
                <w:top w:val="none" w:sz="0" w:space="0" w:color="auto"/>
                <w:left w:val="none" w:sz="0" w:space="0" w:color="auto"/>
                <w:bottom w:val="none" w:sz="0" w:space="0" w:color="auto"/>
                <w:right w:val="none" w:sz="0" w:space="0" w:color="auto"/>
              </w:divBdr>
            </w:div>
          </w:divsChild>
        </w:div>
        <w:div w:id="1341002531">
          <w:marLeft w:val="0"/>
          <w:marRight w:val="0"/>
          <w:marTop w:val="0"/>
          <w:marBottom w:val="0"/>
          <w:divBdr>
            <w:top w:val="none" w:sz="0" w:space="0" w:color="auto"/>
            <w:left w:val="none" w:sz="0" w:space="0" w:color="auto"/>
            <w:bottom w:val="none" w:sz="0" w:space="0" w:color="auto"/>
            <w:right w:val="none" w:sz="0" w:space="0" w:color="auto"/>
          </w:divBdr>
        </w:div>
        <w:div w:id="1056320479">
          <w:marLeft w:val="0"/>
          <w:marRight w:val="0"/>
          <w:marTop w:val="0"/>
          <w:marBottom w:val="0"/>
          <w:divBdr>
            <w:top w:val="none" w:sz="0" w:space="0" w:color="auto"/>
            <w:left w:val="none" w:sz="0" w:space="0" w:color="auto"/>
            <w:bottom w:val="none" w:sz="0" w:space="0" w:color="auto"/>
            <w:right w:val="none" w:sz="0" w:space="0" w:color="auto"/>
          </w:divBdr>
        </w:div>
        <w:div w:id="1206986086">
          <w:marLeft w:val="0"/>
          <w:marRight w:val="0"/>
          <w:marTop w:val="0"/>
          <w:marBottom w:val="0"/>
          <w:divBdr>
            <w:top w:val="none" w:sz="0" w:space="0" w:color="auto"/>
            <w:left w:val="none" w:sz="0" w:space="0" w:color="auto"/>
            <w:bottom w:val="none" w:sz="0" w:space="0" w:color="auto"/>
            <w:right w:val="none" w:sz="0" w:space="0" w:color="auto"/>
          </w:divBdr>
          <w:divsChild>
            <w:div w:id="607467295">
              <w:marLeft w:val="0"/>
              <w:marRight w:val="0"/>
              <w:marTop w:val="0"/>
              <w:marBottom w:val="0"/>
              <w:divBdr>
                <w:top w:val="none" w:sz="0" w:space="0" w:color="auto"/>
                <w:left w:val="none" w:sz="0" w:space="0" w:color="auto"/>
                <w:bottom w:val="none" w:sz="0" w:space="0" w:color="auto"/>
                <w:right w:val="none" w:sz="0" w:space="0" w:color="auto"/>
              </w:divBdr>
            </w:div>
          </w:divsChild>
        </w:div>
        <w:div w:id="1073509991">
          <w:marLeft w:val="0"/>
          <w:marRight w:val="0"/>
          <w:marTop w:val="0"/>
          <w:marBottom w:val="0"/>
          <w:divBdr>
            <w:top w:val="none" w:sz="0" w:space="0" w:color="auto"/>
            <w:left w:val="none" w:sz="0" w:space="0" w:color="auto"/>
            <w:bottom w:val="none" w:sz="0" w:space="0" w:color="auto"/>
            <w:right w:val="none" w:sz="0" w:space="0" w:color="auto"/>
          </w:divBdr>
        </w:div>
        <w:div w:id="1716468830">
          <w:marLeft w:val="0"/>
          <w:marRight w:val="0"/>
          <w:marTop w:val="0"/>
          <w:marBottom w:val="0"/>
          <w:divBdr>
            <w:top w:val="none" w:sz="0" w:space="0" w:color="auto"/>
            <w:left w:val="none" w:sz="0" w:space="0" w:color="auto"/>
            <w:bottom w:val="none" w:sz="0" w:space="0" w:color="auto"/>
            <w:right w:val="none" w:sz="0" w:space="0" w:color="auto"/>
          </w:divBdr>
        </w:div>
        <w:div w:id="350573906">
          <w:marLeft w:val="0"/>
          <w:marRight w:val="0"/>
          <w:marTop w:val="0"/>
          <w:marBottom w:val="0"/>
          <w:divBdr>
            <w:top w:val="none" w:sz="0" w:space="0" w:color="auto"/>
            <w:left w:val="none" w:sz="0" w:space="0" w:color="auto"/>
            <w:bottom w:val="none" w:sz="0" w:space="0" w:color="auto"/>
            <w:right w:val="none" w:sz="0" w:space="0" w:color="auto"/>
          </w:divBdr>
          <w:divsChild>
            <w:div w:id="185560179">
              <w:marLeft w:val="0"/>
              <w:marRight w:val="0"/>
              <w:marTop w:val="0"/>
              <w:marBottom w:val="0"/>
              <w:divBdr>
                <w:top w:val="none" w:sz="0" w:space="0" w:color="auto"/>
                <w:left w:val="none" w:sz="0" w:space="0" w:color="auto"/>
                <w:bottom w:val="none" w:sz="0" w:space="0" w:color="auto"/>
                <w:right w:val="none" w:sz="0" w:space="0" w:color="auto"/>
              </w:divBdr>
            </w:div>
          </w:divsChild>
        </w:div>
        <w:div w:id="1022512170">
          <w:marLeft w:val="0"/>
          <w:marRight w:val="0"/>
          <w:marTop w:val="0"/>
          <w:marBottom w:val="0"/>
          <w:divBdr>
            <w:top w:val="none" w:sz="0" w:space="0" w:color="auto"/>
            <w:left w:val="none" w:sz="0" w:space="0" w:color="auto"/>
            <w:bottom w:val="none" w:sz="0" w:space="0" w:color="auto"/>
            <w:right w:val="none" w:sz="0" w:space="0" w:color="auto"/>
          </w:divBdr>
        </w:div>
        <w:div w:id="2080323296">
          <w:marLeft w:val="0"/>
          <w:marRight w:val="0"/>
          <w:marTop w:val="0"/>
          <w:marBottom w:val="0"/>
          <w:divBdr>
            <w:top w:val="none" w:sz="0" w:space="0" w:color="auto"/>
            <w:left w:val="none" w:sz="0" w:space="0" w:color="auto"/>
            <w:bottom w:val="none" w:sz="0" w:space="0" w:color="auto"/>
            <w:right w:val="none" w:sz="0" w:space="0" w:color="auto"/>
          </w:divBdr>
        </w:div>
        <w:div w:id="1886015925">
          <w:marLeft w:val="0"/>
          <w:marRight w:val="0"/>
          <w:marTop w:val="0"/>
          <w:marBottom w:val="0"/>
          <w:divBdr>
            <w:top w:val="none" w:sz="0" w:space="0" w:color="auto"/>
            <w:left w:val="none" w:sz="0" w:space="0" w:color="auto"/>
            <w:bottom w:val="none" w:sz="0" w:space="0" w:color="auto"/>
            <w:right w:val="none" w:sz="0" w:space="0" w:color="auto"/>
          </w:divBdr>
          <w:divsChild>
            <w:div w:id="1093159590">
              <w:marLeft w:val="0"/>
              <w:marRight w:val="0"/>
              <w:marTop w:val="0"/>
              <w:marBottom w:val="0"/>
              <w:divBdr>
                <w:top w:val="none" w:sz="0" w:space="0" w:color="auto"/>
                <w:left w:val="none" w:sz="0" w:space="0" w:color="auto"/>
                <w:bottom w:val="none" w:sz="0" w:space="0" w:color="auto"/>
                <w:right w:val="none" w:sz="0" w:space="0" w:color="auto"/>
              </w:divBdr>
            </w:div>
          </w:divsChild>
        </w:div>
        <w:div w:id="1057389203">
          <w:marLeft w:val="0"/>
          <w:marRight w:val="0"/>
          <w:marTop w:val="0"/>
          <w:marBottom w:val="0"/>
          <w:divBdr>
            <w:top w:val="none" w:sz="0" w:space="0" w:color="auto"/>
            <w:left w:val="none" w:sz="0" w:space="0" w:color="auto"/>
            <w:bottom w:val="none" w:sz="0" w:space="0" w:color="auto"/>
            <w:right w:val="none" w:sz="0" w:space="0" w:color="auto"/>
          </w:divBdr>
        </w:div>
        <w:div w:id="315573323">
          <w:marLeft w:val="0"/>
          <w:marRight w:val="0"/>
          <w:marTop w:val="0"/>
          <w:marBottom w:val="0"/>
          <w:divBdr>
            <w:top w:val="none" w:sz="0" w:space="0" w:color="auto"/>
            <w:left w:val="none" w:sz="0" w:space="0" w:color="auto"/>
            <w:bottom w:val="none" w:sz="0" w:space="0" w:color="auto"/>
            <w:right w:val="none" w:sz="0" w:space="0" w:color="auto"/>
          </w:divBdr>
        </w:div>
      </w:divsChild>
    </w:div>
    <w:div w:id="208617878">
      <w:bodyDiv w:val="1"/>
      <w:marLeft w:val="0"/>
      <w:marRight w:val="0"/>
      <w:marTop w:val="0"/>
      <w:marBottom w:val="0"/>
      <w:divBdr>
        <w:top w:val="none" w:sz="0" w:space="0" w:color="auto"/>
        <w:left w:val="none" w:sz="0" w:space="0" w:color="auto"/>
        <w:bottom w:val="none" w:sz="0" w:space="0" w:color="auto"/>
        <w:right w:val="none" w:sz="0" w:space="0" w:color="auto"/>
      </w:divBdr>
      <w:divsChild>
        <w:div w:id="1932858769">
          <w:marLeft w:val="0"/>
          <w:marRight w:val="0"/>
          <w:marTop w:val="0"/>
          <w:marBottom w:val="0"/>
          <w:divBdr>
            <w:top w:val="none" w:sz="0" w:space="0" w:color="auto"/>
            <w:left w:val="none" w:sz="0" w:space="0" w:color="auto"/>
            <w:bottom w:val="none" w:sz="0" w:space="0" w:color="auto"/>
            <w:right w:val="none" w:sz="0" w:space="0" w:color="auto"/>
          </w:divBdr>
          <w:divsChild>
            <w:div w:id="690034913">
              <w:marLeft w:val="0"/>
              <w:marRight w:val="0"/>
              <w:marTop w:val="0"/>
              <w:marBottom w:val="0"/>
              <w:divBdr>
                <w:top w:val="none" w:sz="0" w:space="0" w:color="auto"/>
                <w:left w:val="none" w:sz="0" w:space="0" w:color="auto"/>
                <w:bottom w:val="single" w:sz="6" w:space="0" w:color="CCCCCC"/>
                <w:right w:val="none" w:sz="0" w:space="0" w:color="auto"/>
              </w:divBdr>
              <w:divsChild>
                <w:div w:id="1558857602">
                  <w:marLeft w:val="0"/>
                  <w:marRight w:val="0"/>
                  <w:marTop w:val="0"/>
                  <w:marBottom w:val="0"/>
                  <w:divBdr>
                    <w:top w:val="none" w:sz="0" w:space="0" w:color="auto"/>
                    <w:left w:val="none" w:sz="0" w:space="0" w:color="auto"/>
                    <w:bottom w:val="none" w:sz="0" w:space="0" w:color="auto"/>
                    <w:right w:val="none" w:sz="0" w:space="0" w:color="auto"/>
                  </w:divBdr>
                  <w:divsChild>
                    <w:div w:id="655039989">
                      <w:marLeft w:val="0"/>
                      <w:marRight w:val="0"/>
                      <w:marTop w:val="0"/>
                      <w:marBottom w:val="0"/>
                      <w:divBdr>
                        <w:top w:val="none" w:sz="0" w:space="0" w:color="auto"/>
                        <w:left w:val="none" w:sz="0" w:space="0" w:color="auto"/>
                        <w:bottom w:val="none" w:sz="0" w:space="0" w:color="auto"/>
                        <w:right w:val="none" w:sz="0" w:space="0" w:color="auto"/>
                      </w:divBdr>
                    </w:div>
                  </w:divsChild>
                </w:div>
                <w:div w:id="1710841659">
                  <w:marLeft w:val="0"/>
                  <w:marRight w:val="0"/>
                  <w:marTop w:val="0"/>
                  <w:marBottom w:val="150"/>
                  <w:divBdr>
                    <w:top w:val="none" w:sz="0" w:space="0" w:color="auto"/>
                    <w:left w:val="none" w:sz="0" w:space="0" w:color="auto"/>
                    <w:bottom w:val="none" w:sz="0" w:space="0" w:color="auto"/>
                    <w:right w:val="none" w:sz="0" w:space="0" w:color="auto"/>
                  </w:divBdr>
                  <w:divsChild>
                    <w:div w:id="2116973906">
                      <w:marLeft w:val="0"/>
                      <w:marRight w:val="0"/>
                      <w:marTop w:val="0"/>
                      <w:marBottom w:val="0"/>
                      <w:divBdr>
                        <w:top w:val="none" w:sz="0" w:space="0" w:color="auto"/>
                        <w:left w:val="none" w:sz="0" w:space="0" w:color="auto"/>
                        <w:bottom w:val="none" w:sz="0" w:space="0" w:color="auto"/>
                        <w:right w:val="none" w:sz="0" w:space="0" w:color="auto"/>
                      </w:divBdr>
                      <w:divsChild>
                        <w:div w:id="1003433920">
                          <w:marLeft w:val="0"/>
                          <w:marRight w:val="0"/>
                          <w:marTop w:val="0"/>
                          <w:marBottom w:val="0"/>
                          <w:divBdr>
                            <w:top w:val="none" w:sz="0" w:space="0" w:color="auto"/>
                            <w:left w:val="none" w:sz="0" w:space="0" w:color="auto"/>
                            <w:bottom w:val="none" w:sz="0" w:space="0" w:color="auto"/>
                            <w:right w:val="none" w:sz="0" w:space="0" w:color="auto"/>
                          </w:divBdr>
                          <w:divsChild>
                            <w:div w:id="1811745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9670684">
                  <w:marLeft w:val="0"/>
                  <w:marRight w:val="0"/>
                  <w:marTop w:val="30"/>
                  <w:marBottom w:val="60"/>
                  <w:divBdr>
                    <w:top w:val="none" w:sz="0" w:space="0" w:color="auto"/>
                    <w:left w:val="none" w:sz="0" w:space="0" w:color="auto"/>
                    <w:bottom w:val="none" w:sz="0" w:space="0" w:color="auto"/>
                    <w:right w:val="none" w:sz="0" w:space="0" w:color="auto"/>
                  </w:divBdr>
                  <w:divsChild>
                    <w:div w:id="1791238649">
                      <w:marLeft w:val="0"/>
                      <w:marRight w:val="0"/>
                      <w:marTop w:val="0"/>
                      <w:marBottom w:val="0"/>
                      <w:divBdr>
                        <w:top w:val="none" w:sz="0" w:space="0" w:color="auto"/>
                        <w:left w:val="none" w:sz="0" w:space="0" w:color="auto"/>
                        <w:bottom w:val="none" w:sz="0" w:space="0" w:color="auto"/>
                        <w:right w:val="none" w:sz="0" w:space="0" w:color="auto"/>
                      </w:divBdr>
                      <w:divsChild>
                        <w:div w:id="1628587266">
                          <w:marLeft w:val="0"/>
                          <w:marRight w:val="0"/>
                          <w:marTop w:val="0"/>
                          <w:marBottom w:val="0"/>
                          <w:divBdr>
                            <w:top w:val="none" w:sz="0" w:space="0" w:color="auto"/>
                            <w:left w:val="none" w:sz="0" w:space="0" w:color="auto"/>
                            <w:bottom w:val="none" w:sz="0" w:space="0" w:color="auto"/>
                            <w:right w:val="none" w:sz="0" w:space="0" w:color="auto"/>
                          </w:divBdr>
                          <w:divsChild>
                            <w:div w:id="1174417153">
                              <w:marLeft w:val="0"/>
                              <w:marRight w:val="0"/>
                              <w:marTop w:val="0"/>
                              <w:marBottom w:val="0"/>
                              <w:divBdr>
                                <w:top w:val="none" w:sz="0" w:space="0" w:color="auto"/>
                                <w:left w:val="none" w:sz="0" w:space="0" w:color="auto"/>
                                <w:bottom w:val="none" w:sz="0" w:space="0" w:color="auto"/>
                                <w:right w:val="none" w:sz="0" w:space="0" w:color="auto"/>
                              </w:divBdr>
                              <w:divsChild>
                                <w:div w:id="1924295609">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155194187">
                      <w:marLeft w:val="0"/>
                      <w:marRight w:val="0"/>
                      <w:marTop w:val="0"/>
                      <w:marBottom w:val="0"/>
                      <w:divBdr>
                        <w:top w:val="none" w:sz="0" w:space="0" w:color="auto"/>
                        <w:left w:val="none" w:sz="0" w:space="0" w:color="auto"/>
                        <w:bottom w:val="none" w:sz="0" w:space="0" w:color="auto"/>
                        <w:right w:val="none" w:sz="0" w:space="0" w:color="auto"/>
                      </w:divBdr>
                      <w:divsChild>
                        <w:div w:id="173542144">
                          <w:marLeft w:val="0"/>
                          <w:marRight w:val="0"/>
                          <w:marTop w:val="0"/>
                          <w:marBottom w:val="0"/>
                          <w:divBdr>
                            <w:top w:val="none" w:sz="0" w:space="0" w:color="auto"/>
                            <w:left w:val="none" w:sz="0" w:space="0" w:color="auto"/>
                            <w:bottom w:val="none" w:sz="0" w:space="0" w:color="auto"/>
                            <w:right w:val="none" w:sz="0" w:space="0" w:color="auto"/>
                          </w:divBdr>
                          <w:divsChild>
                            <w:div w:id="1087769454">
                              <w:marLeft w:val="0"/>
                              <w:marRight w:val="0"/>
                              <w:marTop w:val="0"/>
                              <w:marBottom w:val="0"/>
                              <w:divBdr>
                                <w:top w:val="none" w:sz="0" w:space="0" w:color="auto"/>
                                <w:left w:val="none" w:sz="0" w:space="0" w:color="auto"/>
                                <w:bottom w:val="none" w:sz="0" w:space="0" w:color="auto"/>
                                <w:right w:val="none" w:sz="0" w:space="0" w:color="auto"/>
                              </w:divBdr>
                              <w:divsChild>
                                <w:div w:id="392504064">
                                  <w:marLeft w:val="0"/>
                                  <w:marRight w:val="0"/>
                                  <w:marTop w:val="0"/>
                                  <w:marBottom w:val="0"/>
                                  <w:divBdr>
                                    <w:top w:val="none" w:sz="0" w:space="0" w:color="auto"/>
                                    <w:left w:val="none" w:sz="0" w:space="0" w:color="auto"/>
                                    <w:bottom w:val="none" w:sz="0" w:space="0" w:color="auto"/>
                                    <w:right w:val="none" w:sz="0" w:space="0" w:color="auto"/>
                                  </w:divBdr>
                                  <w:divsChild>
                                    <w:div w:id="855849832">
                                      <w:marLeft w:val="0"/>
                                      <w:marRight w:val="0"/>
                                      <w:marTop w:val="0"/>
                                      <w:marBottom w:val="0"/>
                                      <w:divBdr>
                                        <w:top w:val="none" w:sz="0" w:space="0" w:color="auto"/>
                                        <w:left w:val="none" w:sz="0" w:space="0" w:color="auto"/>
                                        <w:bottom w:val="none" w:sz="0" w:space="0" w:color="auto"/>
                                        <w:right w:val="none" w:sz="0" w:space="0" w:color="auto"/>
                                      </w:divBdr>
                                      <w:divsChild>
                                        <w:div w:id="688217332">
                                          <w:marLeft w:val="0"/>
                                          <w:marRight w:val="0"/>
                                          <w:marTop w:val="0"/>
                                          <w:marBottom w:val="0"/>
                                          <w:divBdr>
                                            <w:top w:val="none" w:sz="0" w:space="0" w:color="auto"/>
                                            <w:left w:val="none" w:sz="0" w:space="0" w:color="auto"/>
                                            <w:bottom w:val="none" w:sz="0" w:space="0" w:color="auto"/>
                                            <w:right w:val="none" w:sz="0" w:space="0" w:color="auto"/>
                                          </w:divBdr>
                                          <w:divsChild>
                                            <w:div w:id="730540962">
                                              <w:marLeft w:val="0"/>
                                              <w:marRight w:val="0"/>
                                              <w:marTop w:val="0"/>
                                              <w:marBottom w:val="0"/>
                                              <w:divBdr>
                                                <w:top w:val="none" w:sz="0" w:space="0" w:color="auto"/>
                                                <w:left w:val="none" w:sz="0" w:space="0" w:color="auto"/>
                                                <w:bottom w:val="none" w:sz="0" w:space="0" w:color="auto"/>
                                                <w:right w:val="none" w:sz="0" w:space="0" w:color="auto"/>
                                              </w:divBdr>
                                              <w:divsChild>
                                                <w:div w:id="1358776483">
                                                  <w:marLeft w:val="0"/>
                                                  <w:marRight w:val="0"/>
                                                  <w:marTop w:val="0"/>
                                                  <w:marBottom w:val="0"/>
                                                  <w:divBdr>
                                                    <w:top w:val="none" w:sz="0" w:space="0" w:color="auto"/>
                                                    <w:left w:val="none" w:sz="0" w:space="0" w:color="auto"/>
                                                    <w:bottom w:val="none" w:sz="0" w:space="0" w:color="auto"/>
                                                    <w:right w:val="none" w:sz="0" w:space="0" w:color="auto"/>
                                                  </w:divBdr>
                                                  <w:divsChild>
                                                    <w:div w:id="202980612">
                                                      <w:marLeft w:val="0"/>
                                                      <w:marRight w:val="0"/>
                                                      <w:marTop w:val="0"/>
                                                      <w:marBottom w:val="0"/>
                                                      <w:divBdr>
                                                        <w:top w:val="none" w:sz="0" w:space="0" w:color="auto"/>
                                                        <w:left w:val="none" w:sz="0" w:space="0" w:color="auto"/>
                                                        <w:bottom w:val="none" w:sz="0" w:space="0" w:color="auto"/>
                                                        <w:right w:val="none" w:sz="0" w:space="0" w:color="auto"/>
                                                      </w:divBdr>
                                                      <w:divsChild>
                                                        <w:div w:id="1735540687">
                                                          <w:marLeft w:val="0"/>
                                                          <w:marRight w:val="0"/>
                                                          <w:marTop w:val="0"/>
                                                          <w:marBottom w:val="0"/>
                                                          <w:divBdr>
                                                            <w:top w:val="none" w:sz="0" w:space="0" w:color="auto"/>
                                                            <w:left w:val="none" w:sz="0" w:space="0" w:color="auto"/>
                                                            <w:bottom w:val="none" w:sz="0" w:space="0" w:color="auto"/>
                                                            <w:right w:val="none" w:sz="0" w:space="0" w:color="auto"/>
                                                          </w:divBdr>
                                                          <w:divsChild>
                                                            <w:div w:id="1819877218">
                                                              <w:marLeft w:val="0"/>
                                                              <w:marRight w:val="0"/>
                                                              <w:marTop w:val="0"/>
                                                              <w:marBottom w:val="0"/>
                                                              <w:divBdr>
                                                                <w:top w:val="none" w:sz="0" w:space="0" w:color="auto"/>
                                                                <w:left w:val="none" w:sz="0" w:space="0" w:color="auto"/>
                                                                <w:bottom w:val="none" w:sz="0" w:space="0" w:color="auto"/>
                                                                <w:right w:val="none" w:sz="0" w:space="0" w:color="auto"/>
                                                              </w:divBdr>
                                                              <w:divsChild>
                                                                <w:div w:id="202333940">
                                                                  <w:marLeft w:val="0"/>
                                                                  <w:marRight w:val="0"/>
                                                                  <w:marTop w:val="0"/>
                                                                  <w:marBottom w:val="0"/>
                                                                  <w:divBdr>
                                                                    <w:top w:val="none" w:sz="0" w:space="0" w:color="auto"/>
                                                                    <w:left w:val="none" w:sz="0" w:space="0" w:color="auto"/>
                                                                    <w:bottom w:val="none" w:sz="0" w:space="0" w:color="auto"/>
                                                                    <w:right w:val="none" w:sz="0" w:space="0" w:color="auto"/>
                                                                  </w:divBdr>
                                                                  <w:divsChild>
                                                                    <w:div w:id="1613591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6199200">
                                                              <w:marLeft w:val="0"/>
                                                              <w:marRight w:val="0"/>
                                                              <w:marTop w:val="0"/>
                                                              <w:marBottom w:val="0"/>
                                                              <w:divBdr>
                                                                <w:top w:val="none" w:sz="0" w:space="0" w:color="auto"/>
                                                                <w:left w:val="none" w:sz="0" w:space="0" w:color="auto"/>
                                                                <w:bottom w:val="none" w:sz="0" w:space="0" w:color="auto"/>
                                                                <w:right w:val="none" w:sz="0" w:space="0" w:color="auto"/>
                                                              </w:divBdr>
                                                              <w:divsChild>
                                                                <w:div w:id="1380327192">
                                                                  <w:marLeft w:val="0"/>
                                                                  <w:marRight w:val="0"/>
                                                                  <w:marTop w:val="0"/>
                                                                  <w:marBottom w:val="0"/>
                                                                  <w:divBdr>
                                                                    <w:top w:val="none" w:sz="0" w:space="0" w:color="auto"/>
                                                                    <w:left w:val="none" w:sz="0" w:space="0" w:color="auto"/>
                                                                    <w:bottom w:val="none" w:sz="0" w:space="0" w:color="auto"/>
                                                                    <w:right w:val="none" w:sz="0" w:space="0" w:color="auto"/>
                                                                  </w:divBdr>
                                                                  <w:divsChild>
                                                                    <w:div w:id="1209878965">
                                                                      <w:marLeft w:val="0"/>
                                                                      <w:marRight w:val="0"/>
                                                                      <w:marTop w:val="0"/>
                                                                      <w:marBottom w:val="0"/>
                                                                      <w:divBdr>
                                                                        <w:top w:val="none" w:sz="0" w:space="0" w:color="auto"/>
                                                                        <w:left w:val="none" w:sz="0" w:space="0" w:color="auto"/>
                                                                        <w:bottom w:val="none" w:sz="0" w:space="0" w:color="auto"/>
                                                                        <w:right w:val="none" w:sz="0" w:space="0" w:color="auto"/>
                                                                      </w:divBdr>
                                                                      <w:divsChild>
                                                                        <w:div w:id="1910847440">
                                                                          <w:marLeft w:val="0"/>
                                                                          <w:marRight w:val="0"/>
                                                                          <w:marTop w:val="0"/>
                                                                          <w:marBottom w:val="0"/>
                                                                          <w:divBdr>
                                                                            <w:top w:val="none" w:sz="0" w:space="0" w:color="auto"/>
                                                                            <w:left w:val="none" w:sz="0" w:space="0" w:color="auto"/>
                                                                            <w:bottom w:val="none" w:sz="0" w:space="0" w:color="auto"/>
                                                                            <w:right w:val="none" w:sz="0" w:space="0" w:color="auto"/>
                                                                          </w:divBdr>
                                                                          <w:divsChild>
                                                                            <w:div w:id="1386224908">
                                                                              <w:marLeft w:val="0"/>
                                                                              <w:marRight w:val="0"/>
                                                                              <w:marTop w:val="75"/>
                                                                              <w:marBottom w:val="75"/>
                                                                              <w:divBdr>
                                                                                <w:top w:val="none" w:sz="0" w:space="0" w:color="auto"/>
                                                                                <w:left w:val="none" w:sz="0" w:space="0" w:color="auto"/>
                                                                                <w:bottom w:val="none" w:sz="0" w:space="0" w:color="auto"/>
                                                                                <w:right w:val="none" w:sz="0" w:space="0" w:color="auto"/>
                                                                              </w:divBdr>
                                                                              <w:divsChild>
                                                                                <w:div w:id="253631619">
                                                                                  <w:marLeft w:val="0"/>
                                                                                  <w:marRight w:val="0"/>
                                                                                  <w:marTop w:val="0"/>
                                                                                  <w:marBottom w:val="0"/>
                                                                                  <w:divBdr>
                                                                                    <w:top w:val="none" w:sz="0" w:space="0" w:color="auto"/>
                                                                                    <w:left w:val="none" w:sz="0" w:space="0" w:color="auto"/>
                                                                                    <w:bottom w:val="none" w:sz="0" w:space="0" w:color="auto"/>
                                                                                    <w:right w:val="none" w:sz="0" w:space="0" w:color="auto"/>
                                                                                  </w:divBdr>
                                                                                  <w:divsChild>
                                                                                    <w:div w:id="303237037">
                                                                                      <w:marLeft w:val="0"/>
                                                                                      <w:marRight w:val="0"/>
                                                                                      <w:marTop w:val="0"/>
                                                                                      <w:marBottom w:val="0"/>
                                                                                      <w:divBdr>
                                                                                        <w:top w:val="none" w:sz="0" w:space="0" w:color="auto"/>
                                                                                        <w:left w:val="none" w:sz="0" w:space="0" w:color="auto"/>
                                                                                        <w:bottom w:val="none" w:sz="0" w:space="0" w:color="auto"/>
                                                                                        <w:right w:val="none" w:sz="0" w:space="0" w:color="auto"/>
                                                                                      </w:divBdr>
                                                                                      <w:divsChild>
                                                                                        <w:div w:id="285283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95070694">
                                              <w:marLeft w:val="0"/>
                                              <w:marRight w:val="0"/>
                                              <w:marTop w:val="0"/>
                                              <w:marBottom w:val="0"/>
                                              <w:divBdr>
                                                <w:top w:val="none" w:sz="0" w:space="0" w:color="auto"/>
                                                <w:left w:val="none" w:sz="0" w:space="0" w:color="auto"/>
                                                <w:bottom w:val="none" w:sz="0" w:space="0" w:color="auto"/>
                                                <w:right w:val="none" w:sz="0" w:space="0" w:color="auto"/>
                                              </w:divBdr>
                                              <w:divsChild>
                                                <w:div w:id="1455948248">
                                                  <w:marLeft w:val="0"/>
                                                  <w:marRight w:val="0"/>
                                                  <w:marTop w:val="0"/>
                                                  <w:marBottom w:val="0"/>
                                                  <w:divBdr>
                                                    <w:top w:val="none" w:sz="0" w:space="0" w:color="auto"/>
                                                    <w:left w:val="none" w:sz="0" w:space="0" w:color="auto"/>
                                                    <w:bottom w:val="none" w:sz="0" w:space="0" w:color="auto"/>
                                                    <w:right w:val="none" w:sz="0" w:space="0" w:color="auto"/>
                                                  </w:divBdr>
                                                  <w:divsChild>
                                                    <w:div w:id="208303351">
                                                      <w:marLeft w:val="0"/>
                                                      <w:marRight w:val="0"/>
                                                      <w:marTop w:val="0"/>
                                                      <w:marBottom w:val="0"/>
                                                      <w:divBdr>
                                                        <w:top w:val="none" w:sz="0" w:space="0" w:color="auto"/>
                                                        <w:left w:val="none" w:sz="0" w:space="0" w:color="auto"/>
                                                        <w:bottom w:val="none" w:sz="0" w:space="0" w:color="auto"/>
                                                        <w:right w:val="none" w:sz="0" w:space="0" w:color="auto"/>
                                                      </w:divBdr>
                                                      <w:divsChild>
                                                        <w:div w:id="897863534">
                                                          <w:marLeft w:val="0"/>
                                                          <w:marRight w:val="0"/>
                                                          <w:marTop w:val="150"/>
                                                          <w:marBottom w:val="0"/>
                                                          <w:divBdr>
                                                            <w:top w:val="none" w:sz="0" w:space="0" w:color="auto"/>
                                                            <w:left w:val="none" w:sz="0" w:space="0" w:color="auto"/>
                                                            <w:bottom w:val="none" w:sz="0" w:space="0" w:color="auto"/>
                                                            <w:right w:val="none" w:sz="0" w:space="0" w:color="auto"/>
                                                          </w:divBdr>
                                                          <w:divsChild>
                                                            <w:div w:id="197008447">
                                                              <w:marLeft w:val="0"/>
                                                              <w:marRight w:val="0"/>
                                                              <w:marTop w:val="0"/>
                                                              <w:marBottom w:val="0"/>
                                                              <w:divBdr>
                                                                <w:top w:val="none" w:sz="0" w:space="0" w:color="auto"/>
                                                                <w:left w:val="none" w:sz="0" w:space="0" w:color="auto"/>
                                                                <w:bottom w:val="none" w:sz="0" w:space="0" w:color="auto"/>
                                                                <w:right w:val="none" w:sz="0" w:space="0" w:color="auto"/>
                                                              </w:divBdr>
                                                            </w:div>
                                                            <w:div w:id="657415866">
                                                              <w:marLeft w:val="0"/>
                                                              <w:marRight w:val="0"/>
                                                              <w:marTop w:val="0"/>
                                                              <w:marBottom w:val="0"/>
                                                              <w:divBdr>
                                                                <w:top w:val="none" w:sz="0" w:space="0" w:color="auto"/>
                                                                <w:left w:val="none" w:sz="0" w:space="0" w:color="auto"/>
                                                                <w:bottom w:val="none" w:sz="0" w:space="0" w:color="auto"/>
                                                                <w:right w:val="none" w:sz="0" w:space="0" w:color="auto"/>
                                                              </w:divBdr>
                                                            </w:div>
                                                          </w:divsChild>
                                                        </w:div>
                                                        <w:div w:id="156314634">
                                                          <w:marLeft w:val="0"/>
                                                          <w:marRight w:val="0"/>
                                                          <w:marTop w:val="0"/>
                                                          <w:marBottom w:val="0"/>
                                                          <w:divBdr>
                                                            <w:top w:val="none" w:sz="0" w:space="0" w:color="auto"/>
                                                            <w:left w:val="none" w:sz="0" w:space="0" w:color="auto"/>
                                                            <w:bottom w:val="none" w:sz="0" w:space="0" w:color="auto"/>
                                                            <w:right w:val="none" w:sz="0" w:space="0" w:color="auto"/>
                                                          </w:divBdr>
                                                          <w:divsChild>
                                                            <w:div w:id="600651830">
                                                              <w:marLeft w:val="0"/>
                                                              <w:marRight w:val="0"/>
                                                              <w:marTop w:val="0"/>
                                                              <w:marBottom w:val="0"/>
                                                              <w:divBdr>
                                                                <w:top w:val="none" w:sz="0" w:space="0" w:color="auto"/>
                                                                <w:left w:val="none" w:sz="0" w:space="0" w:color="auto"/>
                                                                <w:bottom w:val="none" w:sz="0" w:space="0" w:color="auto"/>
                                                                <w:right w:val="none" w:sz="0" w:space="0" w:color="auto"/>
                                                              </w:divBdr>
                                                              <w:divsChild>
                                                                <w:div w:id="1119494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763766260">
          <w:marLeft w:val="0"/>
          <w:marRight w:val="0"/>
          <w:marTop w:val="0"/>
          <w:marBottom w:val="0"/>
          <w:divBdr>
            <w:top w:val="none" w:sz="0" w:space="0" w:color="auto"/>
            <w:left w:val="none" w:sz="0" w:space="0" w:color="auto"/>
            <w:bottom w:val="none" w:sz="0" w:space="0" w:color="auto"/>
            <w:right w:val="none" w:sz="0" w:space="0" w:color="auto"/>
          </w:divBdr>
          <w:divsChild>
            <w:div w:id="546990282">
              <w:marLeft w:val="0"/>
              <w:marRight w:val="0"/>
              <w:marTop w:val="0"/>
              <w:marBottom w:val="0"/>
              <w:divBdr>
                <w:top w:val="none" w:sz="0" w:space="0" w:color="auto"/>
                <w:left w:val="none" w:sz="0" w:space="0" w:color="auto"/>
                <w:bottom w:val="none" w:sz="0" w:space="0" w:color="auto"/>
                <w:right w:val="none" w:sz="0" w:space="0" w:color="auto"/>
              </w:divBdr>
              <w:divsChild>
                <w:div w:id="1475488622">
                  <w:marLeft w:val="0"/>
                  <w:marRight w:val="0"/>
                  <w:marTop w:val="0"/>
                  <w:marBottom w:val="0"/>
                  <w:divBdr>
                    <w:top w:val="none" w:sz="0" w:space="0" w:color="auto"/>
                    <w:left w:val="none" w:sz="0" w:space="0" w:color="auto"/>
                    <w:bottom w:val="none" w:sz="0" w:space="0" w:color="auto"/>
                    <w:right w:val="none" w:sz="0" w:space="0" w:color="auto"/>
                  </w:divBdr>
                  <w:divsChild>
                    <w:div w:id="917441075">
                      <w:marLeft w:val="0"/>
                      <w:marRight w:val="0"/>
                      <w:marTop w:val="0"/>
                      <w:marBottom w:val="0"/>
                      <w:divBdr>
                        <w:top w:val="none" w:sz="0" w:space="0" w:color="auto"/>
                        <w:left w:val="none" w:sz="0" w:space="0" w:color="auto"/>
                        <w:bottom w:val="none" w:sz="0" w:space="0" w:color="auto"/>
                        <w:right w:val="none" w:sz="0" w:space="0" w:color="auto"/>
                      </w:divBdr>
                      <w:divsChild>
                        <w:div w:id="1397314508">
                          <w:marLeft w:val="300"/>
                          <w:marRight w:val="0"/>
                          <w:marTop w:val="0"/>
                          <w:marBottom w:val="0"/>
                          <w:divBdr>
                            <w:top w:val="none" w:sz="0" w:space="0" w:color="auto"/>
                            <w:left w:val="none" w:sz="0" w:space="0" w:color="auto"/>
                            <w:bottom w:val="none" w:sz="0" w:space="0" w:color="auto"/>
                            <w:right w:val="none" w:sz="0" w:space="0" w:color="auto"/>
                          </w:divBdr>
                          <w:divsChild>
                            <w:div w:id="619263065">
                              <w:marLeft w:val="0"/>
                              <w:marRight w:val="0"/>
                              <w:marTop w:val="450"/>
                              <w:marBottom w:val="0"/>
                              <w:divBdr>
                                <w:top w:val="none" w:sz="0" w:space="0" w:color="auto"/>
                                <w:left w:val="none" w:sz="0" w:space="0" w:color="auto"/>
                                <w:bottom w:val="none" w:sz="0" w:space="0" w:color="auto"/>
                                <w:right w:val="none" w:sz="0" w:space="0" w:color="auto"/>
                              </w:divBdr>
                            </w:div>
                          </w:divsChild>
                        </w:div>
                        <w:div w:id="1535314289">
                          <w:marLeft w:val="0"/>
                          <w:marRight w:val="0"/>
                          <w:marTop w:val="0"/>
                          <w:marBottom w:val="0"/>
                          <w:divBdr>
                            <w:top w:val="none" w:sz="0" w:space="0" w:color="auto"/>
                            <w:left w:val="none" w:sz="0" w:space="0" w:color="auto"/>
                            <w:bottom w:val="none" w:sz="0" w:space="0" w:color="auto"/>
                            <w:right w:val="none" w:sz="0" w:space="0" w:color="auto"/>
                          </w:divBdr>
                          <w:divsChild>
                            <w:div w:id="1236550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7326615">
      <w:bodyDiv w:val="1"/>
      <w:marLeft w:val="0"/>
      <w:marRight w:val="0"/>
      <w:marTop w:val="0"/>
      <w:marBottom w:val="0"/>
      <w:divBdr>
        <w:top w:val="none" w:sz="0" w:space="0" w:color="auto"/>
        <w:left w:val="none" w:sz="0" w:space="0" w:color="auto"/>
        <w:bottom w:val="none" w:sz="0" w:space="0" w:color="auto"/>
        <w:right w:val="none" w:sz="0" w:space="0" w:color="auto"/>
      </w:divBdr>
    </w:div>
    <w:div w:id="217715270">
      <w:bodyDiv w:val="1"/>
      <w:marLeft w:val="0"/>
      <w:marRight w:val="0"/>
      <w:marTop w:val="0"/>
      <w:marBottom w:val="0"/>
      <w:divBdr>
        <w:top w:val="none" w:sz="0" w:space="0" w:color="auto"/>
        <w:left w:val="none" w:sz="0" w:space="0" w:color="auto"/>
        <w:bottom w:val="none" w:sz="0" w:space="0" w:color="auto"/>
        <w:right w:val="none" w:sz="0" w:space="0" w:color="auto"/>
      </w:divBdr>
      <w:divsChild>
        <w:div w:id="553348168">
          <w:marLeft w:val="0"/>
          <w:marRight w:val="0"/>
          <w:marTop w:val="0"/>
          <w:marBottom w:val="0"/>
          <w:divBdr>
            <w:top w:val="none" w:sz="0" w:space="0" w:color="auto"/>
            <w:left w:val="none" w:sz="0" w:space="0" w:color="auto"/>
            <w:bottom w:val="none" w:sz="0" w:space="0" w:color="auto"/>
            <w:right w:val="none" w:sz="0" w:space="0" w:color="auto"/>
          </w:divBdr>
        </w:div>
        <w:div w:id="1582132182">
          <w:marLeft w:val="0"/>
          <w:marRight w:val="0"/>
          <w:marTop w:val="0"/>
          <w:marBottom w:val="0"/>
          <w:divBdr>
            <w:top w:val="none" w:sz="0" w:space="0" w:color="auto"/>
            <w:left w:val="none" w:sz="0" w:space="0" w:color="auto"/>
            <w:bottom w:val="none" w:sz="0" w:space="0" w:color="auto"/>
            <w:right w:val="none" w:sz="0" w:space="0" w:color="auto"/>
          </w:divBdr>
          <w:divsChild>
            <w:div w:id="826625652">
              <w:marLeft w:val="0"/>
              <w:marRight w:val="0"/>
              <w:marTop w:val="0"/>
              <w:marBottom w:val="0"/>
              <w:divBdr>
                <w:top w:val="none" w:sz="0" w:space="0" w:color="auto"/>
                <w:left w:val="none" w:sz="0" w:space="0" w:color="auto"/>
                <w:bottom w:val="none" w:sz="0" w:space="0" w:color="auto"/>
                <w:right w:val="none" w:sz="0" w:space="0" w:color="auto"/>
              </w:divBdr>
              <w:divsChild>
                <w:div w:id="1095126172">
                  <w:marLeft w:val="0"/>
                  <w:marRight w:val="0"/>
                  <w:marTop w:val="0"/>
                  <w:marBottom w:val="0"/>
                  <w:divBdr>
                    <w:top w:val="none" w:sz="0" w:space="0" w:color="auto"/>
                    <w:left w:val="none" w:sz="0" w:space="0" w:color="auto"/>
                    <w:bottom w:val="single" w:sz="6" w:space="12" w:color="DDDDDD"/>
                    <w:right w:val="none" w:sz="0" w:space="0" w:color="auto"/>
                  </w:divBdr>
                  <w:divsChild>
                    <w:div w:id="633830901">
                      <w:marLeft w:val="0"/>
                      <w:marRight w:val="0"/>
                      <w:marTop w:val="0"/>
                      <w:marBottom w:val="0"/>
                      <w:divBdr>
                        <w:top w:val="none" w:sz="0" w:space="0" w:color="auto"/>
                        <w:left w:val="none" w:sz="0" w:space="0" w:color="auto"/>
                        <w:bottom w:val="none" w:sz="0" w:space="0" w:color="auto"/>
                        <w:right w:val="none" w:sz="0" w:space="0" w:color="auto"/>
                      </w:divBdr>
                      <w:divsChild>
                        <w:div w:id="1280380479">
                          <w:marLeft w:val="0"/>
                          <w:marRight w:val="0"/>
                          <w:marTop w:val="0"/>
                          <w:marBottom w:val="0"/>
                          <w:divBdr>
                            <w:top w:val="none" w:sz="0" w:space="0" w:color="auto"/>
                            <w:left w:val="none" w:sz="0" w:space="0" w:color="auto"/>
                            <w:bottom w:val="none" w:sz="0" w:space="0" w:color="auto"/>
                            <w:right w:val="none" w:sz="0" w:space="0" w:color="auto"/>
                          </w:divBdr>
                          <w:divsChild>
                            <w:div w:id="635794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4513960">
                  <w:marLeft w:val="0"/>
                  <w:marRight w:val="0"/>
                  <w:marTop w:val="0"/>
                  <w:marBottom w:val="0"/>
                  <w:divBdr>
                    <w:top w:val="none" w:sz="0" w:space="0" w:color="auto"/>
                    <w:left w:val="none" w:sz="0" w:space="0" w:color="auto"/>
                    <w:bottom w:val="single" w:sz="6" w:space="12" w:color="DDDDDD"/>
                    <w:right w:val="none" w:sz="0" w:space="0" w:color="auto"/>
                  </w:divBdr>
                  <w:divsChild>
                    <w:div w:id="551118797">
                      <w:marLeft w:val="0"/>
                      <w:marRight w:val="0"/>
                      <w:marTop w:val="0"/>
                      <w:marBottom w:val="0"/>
                      <w:divBdr>
                        <w:top w:val="none" w:sz="0" w:space="0" w:color="auto"/>
                        <w:left w:val="none" w:sz="0" w:space="0" w:color="auto"/>
                        <w:bottom w:val="none" w:sz="0" w:space="0" w:color="auto"/>
                        <w:right w:val="none" w:sz="0" w:space="0" w:color="auto"/>
                      </w:divBdr>
                      <w:divsChild>
                        <w:div w:id="1409159136">
                          <w:marLeft w:val="0"/>
                          <w:marRight w:val="0"/>
                          <w:marTop w:val="0"/>
                          <w:marBottom w:val="0"/>
                          <w:divBdr>
                            <w:top w:val="none" w:sz="0" w:space="0" w:color="auto"/>
                            <w:left w:val="none" w:sz="0" w:space="0" w:color="auto"/>
                            <w:bottom w:val="none" w:sz="0" w:space="0" w:color="auto"/>
                            <w:right w:val="none" w:sz="0" w:space="0" w:color="auto"/>
                          </w:divBdr>
                          <w:divsChild>
                            <w:div w:id="502673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3285125">
                  <w:marLeft w:val="0"/>
                  <w:marRight w:val="0"/>
                  <w:marTop w:val="0"/>
                  <w:marBottom w:val="0"/>
                  <w:divBdr>
                    <w:top w:val="none" w:sz="0" w:space="0" w:color="auto"/>
                    <w:left w:val="none" w:sz="0" w:space="0" w:color="auto"/>
                    <w:bottom w:val="single" w:sz="6" w:space="12" w:color="DDDDDD"/>
                    <w:right w:val="none" w:sz="0" w:space="0" w:color="auto"/>
                  </w:divBdr>
                  <w:divsChild>
                    <w:div w:id="2009094237">
                      <w:marLeft w:val="0"/>
                      <w:marRight w:val="0"/>
                      <w:marTop w:val="0"/>
                      <w:marBottom w:val="0"/>
                      <w:divBdr>
                        <w:top w:val="none" w:sz="0" w:space="0" w:color="auto"/>
                        <w:left w:val="none" w:sz="0" w:space="0" w:color="auto"/>
                        <w:bottom w:val="none" w:sz="0" w:space="0" w:color="auto"/>
                        <w:right w:val="none" w:sz="0" w:space="0" w:color="auto"/>
                      </w:divBdr>
                      <w:divsChild>
                        <w:div w:id="2006349982">
                          <w:marLeft w:val="0"/>
                          <w:marRight w:val="0"/>
                          <w:marTop w:val="0"/>
                          <w:marBottom w:val="0"/>
                          <w:divBdr>
                            <w:top w:val="none" w:sz="0" w:space="0" w:color="auto"/>
                            <w:left w:val="none" w:sz="0" w:space="0" w:color="auto"/>
                            <w:bottom w:val="none" w:sz="0" w:space="0" w:color="auto"/>
                            <w:right w:val="none" w:sz="0" w:space="0" w:color="auto"/>
                          </w:divBdr>
                          <w:divsChild>
                            <w:div w:id="828640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0481435">
                  <w:marLeft w:val="0"/>
                  <w:marRight w:val="0"/>
                  <w:marTop w:val="0"/>
                  <w:marBottom w:val="0"/>
                  <w:divBdr>
                    <w:top w:val="none" w:sz="0" w:space="0" w:color="auto"/>
                    <w:left w:val="none" w:sz="0" w:space="0" w:color="auto"/>
                    <w:bottom w:val="single" w:sz="6" w:space="12" w:color="DDDDDD"/>
                    <w:right w:val="none" w:sz="0" w:space="0" w:color="auto"/>
                  </w:divBdr>
                  <w:divsChild>
                    <w:div w:id="2082943185">
                      <w:marLeft w:val="0"/>
                      <w:marRight w:val="0"/>
                      <w:marTop w:val="0"/>
                      <w:marBottom w:val="0"/>
                      <w:divBdr>
                        <w:top w:val="none" w:sz="0" w:space="0" w:color="auto"/>
                        <w:left w:val="none" w:sz="0" w:space="0" w:color="auto"/>
                        <w:bottom w:val="none" w:sz="0" w:space="0" w:color="auto"/>
                        <w:right w:val="none" w:sz="0" w:space="0" w:color="auto"/>
                      </w:divBdr>
                      <w:divsChild>
                        <w:div w:id="1192106793">
                          <w:marLeft w:val="0"/>
                          <w:marRight w:val="0"/>
                          <w:marTop w:val="0"/>
                          <w:marBottom w:val="0"/>
                          <w:divBdr>
                            <w:top w:val="none" w:sz="0" w:space="0" w:color="auto"/>
                            <w:left w:val="none" w:sz="0" w:space="0" w:color="auto"/>
                            <w:bottom w:val="none" w:sz="0" w:space="0" w:color="auto"/>
                            <w:right w:val="none" w:sz="0" w:space="0" w:color="auto"/>
                          </w:divBdr>
                          <w:divsChild>
                            <w:div w:id="1876308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9484209">
                  <w:marLeft w:val="0"/>
                  <w:marRight w:val="0"/>
                  <w:marTop w:val="0"/>
                  <w:marBottom w:val="0"/>
                  <w:divBdr>
                    <w:top w:val="none" w:sz="0" w:space="0" w:color="auto"/>
                    <w:left w:val="none" w:sz="0" w:space="0" w:color="auto"/>
                    <w:bottom w:val="single" w:sz="6" w:space="12" w:color="DDDDDD"/>
                    <w:right w:val="none" w:sz="0" w:space="0" w:color="auto"/>
                  </w:divBdr>
                  <w:divsChild>
                    <w:div w:id="172305593">
                      <w:marLeft w:val="0"/>
                      <w:marRight w:val="0"/>
                      <w:marTop w:val="0"/>
                      <w:marBottom w:val="0"/>
                      <w:divBdr>
                        <w:top w:val="none" w:sz="0" w:space="0" w:color="auto"/>
                        <w:left w:val="none" w:sz="0" w:space="0" w:color="auto"/>
                        <w:bottom w:val="none" w:sz="0" w:space="0" w:color="auto"/>
                        <w:right w:val="none" w:sz="0" w:space="0" w:color="auto"/>
                      </w:divBdr>
                      <w:divsChild>
                        <w:div w:id="1214389217">
                          <w:marLeft w:val="0"/>
                          <w:marRight w:val="0"/>
                          <w:marTop w:val="0"/>
                          <w:marBottom w:val="0"/>
                          <w:divBdr>
                            <w:top w:val="none" w:sz="0" w:space="0" w:color="auto"/>
                            <w:left w:val="none" w:sz="0" w:space="0" w:color="auto"/>
                            <w:bottom w:val="none" w:sz="0" w:space="0" w:color="auto"/>
                            <w:right w:val="none" w:sz="0" w:space="0" w:color="auto"/>
                          </w:divBdr>
                          <w:divsChild>
                            <w:div w:id="275915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5035802">
                  <w:marLeft w:val="0"/>
                  <w:marRight w:val="0"/>
                  <w:marTop w:val="0"/>
                  <w:marBottom w:val="0"/>
                  <w:divBdr>
                    <w:top w:val="none" w:sz="0" w:space="0" w:color="auto"/>
                    <w:left w:val="none" w:sz="0" w:space="0" w:color="auto"/>
                    <w:bottom w:val="single" w:sz="6" w:space="12" w:color="DDDDDD"/>
                    <w:right w:val="none" w:sz="0" w:space="0" w:color="auto"/>
                  </w:divBdr>
                  <w:divsChild>
                    <w:div w:id="625350924">
                      <w:marLeft w:val="0"/>
                      <w:marRight w:val="0"/>
                      <w:marTop w:val="0"/>
                      <w:marBottom w:val="0"/>
                      <w:divBdr>
                        <w:top w:val="none" w:sz="0" w:space="0" w:color="auto"/>
                        <w:left w:val="none" w:sz="0" w:space="0" w:color="auto"/>
                        <w:bottom w:val="none" w:sz="0" w:space="0" w:color="auto"/>
                        <w:right w:val="none" w:sz="0" w:space="0" w:color="auto"/>
                      </w:divBdr>
                      <w:divsChild>
                        <w:div w:id="1245727617">
                          <w:marLeft w:val="0"/>
                          <w:marRight w:val="0"/>
                          <w:marTop w:val="0"/>
                          <w:marBottom w:val="0"/>
                          <w:divBdr>
                            <w:top w:val="none" w:sz="0" w:space="0" w:color="auto"/>
                            <w:left w:val="none" w:sz="0" w:space="0" w:color="auto"/>
                            <w:bottom w:val="none" w:sz="0" w:space="0" w:color="auto"/>
                            <w:right w:val="none" w:sz="0" w:space="0" w:color="auto"/>
                          </w:divBdr>
                          <w:divsChild>
                            <w:div w:id="113326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6091457">
                  <w:marLeft w:val="0"/>
                  <w:marRight w:val="0"/>
                  <w:marTop w:val="0"/>
                  <w:marBottom w:val="0"/>
                  <w:divBdr>
                    <w:top w:val="none" w:sz="0" w:space="0" w:color="auto"/>
                    <w:left w:val="none" w:sz="0" w:space="0" w:color="auto"/>
                    <w:bottom w:val="single" w:sz="6" w:space="12" w:color="DDDDDD"/>
                    <w:right w:val="none" w:sz="0" w:space="0" w:color="auto"/>
                  </w:divBdr>
                  <w:divsChild>
                    <w:div w:id="1794710559">
                      <w:marLeft w:val="0"/>
                      <w:marRight w:val="0"/>
                      <w:marTop w:val="0"/>
                      <w:marBottom w:val="0"/>
                      <w:divBdr>
                        <w:top w:val="none" w:sz="0" w:space="0" w:color="auto"/>
                        <w:left w:val="none" w:sz="0" w:space="0" w:color="auto"/>
                        <w:bottom w:val="none" w:sz="0" w:space="0" w:color="auto"/>
                        <w:right w:val="none" w:sz="0" w:space="0" w:color="auto"/>
                      </w:divBdr>
                      <w:divsChild>
                        <w:div w:id="600799994">
                          <w:marLeft w:val="0"/>
                          <w:marRight w:val="0"/>
                          <w:marTop w:val="0"/>
                          <w:marBottom w:val="0"/>
                          <w:divBdr>
                            <w:top w:val="none" w:sz="0" w:space="0" w:color="auto"/>
                            <w:left w:val="none" w:sz="0" w:space="0" w:color="auto"/>
                            <w:bottom w:val="none" w:sz="0" w:space="0" w:color="auto"/>
                            <w:right w:val="none" w:sz="0" w:space="0" w:color="auto"/>
                          </w:divBdr>
                          <w:divsChild>
                            <w:div w:id="1423648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4261039">
                  <w:marLeft w:val="0"/>
                  <w:marRight w:val="0"/>
                  <w:marTop w:val="0"/>
                  <w:marBottom w:val="0"/>
                  <w:divBdr>
                    <w:top w:val="none" w:sz="0" w:space="0" w:color="auto"/>
                    <w:left w:val="none" w:sz="0" w:space="0" w:color="auto"/>
                    <w:bottom w:val="single" w:sz="6" w:space="12" w:color="DDDDDD"/>
                    <w:right w:val="none" w:sz="0" w:space="0" w:color="auto"/>
                  </w:divBdr>
                  <w:divsChild>
                    <w:div w:id="1488207906">
                      <w:marLeft w:val="0"/>
                      <w:marRight w:val="0"/>
                      <w:marTop w:val="0"/>
                      <w:marBottom w:val="0"/>
                      <w:divBdr>
                        <w:top w:val="none" w:sz="0" w:space="0" w:color="auto"/>
                        <w:left w:val="none" w:sz="0" w:space="0" w:color="auto"/>
                        <w:bottom w:val="none" w:sz="0" w:space="0" w:color="auto"/>
                        <w:right w:val="none" w:sz="0" w:space="0" w:color="auto"/>
                      </w:divBdr>
                      <w:divsChild>
                        <w:div w:id="1931813739">
                          <w:marLeft w:val="0"/>
                          <w:marRight w:val="0"/>
                          <w:marTop w:val="0"/>
                          <w:marBottom w:val="0"/>
                          <w:divBdr>
                            <w:top w:val="none" w:sz="0" w:space="0" w:color="auto"/>
                            <w:left w:val="none" w:sz="0" w:space="0" w:color="auto"/>
                            <w:bottom w:val="none" w:sz="0" w:space="0" w:color="auto"/>
                            <w:right w:val="none" w:sz="0" w:space="0" w:color="auto"/>
                          </w:divBdr>
                          <w:divsChild>
                            <w:div w:id="796022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3047218">
                  <w:marLeft w:val="0"/>
                  <w:marRight w:val="0"/>
                  <w:marTop w:val="0"/>
                  <w:marBottom w:val="0"/>
                  <w:divBdr>
                    <w:top w:val="none" w:sz="0" w:space="0" w:color="auto"/>
                    <w:left w:val="none" w:sz="0" w:space="0" w:color="auto"/>
                    <w:bottom w:val="single" w:sz="6" w:space="12" w:color="DDDDDD"/>
                    <w:right w:val="none" w:sz="0" w:space="0" w:color="auto"/>
                  </w:divBdr>
                  <w:divsChild>
                    <w:div w:id="639070401">
                      <w:marLeft w:val="0"/>
                      <w:marRight w:val="0"/>
                      <w:marTop w:val="0"/>
                      <w:marBottom w:val="0"/>
                      <w:divBdr>
                        <w:top w:val="none" w:sz="0" w:space="0" w:color="auto"/>
                        <w:left w:val="none" w:sz="0" w:space="0" w:color="auto"/>
                        <w:bottom w:val="none" w:sz="0" w:space="0" w:color="auto"/>
                        <w:right w:val="none" w:sz="0" w:space="0" w:color="auto"/>
                      </w:divBdr>
                      <w:divsChild>
                        <w:div w:id="1666664914">
                          <w:marLeft w:val="0"/>
                          <w:marRight w:val="0"/>
                          <w:marTop w:val="0"/>
                          <w:marBottom w:val="0"/>
                          <w:divBdr>
                            <w:top w:val="none" w:sz="0" w:space="0" w:color="auto"/>
                            <w:left w:val="none" w:sz="0" w:space="0" w:color="auto"/>
                            <w:bottom w:val="none" w:sz="0" w:space="0" w:color="auto"/>
                            <w:right w:val="none" w:sz="0" w:space="0" w:color="auto"/>
                          </w:divBdr>
                          <w:divsChild>
                            <w:div w:id="734355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4372932">
                  <w:marLeft w:val="0"/>
                  <w:marRight w:val="0"/>
                  <w:marTop w:val="0"/>
                  <w:marBottom w:val="0"/>
                  <w:divBdr>
                    <w:top w:val="none" w:sz="0" w:space="0" w:color="auto"/>
                    <w:left w:val="none" w:sz="0" w:space="0" w:color="auto"/>
                    <w:bottom w:val="single" w:sz="6" w:space="12" w:color="DDDDDD"/>
                    <w:right w:val="none" w:sz="0" w:space="0" w:color="auto"/>
                  </w:divBdr>
                  <w:divsChild>
                    <w:div w:id="336811893">
                      <w:marLeft w:val="0"/>
                      <w:marRight w:val="0"/>
                      <w:marTop w:val="0"/>
                      <w:marBottom w:val="0"/>
                      <w:divBdr>
                        <w:top w:val="none" w:sz="0" w:space="0" w:color="auto"/>
                        <w:left w:val="none" w:sz="0" w:space="0" w:color="auto"/>
                        <w:bottom w:val="none" w:sz="0" w:space="0" w:color="auto"/>
                        <w:right w:val="none" w:sz="0" w:space="0" w:color="auto"/>
                      </w:divBdr>
                      <w:divsChild>
                        <w:div w:id="1943344583">
                          <w:marLeft w:val="0"/>
                          <w:marRight w:val="0"/>
                          <w:marTop w:val="0"/>
                          <w:marBottom w:val="0"/>
                          <w:divBdr>
                            <w:top w:val="none" w:sz="0" w:space="0" w:color="auto"/>
                            <w:left w:val="none" w:sz="0" w:space="0" w:color="auto"/>
                            <w:bottom w:val="none" w:sz="0" w:space="0" w:color="auto"/>
                            <w:right w:val="none" w:sz="0" w:space="0" w:color="auto"/>
                          </w:divBdr>
                          <w:divsChild>
                            <w:div w:id="209369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627099">
                  <w:marLeft w:val="0"/>
                  <w:marRight w:val="0"/>
                  <w:marTop w:val="0"/>
                  <w:marBottom w:val="0"/>
                  <w:divBdr>
                    <w:top w:val="none" w:sz="0" w:space="0" w:color="auto"/>
                    <w:left w:val="none" w:sz="0" w:space="0" w:color="auto"/>
                    <w:bottom w:val="single" w:sz="6" w:space="12" w:color="DDDDDD"/>
                    <w:right w:val="none" w:sz="0" w:space="0" w:color="auto"/>
                  </w:divBdr>
                  <w:divsChild>
                    <w:div w:id="1813064060">
                      <w:marLeft w:val="0"/>
                      <w:marRight w:val="0"/>
                      <w:marTop w:val="0"/>
                      <w:marBottom w:val="0"/>
                      <w:divBdr>
                        <w:top w:val="none" w:sz="0" w:space="0" w:color="auto"/>
                        <w:left w:val="none" w:sz="0" w:space="0" w:color="auto"/>
                        <w:bottom w:val="none" w:sz="0" w:space="0" w:color="auto"/>
                        <w:right w:val="none" w:sz="0" w:space="0" w:color="auto"/>
                      </w:divBdr>
                      <w:divsChild>
                        <w:div w:id="588973760">
                          <w:marLeft w:val="0"/>
                          <w:marRight w:val="0"/>
                          <w:marTop w:val="0"/>
                          <w:marBottom w:val="0"/>
                          <w:divBdr>
                            <w:top w:val="none" w:sz="0" w:space="0" w:color="auto"/>
                            <w:left w:val="none" w:sz="0" w:space="0" w:color="auto"/>
                            <w:bottom w:val="none" w:sz="0" w:space="0" w:color="auto"/>
                            <w:right w:val="none" w:sz="0" w:space="0" w:color="auto"/>
                          </w:divBdr>
                          <w:divsChild>
                            <w:div w:id="851459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4040551">
                  <w:marLeft w:val="0"/>
                  <w:marRight w:val="0"/>
                  <w:marTop w:val="0"/>
                  <w:marBottom w:val="0"/>
                  <w:divBdr>
                    <w:top w:val="none" w:sz="0" w:space="0" w:color="auto"/>
                    <w:left w:val="none" w:sz="0" w:space="0" w:color="auto"/>
                    <w:bottom w:val="single" w:sz="6" w:space="12" w:color="DDDDDD"/>
                    <w:right w:val="none" w:sz="0" w:space="0" w:color="auto"/>
                  </w:divBdr>
                  <w:divsChild>
                    <w:div w:id="1418134660">
                      <w:marLeft w:val="0"/>
                      <w:marRight w:val="0"/>
                      <w:marTop w:val="0"/>
                      <w:marBottom w:val="0"/>
                      <w:divBdr>
                        <w:top w:val="none" w:sz="0" w:space="0" w:color="auto"/>
                        <w:left w:val="none" w:sz="0" w:space="0" w:color="auto"/>
                        <w:bottom w:val="none" w:sz="0" w:space="0" w:color="auto"/>
                        <w:right w:val="none" w:sz="0" w:space="0" w:color="auto"/>
                      </w:divBdr>
                      <w:divsChild>
                        <w:div w:id="778724401">
                          <w:marLeft w:val="0"/>
                          <w:marRight w:val="0"/>
                          <w:marTop w:val="0"/>
                          <w:marBottom w:val="0"/>
                          <w:divBdr>
                            <w:top w:val="none" w:sz="0" w:space="0" w:color="auto"/>
                            <w:left w:val="none" w:sz="0" w:space="0" w:color="auto"/>
                            <w:bottom w:val="none" w:sz="0" w:space="0" w:color="auto"/>
                            <w:right w:val="none" w:sz="0" w:space="0" w:color="auto"/>
                          </w:divBdr>
                          <w:divsChild>
                            <w:div w:id="883179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7977719">
                  <w:marLeft w:val="0"/>
                  <w:marRight w:val="0"/>
                  <w:marTop w:val="0"/>
                  <w:marBottom w:val="0"/>
                  <w:divBdr>
                    <w:top w:val="none" w:sz="0" w:space="0" w:color="auto"/>
                    <w:left w:val="none" w:sz="0" w:space="0" w:color="auto"/>
                    <w:bottom w:val="single" w:sz="6" w:space="12" w:color="DDDDDD"/>
                    <w:right w:val="none" w:sz="0" w:space="0" w:color="auto"/>
                  </w:divBdr>
                  <w:divsChild>
                    <w:div w:id="1348555383">
                      <w:marLeft w:val="0"/>
                      <w:marRight w:val="0"/>
                      <w:marTop w:val="0"/>
                      <w:marBottom w:val="0"/>
                      <w:divBdr>
                        <w:top w:val="none" w:sz="0" w:space="0" w:color="auto"/>
                        <w:left w:val="none" w:sz="0" w:space="0" w:color="auto"/>
                        <w:bottom w:val="none" w:sz="0" w:space="0" w:color="auto"/>
                        <w:right w:val="none" w:sz="0" w:space="0" w:color="auto"/>
                      </w:divBdr>
                      <w:divsChild>
                        <w:div w:id="814957535">
                          <w:marLeft w:val="0"/>
                          <w:marRight w:val="0"/>
                          <w:marTop w:val="0"/>
                          <w:marBottom w:val="0"/>
                          <w:divBdr>
                            <w:top w:val="none" w:sz="0" w:space="0" w:color="auto"/>
                            <w:left w:val="none" w:sz="0" w:space="0" w:color="auto"/>
                            <w:bottom w:val="none" w:sz="0" w:space="0" w:color="auto"/>
                            <w:right w:val="none" w:sz="0" w:space="0" w:color="auto"/>
                          </w:divBdr>
                          <w:divsChild>
                            <w:div w:id="2050032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0477877">
                  <w:marLeft w:val="0"/>
                  <w:marRight w:val="0"/>
                  <w:marTop w:val="0"/>
                  <w:marBottom w:val="0"/>
                  <w:divBdr>
                    <w:top w:val="none" w:sz="0" w:space="0" w:color="auto"/>
                    <w:left w:val="none" w:sz="0" w:space="0" w:color="auto"/>
                    <w:bottom w:val="single" w:sz="6" w:space="12" w:color="DDDDDD"/>
                    <w:right w:val="none" w:sz="0" w:space="0" w:color="auto"/>
                  </w:divBdr>
                  <w:divsChild>
                    <w:div w:id="1546454805">
                      <w:marLeft w:val="0"/>
                      <w:marRight w:val="0"/>
                      <w:marTop w:val="0"/>
                      <w:marBottom w:val="0"/>
                      <w:divBdr>
                        <w:top w:val="none" w:sz="0" w:space="0" w:color="auto"/>
                        <w:left w:val="none" w:sz="0" w:space="0" w:color="auto"/>
                        <w:bottom w:val="none" w:sz="0" w:space="0" w:color="auto"/>
                        <w:right w:val="none" w:sz="0" w:space="0" w:color="auto"/>
                      </w:divBdr>
                      <w:divsChild>
                        <w:div w:id="1598173096">
                          <w:marLeft w:val="0"/>
                          <w:marRight w:val="0"/>
                          <w:marTop w:val="0"/>
                          <w:marBottom w:val="0"/>
                          <w:divBdr>
                            <w:top w:val="none" w:sz="0" w:space="0" w:color="auto"/>
                            <w:left w:val="none" w:sz="0" w:space="0" w:color="auto"/>
                            <w:bottom w:val="none" w:sz="0" w:space="0" w:color="auto"/>
                            <w:right w:val="none" w:sz="0" w:space="0" w:color="auto"/>
                          </w:divBdr>
                          <w:divsChild>
                            <w:div w:id="205290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7202371">
                  <w:marLeft w:val="0"/>
                  <w:marRight w:val="0"/>
                  <w:marTop w:val="0"/>
                  <w:marBottom w:val="0"/>
                  <w:divBdr>
                    <w:top w:val="none" w:sz="0" w:space="0" w:color="auto"/>
                    <w:left w:val="none" w:sz="0" w:space="0" w:color="auto"/>
                    <w:bottom w:val="single" w:sz="6" w:space="12" w:color="DDDDDD"/>
                    <w:right w:val="none" w:sz="0" w:space="0" w:color="auto"/>
                  </w:divBdr>
                  <w:divsChild>
                    <w:div w:id="202444071">
                      <w:marLeft w:val="0"/>
                      <w:marRight w:val="0"/>
                      <w:marTop w:val="0"/>
                      <w:marBottom w:val="0"/>
                      <w:divBdr>
                        <w:top w:val="none" w:sz="0" w:space="0" w:color="auto"/>
                        <w:left w:val="none" w:sz="0" w:space="0" w:color="auto"/>
                        <w:bottom w:val="none" w:sz="0" w:space="0" w:color="auto"/>
                        <w:right w:val="none" w:sz="0" w:space="0" w:color="auto"/>
                      </w:divBdr>
                      <w:divsChild>
                        <w:div w:id="839739533">
                          <w:marLeft w:val="0"/>
                          <w:marRight w:val="0"/>
                          <w:marTop w:val="0"/>
                          <w:marBottom w:val="0"/>
                          <w:divBdr>
                            <w:top w:val="none" w:sz="0" w:space="0" w:color="auto"/>
                            <w:left w:val="none" w:sz="0" w:space="0" w:color="auto"/>
                            <w:bottom w:val="none" w:sz="0" w:space="0" w:color="auto"/>
                            <w:right w:val="none" w:sz="0" w:space="0" w:color="auto"/>
                          </w:divBdr>
                          <w:divsChild>
                            <w:div w:id="477235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6042986">
                  <w:marLeft w:val="0"/>
                  <w:marRight w:val="0"/>
                  <w:marTop w:val="0"/>
                  <w:marBottom w:val="0"/>
                  <w:divBdr>
                    <w:top w:val="none" w:sz="0" w:space="0" w:color="auto"/>
                    <w:left w:val="none" w:sz="0" w:space="0" w:color="auto"/>
                    <w:bottom w:val="single" w:sz="6" w:space="12" w:color="DDDDDD"/>
                    <w:right w:val="none" w:sz="0" w:space="0" w:color="auto"/>
                  </w:divBdr>
                  <w:divsChild>
                    <w:div w:id="1565293284">
                      <w:marLeft w:val="0"/>
                      <w:marRight w:val="0"/>
                      <w:marTop w:val="0"/>
                      <w:marBottom w:val="0"/>
                      <w:divBdr>
                        <w:top w:val="none" w:sz="0" w:space="0" w:color="auto"/>
                        <w:left w:val="none" w:sz="0" w:space="0" w:color="auto"/>
                        <w:bottom w:val="none" w:sz="0" w:space="0" w:color="auto"/>
                        <w:right w:val="none" w:sz="0" w:space="0" w:color="auto"/>
                      </w:divBdr>
                      <w:divsChild>
                        <w:div w:id="1957057060">
                          <w:marLeft w:val="0"/>
                          <w:marRight w:val="0"/>
                          <w:marTop w:val="0"/>
                          <w:marBottom w:val="0"/>
                          <w:divBdr>
                            <w:top w:val="none" w:sz="0" w:space="0" w:color="auto"/>
                            <w:left w:val="none" w:sz="0" w:space="0" w:color="auto"/>
                            <w:bottom w:val="none" w:sz="0" w:space="0" w:color="auto"/>
                            <w:right w:val="none" w:sz="0" w:space="0" w:color="auto"/>
                          </w:divBdr>
                          <w:divsChild>
                            <w:div w:id="1156459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3251081">
                  <w:marLeft w:val="0"/>
                  <w:marRight w:val="0"/>
                  <w:marTop w:val="0"/>
                  <w:marBottom w:val="0"/>
                  <w:divBdr>
                    <w:top w:val="none" w:sz="0" w:space="0" w:color="auto"/>
                    <w:left w:val="none" w:sz="0" w:space="0" w:color="auto"/>
                    <w:bottom w:val="single" w:sz="6" w:space="12" w:color="DDDDDD"/>
                    <w:right w:val="none" w:sz="0" w:space="0" w:color="auto"/>
                  </w:divBdr>
                  <w:divsChild>
                    <w:div w:id="1259825288">
                      <w:marLeft w:val="0"/>
                      <w:marRight w:val="0"/>
                      <w:marTop w:val="0"/>
                      <w:marBottom w:val="0"/>
                      <w:divBdr>
                        <w:top w:val="none" w:sz="0" w:space="0" w:color="auto"/>
                        <w:left w:val="none" w:sz="0" w:space="0" w:color="auto"/>
                        <w:bottom w:val="none" w:sz="0" w:space="0" w:color="auto"/>
                        <w:right w:val="none" w:sz="0" w:space="0" w:color="auto"/>
                      </w:divBdr>
                      <w:divsChild>
                        <w:div w:id="359094183">
                          <w:marLeft w:val="0"/>
                          <w:marRight w:val="0"/>
                          <w:marTop w:val="0"/>
                          <w:marBottom w:val="0"/>
                          <w:divBdr>
                            <w:top w:val="none" w:sz="0" w:space="0" w:color="auto"/>
                            <w:left w:val="none" w:sz="0" w:space="0" w:color="auto"/>
                            <w:bottom w:val="none" w:sz="0" w:space="0" w:color="auto"/>
                            <w:right w:val="none" w:sz="0" w:space="0" w:color="auto"/>
                          </w:divBdr>
                          <w:divsChild>
                            <w:div w:id="1061366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2290378">
                  <w:marLeft w:val="0"/>
                  <w:marRight w:val="0"/>
                  <w:marTop w:val="0"/>
                  <w:marBottom w:val="0"/>
                  <w:divBdr>
                    <w:top w:val="none" w:sz="0" w:space="0" w:color="auto"/>
                    <w:left w:val="none" w:sz="0" w:space="0" w:color="auto"/>
                    <w:bottom w:val="single" w:sz="6" w:space="12" w:color="DDDDDD"/>
                    <w:right w:val="none" w:sz="0" w:space="0" w:color="auto"/>
                  </w:divBdr>
                  <w:divsChild>
                    <w:div w:id="1156527854">
                      <w:marLeft w:val="0"/>
                      <w:marRight w:val="0"/>
                      <w:marTop w:val="0"/>
                      <w:marBottom w:val="0"/>
                      <w:divBdr>
                        <w:top w:val="none" w:sz="0" w:space="0" w:color="auto"/>
                        <w:left w:val="none" w:sz="0" w:space="0" w:color="auto"/>
                        <w:bottom w:val="none" w:sz="0" w:space="0" w:color="auto"/>
                        <w:right w:val="none" w:sz="0" w:space="0" w:color="auto"/>
                      </w:divBdr>
                      <w:divsChild>
                        <w:div w:id="290525153">
                          <w:marLeft w:val="0"/>
                          <w:marRight w:val="0"/>
                          <w:marTop w:val="0"/>
                          <w:marBottom w:val="0"/>
                          <w:divBdr>
                            <w:top w:val="none" w:sz="0" w:space="0" w:color="auto"/>
                            <w:left w:val="none" w:sz="0" w:space="0" w:color="auto"/>
                            <w:bottom w:val="none" w:sz="0" w:space="0" w:color="auto"/>
                            <w:right w:val="none" w:sz="0" w:space="0" w:color="auto"/>
                          </w:divBdr>
                          <w:divsChild>
                            <w:div w:id="1108357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6117965">
                  <w:marLeft w:val="0"/>
                  <w:marRight w:val="0"/>
                  <w:marTop w:val="0"/>
                  <w:marBottom w:val="0"/>
                  <w:divBdr>
                    <w:top w:val="none" w:sz="0" w:space="0" w:color="auto"/>
                    <w:left w:val="none" w:sz="0" w:space="0" w:color="auto"/>
                    <w:bottom w:val="single" w:sz="6" w:space="12" w:color="DDDDDD"/>
                    <w:right w:val="none" w:sz="0" w:space="0" w:color="auto"/>
                  </w:divBdr>
                  <w:divsChild>
                    <w:div w:id="262494726">
                      <w:marLeft w:val="0"/>
                      <w:marRight w:val="0"/>
                      <w:marTop w:val="0"/>
                      <w:marBottom w:val="0"/>
                      <w:divBdr>
                        <w:top w:val="none" w:sz="0" w:space="0" w:color="auto"/>
                        <w:left w:val="none" w:sz="0" w:space="0" w:color="auto"/>
                        <w:bottom w:val="none" w:sz="0" w:space="0" w:color="auto"/>
                        <w:right w:val="none" w:sz="0" w:space="0" w:color="auto"/>
                      </w:divBdr>
                      <w:divsChild>
                        <w:div w:id="1361934825">
                          <w:marLeft w:val="0"/>
                          <w:marRight w:val="0"/>
                          <w:marTop w:val="0"/>
                          <w:marBottom w:val="0"/>
                          <w:divBdr>
                            <w:top w:val="none" w:sz="0" w:space="0" w:color="auto"/>
                            <w:left w:val="none" w:sz="0" w:space="0" w:color="auto"/>
                            <w:bottom w:val="none" w:sz="0" w:space="0" w:color="auto"/>
                            <w:right w:val="none" w:sz="0" w:space="0" w:color="auto"/>
                          </w:divBdr>
                          <w:divsChild>
                            <w:div w:id="1493715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0416673">
                  <w:marLeft w:val="0"/>
                  <w:marRight w:val="0"/>
                  <w:marTop w:val="0"/>
                  <w:marBottom w:val="0"/>
                  <w:divBdr>
                    <w:top w:val="none" w:sz="0" w:space="0" w:color="auto"/>
                    <w:left w:val="none" w:sz="0" w:space="0" w:color="auto"/>
                    <w:bottom w:val="single" w:sz="6" w:space="12" w:color="DDDDDD"/>
                    <w:right w:val="none" w:sz="0" w:space="0" w:color="auto"/>
                  </w:divBdr>
                  <w:divsChild>
                    <w:div w:id="828057785">
                      <w:marLeft w:val="0"/>
                      <w:marRight w:val="0"/>
                      <w:marTop w:val="0"/>
                      <w:marBottom w:val="0"/>
                      <w:divBdr>
                        <w:top w:val="none" w:sz="0" w:space="0" w:color="auto"/>
                        <w:left w:val="none" w:sz="0" w:space="0" w:color="auto"/>
                        <w:bottom w:val="none" w:sz="0" w:space="0" w:color="auto"/>
                        <w:right w:val="none" w:sz="0" w:space="0" w:color="auto"/>
                      </w:divBdr>
                      <w:divsChild>
                        <w:div w:id="886188590">
                          <w:marLeft w:val="0"/>
                          <w:marRight w:val="0"/>
                          <w:marTop w:val="0"/>
                          <w:marBottom w:val="0"/>
                          <w:divBdr>
                            <w:top w:val="none" w:sz="0" w:space="0" w:color="auto"/>
                            <w:left w:val="none" w:sz="0" w:space="0" w:color="auto"/>
                            <w:bottom w:val="none" w:sz="0" w:space="0" w:color="auto"/>
                            <w:right w:val="none" w:sz="0" w:space="0" w:color="auto"/>
                          </w:divBdr>
                          <w:divsChild>
                            <w:div w:id="1116410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2187619">
                  <w:marLeft w:val="0"/>
                  <w:marRight w:val="0"/>
                  <w:marTop w:val="0"/>
                  <w:marBottom w:val="0"/>
                  <w:divBdr>
                    <w:top w:val="none" w:sz="0" w:space="0" w:color="auto"/>
                    <w:left w:val="none" w:sz="0" w:space="0" w:color="auto"/>
                    <w:bottom w:val="single" w:sz="6" w:space="12" w:color="DDDDDD"/>
                    <w:right w:val="none" w:sz="0" w:space="0" w:color="auto"/>
                  </w:divBdr>
                  <w:divsChild>
                    <w:div w:id="878860933">
                      <w:marLeft w:val="0"/>
                      <w:marRight w:val="0"/>
                      <w:marTop w:val="0"/>
                      <w:marBottom w:val="0"/>
                      <w:divBdr>
                        <w:top w:val="none" w:sz="0" w:space="0" w:color="auto"/>
                        <w:left w:val="none" w:sz="0" w:space="0" w:color="auto"/>
                        <w:bottom w:val="none" w:sz="0" w:space="0" w:color="auto"/>
                        <w:right w:val="none" w:sz="0" w:space="0" w:color="auto"/>
                      </w:divBdr>
                      <w:divsChild>
                        <w:div w:id="1771244336">
                          <w:marLeft w:val="0"/>
                          <w:marRight w:val="0"/>
                          <w:marTop w:val="0"/>
                          <w:marBottom w:val="0"/>
                          <w:divBdr>
                            <w:top w:val="none" w:sz="0" w:space="0" w:color="auto"/>
                            <w:left w:val="none" w:sz="0" w:space="0" w:color="auto"/>
                            <w:bottom w:val="none" w:sz="0" w:space="0" w:color="auto"/>
                            <w:right w:val="none" w:sz="0" w:space="0" w:color="auto"/>
                          </w:divBdr>
                          <w:divsChild>
                            <w:div w:id="777263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4934463">
                  <w:marLeft w:val="0"/>
                  <w:marRight w:val="0"/>
                  <w:marTop w:val="0"/>
                  <w:marBottom w:val="0"/>
                  <w:divBdr>
                    <w:top w:val="none" w:sz="0" w:space="0" w:color="auto"/>
                    <w:left w:val="none" w:sz="0" w:space="0" w:color="auto"/>
                    <w:bottom w:val="none" w:sz="0" w:space="0" w:color="auto"/>
                    <w:right w:val="none" w:sz="0" w:space="0" w:color="auto"/>
                  </w:divBdr>
                  <w:divsChild>
                    <w:div w:id="341736990">
                      <w:marLeft w:val="0"/>
                      <w:marRight w:val="0"/>
                      <w:marTop w:val="0"/>
                      <w:marBottom w:val="0"/>
                      <w:divBdr>
                        <w:top w:val="none" w:sz="0" w:space="0" w:color="auto"/>
                        <w:left w:val="none" w:sz="0" w:space="0" w:color="auto"/>
                        <w:bottom w:val="none" w:sz="0" w:space="0" w:color="auto"/>
                        <w:right w:val="none" w:sz="0" w:space="0" w:color="auto"/>
                      </w:divBdr>
                      <w:divsChild>
                        <w:div w:id="1921869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36787301">
      <w:bodyDiv w:val="1"/>
      <w:marLeft w:val="0"/>
      <w:marRight w:val="0"/>
      <w:marTop w:val="0"/>
      <w:marBottom w:val="0"/>
      <w:divBdr>
        <w:top w:val="none" w:sz="0" w:space="0" w:color="auto"/>
        <w:left w:val="none" w:sz="0" w:space="0" w:color="auto"/>
        <w:bottom w:val="none" w:sz="0" w:space="0" w:color="auto"/>
        <w:right w:val="none" w:sz="0" w:space="0" w:color="auto"/>
      </w:divBdr>
    </w:div>
    <w:div w:id="238294637">
      <w:bodyDiv w:val="1"/>
      <w:marLeft w:val="0"/>
      <w:marRight w:val="0"/>
      <w:marTop w:val="0"/>
      <w:marBottom w:val="0"/>
      <w:divBdr>
        <w:top w:val="none" w:sz="0" w:space="0" w:color="auto"/>
        <w:left w:val="none" w:sz="0" w:space="0" w:color="auto"/>
        <w:bottom w:val="none" w:sz="0" w:space="0" w:color="auto"/>
        <w:right w:val="none" w:sz="0" w:space="0" w:color="auto"/>
      </w:divBdr>
    </w:div>
    <w:div w:id="248739041">
      <w:bodyDiv w:val="1"/>
      <w:marLeft w:val="0"/>
      <w:marRight w:val="0"/>
      <w:marTop w:val="0"/>
      <w:marBottom w:val="0"/>
      <w:divBdr>
        <w:top w:val="none" w:sz="0" w:space="0" w:color="auto"/>
        <w:left w:val="none" w:sz="0" w:space="0" w:color="auto"/>
        <w:bottom w:val="none" w:sz="0" w:space="0" w:color="auto"/>
        <w:right w:val="none" w:sz="0" w:space="0" w:color="auto"/>
      </w:divBdr>
      <w:divsChild>
        <w:div w:id="69624466">
          <w:marLeft w:val="0"/>
          <w:marRight w:val="0"/>
          <w:marTop w:val="0"/>
          <w:marBottom w:val="166"/>
          <w:divBdr>
            <w:top w:val="none" w:sz="0" w:space="0" w:color="auto"/>
            <w:left w:val="none" w:sz="0" w:space="0" w:color="auto"/>
            <w:bottom w:val="none" w:sz="0" w:space="0" w:color="auto"/>
            <w:right w:val="none" w:sz="0" w:space="0" w:color="auto"/>
          </w:divBdr>
          <w:divsChild>
            <w:div w:id="238711443">
              <w:marLeft w:val="0"/>
              <w:marRight w:val="0"/>
              <w:marTop w:val="0"/>
              <w:marBottom w:val="0"/>
              <w:divBdr>
                <w:top w:val="none" w:sz="0" w:space="0" w:color="auto"/>
                <w:left w:val="none" w:sz="0" w:space="0" w:color="auto"/>
                <w:bottom w:val="none" w:sz="0" w:space="0" w:color="auto"/>
                <w:right w:val="none" w:sz="0" w:space="0" w:color="auto"/>
              </w:divBdr>
              <w:divsChild>
                <w:div w:id="1530070091">
                  <w:marLeft w:val="0"/>
                  <w:marRight w:val="0"/>
                  <w:marTop w:val="0"/>
                  <w:marBottom w:val="0"/>
                  <w:divBdr>
                    <w:top w:val="none" w:sz="0" w:space="0" w:color="auto"/>
                    <w:left w:val="none" w:sz="0" w:space="0" w:color="auto"/>
                    <w:bottom w:val="none" w:sz="0" w:space="0" w:color="auto"/>
                    <w:right w:val="none" w:sz="0" w:space="0" w:color="auto"/>
                  </w:divBdr>
                  <w:divsChild>
                    <w:div w:id="1451893595">
                      <w:marLeft w:val="0"/>
                      <w:marRight w:val="0"/>
                      <w:marTop w:val="0"/>
                      <w:marBottom w:val="0"/>
                      <w:divBdr>
                        <w:top w:val="none" w:sz="0" w:space="0" w:color="auto"/>
                        <w:left w:val="none" w:sz="0" w:space="0" w:color="auto"/>
                        <w:bottom w:val="none" w:sz="0" w:space="0" w:color="auto"/>
                        <w:right w:val="none" w:sz="0" w:space="0" w:color="auto"/>
                      </w:divBdr>
                      <w:divsChild>
                        <w:div w:id="1127504451">
                          <w:marLeft w:val="0"/>
                          <w:marRight w:val="0"/>
                          <w:marTop w:val="0"/>
                          <w:marBottom w:val="0"/>
                          <w:divBdr>
                            <w:top w:val="none" w:sz="0" w:space="0" w:color="auto"/>
                            <w:left w:val="none" w:sz="0" w:space="0" w:color="auto"/>
                            <w:bottom w:val="none" w:sz="0" w:space="0" w:color="auto"/>
                            <w:right w:val="none" w:sz="0" w:space="0" w:color="auto"/>
                          </w:divBdr>
                        </w:div>
                        <w:div w:id="1368220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6615838">
                  <w:marLeft w:val="240"/>
                  <w:marRight w:val="0"/>
                  <w:marTop w:val="0"/>
                  <w:marBottom w:val="0"/>
                  <w:divBdr>
                    <w:top w:val="none" w:sz="0" w:space="0" w:color="auto"/>
                    <w:left w:val="none" w:sz="0" w:space="0" w:color="auto"/>
                    <w:bottom w:val="none" w:sz="0" w:space="0" w:color="auto"/>
                    <w:right w:val="none" w:sz="0" w:space="0" w:color="auto"/>
                  </w:divBdr>
                  <w:divsChild>
                    <w:div w:id="1182280090">
                      <w:marLeft w:val="0"/>
                      <w:marRight w:val="0"/>
                      <w:marTop w:val="0"/>
                      <w:marBottom w:val="0"/>
                      <w:divBdr>
                        <w:top w:val="none" w:sz="0" w:space="0" w:color="auto"/>
                        <w:left w:val="none" w:sz="0" w:space="0" w:color="auto"/>
                        <w:bottom w:val="none" w:sz="0" w:space="0" w:color="auto"/>
                        <w:right w:val="none" w:sz="0" w:space="0" w:color="auto"/>
                      </w:divBdr>
                    </w:div>
                    <w:div w:id="341979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2396084">
              <w:marLeft w:val="0"/>
              <w:marRight w:val="0"/>
              <w:marTop w:val="166"/>
              <w:marBottom w:val="166"/>
              <w:divBdr>
                <w:top w:val="none" w:sz="0" w:space="0" w:color="auto"/>
                <w:left w:val="none" w:sz="0" w:space="0" w:color="auto"/>
                <w:bottom w:val="none" w:sz="0" w:space="0" w:color="auto"/>
                <w:right w:val="none" w:sz="0" w:space="0" w:color="auto"/>
              </w:divBdr>
              <w:divsChild>
                <w:div w:id="349066420">
                  <w:marLeft w:val="0"/>
                  <w:marRight w:val="0"/>
                  <w:marTop w:val="0"/>
                  <w:marBottom w:val="0"/>
                  <w:divBdr>
                    <w:top w:val="none" w:sz="0" w:space="0" w:color="auto"/>
                    <w:left w:val="none" w:sz="0" w:space="0" w:color="auto"/>
                    <w:bottom w:val="none" w:sz="0" w:space="0" w:color="auto"/>
                    <w:right w:val="none" w:sz="0" w:space="0" w:color="auto"/>
                  </w:divBdr>
                </w:div>
              </w:divsChild>
            </w:div>
            <w:div w:id="907575143">
              <w:marLeft w:val="0"/>
              <w:marRight w:val="0"/>
              <w:marTop w:val="166"/>
              <w:marBottom w:val="166"/>
              <w:divBdr>
                <w:top w:val="none" w:sz="0" w:space="0" w:color="auto"/>
                <w:left w:val="none" w:sz="0" w:space="0" w:color="auto"/>
                <w:bottom w:val="none" w:sz="0" w:space="0" w:color="auto"/>
                <w:right w:val="none" w:sz="0" w:space="0" w:color="auto"/>
              </w:divBdr>
            </w:div>
            <w:div w:id="1789738102">
              <w:marLeft w:val="0"/>
              <w:marRight w:val="0"/>
              <w:marTop w:val="166"/>
              <w:marBottom w:val="166"/>
              <w:divBdr>
                <w:top w:val="none" w:sz="0" w:space="0" w:color="auto"/>
                <w:left w:val="none" w:sz="0" w:space="0" w:color="auto"/>
                <w:bottom w:val="none" w:sz="0" w:space="0" w:color="auto"/>
                <w:right w:val="none" w:sz="0" w:space="0" w:color="auto"/>
              </w:divBdr>
              <w:divsChild>
                <w:div w:id="1317614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5840715">
          <w:marLeft w:val="0"/>
          <w:marRight w:val="0"/>
          <w:marTop w:val="332"/>
          <w:marBottom w:val="332"/>
          <w:divBdr>
            <w:top w:val="single" w:sz="18" w:space="0" w:color="639ACE"/>
            <w:left w:val="none" w:sz="0" w:space="0" w:color="auto"/>
            <w:bottom w:val="single" w:sz="18" w:space="17" w:color="639ACE"/>
            <w:right w:val="none" w:sz="0" w:space="0" w:color="auto"/>
          </w:divBdr>
        </w:div>
        <w:div w:id="1277787448">
          <w:marLeft w:val="0"/>
          <w:marRight w:val="0"/>
          <w:marTop w:val="0"/>
          <w:marBottom w:val="0"/>
          <w:divBdr>
            <w:top w:val="none" w:sz="0" w:space="0" w:color="auto"/>
            <w:left w:val="none" w:sz="0" w:space="0" w:color="auto"/>
            <w:bottom w:val="none" w:sz="0" w:space="0" w:color="auto"/>
            <w:right w:val="none" w:sz="0" w:space="0" w:color="auto"/>
          </w:divBdr>
        </w:div>
        <w:div w:id="2134325195">
          <w:marLeft w:val="0"/>
          <w:marRight w:val="0"/>
          <w:marTop w:val="0"/>
          <w:marBottom w:val="0"/>
          <w:divBdr>
            <w:top w:val="none" w:sz="0" w:space="0" w:color="auto"/>
            <w:left w:val="none" w:sz="0" w:space="0" w:color="auto"/>
            <w:bottom w:val="none" w:sz="0" w:space="0" w:color="auto"/>
            <w:right w:val="none" w:sz="0" w:space="0" w:color="auto"/>
          </w:divBdr>
        </w:div>
        <w:div w:id="1901935160">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718432675">
              <w:marLeft w:val="0"/>
              <w:marRight w:val="0"/>
              <w:marTop w:val="0"/>
              <w:marBottom w:val="332"/>
              <w:divBdr>
                <w:top w:val="none" w:sz="0" w:space="0" w:color="auto"/>
                <w:left w:val="none" w:sz="0" w:space="0" w:color="auto"/>
                <w:bottom w:val="none" w:sz="0" w:space="0" w:color="auto"/>
                <w:right w:val="none" w:sz="0" w:space="0" w:color="auto"/>
              </w:divBdr>
            </w:div>
            <w:div w:id="1094011064">
              <w:marLeft w:val="0"/>
              <w:marRight w:val="0"/>
              <w:marTop w:val="166"/>
              <w:marBottom w:val="0"/>
              <w:divBdr>
                <w:top w:val="none" w:sz="0" w:space="0" w:color="auto"/>
                <w:left w:val="none" w:sz="0" w:space="0" w:color="auto"/>
                <w:bottom w:val="none" w:sz="0" w:space="0" w:color="auto"/>
                <w:right w:val="none" w:sz="0" w:space="0" w:color="auto"/>
              </w:divBdr>
            </w:div>
            <w:div w:id="696321791">
              <w:marLeft w:val="0"/>
              <w:marRight w:val="0"/>
              <w:marTop w:val="0"/>
              <w:marBottom w:val="0"/>
              <w:divBdr>
                <w:top w:val="none" w:sz="0" w:space="0" w:color="auto"/>
                <w:left w:val="none" w:sz="0" w:space="0" w:color="auto"/>
                <w:bottom w:val="none" w:sz="0" w:space="0" w:color="auto"/>
                <w:right w:val="none" w:sz="0" w:space="0" w:color="auto"/>
              </w:divBdr>
              <w:divsChild>
                <w:div w:id="1758555113">
                  <w:marLeft w:val="0"/>
                  <w:marRight w:val="0"/>
                  <w:marTop w:val="0"/>
                  <w:marBottom w:val="0"/>
                  <w:divBdr>
                    <w:top w:val="none" w:sz="0" w:space="0" w:color="auto"/>
                    <w:left w:val="none" w:sz="0" w:space="0" w:color="auto"/>
                    <w:bottom w:val="none" w:sz="0" w:space="0" w:color="auto"/>
                    <w:right w:val="none" w:sz="0" w:space="0" w:color="auto"/>
                  </w:divBdr>
                </w:div>
                <w:div w:id="2120490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6004440">
          <w:marLeft w:val="0"/>
          <w:marRight w:val="0"/>
          <w:marTop w:val="0"/>
          <w:marBottom w:val="0"/>
          <w:divBdr>
            <w:top w:val="none" w:sz="0" w:space="0" w:color="auto"/>
            <w:left w:val="none" w:sz="0" w:space="0" w:color="auto"/>
            <w:bottom w:val="none" w:sz="0" w:space="0" w:color="auto"/>
            <w:right w:val="none" w:sz="0" w:space="0" w:color="auto"/>
          </w:divBdr>
          <w:divsChild>
            <w:div w:id="318076714">
              <w:marLeft w:val="0"/>
              <w:marRight w:val="0"/>
              <w:marTop w:val="0"/>
              <w:marBottom w:val="0"/>
              <w:divBdr>
                <w:top w:val="none" w:sz="0" w:space="0" w:color="auto"/>
                <w:left w:val="none" w:sz="0" w:space="0" w:color="auto"/>
                <w:bottom w:val="none" w:sz="0" w:space="0" w:color="auto"/>
                <w:right w:val="none" w:sz="0" w:space="0" w:color="auto"/>
              </w:divBdr>
            </w:div>
            <w:div w:id="746148142">
              <w:marLeft w:val="0"/>
              <w:marRight w:val="0"/>
              <w:marTop w:val="0"/>
              <w:marBottom w:val="0"/>
              <w:divBdr>
                <w:top w:val="none" w:sz="0" w:space="0" w:color="auto"/>
                <w:left w:val="none" w:sz="0" w:space="0" w:color="auto"/>
                <w:bottom w:val="none" w:sz="0" w:space="0" w:color="auto"/>
                <w:right w:val="none" w:sz="0" w:space="0" w:color="auto"/>
              </w:divBdr>
              <w:divsChild>
                <w:div w:id="877425900">
                  <w:marLeft w:val="0"/>
                  <w:marRight w:val="0"/>
                  <w:marTop w:val="0"/>
                  <w:marBottom w:val="0"/>
                  <w:divBdr>
                    <w:top w:val="none" w:sz="0" w:space="0" w:color="auto"/>
                    <w:left w:val="none" w:sz="0" w:space="0" w:color="auto"/>
                    <w:bottom w:val="none" w:sz="0" w:space="0" w:color="auto"/>
                    <w:right w:val="none" w:sz="0" w:space="0" w:color="auto"/>
                  </w:divBdr>
                </w:div>
                <w:div w:id="468977912">
                  <w:marLeft w:val="0"/>
                  <w:marRight w:val="0"/>
                  <w:marTop w:val="0"/>
                  <w:marBottom w:val="0"/>
                  <w:divBdr>
                    <w:top w:val="none" w:sz="0" w:space="0" w:color="auto"/>
                    <w:left w:val="none" w:sz="0" w:space="0" w:color="auto"/>
                    <w:bottom w:val="none" w:sz="0" w:space="0" w:color="auto"/>
                    <w:right w:val="none" w:sz="0" w:space="0" w:color="auto"/>
                  </w:divBdr>
                </w:div>
              </w:divsChild>
            </w:div>
            <w:div w:id="12848533">
              <w:marLeft w:val="0"/>
              <w:marRight w:val="0"/>
              <w:marTop w:val="0"/>
              <w:marBottom w:val="0"/>
              <w:divBdr>
                <w:top w:val="none" w:sz="0" w:space="0" w:color="auto"/>
                <w:left w:val="none" w:sz="0" w:space="0" w:color="auto"/>
                <w:bottom w:val="none" w:sz="0" w:space="0" w:color="auto"/>
                <w:right w:val="none" w:sz="0" w:space="0" w:color="auto"/>
              </w:divBdr>
            </w:div>
            <w:div w:id="542983990">
              <w:marLeft w:val="0"/>
              <w:marRight w:val="0"/>
              <w:marTop w:val="0"/>
              <w:marBottom w:val="0"/>
              <w:divBdr>
                <w:top w:val="none" w:sz="0" w:space="0" w:color="auto"/>
                <w:left w:val="none" w:sz="0" w:space="0" w:color="auto"/>
                <w:bottom w:val="none" w:sz="0" w:space="0" w:color="auto"/>
                <w:right w:val="none" w:sz="0" w:space="0" w:color="auto"/>
              </w:divBdr>
            </w:div>
            <w:div w:id="853038129">
              <w:marLeft w:val="0"/>
              <w:marRight w:val="0"/>
              <w:marTop w:val="0"/>
              <w:marBottom w:val="0"/>
              <w:divBdr>
                <w:top w:val="none" w:sz="0" w:space="0" w:color="auto"/>
                <w:left w:val="none" w:sz="0" w:space="0" w:color="auto"/>
                <w:bottom w:val="none" w:sz="0" w:space="0" w:color="auto"/>
                <w:right w:val="none" w:sz="0" w:space="0" w:color="auto"/>
              </w:divBdr>
              <w:divsChild>
                <w:div w:id="1929924457">
                  <w:marLeft w:val="0"/>
                  <w:marRight w:val="0"/>
                  <w:marTop w:val="0"/>
                  <w:marBottom w:val="0"/>
                  <w:divBdr>
                    <w:top w:val="none" w:sz="0" w:space="0" w:color="auto"/>
                    <w:left w:val="none" w:sz="0" w:space="0" w:color="auto"/>
                    <w:bottom w:val="none" w:sz="0" w:space="0" w:color="auto"/>
                    <w:right w:val="none" w:sz="0" w:space="0" w:color="auto"/>
                  </w:divBdr>
                </w:div>
                <w:div w:id="367688143">
                  <w:marLeft w:val="0"/>
                  <w:marRight w:val="0"/>
                  <w:marTop w:val="0"/>
                  <w:marBottom w:val="0"/>
                  <w:divBdr>
                    <w:top w:val="none" w:sz="0" w:space="0" w:color="auto"/>
                    <w:left w:val="none" w:sz="0" w:space="0" w:color="auto"/>
                    <w:bottom w:val="none" w:sz="0" w:space="0" w:color="auto"/>
                    <w:right w:val="none" w:sz="0" w:space="0" w:color="auto"/>
                  </w:divBdr>
                </w:div>
                <w:div w:id="751320281">
                  <w:marLeft w:val="0"/>
                  <w:marRight w:val="0"/>
                  <w:marTop w:val="0"/>
                  <w:marBottom w:val="0"/>
                  <w:divBdr>
                    <w:top w:val="none" w:sz="0" w:space="0" w:color="auto"/>
                    <w:left w:val="none" w:sz="0" w:space="0" w:color="auto"/>
                    <w:bottom w:val="none" w:sz="0" w:space="0" w:color="auto"/>
                    <w:right w:val="none" w:sz="0" w:space="0" w:color="auto"/>
                  </w:divBdr>
                </w:div>
                <w:div w:id="1769038767">
                  <w:marLeft w:val="0"/>
                  <w:marRight w:val="0"/>
                  <w:marTop w:val="0"/>
                  <w:marBottom w:val="0"/>
                  <w:divBdr>
                    <w:top w:val="none" w:sz="0" w:space="0" w:color="auto"/>
                    <w:left w:val="none" w:sz="0" w:space="0" w:color="auto"/>
                    <w:bottom w:val="none" w:sz="0" w:space="0" w:color="auto"/>
                    <w:right w:val="none" w:sz="0" w:space="0" w:color="auto"/>
                  </w:divBdr>
                </w:div>
                <w:div w:id="1184592382">
                  <w:marLeft w:val="0"/>
                  <w:marRight w:val="0"/>
                  <w:marTop w:val="0"/>
                  <w:marBottom w:val="0"/>
                  <w:divBdr>
                    <w:top w:val="none" w:sz="0" w:space="0" w:color="auto"/>
                    <w:left w:val="none" w:sz="0" w:space="0" w:color="auto"/>
                    <w:bottom w:val="none" w:sz="0" w:space="0" w:color="auto"/>
                    <w:right w:val="none" w:sz="0" w:space="0" w:color="auto"/>
                  </w:divBdr>
                </w:div>
                <w:div w:id="973103370">
                  <w:marLeft w:val="0"/>
                  <w:marRight w:val="0"/>
                  <w:marTop w:val="0"/>
                  <w:marBottom w:val="0"/>
                  <w:divBdr>
                    <w:top w:val="none" w:sz="0" w:space="0" w:color="auto"/>
                    <w:left w:val="none" w:sz="0" w:space="0" w:color="auto"/>
                    <w:bottom w:val="none" w:sz="0" w:space="0" w:color="auto"/>
                    <w:right w:val="none" w:sz="0" w:space="0" w:color="auto"/>
                  </w:divBdr>
                </w:div>
                <w:div w:id="1597714198">
                  <w:marLeft w:val="0"/>
                  <w:marRight w:val="0"/>
                  <w:marTop w:val="0"/>
                  <w:marBottom w:val="0"/>
                  <w:divBdr>
                    <w:top w:val="none" w:sz="0" w:space="0" w:color="auto"/>
                    <w:left w:val="none" w:sz="0" w:space="0" w:color="auto"/>
                    <w:bottom w:val="none" w:sz="0" w:space="0" w:color="auto"/>
                    <w:right w:val="none" w:sz="0" w:space="0" w:color="auto"/>
                  </w:divBdr>
                </w:div>
                <w:div w:id="1740784888">
                  <w:marLeft w:val="0"/>
                  <w:marRight w:val="0"/>
                  <w:marTop w:val="0"/>
                  <w:marBottom w:val="0"/>
                  <w:divBdr>
                    <w:top w:val="none" w:sz="0" w:space="0" w:color="auto"/>
                    <w:left w:val="none" w:sz="0" w:space="0" w:color="auto"/>
                    <w:bottom w:val="none" w:sz="0" w:space="0" w:color="auto"/>
                    <w:right w:val="none" w:sz="0" w:space="0" w:color="auto"/>
                  </w:divBdr>
                </w:div>
                <w:div w:id="1950352315">
                  <w:marLeft w:val="0"/>
                  <w:marRight w:val="0"/>
                  <w:marTop w:val="0"/>
                  <w:marBottom w:val="0"/>
                  <w:divBdr>
                    <w:top w:val="none" w:sz="0" w:space="0" w:color="auto"/>
                    <w:left w:val="none" w:sz="0" w:space="0" w:color="auto"/>
                    <w:bottom w:val="none" w:sz="0" w:space="0" w:color="auto"/>
                    <w:right w:val="none" w:sz="0" w:space="0" w:color="auto"/>
                  </w:divBdr>
                </w:div>
              </w:divsChild>
            </w:div>
            <w:div w:id="2047291637">
              <w:marLeft w:val="0"/>
              <w:marRight w:val="0"/>
              <w:marTop w:val="0"/>
              <w:marBottom w:val="0"/>
              <w:divBdr>
                <w:top w:val="none" w:sz="0" w:space="0" w:color="auto"/>
                <w:left w:val="none" w:sz="0" w:space="0" w:color="auto"/>
                <w:bottom w:val="none" w:sz="0" w:space="0" w:color="auto"/>
                <w:right w:val="none" w:sz="0" w:space="0" w:color="auto"/>
              </w:divBdr>
            </w:div>
          </w:divsChild>
        </w:div>
        <w:div w:id="937710037">
          <w:marLeft w:val="0"/>
          <w:marRight w:val="0"/>
          <w:marTop w:val="0"/>
          <w:marBottom w:val="0"/>
          <w:divBdr>
            <w:top w:val="none" w:sz="0" w:space="0" w:color="auto"/>
            <w:left w:val="none" w:sz="0" w:space="0" w:color="auto"/>
            <w:bottom w:val="none" w:sz="0" w:space="0" w:color="auto"/>
            <w:right w:val="none" w:sz="0" w:space="0" w:color="auto"/>
          </w:divBdr>
        </w:div>
        <w:div w:id="1859342664">
          <w:marLeft w:val="0"/>
          <w:marRight w:val="0"/>
          <w:marTop w:val="0"/>
          <w:marBottom w:val="0"/>
          <w:divBdr>
            <w:top w:val="none" w:sz="0" w:space="0" w:color="auto"/>
            <w:left w:val="none" w:sz="0" w:space="0" w:color="auto"/>
            <w:bottom w:val="none" w:sz="0" w:space="0" w:color="auto"/>
            <w:right w:val="none" w:sz="0" w:space="0" w:color="auto"/>
          </w:divBdr>
        </w:div>
        <w:div w:id="1411736539">
          <w:marLeft w:val="0"/>
          <w:marRight w:val="0"/>
          <w:marTop w:val="0"/>
          <w:marBottom w:val="0"/>
          <w:divBdr>
            <w:top w:val="none" w:sz="0" w:space="0" w:color="auto"/>
            <w:left w:val="none" w:sz="0" w:space="0" w:color="auto"/>
            <w:bottom w:val="none" w:sz="0" w:space="0" w:color="auto"/>
            <w:right w:val="none" w:sz="0" w:space="0" w:color="auto"/>
          </w:divBdr>
        </w:div>
        <w:div w:id="1793284845">
          <w:marLeft w:val="0"/>
          <w:marRight w:val="0"/>
          <w:marTop w:val="0"/>
          <w:marBottom w:val="0"/>
          <w:divBdr>
            <w:top w:val="none" w:sz="0" w:space="0" w:color="auto"/>
            <w:left w:val="none" w:sz="0" w:space="0" w:color="auto"/>
            <w:bottom w:val="none" w:sz="0" w:space="0" w:color="auto"/>
            <w:right w:val="none" w:sz="0" w:space="0" w:color="auto"/>
          </w:divBdr>
          <w:divsChild>
            <w:div w:id="63950230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79129468">
                  <w:marLeft w:val="0"/>
                  <w:marRight w:val="0"/>
                  <w:marTop w:val="0"/>
                  <w:marBottom w:val="332"/>
                  <w:divBdr>
                    <w:top w:val="none" w:sz="0" w:space="0" w:color="auto"/>
                    <w:left w:val="none" w:sz="0" w:space="0" w:color="auto"/>
                    <w:bottom w:val="none" w:sz="0" w:space="0" w:color="auto"/>
                    <w:right w:val="none" w:sz="0" w:space="0" w:color="auto"/>
                  </w:divBdr>
                </w:div>
                <w:div w:id="1532719636">
                  <w:marLeft w:val="0"/>
                  <w:marRight w:val="0"/>
                  <w:marTop w:val="166"/>
                  <w:marBottom w:val="0"/>
                  <w:divBdr>
                    <w:top w:val="none" w:sz="0" w:space="0" w:color="auto"/>
                    <w:left w:val="none" w:sz="0" w:space="0" w:color="auto"/>
                    <w:bottom w:val="none" w:sz="0" w:space="0" w:color="auto"/>
                    <w:right w:val="none" w:sz="0" w:space="0" w:color="auto"/>
                  </w:divBdr>
                </w:div>
                <w:div w:id="2129231855">
                  <w:marLeft w:val="0"/>
                  <w:marRight w:val="0"/>
                  <w:marTop w:val="0"/>
                  <w:marBottom w:val="0"/>
                  <w:divBdr>
                    <w:top w:val="none" w:sz="0" w:space="0" w:color="auto"/>
                    <w:left w:val="none" w:sz="0" w:space="0" w:color="auto"/>
                    <w:bottom w:val="none" w:sz="0" w:space="0" w:color="auto"/>
                    <w:right w:val="none" w:sz="0" w:space="0" w:color="auto"/>
                  </w:divBdr>
                  <w:divsChild>
                    <w:div w:id="610941880">
                      <w:marLeft w:val="0"/>
                      <w:marRight w:val="0"/>
                      <w:marTop w:val="0"/>
                      <w:marBottom w:val="0"/>
                      <w:divBdr>
                        <w:top w:val="none" w:sz="0" w:space="0" w:color="auto"/>
                        <w:left w:val="none" w:sz="0" w:space="0" w:color="auto"/>
                        <w:bottom w:val="none" w:sz="0" w:space="0" w:color="auto"/>
                        <w:right w:val="none" w:sz="0" w:space="0" w:color="auto"/>
                      </w:divBdr>
                    </w:div>
                    <w:div w:id="219362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7320268">
          <w:marLeft w:val="0"/>
          <w:marRight w:val="0"/>
          <w:marTop w:val="0"/>
          <w:marBottom w:val="0"/>
          <w:divBdr>
            <w:top w:val="none" w:sz="0" w:space="0" w:color="auto"/>
            <w:left w:val="none" w:sz="0" w:space="0" w:color="auto"/>
            <w:bottom w:val="none" w:sz="0" w:space="0" w:color="auto"/>
            <w:right w:val="none" w:sz="0" w:space="0" w:color="auto"/>
          </w:divBdr>
        </w:div>
        <w:div w:id="512189018">
          <w:marLeft w:val="0"/>
          <w:marRight w:val="0"/>
          <w:marTop w:val="0"/>
          <w:marBottom w:val="0"/>
          <w:divBdr>
            <w:top w:val="none" w:sz="0" w:space="0" w:color="auto"/>
            <w:left w:val="none" w:sz="0" w:space="0" w:color="auto"/>
            <w:bottom w:val="none" w:sz="0" w:space="0" w:color="auto"/>
            <w:right w:val="none" w:sz="0" w:space="0" w:color="auto"/>
          </w:divBdr>
          <w:divsChild>
            <w:div w:id="8442099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722683245">
                  <w:marLeft w:val="0"/>
                  <w:marRight w:val="0"/>
                  <w:marTop w:val="0"/>
                  <w:marBottom w:val="332"/>
                  <w:divBdr>
                    <w:top w:val="none" w:sz="0" w:space="0" w:color="auto"/>
                    <w:left w:val="none" w:sz="0" w:space="0" w:color="auto"/>
                    <w:bottom w:val="none" w:sz="0" w:space="0" w:color="auto"/>
                    <w:right w:val="none" w:sz="0" w:space="0" w:color="auto"/>
                  </w:divBdr>
                </w:div>
                <w:div w:id="358164014">
                  <w:marLeft w:val="0"/>
                  <w:marRight w:val="0"/>
                  <w:marTop w:val="166"/>
                  <w:marBottom w:val="0"/>
                  <w:divBdr>
                    <w:top w:val="none" w:sz="0" w:space="0" w:color="auto"/>
                    <w:left w:val="none" w:sz="0" w:space="0" w:color="auto"/>
                    <w:bottom w:val="none" w:sz="0" w:space="0" w:color="auto"/>
                    <w:right w:val="none" w:sz="0" w:space="0" w:color="auto"/>
                  </w:divBdr>
                </w:div>
                <w:div w:id="552622230">
                  <w:marLeft w:val="0"/>
                  <w:marRight w:val="0"/>
                  <w:marTop w:val="0"/>
                  <w:marBottom w:val="0"/>
                  <w:divBdr>
                    <w:top w:val="none" w:sz="0" w:space="0" w:color="auto"/>
                    <w:left w:val="none" w:sz="0" w:space="0" w:color="auto"/>
                    <w:bottom w:val="none" w:sz="0" w:space="0" w:color="auto"/>
                    <w:right w:val="none" w:sz="0" w:space="0" w:color="auto"/>
                  </w:divBdr>
                  <w:divsChild>
                    <w:div w:id="1322468179">
                      <w:marLeft w:val="0"/>
                      <w:marRight w:val="0"/>
                      <w:marTop w:val="0"/>
                      <w:marBottom w:val="0"/>
                      <w:divBdr>
                        <w:top w:val="none" w:sz="0" w:space="0" w:color="auto"/>
                        <w:left w:val="none" w:sz="0" w:space="0" w:color="auto"/>
                        <w:bottom w:val="none" w:sz="0" w:space="0" w:color="auto"/>
                        <w:right w:val="none" w:sz="0" w:space="0" w:color="auto"/>
                      </w:divBdr>
                    </w:div>
                    <w:div w:id="1692339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7821789">
          <w:marLeft w:val="0"/>
          <w:marRight w:val="0"/>
          <w:marTop w:val="0"/>
          <w:marBottom w:val="0"/>
          <w:divBdr>
            <w:top w:val="none" w:sz="0" w:space="0" w:color="auto"/>
            <w:left w:val="none" w:sz="0" w:space="0" w:color="auto"/>
            <w:bottom w:val="none" w:sz="0" w:space="0" w:color="auto"/>
            <w:right w:val="none" w:sz="0" w:space="0" w:color="auto"/>
          </w:divBdr>
          <w:divsChild>
            <w:div w:id="244532945">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866219580">
                  <w:marLeft w:val="0"/>
                  <w:marRight w:val="0"/>
                  <w:marTop w:val="0"/>
                  <w:marBottom w:val="332"/>
                  <w:divBdr>
                    <w:top w:val="none" w:sz="0" w:space="0" w:color="auto"/>
                    <w:left w:val="none" w:sz="0" w:space="0" w:color="auto"/>
                    <w:bottom w:val="none" w:sz="0" w:space="0" w:color="auto"/>
                    <w:right w:val="none" w:sz="0" w:space="0" w:color="auto"/>
                  </w:divBdr>
                </w:div>
                <w:div w:id="2044283599">
                  <w:marLeft w:val="0"/>
                  <w:marRight w:val="0"/>
                  <w:marTop w:val="166"/>
                  <w:marBottom w:val="0"/>
                  <w:divBdr>
                    <w:top w:val="none" w:sz="0" w:space="0" w:color="auto"/>
                    <w:left w:val="none" w:sz="0" w:space="0" w:color="auto"/>
                    <w:bottom w:val="none" w:sz="0" w:space="0" w:color="auto"/>
                    <w:right w:val="none" w:sz="0" w:space="0" w:color="auto"/>
                  </w:divBdr>
                </w:div>
                <w:div w:id="1105467677">
                  <w:marLeft w:val="0"/>
                  <w:marRight w:val="0"/>
                  <w:marTop w:val="0"/>
                  <w:marBottom w:val="0"/>
                  <w:divBdr>
                    <w:top w:val="none" w:sz="0" w:space="0" w:color="auto"/>
                    <w:left w:val="none" w:sz="0" w:space="0" w:color="auto"/>
                    <w:bottom w:val="none" w:sz="0" w:space="0" w:color="auto"/>
                    <w:right w:val="none" w:sz="0" w:space="0" w:color="auto"/>
                  </w:divBdr>
                  <w:divsChild>
                    <w:div w:id="36011355">
                      <w:marLeft w:val="0"/>
                      <w:marRight w:val="0"/>
                      <w:marTop w:val="0"/>
                      <w:marBottom w:val="0"/>
                      <w:divBdr>
                        <w:top w:val="none" w:sz="0" w:space="0" w:color="auto"/>
                        <w:left w:val="none" w:sz="0" w:space="0" w:color="auto"/>
                        <w:bottom w:val="none" w:sz="0" w:space="0" w:color="auto"/>
                        <w:right w:val="none" w:sz="0" w:space="0" w:color="auto"/>
                      </w:divBdr>
                    </w:div>
                    <w:div w:id="1245650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1212618">
          <w:marLeft w:val="0"/>
          <w:marRight w:val="0"/>
          <w:marTop w:val="0"/>
          <w:marBottom w:val="0"/>
          <w:divBdr>
            <w:top w:val="none" w:sz="0" w:space="0" w:color="auto"/>
            <w:left w:val="none" w:sz="0" w:space="0" w:color="auto"/>
            <w:bottom w:val="none" w:sz="0" w:space="0" w:color="auto"/>
            <w:right w:val="none" w:sz="0" w:space="0" w:color="auto"/>
          </w:divBdr>
          <w:divsChild>
            <w:div w:id="46342426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878737518">
                  <w:marLeft w:val="0"/>
                  <w:marRight w:val="0"/>
                  <w:marTop w:val="0"/>
                  <w:marBottom w:val="332"/>
                  <w:divBdr>
                    <w:top w:val="none" w:sz="0" w:space="0" w:color="auto"/>
                    <w:left w:val="none" w:sz="0" w:space="0" w:color="auto"/>
                    <w:bottom w:val="none" w:sz="0" w:space="0" w:color="auto"/>
                    <w:right w:val="none" w:sz="0" w:space="0" w:color="auto"/>
                  </w:divBdr>
                </w:div>
                <w:div w:id="754593602">
                  <w:marLeft w:val="0"/>
                  <w:marRight w:val="0"/>
                  <w:marTop w:val="166"/>
                  <w:marBottom w:val="0"/>
                  <w:divBdr>
                    <w:top w:val="none" w:sz="0" w:space="0" w:color="auto"/>
                    <w:left w:val="none" w:sz="0" w:space="0" w:color="auto"/>
                    <w:bottom w:val="none" w:sz="0" w:space="0" w:color="auto"/>
                    <w:right w:val="none" w:sz="0" w:space="0" w:color="auto"/>
                  </w:divBdr>
                </w:div>
                <w:div w:id="1744906924">
                  <w:marLeft w:val="0"/>
                  <w:marRight w:val="0"/>
                  <w:marTop w:val="0"/>
                  <w:marBottom w:val="0"/>
                  <w:divBdr>
                    <w:top w:val="none" w:sz="0" w:space="0" w:color="auto"/>
                    <w:left w:val="none" w:sz="0" w:space="0" w:color="auto"/>
                    <w:bottom w:val="none" w:sz="0" w:space="0" w:color="auto"/>
                    <w:right w:val="none" w:sz="0" w:space="0" w:color="auto"/>
                  </w:divBdr>
                  <w:divsChild>
                    <w:div w:id="369766327">
                      <w:marLeft w:val="0"/>
                      <w:marRight w:val="0"/>
                      <w:marTop w:val="0"/>
                      <w:marBottom w:val="0"/>
                      <w:divBdr>
                        <w:top w:val="none" w:sz="0" w:space="0" w:color="auto"/>
                        <w:left w:val="none" w:sz="0" w:space="0" w:color="auto"/>
                        <w:bottom w:val="none" w:sz="0" w:space="0" w:color="auto"/>
                        <w:right w:val="none" w:sz="0" w:space="0" w:color="auto"/>
                      </w:divBdr>
                    </w:div>
                    <w:div w:id="351492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0041307">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510565049">
                  <w:marLeft w:val="0"/>
                  <w:marRight w:val="0"/>
                  <w:marTop w:val="0"/>
                  <w:marBottom w:val="0"/>
                  <w:divBdr>
                    <w:top w:val="none" w:sz="0" w:space="0" w:color="auto"/>
                    <w:left w:val="none" w:sz="0" w:space="0" w:color="auto"/>
                    <w:bottom w:val="none" w:sz="0" w:space="0" w:color="auto"/>
                    <w:right w:val="none" w:sz="0" w:space="0" w:color="auto"/>
                  </w:divBdr>
                </w:div>
                <w:div w:id="894001887">
                  <w:marLeft w:val="0"/>
                  <w:marRight w:val="0"/>
                  <w:marTop w:val="0"/>
                  <w:marBottom w:val="0"/>
                  <w:divBdr>
                    <w:top w:val="none" w:sz="0" w:space="0" w:color="auto"/>
                    <w:left w:val="none" w:sz="0" w:space="0" w:color="auto"/>
                    <w:bottom w:val="none" w:sz="0" w:space="0" w:color="auto"/>
                    <w:right w:val="none" w:sz="0" w:space="0" w:color="auto"/>
                  </w:divBdr>
                </w:div>
              </w:divsChild>
            </w:div>
            <w:div w:id="341973468">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674920770">
                  <w:marLeft w:val="0"/>
                  <w:marRight w:val="0"/>
                  <w:marTop w:val="0"/>
                  <w:marBottom w:val="332"/>
                  <w:divBdr>
                    <w:top w:val="none" w:sz="0" w:space="0" w:color="auto"/>
                    <w:left w:val="none" w:sz="0" w:space="0" w:color="auto"/>
                    <w:bottom w:val="none" w:sz="0" w:space="0" w:color="auto"/>
                    <w:right w:val="none" w:sz="0" w:space="0" w:color="auto"/>
                  </w:divBdr>
                </w:div>
                <w:div w:id="1930383671">
                  <w:marLeft w:val="0"/>
                  <w:marRight w:val="0"/>
                  <w:marTop w:val="166"/>
                  <w:marBottom w:val="0"/>
                  <w:divBdr>
                    <w:top w:val="none" w:sz="0" w:space="0" w:color="auto"/>
                    <w:left w:val="none" w:sz="0" w:space="0" w:color="auto"/>
                    <w:bottom w:val="none" w:sz="0" w:space="0" w:color="auto"/>
                    <w:right w:val="none" w:sz="0" w:space="0" w:color="auto"/>
                  </w:divBdr>
                </w:div>
                <w:div w:id="1341351910">
                  <w:marLeft w:val="0"/>
                  <w:marRight w:val="0"/>
                  <w:marTop w:val="0"/>
                  <w:marBottom w:val="0"/>
                  <w:divBdr>
                    <w:top w:val="none" w:sz="0" w:space="0" w:color="auto"/>
                    <w:left w:val="none" w:sz="0" w:space="0" w:color="auto"/>
                    <w:bottom w:val="none" w:sz="0" w:space="0" w:color="auto"/>
                    <w:right w:val="none" w:sz="0" w:space="0" w:color="auto"/>
                  </w:divBdr>
                  <w:divsChild>
                    <w:div w:id="1344285559">
                      <w:marLeft w:val="0"/>
                      <w:marRight w:val="0"/>
                      <w:marTop w:val="0"/>
                      <w:marBottom w:val="0"/>
                      <w:divBdr>
                        <w:top w:val="none" w:sz="0" w:space="0" w:color="auto"/>
                        <w:left w:val="none" w:sz="0" w:space="0" w:color="auto"/>
                        <w:bottom w:val="none" w:sz="0" w:space="0" w:color="auto"/>
                        <w:right w:val="none" w:sz="0" w:space="0" w:color="auto"/>
                      </w:divBdr>
                    </w:div>
                    <w:div w:id="266623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106045">
          <w:marLeft w:val="0"/>
          <w:marRight w:val="0"/>
          <w:marTop w:val="0"/>
          <w:marBottom w:val="0"/>
          <w:divBdr>
            <w:top w:val="none" w:sz="0" w:space="0" w:color="auto"/>
            <w:left w:val="none" w:sz="0" w:space="0" w:color="auto"/>
            <w:bottom w:val="none" w:sz="0" w:space="0" w:color="auto"/>
            <w:right w:val="none" w:sz="0" w:space="0" w:color="auto"/>
          </w:divBdr>
          <w:divsChild>
            <w:div w:id="896624633">
              <w:marLeft w:val="0"/>
              <w:marRight w:val="0"/>
              <w:marTop w:val="0"/>
              <w:marBottom w:val="0"/>
              <w:divBdr>
                <w:top w:val="none" w:sz="0" w:space="0" w:color="auto"/>
                <w:left w:val="none" w:sz="0" w:space="0" w:color="auto"/>
                <w:bottom w:val="none" w:sz="0" w:space="0" w:color="auto"/>
                <w:right w:val="none" w:sz="0" w:space="0" w:color="auto"/>
              </w:divBdr>
            </w:div>
            <w:div w:id="1446340812">
              <w:marLeft w:val="0"/>
              <w:marRight w:val="0"/>
              <w:marTop w:val="0"/>
              <w:marBottom w:val="0"/>
              <w:divBdr>
                <w:top w:val="none" w:sz="0" w:space="0" w:color="auto"/>
                <w:left w:val="none" w:sz="0" w:space="0" w:color="auto"/>
                <w:bottom w:val="none" w:sz="0" w:space="0" w:color="auto"/>
                <w:right w:val="none" w:sz="0" w:space="0" w:color="auto"/>
              </w:divBdr>
            </w:div>
          </w:divsChild>
        </w:div>
        <w:div w:id="443307898">
          <w:marLeft w:val="0"/>
          <w:marRight w:val="0"/>
          <w:marTop w:val="0"/>
          <w:marBottom w:val="0"/>
          <w:divBdr>
            <w:top w:val="none" w:sz="0" w:space="0" w:color="auto"/>
            <w:left w:val="none" w:sz="0" w:space="0" w:color="auto"/>
            <w:bottom w:val="none" w:sz="0" w:space="0" w:color="auto"/>
            <w:right w:val="none" w:sz="0" w:space="0" w:color="auto"/>
          </w:divBdr>
        </w:div>
      </w:divsChild>
    </w:div>
    <w:div w:id="252082951">
      <w:bodyDiv w:val="1"/>
      <w:marLeft w:val="0"/>
      <w:marRight w:val="0"/>
      <w:marTop w:val="0"/>
      <w:marBottom w:val="0"/>
      <w:divBdr>
        <w:top w:val="none" w:sz="0" w:space="0" w:color="auto"/>
        <w:left w:val="none" w:sz="0" w:space="0" w:color="auto"/>
        <w:bottom w:val="none" w:sz="0" w:space="0" w:color="auto"/>
        <w:right w:val="none" w:sz="0" w:space="0" w:color="auto"/>
      </w:divBdr>
    </w:div>
    <w:div w:id="254553060">
      <w:bodyDiv w:val="1"/>
      <w:marLeft w:val="0"/>
      <w:marRight w:val="0"/>
      <w:marTop w:val="0"/>
      <w:marBottom w:val="0"/>
      <w:divBdr>
        <w:top w:val="none" w:sz="0" w:space="0" w:color="auto"/>
        <w:left w:val="none" w:sz="0" w:space="0" w:color="auto"/>
        <w:bottom w:val="none" w:sz="0" w:space="0" w:color="auto"/>
        <w:right w:val="none" w:sz="0" w:space="0" w:color="auto"/>
      </w:divBdr>
      <w:divsChild>
        <w:div w:id="2118451667">
          <w:marLeft w:val="0"/>
          <w:marRight w:val="0"/>
          <w:marTop w:val="0"/>
          <w:marBottom w:val="0"/>
          <w:divBdr>
            <w:top w:val="none" w:sz="0" w:space="0" w:color="auto"/>
            <w:left w:val="none" w:sz="0" w:space="0" w:color="auto"/>
            <w:bottom w:val="single" w:sz="6" w:space="12" w:color="DDDDDD"/>
            <w:right w:val="none" w:sz="0" w:space="0" w:color="auto"/>
          </w:divBdr>
          <w:divsChild>
            <w:div w:id="1585608919">
              <w:marLeft w:val="0"/>
              <w:marRight w:val="0"/>
              <w:marTop w:val="0"/>
              <w:marBottom w:val="0"/>
              <w:divBdr>
                <w:top w:val="none" w:sz="0" w:space="0" w:color="auto"/>
                <w:left w:val="none" w:sz="0" w:space="0" w:color="auto"/>
                <w:bottom w:val="none" w:sz="0" w:space="0" w:color="auto"/>
                <w:right w:val="none" w:sz="0" w:space="0" w:color="auto"/>
              </w:divBdr>
              <w:divsChild>
                <w:div w:id="32341797">
                  <w:marLeft w:val="0"/>
                  <w:marRight w:val="0"/>
                  <w:marTop w:val="0"/>
                  <w:marBottom w:val="0"/>
                  <w:divBdr>
                    <w:top w:val="none" w:sz="0" w:space="0" w:color="auto"/>
                    <w:left w:val="none" w:sz="0" w:space="0" w:color="auto"/>
                    <w:bottom w:val="none" w:sz="0" w:space="0" w:color="auto"/>
                    <w:right w:val="none" w:sz="0" w:space="0" w:color="auto"/>
                  </w:divBdr>
                  <w:divsChild>
                    <w:div w:id="1055154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8681712">
          <w:marLeft w:val="0"/>
          <w:marRight w:val="0"/>
          <w:marTop w:val="0"/>
          <w:marBottom w:val="0"/>
          <w:divBdr>
            <w:top w:val="none" w:sz="0" w:space="0" w:color="auto"/>
            <w:left w:val="none" w:sz="0" w:space="0" w:color="auto"/>
            <w:bottom w:val="single" w:sz="6" w:space="12" w:color="DDDDDD"/>
            <w:right w:val="none" w:sz="0" w:space="0" w:color="auto"/>
          </w:divBdr>
          <w:divsChild>
            <w:div w:id="1676876981">
              <w:marLeft w:val="0"/>
              <w:marRight w:val="0"/>
              <w:marTop w:val="0"/>
              <w:marBottom w:val="0"/>
              <w:divBdr>
                <w:top w:val="none" w:sz="0" w:space="0" w:color="auto"/>
                <w:left w:val="none" w:sz="0" w:space="0" w:color="auto"/>
                <w:bottom w:val="none" w:sz="0" w:space="0" w:color="auto"/>
                <w:right w:val="none" w:sz="0" w:space="0" w:color="auto"/>
              </w:divBdr>
              <w:divsChild>
                <w:div w:id="1457065514">
                  <w:marLeft w:val="0"/>
                  <w:marRight w:val="0"/>
                  <w:marTop w:val="0"/>
                  <w:marBottom w:val="0"/>
                  <w:divBdr>
                    <w:top w:val="none" w:sz="0" w:space="0" w:color="auto"/>
                    <w:left w:val="none" w:sz="0" w:space="0" w:color="auto"/>
                    <w:bottom w:val="none" w:sz="0" w:space="0" w:color="auto"/>
                    <w:right w:val="none" w:sz="0" w:space="0" w:color="auto"/>
                  </w:divBdr>
                  <w:divsChild>
                    <w:div w:id="140973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2764748">
          <w:marLeft w:val="0"/>
          <w:marRight w:val="0"/>
          <w:marTop w:val="0"/>
          <w:marBottom w:val="0"/>
          <w:divBdr>
            <w:top w:val="none" w:sz="0" w:space="0" w:color="auto"/>
            <w:left w:val="none" w:sz="0" w:space="0" w:color="auto"/>
            <w:bottom w:val="single" w:sz="6" w:space="12" w:color="DDDDDD"/>
            <w:right w:val="none" w:sz="0" w:space="0" w:color="auto"/>
          </w:divBdr>
          <w:divsChild>
            <w:div w:id="211038827">
              <w:marLeft w:val="0"/>
              <w:marRight w:val="0"/>
              <w:marTop w:val="0"/>
              <w:marBottom w:val="0"/>
              <w:divBdr>
                <w:top w:val="none" w:sz="0" w:space="0" w:color="auto"/>
                <w:left w:val="none" w:sz="0" w:space="0" w:color="auto"/>
                <w:bottom w:val="none" w:sz="0" w:space="0" w:color="auto"/>
                <w:right w:val="none" w:sz="0" w:space="0" w:color="auto"/>
              </w:divBdr>
              <w:divsChild>
                <w:div w:id="1549218663">
                  <w:marLeft w:val="0"/>
                  <w:marRight w:val="0"/>
                  <w:marTop w:val="0"/>
                  <w:marBottom w:val="0"/>
                  <w:divBdr>
                    <w:top w:val="none" w:sz="0" w:space="0" w:color="auto"/>
                    <w:left w:val="none" w:sz="0" w:space="0" w:color="auto"/>
                    <w:bottom w:val="none" w:sz="0" w:space="0" w:color="auto"/>
                    <w:right w:val="none" w:sz="0" w:space="0" w:color="auto"/>
                  </w:divBdr>
                  <w:divsChild>
                    <w:div w:id="360589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1172823">
          <w:marLeft w:val="0"/>
          <w:marRight w:val="0"/>
          <w:marTop w:val="0"/>
          <w:marBottom w:val="0"/>
          <w:divBdr>
            <w:top w:val="none" w:sz="0" w:space="0" w:color="auto"/>
            <w:left w:val="none" w:sz="0" w:space="0" w:color="auto"/>
            <w:bottom w:val="single" w:sz="6" w:space="12" w:color="DDDDDD"/>
            <w:right w:val="none" w:sz="0" w:space="0" w:color="auto"/>
          </w:divBdr>
          <w:divsChild>
            <w:div w:id="396897895">
              <w:marLeft w:val="0"/>
              <w:marRight w:val="0"/>
              <w:marTop w:val="0"/>
              <w:marBottom w:val="0"/>
              <w:divBdr>
                <w:top w:val="none" w:sz="0" w:space="0" w:color="auto"/>
                <w:left w:val="none" w:sz="0" w:space="0" w:color="auto"/>
                <w:bottom w:val="none" w:sz="0" w:space="0" w:color="auto"/>
                <w:right w:val="none" w:sz="0" w:space="0" w:color="auto"/>
              </w:divBdr>
              <w:divsChild>
                <w:div w:id="1483154782">
                  <w:marLeft w:val="0"/>
                  <w:marRight w:val="0"/>
                  <w:marTop w:val="0"/>
                  <w:marBottom w:val="0"/>
                  <w:divBdr>
                    <w:top w:val="none" w:sz="0" w:space="0" w:color="auto"/>
                    <w:left w:val="none" w:sz="0" w:space="0" w:color="auto"/>
                    <w:bottom w:val="none" w:sz="0" w:space="0" w:color="auto"/>
                    <w:right w:val="none" w:sz="0" w:space="0" w:color="auto"/>
                  </w:divBdr>
                  <w:divsChild>
                    <w:div w:id="1580023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8726845">
          <w:marLeft w:val="0"/>
          <w:marRight w:val="0"/>
          <w:marTop w:val="0"/>
          <w:marBottom w:val="0"/>
          <w:divBdr>
            <w:top w:val="none" w:sz="0" w:space="0" w:color="auto"/>
            <w:left w:val="none" w:sz="0" w:space="0" w:color="auto"/>
            <w:bottom w:val="single" w:sz="6" w:space="12" w:color="DDDDDD"/>
            <w:right w:val="none" w:sz="0" w:space="0" w:color="auto"/>
          </w:divBdr>
          <w:divsChild>
            <w:div w:id="1991902746">
              <w:marLeft w:val="0"/>
              <w:marRight w:val="0"/>
              <w:marTop w:val="0"/>
              <w:marBottom w:val="0"/>
              <w:divBdr>
                <w:top w:val="none" w:sz="0" w:space="0" w:color="auto"/>
                <w:left w:val="none" w:sz="0" w:space="0" w:color="auto"/>
                <w:bottom w:val="none" w:sz="0" w:space="0" w:color="auto"/>
                <w:right w:val="none" w:sz="0" w:space="0" w:color="auto"/>
              </w:divBdr>
              <w:divsChild>
                <w:div w:id="1991320451">
                  <w:marLeft w:val="0"/>
                  <w:marRight w:val="0"/>
                  <w:marTop w:val="0"/>
                  <w:marBottom w:val="0"/>
                  <w:divBdr>
                    <w:top w:val="none" w:sz="0" w:space="0" w:color="auto"/>
                    <w:left w:val="none" w:sz="0" w:space="0" w:color="auto"/>
                    <w:bottom w:val="none" w:sz="0" w:space="0" w:color="auto"/>
                    <w:right w:val="none" w:sz="0" w:space="0" w:color="auto"/>
                  </w:divBdr>
                  <w:divsChild>
                    <w:div w:id="1567833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874557">
          <w:marLeft w:val="0"/>
          <w:marRight w:val="0"/>
          <w:marTop w:val="0"/>
          <w:marBottom w:val="0"/>
          <w:divBdr>
            <w:top w:val="none" w:sz="0" w:space="0" w:color="auto"/>
            <w:left w:val="none" w:sz="0" w:space="0" w:color="auto"/>
            <w:bottom w:val="single" w:sz="6" w:space="12" w:color="DDDDDD"/>
            <w:right w:val="none" w:sz="0" w:space="0" w:color="auto"/>
          </w:divBdr>
          <w:divsChild>
            <w:div w:id="364914544">
              <w:marLeft w:val="0"/>
              <w:marRight w:val="0"/>
              <w:marTop w:val="0"/>
              <w:marBottom w:val="0"/>
              <w:divBdr>
                <w:top w:val="none" w:sz="0" w:space="0" w:color="auto"/>
                <w:left w:val="none" w:sz="0" w:space="0" w:color="auto"/>
                <w:bottom w:val="none" w:sz="0" w:space="0" w:color="auto"/>
                <w:right w:val="none" w:sz="0" w:space="0" w:color="auto"/>
              </w:divBdr>
              <w:divsChild>
                <w:div w:id="106393448">
                  <w:marLeft w:val="0"/>
                  <w:marRight w:val="0"/>
                  <w:marTop w:val="0"/>
                  <w:marBottom w:val="0"/>
                  <w:divBdr>
                    <w:top w:val="none" w:sz="0" w:space="0" w:color="auto"/>
                    <w:left w:val="none" w:sz="0" w:space="0" w:color="auto"/>
                    <w:bottom w:val="none" w:sz="0" w:space="0" w:color="auto"/>
                    <w:right w:val="none" w:sz="0" w:space="0" w:color="auto"/>
                  </w:divBdr>
                  <w:divsChild>
                    <w:div w:id="425688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0494004">
          <w:marLeft w:val="0"/>
          <w:marRight w:val="0"/>
          <w:marTop w:val="0"/>
          <w:marBottom w:val="0"/>
          <w:divBdr>
            <w:top w:val="none" w:sz="0" w:space="0" w:color="auto"/>
            <w:left w:val="none" w:sz="0" w:space="0" w:color="auto"/>
            <w:bottom w:val="single" w:sz="6" w:space="12" w:color="DDDDDD"/>
            <w:right w:val="none" w:sz="0" w:space="0" w:color="auto"/>
          </w:divBdr>
          <w:divsChild>
            <w:div w:id="1022711151">
              <w:marLeft w:val="0"/>
              <w:marRight w:val="0"/>
              <w:marTop w:val="0"/>
              <w:marBottom w:val="0"/>
              <w:divBdr>
                <w:top w:val="none" w:sz="0" w:space="0" w:color="auto"/>
                <w:left w:val="none" w:sz="0" w:space="0" w:color="auto"/>
                <w:bottom w:val="none" w:sz="0" w:space="0" w:color="auto"/>
                <w:right w:val="none" w:sz="0" w:space="0" w:color="auto"/>
              </w:divBdr>
              <w:divsChild>
                <w:div w:id="1571764670">
                  <w:marLeft w:val="0"/>
                  <w:marRight w:val="0"/>
                  <w:marTop w:val="0"/>
                  <w:marBottom w:val="0"/>
                  <w:divBdr>
                    <w:top w:val="none" w:sz="0" w:space="0" w:color="auto"/>
                    <w:left w:val="none" w:sz="0" w:space="0" w:color="auto"/>
                    <w:bottom w:val="none" w:sz="0" w:space="0" w:color="auto"/>
                    <w:right w:val="none" w:sz="0" w:space="0" w:color="auto"/>
                  </w:divBdr>
                  <w:divsChild>
                    <w:div w:id="839347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2160433">
          <w:marLeft w:val="0"/>
          <w:marRight w:val="0"/>
          <w:marTop w:val="0"/>
          <w:marBottom w:val="0"/>
          <w:divBdr>
            <w:top w:val="none" w:sz="0" w:space="0" w:color="auto"/>
            <w:left w:val="none" w:sz="0" w:space="0" w:color="auto"/>
            <w:bottom w:val="single" w:sz="6" w:space="12" w:color="DDDDDD"/>
            <w:right w:val="none" w:sz="0" w:space="0" w:color="auto"/>
          </w:divBdr>
          <w:divsChild>
            <w:div w:id="700060221">
              <w:marLeft w:val="0"/>
              <w:marRight w:val="0"/>
              <w:marTop w:val="0"/>
              <w:marBottom w:val="0"/>
              <w:divBdr>
                <w:top w:val="none" w:sz="0" w:space="0" w:color="auto"/>
                <w:left w:val="none" w:sz="0" w:space="0" w:color="auto"/>
                <w:bottom w:val="none" w:sz="0" w:space="0" w:color="auto"/>
                <w:right w:val="none" w:sz="0" w:space="0" w:color="auto"/>
              </w:divBdr>
              <w:divsChild>
                <w:div w:id="1207987188">
                  <w:marLeft w:val="0"/>
                  <w:marRight w:val="0"/>
                  <w:marTop w:val="0"/>
                  <w:marBottom w:val="0"/>
                  <w:divBdr>
                    <w:top w:val="none" w:sz="0" w:space="0" w:color="auto"/>
                    <w:left w:val="none" w:sz="0" w:space="0" w:color="auto"/>
                    <w:bottom w:val="none" w:sz="0" w:space="0" w:color="auto"/>
                    <w:right w:val="none" w:sz="0" w:space="0" w:color="auto"/>
                  </w:divBdr>
                  <w:divsChild>
                    <w:div w:id="1050881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8247978">
          <w:marLeft w:val="0"/>
          <w:marRight w:val="0"/>
          <w:marTop w:val="0"/>
          <w:marBottom w:val="0"/>
          <w:divBdr>
            <w:top w:val="none" w:sz="0" w:space="0" w:color="auto"/>
            <w:left w:val="none" w:sz="0" w:space="0" w:color="auto"/>
            <w:bottom w:val="single" w:sz="6" w:space="12" w:color="DDDDDD"/>
            <w:right w:val="none" w:sz="0" w:space="0" w:color="auto"/>
          </w:divBdr>
          <w:divsChild>
            <w:div w:id="657881234">
              <w:marLeft w:val="0"/>
              <w:marRight w:val="0"/>
              <w:marTop w:val="0"/>
              <w:marBottom w:val="0"/>
              <w:divBdr>
                <w:top w:val="none" w:sz="0" w:space="0" w:color="auto"/>
                <w:left w:val="none" w:sz="0" w:space="0" w:color="auto"/>
                <w:bottom w:val="none" w:sz="0" w:space="0" w:color="auto"/>
                <w:right w:val="none" w:sz="0" w:space="0" w:color="auto"/>
              </w:divBdr>
              <w:divsChild>
                <w:div w:id="1305306076">
                  <w:marLeft w:val="0"/>
                  <w:marRight w:val="0"/>
                  <w:marTop w:val="0"/>
                  <w:marBottom w:val="0"/>
                  <w:divBdr>
                    <w:top w:val="none" w:sz="0" w:space="0" w:color="auto"/>
                    <w:left w:val="none" w:sz="0" w:space="0" w:color="auto"/>
                    <w:bottom w:val="none" w:sz="0" w:space="0" w:color="auto"/>
                    <w:right w:val="none" w:sz="0" w:space="0" w:color="auto"/>
                  </w:divBdr>
                  <w:divsChild>
                    <w:div w:id="1126267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5250610">
          <w:marLeft w:val="0"/>
          <w:marRight w:val="0"/>
          <w:marTop w:val="0"/>
          <w:marBottom w:val="0"/>
          <w:divBdr>
            <w:top w:val="none" w:sz="0" w:space="0" w:color="auto"/>
            <w:left w:val="none" w:sz="0" w:space="0" w:color="auto"/>
            <w:bottom w:val="single" w:sz="6" w:space="12" w:color="DDDDDD"/>
            <w:right w:val="none" w:sz="0" w:space="0" w:color="auto"/>
          </w:divBdr>
          <w:divsChild>
            <w:div w:id="828986125">
              <w:marLeft w:val="0"/>
              <w:marRight w:val="0"/>
              <w:marTop w:val="0"/>
              <w:marBottom w:val="0"/>
              <w:divBdr>
                <w:top w:val="none" w:sz="0" w:space="0" w:color="auto"/>
                <w:left w:val="none" w:sz="0" w:space="0" w:color="auto"/>
                <w:bottom w:val="none" w:sz="0" w:space="0" w:color="auto"/>
                <w:right w:val="none" w:sz="0" w:space="0" w:color="auto"/>
              </w:divBdr>
              <w:divsChild>
                <w:div w:id="598486611">
                  <w:marLeft w:val="0"/>
                  <w:marRight w:val="0"/>
                  <w:marTop w:val="0"/>
                  <w:marBottom w:val="0"/>
                  <w:divBdr>
                    <w:top w:val="none" w:sz="0" w:space="0" w:color="auto"/>
                    <w:left w:val="none" w:sz="0" w:space="0" w:color="auto"/>
                    <w:bottom w:val="none" w:sz="0" w:space="0" w:color="auto"/>
                    <w:right w:val="none" w:sz="0" w:space="0" w:color="auto"/>
                  </w:divBdr>
                  <w:divsChild>
                    <w:div w:id="168713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1195564">
          <w:marLeft w:val="0"/>
          <w:marRight w:val="0"/>
          <w:marTop w:val="0"/>
          <w:marBottom w:val="0"/>
          <w:divBdr>
            <w:top w:val="none" w:sz="0" w:space="0" w:color="auto"/>
            <w:left w:val="none" w:sz="0" w:space="0" w:color="auto"/>
            <w:bottom w:val="single" w:sz="6" w:space="12" w:color="DDDDDD"/>
            <w:right w:val="none" w:sz="0" w:space="0" w:color="auto"/>
          </w:divBdr>
          <w:divsChild>
            <w:div w:id="971251960">
              <w:marLeft w:val="0"/>
              <w:marRight w:val="0"/>
              <w:marTop w:val="0"/>
              <w:marBottom w:val="0"/>
              <w:divBdr>
                <w:top w:val="none" w:sz="0" w:space="0" w:color="auto"/>
                <w:left w:val="none" w:sz="0" w:space="0" w:color="auto"/>
                <w:bottom w:val="none" w:sz="0" w:space="0" w:color="auto"/>
                <w:right w:val="none" w:sz="0" w:space="0" w:color="auto"/>
              </w:divBdr>
              <w:divsChild>
                <w:div w:id="1369062379">
                  <w:marLeft w:val="0"/>
                  <w:marRight w:val="0"/>
                  <w:marTop w:val="0"/>
                  <w:marBottom w:val="0"/>
                  <w:divBdr>
                    <w:top w:val="none" w:sz="0" w:space="0" w:color="auto"/>
                    <w:left w:val="none" w:sz="0" w:space="0" w:color="auto"/>
                    <w:bottom w:val="none" w:sz="0" w:space="0" w:color="auto"/>
                    <w:right w:val="none" w:sz="0" w:space="0" w:color="auto"/>
                  </w:divBdr>
                  <w:divsChild>
                    <w:div w:id="1915234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9509682">
          <w:marLeft w:val="0"/>
          <w:marRight w:val="0"/>
          <w:marTop w:val="0"/>
          <w:marBottom w:val="0"/>
          <w:divBdr>
            <w:top w:val="none" w:sz="0" w:space="0" w:color="auto"/>
            <w:left w:val="none" w:sz="0" w:space="0" w:color="auto"/>
            <w:bottom w:val="single" w:sz="6" w:space="12" w:color="DDDDDD"/>
            <w:right w:val="none" w:sz="0" w:space="0" w:color="auto"/>
          </w:divBdr>
          <w:divsChild>
            <w:div w:id="1004942637">
              <w:marLeft w:val="0"/>
              <w:marRight w:val="0"/>
              <w:marTop w:val="0"/>
              <w:marBottom w:val="0"/>
              <w:divBdr>
                <w:top w:val="none" w:sz="0" w:space="0" w:color="auto"/>
                <w:left w:val="none" w:sz="0" w:space="0" w:color="auto"/>
                <w:bottom w:val="none" w:sz="0" w:space="0" w:color="auto"/>
                <w:right w:val="none" w:sz="0" w:space="0" w:color="auto"/>
              </w:divBdr>
              <w:divsChild>
                <w:div w:id="1642416545">
                  <w:marLeft w:val="0"/>
                  <w:marRight w:val="0"/>
                  <w:marTop w:val="0"/>
                  <w:marBottom w:val="0"/>
                  <w:divBdr>
                    <w:top w:val="none" w:sz="0" w:space="0" w:color="auto"/>
                    <w:left w:val="none" w:sz="0" w:space="0" w:color="auto"/>
                    <w:bottom w:val="none" w:sz="0" w:space="0" w:color="auto"/>
                    <w:right w:val="none" w:sz="0" w:space="0" w:color="auto"/>
                  </w:divBdr>
                  <w:divsChild>
                    <w:div w:id="81923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684663">
          <w:marLeft w:val="0"/>
          <w:marRight w:val="0"/>
          <w:marTop w:val="0"/>
          <w:marBottom w:val="0"/>
          <w:divBdr>
            <w:top w:val="none" w:sz="0" w:space="0" w:color="auto"/>
            <w:left w:val="none" w:sz="0" w:space="0" w:color="auto"/>
            <w:bottom w:val="single" w:sz="6" w:space="12" w:color="DDDDDD"/>
            <w:right w:val="none" w:sz="0" w:space="0" w:color="auto"/>
          </w:divBdr>
          <w:divsChild>
            <w:div w:id="1100948142">
              <w:marLeft w:val="0"/>
              <w:marRight w:val="0"/>
              <w:marTop w:val="0"/>
              <w:marBottom w:val="0"/>
              <w:divBdr>
                <w:top w:val="none" w:sz="0" w:space="0" w:color="auto"/>
                <w:left w:val="none" w:sz="0" w:space="0" w:color="auto"/>
                <w:bottom w:val="none" w:sz="0" w:space="0" w:color="auto"/>
                <w:right w:val="none" w:sz="0" w:space="0" w:color="auto"/>
              </w:divBdr>
              <w:divsChild>
                <w:div w:id="325328926">
                  <w:marLeft w:val="0"/>
                  <w:marRight w:val="0"/>
                  <w:marTop w:val="0"/>
                  <w:marBottom w:val="0"/>
                  <w:divBdr>
                    <w:top w:val="none" w:sz="0" w:space="0" w:color="auto"/>
                    <w:left w:val="none" w:sz="0" w:space="0" w:color="auto"/>
                    <w:bottom w:val="none" w:sz="0" w:space="0" w:color="auto"/>
                    <w:right w:val="none" w:sz="0" w:space="0" w:color="auto"/>
                  </w:divBdr>
                  <w:divsChild>
                    <w:div w:id="621962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5736855">
          <w:marLeft w:val="0"/>
          <w:marRight w:val="0"/>
          <w:marTop w:val="0"/>
          <w:marBottom w:val="0"/>
          <w:divBdr>
            <w:top w:val="none" w:sz="0" w:space="0" w:color="auto"/>
            <w:left w:val="none" w:sz="0" w:space="0" w:color="auto"/>
            <w:bottom w:val="single" w:sz="6" w:space="12" w:color="DDDDDD"/>
            <w:right w:val="none" w:sz="0" w:space="0" w:color="auto"/>
          </w:divBdr>
          <w:divsChild>
            <w:div w:id="542249375">
              <w:marLeft w:val="0"/>
              <w:marRight w:val="0"/>
              <w:marTop w:val="0"/>
              <w:marBottom w:val="0"/>
              <w:divBdr>
                <w:top w:val="none" w:sz="0" w:space="0" w:color="auto"/>
                <w:left w:val="none" w:sz="0" w:space="0" w:color="auto"/>
                <w:bottom w:val="none" w:sz="0" w:space="0" w:color="auto"/>
                <w:right w:val="none" w:sz="0" w:space="0" w:color="auto"/>
              </w:divBdr>
              <w:divsChild>
                <w:div w:id="953365238">
                  <w:marLeft w:val="0"/>
                  <w:marRight w:val="0"/>
                  <w:marTop w:val="0"/>
                  <w:marBottom w:val="0"/>
                  <w:divBdr>
                    <w:top w:val="none" w:sz="0" w:space="0" w:color="auto"/>
                    <w:left w:val="none" w:sz="0" w:space="0" w:color="auto"/>
                    <w:bottom w:val="none" w:sz="0" w:space="0" w:color="auto"/>
                    <w:right w:val="none" w:sz="0" w:space="0" w:color="auto"/>
                  </w:divBdr>
                  <w:divsChild>
                    <w:div w:id="967123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8086785">
          <w:marLeft w:val="0"/>
          <w:marRight w:val="0"/>
          <w:marTop w:val="0"/>
          <w:marBottom w:val="0"/>
          <w:divBdr>
            <w:top w:val="none" w:sz="0" w:space="0" w:color="auto"/>
            <w:left w:val="none" w:sz="0" w:space="0" w:color="auto"/>
            <w:bottom w:val="single" w:sz="6" w:space="12" w:color="DDDDDD"/>
            <w:right w:val="none" w:sz="0" w:space="0" w:color="auto"/>
          </w:divBdr>
          <w:divsChild>
            <w:div w:id="477185284">
              <w:marLeft w:val="0"/>
              <w:marRight w:val="0"/>
              <w:marTop w:val="0"/>
              <w:marBottom w:val="0"/>
              <w:divBdr>
                <w:top w:val="none" w:sz="0" w:space="0" w:color="auto"/>
                <w:left w:val="none" w:sz="0" w:space="0" w:color="auto"/>
                <w:bottom w:val="none" w:sz="0" w:space="0" w:color="auto"/>
                <w:right w:val="none" w:sz="0" w:space="0" w:color="auto"/>
              </w:divBdr>
              <w:divsChild>
                <w:div w:id="2017146811">
                  <w:marLeft w:val="0"/>
                  <w:marRight w:val="0"/>
                  <w:marTop w:val="0"/>
                  <w:marBottom w:val="0"/>
                  <w:divBdr>
                    <w:top w:val="none" w:sz="0" w:space="0" w:color="auto"/>
                    <w:left w:val="none" w:sz="0" w:space="0" w:color="auto"/>
                    <w:bottom w:val="none" w:sz="0" w:space="0" w:color="auto"/>
                    <w:right w:val="none" w:sz="0" w:space="0" w:color="auto"/>
                  </w:divBdr>
                  <w:divsChild>
                    <w:div w:id="952203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1648988">
          <w:marLeft w:val="0"/>
          <w:marRight w:val="0"/>
          <w:marTop w:val="0"/>
          <w:marBottom w:val="0"/>
          <w:divBdr>
            <w:top w:val="none" w:sz="0" w:space="0" w:color="auto"/>
            <w:left w:val="none" w:sz="0" w:space="0" w:color="auto"/>
            <w:bottom w:val="single" w:sz="6" w:space="12" w:color="DDDDDD"/>
            <w:right w:val="none" w:sz="0" w:space="0" w:color="auto"/>
          </w:divBdr>
          <w:divsChild>
            <w:div w:id="703093251">
              <w:marLeft w:val="0"/>
              <w:marRight w:val="0"/>
              <w:marTop w:val="0"/>
              <w:marBottom w:val="0"/>
              <w:divBdr>
                <w:top w:val="none" w:sz="0" w:space="0" w:color="auto"/>
                <w:left w:val="none" w:sz="0" w:space="0" w:color="auto"/>
                <w:bottom w:val="none" w:sz="0" w:space="0" w:color="auto"/>
                <w:right w:val="none" w:sz="0" w:space="0" w:color="auto"/>
              </w:divBdr>
              <w:divsChild>
                <w:div w:id="1409231362">
                  <w:marLeft w:val="0"/>
                  <w:marRight w:val="0"/>
                  <w:marTop w:val="0"/>
                  <w:marBottom w:val="0"/>
                  <w:divBdr>
                    <w:top w:val="none" w:sz="0" w:space="0" w:color="auto"/>
                    <w:left w:val="none" w:sz="0" w:space="0" w:color="auto"/>
                    <w:bottom w:val="none" w:sz="0" w:space="0" w:color="auto"/>
                    <w:right w:val="none" w:sz="0" w:space="0" w:color="auto"/>
                  </w:divBdr>
                  <w:divsChild>
                    <w:div w:id="925458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6194206">
          <w:marLeft w:val="0"/>
          <w:marRight w:val="0"/>
          <w:marTop w:val="0"/>
          <w:marBottom w:val="0"/>
          <w:divBdr>
            <w:top w:val="none" w:sz="0" w:space="0" w:color="auto"/>
            <w:left w:val="none" w:sz="0" w:space="0" w:color="auto"/>
            <w:bottom w:val="single" w:sz="6" w:space="12" w:color="DDDDDD"/>
            <w:right w:val="none" w:sz="0" w:space="0" w:color="auto"/>
          </w:divBdr>
          <w:divsChild>
            <w:div w:id="1153988548">
              <w:marLeft w:val="0"/>
              <w:marRight w:val="0"/>
              <w:marTop w:val="0"/>
              <w:marBottom w:val="0"/>
              <w:divBdr>
                <w:top w:val="none" w:sz="0" w:space="0" w:color="auto"/>
                <w:left w:val="none" w:sz="0" w:space="0" w:color="auto"/>
                <w:bottom w:val="none" w:sz="0" w:space="0" w:color="auto"/>
                <w:right w:val="none" w:sz="0" w:space="0" w:color="auto"/>
              </w:divBdr>
              <w:divsChild>
                <w:div w:id="112986171">
                  <w:marLeft w:val="0"/>
                  <w:marRight w:val="0"/>
                  <w:marTop w:val="0"/>
                  <w:marBottom w:val="0"/>
                  <w:divBdr>
                    <w:top w:val="none" w:sz="0" w:space="0" w:color="auto"/>
                    <w:left w:val="none" w:sz="0" w:space="0" w:color="auto"/>
                    <w:bottom w:val="none" w:sz="0" w:space="0" w:color="auto"/>
                    <w:right w:val="none" w:sz="0" w:space="0" w:color="auto"/>
                  </w:divBdr>
                  <w:divsChild>
                    <w:div w:id="1991906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393884">
          <w:marLeft w:val="0"/>
          <w:marRight w:val="0"/>
          <w:marTop w:val="0"/>
          <w:marBottom w:val="0"/>
          <w:divBdr>
            <w:top w:val="none" w:sz="0" w:space="0" w:color="auto"/>
            <w:left w:val="none" w:sz="0" w:space="0" w:color="auto"/>
            <w:bottom w:val="single" w:sz="6" w:space="12" w:color="DDDDDD"/>
            <w:right w:val="none" w:sz="0" w:space="0" w:color="auto"/>
          </w:divBdr>
          <w:divsChild>
            <w:div w:id="5182712">
              <w:marLeft w:val="0"/>
              <w:marRight w:val="0"/>
              <w:marTop w:val="0"/>
              <w:marBottom w:val="0"/>
              <w:divBdr>
                <w:top w:val="none" w:sz="0" w:space="0" w:color="auto"/>
                <w:left w:val="none" w:sz="0" w:space="0" w:color="auto"/>
                <w:bottom w:val="none" w:sz="0" w:space="0" w:color="auto"/>
                <w:right w:val="none" w:sz="0" w:space="0" w:color="auto"/>
              </w:divBdr>
              <w:divsChild>
                <w:div w:id="824274852">
                  <w:marLeft w:val="0"/>
                  <w:marRight w:val="0"/>
                  <w:marTop w:val="0"/>
                  <w:marBottom w:val="0"/>
                  <w:divBdr>
                    <w:top w:val="none" w:sz="0" w:space="0" w:color="auto"/>
                    <w:left w:val="none" w:sz="0" w:space="0" w:color="auto"/>
                    <w:bottom w:val="none" w:sz="0" w:space="0" w:color="auto"/>
                    <w:right w:val="none" w:sz="0" w:space="0" w:color="auto"/>
                  </w:divBdr>
                  <w:divsChild>
                    <w:div w:id="954753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5866576">
          <w:marLeft w:val="0"/>
          <w:marRight w:val="0"/>
          <w:marTop w:val="0"/>
          <w:marBottom w:val="0"/>
          <w:divBdr>
            <w:top w:val="none" w:sz="0" w:space="0" w:color="auto"/>
            <w:left w:val="none" w:sz="0" w:space="0" w:color="auto"/>
            <w:bottom w:val="single" w:sz="6" w:space="12" w:color="DDDDDD"/>
            <w:right w:val="none" w:sz="0" w:space="0" w:color="auto"/>
          </w:divBdr>
          <w:divsChild>
            <w:div w:id="568461899">
              <w:marLeft w:val="0"/>
              <w:marRight w:val="0"/>
              <w:marTop w:val="0"/>
              <w:marBottom w:val="0"/>
              <w:divBdr>
                <w:top w:val="none" w:sz="0" w:space="0" w:color="auto"/>
                <w:left w:val="none" w:sz="0" w:space="0" w:color="auto"/>
                <w:bottom w:val="none" w:sz="0" w:space="0" w:color="auto"/>
                <w:right w:val="none" w:sz="0" w:space="0" w:color="auto"/>
              </w:divBdr>
              <w:divsChild>
                <w:div w:id="577178375">
                  <w:marLeft w:val="0"/>
                  <w:marRight w:val="0"/>
                  <w:marTop w:val="0"/>
                  <w:marBottom w:val="0"/>
                  <w:divBdr>
                    <w:top w:val="none" w:sz="0" w:space="0" w:color="auto"/>
                    <w:left w:val="none" w:sz="0" w:space="0" w:color="auto"/>
                    <w:bottom w:val="none" w:sz="0" w:space="0" w:color="auto"/>
                    <w:right w:val="none" w:sz="0" w:space="0" w:color="auto"/>
                  </w:divBdr>
                  <w:divsChild>
                    <w:div w:id="1480614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7951101">
          <w:marLeft w:val="0"/>
          <w:marRight w:val="0"/>
          <w:marTop w:val="0"/>
          <w:marBottom w:val="0"/>
          <w:divBdr>
            <w:top w:val="none" w:sz="0" w:space="0" w:color="auto"/>
            <w:left w:val="none" w:sz="0" w:space="0" w:color="auto"/>
            <w:bottom w:val="single" w:sz="6" w:space="12" w:color="DDDDDD"/>
            <w:right w:val="none" w:sz="0" w:space="0" w:color="auto"/>
          </w:divBdr>
          <w:divsChild>
            <w:div w:id="847327186">
              <w:marLeft w:val="0"/>
              <w:marRight w:val="0"/>
              <w:marTop w:val="0"/>
              <w:marBottom w:val="0"/>
              <w:divBdr>
                <w:top w:val="none" w:sz="0" w:space="0" w:color="auto"/>
                <w:left w:val="none" w:sz="0" w:space="0" w:color="auto"/>
                <w:bottom w:val="none" w:sz="0" w:space="0" w:color="auto"/>
                <w:right w:val="none" w:sz="0" w:space="0" w:color="auto"/>
              </w:divBdr>
              <w:divsChild>
                <w:div w:id="1329210739">
                  <w:marLeft w:val="0"/>
                  <w:marRight w:val="0"/>
                  <w:marTop w:val="0"/>
                  <w:marBottom w:val="0"/>
                  <w:divBdr>
                    <w:top w:val="none" w:sz="0" w:space="0" w:color="auto"/>
                    <w:left w:val="none" w:sz="0" w:space="0" w:color="auto"/>
                    <w:bottom w:val="none" w:sz="0" w:space="0" w:color="auto"/>
                    <w:right w:val="none" w:sz="0" w:space="0" w:color="auto"/>
                  </w:divBdr>
                  <w:divsChild>
                    <w:div w:id="1324548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6902865">
          <w:marLeft w:val="0"/>
          <w:marRight w:val="0"/>
          <w:marTop w:val="0"/>
          <w:marBottom w:val="0"/>
          <w:divBdr>
            <w:top w:val="none" w:sz="0" w:space="0" w:color="auto"/>
            <w:left w:val="none" w:sz="0" w:space="0" w:color="auto"/>
            <w:bottom w:val="single" w:sz="6" w:space="12" w:color="DDDDDD"/>
            <w:right w:val="none" w:sz="0" w:space="0" w:color="auto"/>
          </w:divBdr>
          <w:divsChild>
            <w:div w:id="228882973">
              <w:marLeft w:val="0"/>
              <w:marRight w:val="0"/>
              <w:marTop w:val="0"/>
              <w:marBottom w:val="0"/>
              <w:divBdr>
                <w:top w:val="none" w:sz="0" w:space="0" w:color="auto"/>
                <w:left w:val="none" w:sz="0" w:space="0" w:color="auto"/>
                <w:bottom w:val="none" w:sz="0" w:space="0" w:color="auto"/>
                <w:right w:val="none" w:sz="0" w:space="0" w:color="auto"/>
              </w:divBdr>
              <w:divsChild>
                <w:div w:id="818033314">
                  <w:marLeft w:val="0"/>
                  <w:marRight w:val="0"/>
                  <w:marTop w:val="0"/>
                  <w:marBottom w:val="0"/>
                  <w:divBdr>
                    <w:top w:val="none" w:sz="0" w:space="0" w:color="auto"/>
                    <w:left w:val="none" w:sz="0" w:space="0" w:color="auto"/>
                    <w:bottom w:val="none" w:sz="0" w:space="0" w:color="auto"/>
                    <w:right w:val="none" w:sz="0" w:space="0" w:color="auto"/>
                  </w:divBdr>
                  <w:divsChild>
                    <w:div w:id="1624265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1156799">
          <w:marLeft w:val="0"/>
          <w:marRight w:val="0"/>
          <w:marTop w:val="0"/>
          <w:marBottom w:val="0"/>
          <w:divBdr>
            <w:top w:val="none" w:sz="0" w:space="0" w:color="auto"/>
            <w:left w:val="none" w:sz="0" w:space="0" w:color="auto"/>
            <w:bottom w:val="single" w:sz="6" w:space="12" w:color="DDDDDD"/>
            <w:right w:val="none" w:sz="0" w:space="0" w:color="auto"/>
          </w:divBdr>
          <w:divsChild>
            <w:div w:id="358432520">
              <w:marLeft w:val="0"/>
              <w:marRight w:val="0"/>
              <w:marTop w:val="0"/>
              <w:marBottom w:val="0"/>
              <w:divBdr>
                <w:top w:val="none" w:sz="0" w:space="0" w:color="auto"/>
                <w:left w:val="none" w:sz="0" w:space="0" w:color="auto"/>
                <w:bottom w:val="none" w:sz="0" w:space="0" w:color="auto"/>
                <w:right w:val="none" w:sz="0" w:space="0" w:color="auto"/>
              </w:divBdr>
              <w:divsChild>
                <w:div w:id="1357192571">
                  <w:marLeft w:val="0"/>
                  <w:marRight w:val="0"/>
                  <w:marTop w:val="0"/>
                  <w:marBottom w:val="0"/>
                  <w:divBdr>
                    <w:top w:val="none" w:sz="0" w:space="0" w:color="auto"/>
                    <w:left w:val="none" w:sz="0" w:space="0" w:color="auto"/>
                    <w:bottom w:val="none" w:sz="0" w:space="0" w:color="auto"/>
                    <w:right w:val="none" w:sz="0" w:space="0" w:color="auto"/>
                  </w:divBdr>
                  <w:divsChild>
                    <w:div w:id="1387071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5622668">
          <w:marLeft w:val="0"/>
          <w:marRight w:val="0"/>
          <w:marTop w:val="0"/>
          <w:marBottom w:val="0"/>
          <w:divBdr>
            <w:top w:val="none" w:sz="0" w:space="0" w:color="auto"/>
            <w:left w:val="none" w:sz="0" w:space="0" w:color="auto"/>
            <w:bottom w:val="single" w:sz="6" w:space="12" w:color="DDDDDD"/>
            <w:right w:val="none" w:sz="0" w:space="0" w:color="auto"/>
          </w:divBdr>
          <w:divsChild>
            <w:div w:id="829104799">
              <w:marLeft w:val="0"/>
              <w:marRight w:val="0"/>
              <w:marTop w:val="0"/>
              <w:marBottom w:val="0"/>
              <w:divBdr>
                <w:top w:val="none" w:sz="0" w:space="0" w:color="auto"/>
                <w:left w:val="none" w:sz="0" w:space="0" w:color="auto"/>
                <w:bottom w:val="none" w:sz="0" w:space="0" w:color="auto"/>
                <w:right w:val="none" w:sz="0" w:space="0" w:color="auto"/>
              </w:divBdr>
              <w:divsChild>
                <w:div w:id="1863013233">
                  <w:marLeft w:val="0"/>
                  <w:marRight w:val="0"/>
                  <w:marTop w:val="0"/>
                  <w:marBottom w:val="0"/>
                  <w:divBdr>
                    <w:top w:val="none" w:sz="0" w:space="0" w:color="auto"/>
                    <w:left w:val="none" w:sz="0" w:space="0" w:color="auto"/>
                    <w:bottom w:val="none" w:sz="0" w:space="0" w:color="auto"/>
                    <w:right w:val="none" w:sz="0" w:space="0" w:color="auto"/>
                  </w:divBdr>
                  <w:divsChild>
                    <w:div w:id="45884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1007242">
          <w:marLeft w:val="0"/>
          <w:marRight w:val="0"/>
          <w:marTop w:val="0"/>
          <w:marBottom w:val="0"/>
          <w:divBdr>
            <w:top w:val="none" w:sz="0" w:space="0" w:color="auto"/>
            <w:left w:val="none" w:sz="0" w:space="0" w:color="auto"/>
            <w:bottom w:val="none" w:sz="0" w:space="0" w:color="auto"/>
            <w:right w:val="none" w:sz="0" w:space="0" w:color="auto"/>
          </w:divBdr>
          <w:divsChild>
            <w:div w:id="743256868">
              <w:marLeft w:val="0"/>
              <w:marRight w:val="0"/>
              <w:marTop w:val="0"/>
              <w:marBottom w:val="0"/>
              <w:divBdr>
                <w:top w:val="none" w:sz="0" w:space="0" w:color="auto"/>
                <w:left w:val="none" w:sz="0" w:space="0" w:color="auto"/>
                <w:bottom w:val="none" w:sz="0" w:space="0" w:color="auto"/>
                <w:right w:val="none" w:sz="0" w:space="0" w:color="auto"/>
              </w:divBdr>
              <w:divsChild>
                <w:div w:id="422577590">
                  <w:marLeft w:val="0"/>
                  <w:marRight w:val="0"/>
                  <w:marTop w:val="0"/>
                  <w:marBottom w:val="0"/>
                  <w:divBdr>
                    <w:top w:val="none" w:sz="0" w:space="0" w:color="auto"/>
                    <w:left w:val="none" w:sz="0" w:space="0" w:color="auto"/>
                    <w:bottom w:val="none" w:sz="0" w:space="0" w:color="auto"/>
                    <w:right w:val="none" w:sz="0" w:space="0" w:color="auto"/>
                  </w:divBdr>
                  <w:divsChild>
                    <w:div w:id="455179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59681063">
      <w:bodyDiv w:val="1"/>
      <w:marLeft w:val="0"/>
      <w:marRight w:val="0"/>
      <w:marTop w:val="0"/>
      <w:marBottom w:val="0"/>
      <w:divBdr>
        <w:top w:val="none" w:sz="0" w:space="0" w:color="auto"/>
        <w:left w:val="none" w:sz="0" w:space="0" w:color="auto"/>
        <w:bottom w:val="none" w:sz="0" w:space="0" w:color="auto"/>
        <w:right w:val="none" w:sz="0" w:space="0" w:color="auto"/>
      </w:divBdr>
    </w:div>
    <w:div w:id="261187915">
      <w:bodyDiv w:val="1"/>
      <w:marLeft w:val="0"/>
      <w:marRight w:val="0"/>
      <w:marTop w:val="0"/>
      <w:marBottom w:val="0"/>
      <w:divBdr>
        <w:top w:val="none" w:sz="0" w:space="0" w:color="auto"/>
        <w:left w:val="none" w:sz="0" w:space="0" w:color="auto"/>
        <w:bottom w:val="none" w:sz="0" w:space="0" w:color="auto"/>
        <w:right w:val="none" w:sz="0" w:space="0" w:color="auto"/>
      </w:divBdr>
    </w:div>
    <w:div w:id="261304321">
      <w:bodyDiv w:val="1"/>
      <w:marLeft w:val="0"/>
      <w:marRight w:val="0"/>
      <w:marTop w:val="0"/>
      <w:marBottom w:val="0"/>
      <w:divBdr>
        <w:top w:val="none" w:sz="0" w:space="0" w:color="auto"/>
        <w:left w:val="none" w:sz="0" w:space="0" w:color="auto"/>
        <w:bottom w:val="none" w:sz="0" w:space="0" w:color="auto"/>
        <w:right w:val="none" w:sz="0" w:space="0" w:color="auto"/>
      </w:divBdr>
      <w:divsChild>
        <w:div w:id="1149135489">
          <w:marLeft w:val="0"/>
          <w:marRight w:val="0"/>
          <w:marTop w:val="0"/>
          <w:marBottom w:val="450"/>
          <w:divBdr>
            <w:top w:val="none" w:sz="0" w:space="0" w:color="auto"/>
            <w:left w:val="none" w:sz="0" w:space="0" w:color="auto"/>
            <w:bottom w:val="none" w:sz="0" w:space="0" w:color="auto"/>
            <w:right w:val="none" w:sz="0" w:space="0" w:color="auto"/>
          </w:divBdr>
          <w:divsChild>
            <w:div w:id="696665585">
              <w:marLeft w:val="0"/>
              <w:marRight w:val="0"/>
              <w:marTop w:val="0"/>
              <w:marBottom w:val="375"/>
              <w:divBdr>
                <w:top w:val="none" w:sz="0" w:space="0" w:color="auto"/>
                <w:left w:val="none" w:sz="0" w:space="0" w:color="auto"/>
                <w:bottom w:val="none" w:sz="0" w:space="0" w:color="auto"/>
                <w:right w:val="none" w:sz="0" w:space="0" w:color="auto"/>
              </w:divBdr>
              <w:divsChild>
                <w:div w:id="1221481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1166474">
          <w:marLeft w:val="0"/>
          <w:marRight w:val="0"/>
          <w:marTop w:val="0"/>
          <w:marBottom w:val="450"/>
          <w:divBdr>
            <w:top w:val="none" w:sz="0" w:space="0" w:color="auto"/>
            <w:left w:val="none" w:sz="0" w:space="0" w:color="auto"/>
            <w:bottom w:val="none" w:sz="0" w:space="0" w:color="auto"/>
            <w:right w:val="none" w:sz="0" w:space="0" w:color="auto"/>
          </w:divBdr>
          <w:divsChild>
            <w:div w:id="680813150">
              <w:marLeft w:val="0"/>
              <w:marRight w:val="0"/>
              <w:marTop w:val="0"/>
              <w:marBottom w:val="375"/>
              <w:divBdr>
                <w:top w:val="none" w:sz="0" w:space="0" w:color="auto"/>
                <w:left w:val="none" w:sz="0" w:space="0" w:color="auto"/>
                <w:bottom w:val="none" w:sz="0" w:space="0" w:color="auto"/>
                <w:right w:val="none" w:sz="0" w:space="0" w:color="auto"/>
              </w:divBdr>
              <w:divsChild>
                <w:div w:id="1907716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6342871">
          <w:marLeft w:val="0"/>
          <w:marRight w:val="0"/>
          <w:marTop w:val="0"/>
          <w:marBottom w:val="450"/>
          <w:divBdr>
            <w:top w:val="none" w:sz="0" w:space="0" w:color="auto"/>
            <w:left w:val="none" w:sz="0" w:space="0" w:color="auto"/>
            <w:bottom w:val="none" w:sz="0" w:space="0" w:color="auto"/>
            <w:right w:val="none" w:sz="0" w:space="0" w:color="auto"/>
          </w:divBdr>
          <w:divsChild>
            <w:div w:id="293608575">
              <w:marLeft w:val="0"/>
              <w:marRight w:val="0"/>
              <w:marTop w:val="0"/>
              <w:marBottom w:val="375"/>
              <w:divBdr>
                <w:top w:val="none" w:sz="0" w:space="0" w:color="auto"/>
                <w:left w:val="none" w:sz="0" w:space="0" w:color="auto"/>
                <w:bottom w:val="none" w:sz="0" w:space="0" w:color="auto"/>
                <w:right w:val="none" w:sz="0" w:space="0" w:color="auto"/>
              </w:divBdr>
              <w:divsChild>
                <w:div w:id="1502046990">
                  <w:marLeft w:val="0"/>
                  <w:marRight w:val="0"/>
                  <w:marTop w:val="0"/>
                  <w:marBottom w:val="0"/>
                  <w:divBdr>
                    <w:top w:val="none" w:sz="0" w:space="0" w:color="auto"/>
                    <w:left w:val="none" w:sz="0" w:space="0" w:color="auto"/>
                    <w:bottom w:val="none" w:sz="0" w:space="0" w:color="auto"/>
                    <w:right w:val="none" w:sz="0" w:space="0" w:color="auto"/>
                  </w:divBdr>
                </w:div>
              </w:divsChild>
            </w:div>
            <w:div w:id="989209968">
              <w:marLeft w:val="0"/>
              <w:marRight w:val="0"/>
              <w:marTop w:val="240"/>
              <w:marBottom w:val="240"/>
              <w:divBdr>
                <w:top w:val="none" w:sz="0" w:space="0" w:color="auto"/>
                <w:left w:val="none" w:sz="0" w:space="0" w:color="auto"/>
                <w:bottom w:val="none" w:sz="0" w:space="0" w:color="auto"/>
                <w:right w:val="none" w:sz="0" w:space="0" w:color="auto"/>
              </w:divBdr>
            </w:div>
            <w:div w:id="1245333028">
              <w:marLeft w:val="0"/>
              <w:marRight w:val="0"/>
              <w:marTop w:val="240"/>
              <w:marBottom w:val="240"/>
              <w:divBdr>
                <w:top w:val="none" w:sz="0" w:space="0" w:color="auto"/>
                <w:left w:val="none" w:sz="0" w:space="0" w:color="auto"/>
                <w:bottom w:val="none" w:sz="0" w:space="0" w:color="auto"/>
                <w:right w:val="none" w:sz="0" w:space="0" w:color="auto"/>
              </w:divBdr>
            </w:div>
            <w:div w:id="1886599967">
              <w:marLeft w:val="0"/>
              <w:marRight w:val="0"/>
              <w:marTop w:val="240"/>
              <w:marBottom w:val="240"/>
              <w:divBdr>
                <w:top w:val="none" w:sz="0" w:space="0" w:color="auto"/>
                <w:left w:val="none" w:sz="0" w:space="0" w:color="auto"/>
                <w:bottom w:val="none" w:sz="0" w:space="0" w:color="auto"/>
                <w:right w:val="none" w:sz="0" w:space="0" w:color="auto"/>
              </w:divBdr>
            </w:div>
            <w:div w:id="1924991156">
              <w:marLeft w:val="0"/>
              <w:marRight w:val="0"/>
              <w:marTop w:val="240"/>
              <w:marBottom w:val="480"/>
              <w:divBdr>
                <w:top w:val="none" w:sz="0" w:space="0" w:color="auto"/>
                <w:left w:val="none" w:sz="0" w:space="0" w:color="auto"/>
                <w:bottom w:val="none" w:sz="0" w:space="0" w:color="auto"/>
                <w:right w:val="none" w:sz="0" w:space="0" w:color="auto"/>
              </w:divBdr>
              <w:divsChild>
                <w:div w:id="1209337768">
                  <w:marLeft w:val="0"/>
                  <w:marRight w:val="0"/>
                  <w:marTop w:val="0"/>
                  <w:marBottom w:val="0"/>
                  <w:divBdr>
                    <w:top w:val="single" w:sz="6" w:space="0" w:color="C6C6C6"/>
                    <w:left w:val="single" w:sz="6" w:space="0" w:color="C6C6C6"/>
                    <w:bottom w:val="single" w:sz="6" w:space="0" w:color="C6C6C6"/>
                    <w:right w:val="single" w:sz="6" w:space="0" w:color="C6C6C6"/>
                  </w:divBdr>
                </w:div>
                <w:div w:id="1091243829">
                  <w:marLeft w:val="0"/>
                  <w:marRight w:val="0"/>
                  <w:marTop w:val="0"/>
                  <w:marBottom w:val="0"/>
                  <w:divBdr>
                    <w:top w:val="none" w:sz="0" w:space="0" w:color="auto"/>
                    <w:left w:val="none" w:sz="0" w:space="0" w:color="auto"/>
                    <w:bottom w:val="dotted" w:sz="6" w:space="6" w:color="999999"/>
                    <w:right w:val="none" w:sz="0" w:space="0" w:color="auto"/>
                  </w:divBdr>
                </w:div>
              </w:divsChild>
            </w:div>
            <w:div w:id="2090612238">
              <w:marLeft w:val="0"/>
              <w:marRight w:val="0"/>
              <w:marTop w:val="240"/>
              <w:marBottom w:val="480"/>
              <w:divBdr>
                <w:top w:val="none" w:sz="0" w:space="0" w:color="auto"/>
                <w:left w:val="none" w:sz="0" w:space="0" w:color="auto"/>
                <w:bottom w:val="none" w:sz="0" w:space="0" w:color="auto"/>
                <w:right w:val="none" w:sz="0" w:space="0" w:color="auto"/>
              </w:divBdr>
              <w:divsChild>
                <w:div w:id="806050626">
                  <w:marLeft w:val="0"/>
                  <w:marRight w:val="0"/>
                  <w:marTop w:val="0"/>
                  <w:marBottom w:val="0"/>
                  <w:divBdr>
                    <w:top w:val="single" w:sz="6" w:space="0" w:color="C6C6C6"/>
                    <w:left w:val="single" w:sz="6" w:space="0" w:color="C6C6C6"/>
                    <w:bottom w:val="single" w:sz="6" w:space="0" w:color="C6C6C6"/>
                    <w:right w:val="single" w:sz="6" w:space="0" w:color="C6C6C6"/>
                  </w:divBdr>
                </w:div>
                <w:div w:id="277025339">
                  <w:marLeft w:val="0"/>
                  <w:marRight w:val="0"/>
                  <w:marTop w:val="0"/>
                  <w:marBottom w:val="0"/>
                  <w:divBdr>
                    <w:top w:val="none" w:sz="0" w:space="0" w:color="auto"/>
                    <w:left w:val="none" w:sz="0" w:space="0" w:color="auto"/>
                    <w:bottom w:val="dotted" w:sz="6" w:space="6" w:color="999999"/>
                    <w:right w:val="none" w:sz="0" w:space="0" w:color="auto"/>
                  </w:divBdr>
                </w:div>
              </w:divsChild>
            </w:div>
            <w:div w:id="1649240429">
              <w:marLeft w:val="0"/>
              <w:marRight w:val="0"/>
              <w:marTop w:val="240"/>
              <w:marBottom w:val="240"/>
              <w:divBdr>
                <w:top w:val="none" w:sz="0" w:space="0" w:color="auto"/>
                <w:left w:val="none" w:sz="0" w:space="0" w:color="auto"/>
                <w:bottom w:val="none" w:sz="0" w:space="0" w:color="auto"/>
                <w:right w:val="none" w:sz="0" w:space="0" w:color="auto"/>
              </w:divBdr>
            </w:div>
            <w:div w:id="547571584">
              <w:marLeft w:val="0"/>
              <w:marRight w:val="0"/>
              <w:marTop w:val="240"/>
              <w:marBottom w:val="240"/>
              <w:divBdr>
                <w:top w:val="none" w:sz="0" w:space="0" w:color="auto"/>
                <w:left w:val="none" w:sz="0" w:space="0" w:color="auto"/>
                <w:bottom w:val="none" w:sz="0" w:space="0" w:color="auto"/>
                <w:right w:val="none" w:sz="0" w:space="0" w:color="auto"/>
              </w:divBdr>
            </w:div>
            <w:div w:id="655454896">
              <w:marLeft w:val="0"/>
              <w:marRight w:val="0"/>
              <w:marTop w:val="240"/>
              <w:marBottom w:val="240"/>
              <w:divBdr>
                <w:top w:val="none" w:sz="0" w:space="0" w:color="auto"/>
                <w:left w:val="none" w:sz="0" w:space="0" w:color="auto"/>
                <w:bottom w:val="none" w:sz="0" w:space="0" w:color="auto"/>
                <w:right w:val="none" w:sz="0" w:space="0" w:color="auto"/>
              </w:divBdr>
            </w:div>
            <w:div w:id="1813057351">
              <w:marLeft w:val="0"/>
              <w:marRight w:val="0"/>
              <w:marTop w:val="240"/>
              <w:marBottom w:val="240"/>
              <w:divBdr>
                <w:top w:val="none" w:sz="0" w:space="0" w:color="auto"/>
                <w:left w:val="none" w:sz="0" w:space="0" w:color="auto"/>
                <w:bottom w:val="none" w:sz="0" w:space="0" w:color="auto"/>
                <w:right w:val="none" w:sz="0" w:space="0" w:color="auto"/>
              </w:divBdr>
            </w:div>
            <w:div w:id="1902131065">
              <w:marLeft w:val="0"/>
              <w:marRight w:val="0"/>
              <w:marTop w:val="240"/>
              <w:marBottom w:val="480"/>
              <w:divBdr>
                <w:top w:val="none" w:sz="0" w:space="0" w:color="auto"/>
                <w:left w:val="none" w:sz="0" w:space="0" w:color="auto"/>
                <w:bottom w:val="none" w:sz="0" w:space="0" w:color="auto"/>
                <w:right w:val="none" w:sz="0" w:space="0" w:color="auto"/>
              </w:divBdr>
              <w:divsChild>
                <w:div w:id="1457093586">
                  <w:marLeft w:val="0"/>
                  <w:marRight w:val="0"/>
                  <w:marTop w:val="0"/>
                  <w:marBottom w:val="0"/>
                  <w:divBdr>
                    <w:top w:val="single" w:sz="6" w:space="0" w:color="C6C6C6"/>
                    <w:left w:val="single" w:sz="6" w:space="0" w:color="C6C6C6"/>
                    <w:bottom w:val="single" w:sz="6" w:space="0" w:color="C6C6C6"/>
                    <w:right w:val="single" w:sz="6" w:space="0" w:color="C6C6C6"/>
                  </w:divBdr>
                </w:div>
                <w:div w:id="1308047083">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46651680">
          <w:marLeft w:val="0"/>
          <w:marRight w:val="0"/>
          <w:marTop w:val="0"/>
          <w:marBottom w:val="450"/>
          <w:divBdr>
            <w:top w:val="none" w:sz="0" w:space="0" w:color="auto"/>
            <w:left w:val="none" w:sz="0" w:space="0" w:color="auto"/>
            <w:bottom w:val="none" w:sz="0" w:space="0" w:color="auto"/>
            <w:right w:val="none" w:sz="0" w:space="0" w:color="auto"/>
          </w:divBdr>
          <w:divsChild>
            <w:div w:id="63339364">
              <w:marLeft w:val="0"/>
              <w:marRight w:val="0"/>
              <w:marTop w:val="0"/>
              <w:marBottom w:val="375"/>
              <w:divBdr>
                <w:top w:val="none" w:sz="0" w:space="0" w:color="auto"/>
                <w:left w:val="none" w:sz="0" w:space="0" w:color="auto"/>
                <w:bottom w:val="none" w:sz="0" w:space="0" w:color="auto"/>
                <w:right w:val="none" w:sz="0" w:space="0" w:color="auto"/>
              </w:divBdr>
              <w:divsChild>
                <w:div w:id="459035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2498309">
      <w:bodyDiv w:val="1"/>
      <w:marLeft w:val="0"/>
      <w:marRight w:val="0"/>
      <w:marTop w:val="0"/>
      <w:marBottom w:val="0"/>
      <w:divBdr>
        <w:top w:val="none" w:sz="0" w:space="0" w:color="auto"/>
        <w:left w:val="none" w:sz="0" w:space="0" w:color="auto"/>
        <w:bottom w:val="none" w:sz="0" w:space="0" w:color="auto"/>
        <w:right w:val="none" w:sz="0" w:space="0" w:color="auto"/>
      </w:divBdr>
      <w:divsChild>
        <w:div w:id="1086002032">
          <w:marLeft w:val="0"/>
          <w:marRight w:val="0"/>
          <w:marTop w:val="0"/>
          <w:marBottom w:val="0"/>
          <w:divBdr>
            <w:top w:val="none" w:sz="0" w:space="0" w:color="auto"/>
            <w:left w:val="none" w:sz="0" w:space="0" w:color="auto"/>
            <w:bottom w:val="none" w:sz="0" w:space="0" w:color="auto"/>
            <w:right w:val="none" w:sz="0" w:space="0" w:color="auto"/>
          </w:divBdr>
          <w:divsChild>
            <w:div w:id="2067757216">
              <w:marLeft w:val="0"/>
              <w:marRight w:val="0"/>
              <w:marTop w:val="0"/>
              <w:marBottom w:val="0"/>
              <w:divBdr>
                <w:top w:val="none" w:sz="0" w:space="0" w:color="auto"/>
                <w:left w:val="none" w:sz="0" w:space="0" w:color="auto"/>
                <w:bottom w:val="single" w:sz="6" w:space="0" w:color="CCCCCC"/>
                <w:right w:val="none" w:sz="0" w:space="0" w:color="auto"/>
              </w:divBdr>
              <w:divsChild>
                <w:div w:id="1417896732">
                  <w:marLeft w:val="0"/>
                  <w:marRight w:val="0"/>
                  <w:marTop w:val="0"/>
                  <w:marBottom w:val="0"/>
                  <w:divBdr>
                    <w:top w:val="none" w:sz="0" w:space="0" w:color="auto"/>
                    <w:left w:val="none" w:sz="0" w:space="0" w:color="auto"/>
                    <w:bottom w:val="none" w:sz="0" w:space="0" w:color="auto"/>
                    <w:right w:val="none" w:sz="0" w:space="0" w:color="auto"/>
                  </w:divBdr>
                  <w:divsChild>
                    <w:div w:id="452797178">
                      <w:marLeft w:val="0"/>
                      <w:marRight w:val="0"/>
                      <w:marTop w:val="0"/>
                      <w:marBottom w:val="0"/>
                      <w:divBdr>
                        <w:top w:val="none" w:sz="0" w:space="0" w:color="auto"/>
                        <w:left w:val="none" w:sz="0" w:space="0" w:color="auto"/>
                        <w:bottom w:val="none" w:sz="0" w:space="0" w:color="auto"/>
                        <w:right w:val="none" w:sz="0" w:space="0" w:color="auto"/>
                      </w:divBdr>
                    </w:div>
                  </w:divsChild>
                </w:div>
                <w:div w:id="736246814">
                  <w:marLeft w:val="0"/>
                  <w:marRight w:val="0"/>
                  <w:marTop w:val="0"/>
                  <w:marBottom w:val="150"/>
                  <w:divBdr>
                    <w:top w:val="none" w:sz="0" w:space="0" w:color="auto"/>
                    <w:left w:val="none" w:sz="0" w:space="0" w:color="auto"/>
                    <w:bottom w:val="none" w:sz="0" w:space="0" w:color="auto"/>
                    <w:right w:val="none" w:sz="0" w:space="0" w:color="auto"/>
                  </w:divBdr>
                  <w:divsChild>
                    <w:div w:id="486942330">
                      <w:marLeft w:val="0"/>
                      <w:marRight w:val="0"/>
                      <w:marTop w:val="0"/>
                      <w:marBottom w:val="0"/>
                      <w:divBdr>
                        <w:top w:val="none" w:sz="0" w:space="0" w:color="auto"/>
                        <w:left w:val="none" w:sz="0" w:space="0" w:color="auto"/>
                        <w:bottom w:val="none" w:sz="0" w:space="0" w:color="auto"/>
                        <w:right w:val="none" w:sz="0" w:space="0" w:color="auto"/>
                      </w:divBdr>
                      <w:divsChild>
                        <w:div w:id="562062537">
                          <w:marLeft w:val="0"/>
                          <w:marRight w:val="0"/>
                          <w:marTop w:val="0"/>
                          <w:marBottom w:val="0"/>
                          <w:divBdr>
                            <w:top w:val="none" w:sz="0" w:space="0" w:color="auto"/>
                            <w:left w:val="none" w:sz="0" w:space="0" w:color="auto"/>
                            <w:bottom w:val="none" w:sz="0" w:space="0" w:color="auto"/>
                            <w:right w:val="none" w:sz="0" w:space="0" w:color="auto"/>
                          </w:divBdr>
                          <w:divsChild>
                            <w:div w:id="1073163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8328759">
                  <w:marLeft w:val="0"/>
                  <w:marRight w:val="0"/>
                  <w:marTop w:val="30"/>
                  <w:marBottom w:val="60"/>
                  <w:divBdr>
                    <w:top w:val="none" w:sz="0" w:space="0" w:color="auto"/>
                    <w:left w:val="none" w:sz="0" w:space="0" w:color="auto"/>
                    <w:bottom w:val="none" w:sz="0" w:space="0" w:color="auto"/>
                    <w:right w:val="none" w:sz="0" w:space="0" w:color="auto"/>
                  </w:divBdr>
                  <w:divsChild>
                    <w:div w:id="1288312952">
                      <w:marLeft w:val="0"/>
                      <w:marRight w:val="0"/>
                      <w:marTop w:val="0"/>
                      <w:marBottom w:val="0"/>
                      <w:divBdr>
                        <w:top w:val="none" w:sz="0" w:space="0" w:color="auto"/>
                        <w:left w:val="none" w:sz="0" w:space="0" w:color="auto"/>
                        <w:bottom w:val="none" w:sz="0" w:space="0" w:color="auto"/>
                        <w:right w:val="none" w:sz="0" w:space="0" w:color="auto"/>
                      </w:divBdr>
                      <w:divsChild>
                        <w:div w:id="233970942">
                          <w:marLeft w:val="0"/>
                          <w:marRight w:val="0"/>
                          <w:marTop w:val="0"/>
                          <w:marBottom w:val="0"/>
                          <w:divBdr>
                            <w:top w:val="none" w:sz="0" w:space="0" w:color="auto"/>
                            <w:left w:val="none" w:sz="0" w:space="0" w:color="auto"/>
                            <w:bottom w:val="none" w:sz="0" w:space="0" w:color="auto"/>
                            <w:right w:val="none" w:sz="0" w:space="0" w:color="auto"/>
                          </w:divBdr>
                          <w:divsChild>
                            <w:div w:id="1207138990">
                              <w:marLeft w:val="0"/>
                              <w:marRight w:val="0"/>
                              <w:marTop w:val="0"/>
                              <w:marBottom w:val="0"/>
                              <w:divBdr>
                                <w:top w:val="none" w:sz="0" w:space="0" w:color="auto"/>
                                <w:left w:val="none" w:sz="0" w:space="0" w:color="auto"/>
                                <w:bottom w:val="none" w:sz="0" w:space="0" w:color="auto"/>
                                <w:right w:val="none" w:sz="0" w:space="0" w:color="auto"/>
                              </w:divBdr>
                              <w:divsChild>
                                <w:div w:id="1963415156">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847060741">
                      <w:marLeft w:val="0"/>
                      <w:marRight w:val="0"/>
                      <w:marTop w:val="0"/>
                      <w:marBottom w:val="0"/>
                      <w:divBdr>
                        <w:top w:val="none" w:sz="0" w:space="0" w:color="auto"/>
                        <w:left w:val="none" w:sz="0" w:space="0" w:color="auto"/>
                        <w:bottom w:val="none" w:sz="0" w:space="0" w:color="auto"/>
                        <w:right w:val="none" w:sz="0" w:space="0" w:color="auto"/>
                      </w:divBdr>
                      <w:divsChild>
                        <w:div w:id="1221790935">
                          <w:marLeft w:val="0"/>
                          <w:marRight w:val="0"/>
                          <w:marTop w:val="0"/>
                          <w:marBottom w:val="0"/>
                          <w:divBdr>
                            <w:top w:val="none" w:sz="0" w:space="0" w:color="auto"/>
                            <w:left w:val="none" w:sz="0" w:space="0" w:color="auto"/>
                            <w:bottom w:val="none" w:sz="0" w:space="0" w:color="auto"/>
                            <w:right w:val="none" w:sz="0" w:space="0" w:color="auto"/>
                          </w:divBdr>
                          <w:divsChild>
                            <w:div w:id="1126855259">
                              <w:marLeft w:val="0"/>
                              <w:marRight w:val="0"/>
                              <w:marTop w:val="0"/>
                              <w:marBottom w:val="0"/>
                              <w:divBdr>
                                <w:top w:val="none" w:sz="0" w:space="0" w:color="auto"/>
                                <w:left w:val="none" w:sz="0" w:space="0" w:color="auto"/>
                                <w:bottom w:val="none" w:sz="0" w:space="0" w:color="auto"/>
                                <w:right w:val="none" w:sz="0" w:space="0" w:color="auto"/>
                              </w:divBdr>
                              <w:divsChild>
                                <w:div w:id="1067611549">
                                  <w:marLeft w:val="0"/>
                                  <w:marRight w:val="0"/>
                                  <w:marTop w:val="0"/>
                                  <w:marBottom w:val="0"/>
                                  <w:divBdr>
                                    <w:top w:val="none" w:sz="0" w:space="0" w:color="auto"/>
                                    <w:left w:val="none" w:sz="0" w:space="0" w:color="auto"/>
                                    <w:bottom w:val="none" w:sz="0" w:space="0" w:color="auto"/>
                                    <w:right w:val="none" w:sz="0" w:space="0" w:color="auto"/>
                                  </w:divBdr>
                                  <w:divsChild>
                                    <w:div w:id="171913795">
                                      <w:marLeft w:val="0"/>
                                      <w:marRight w:val="0"/>
                                      <w:marTop w:val="0"/>
                                      <w:marBottom w:val="0"/>
                                      <w:divBdr>
                                        <w:top w:val="none" w:sz="0" w:space="0" w:color="auto"/>
                                        <w:left w:val="none" w:sz="0" w:space="0" w:color="auto"/>
                                        <w:bottom w:val="none" w:sz="0" w:space="0" w:color="auto"/>
                                        <w:right w:val="none" w:sz="0" w:space="0" w:color="auto"/>
                                      </w:divBdr>
                                      <w:divsChild>
                                        <w:div w:id="865486810">
                                          <w:marLeft w:val="0"/>
                                          <w:marRight w:val="0"/>
                                          <w:marTop w:val="0"/>
                                          <w:marBottom w:val="0"/>
                                          <w:divBdr>
                                            <w:top w:val="none" w:sz="0" w:space="0" w:color="auto"/>
                                            <w:left w:val="none" w:sz="0" w:space="0" w:color="auto"/>
                                            <w:bottom w:val="none" w:sz="0" w:space="0" w:color="auto"/>
                                            <w:right w:val="none" w:sz="0" w:space="0" w:color="auto"/>
                                          </w:divBdr>
                                          <w:divsChild>
                                            <w:div w:id="488983958">
                                              <w:marLeft w:val="0"/>
                                              <w:marRight w:val="0"/>
                                              <w:marTop w:val="0"/>
                                              <w:marBottom w:val="0"/>
                                              <w:divBdr>
                                                <w:top w:val="none" w:sz="0" w:space="0" w:color="auto"/>
                                                <w:left w:val="none" w:sz="0" w:space="0" w:color="auto"/>
                                                <w:bottom w:val="none" w:sz="0" w:space="0" w:color="auto"/>
                                                <w:right w:val="none" w:sz="0" w:space="0" w:color="auto"/>
                                              </w:divBdr>
                                              <w:divsChild>
                                                <w:div w:id="1286275737">
                                                  <w:marLeft w:val="0"/>
                                                  <w:marRight w:val="0"/>
                                                  <w:marTop w:val="0"/>
                                                  <w:marBottom w:val="0"/>
                                                  <w:divBdr>
                                                    <w:top w:val="none" w:sz="0" w:space="0" w:color="auto"/>
                                                    <w:left w:val="none" w:sz="0" w:space="0" w:color="auto"/>
                                                    <w:bottom w:val="none" w:sz="0" w:space="0" w:color="auto"/>
                                                    <w:right w:val="none" w:sz="0" w:space="0" w:color="auto"/>
                                                  </w:divBdr>
                                                  <w:divsChild>
                                                    <w:div w:id="1183396696">
                                                      <w:marLeft w:val="0"/>
                                                      <w:marRight w:val="0"/>
                                                      <w:marTop w:val="0"/>
                                                      <w:marBottom w:val="0"/>
                                                      <w:divBdr>
                                                        <w:top w:val="none" w:sz="0" w:space="0" w:color="auto"/>
                                                        <w:left w:val="none" w:sz="0" w:space="0" w:color="auto"/>
                                                        <w:bottom w:val="none" w:sz="0" w:space="0" w:color="auto"/>
                                                        <w:right w:val="none" w:sz="0" w:space="0" w:color="auto"/>
                                                      </w:divBdr>
                                                      <w:divsChild>
                                                        <w:div w:id="1821262404">
                                                          <w:marLeft w:val="0"/>
                                                          <w:marRight w:val="0"/>
                                                          <w:marTop w:val="0"/>
                                                          <w:marBottom w:val="0"/>
                                                          <w:divBdr>
                                                            <w:top w:val="none" w:sz="0" w:space="0" w:color="auto"/>
                                                            <w:left w:val="none" w:sz="0" w:space="0" w:color="auto"/>
                                                            <w:bottom w:val="none" w:sz="0" w:space="0" w:color="auto"/>
                                                            <w:right w:val="none" w:sz="0" w:space="0" w:color="auto"/>
                                                          </w:divBdr>
                                                          <w:divsChild>
                                                            <w:div w:id="1650397107">
                                                              <w:marLeft w:val="0"/>
                                                              <w:marRight w:val="0"/>
                                                              <w:marTop w:val="0"/>
                                                              <w:marBottom w:val="0"/>
                                                              <w:divBdr>
                                                                <w:top w:val="none" w:sz="0" w:space="0" w:color="auto"/>
                                                                <w:left w:val="none" w:sz="0" w:space="0" w:color="auto"/>
                                                                <w:bottom w:val="none" w:sz="0" w:space="0" w:color="auto"/>
                                                                <w:right w:val="none" w:sz="0" w:space="0" w:color="auto"/>
                                                              </w:divBdr>
                                                              <w:divsChild>
                                                                <w:div w:id="1063604035">
                                                                  <w:marLeft w:val="0"/>
                                                                  <w:marRight w:val="0"/>
                                                                  <w:marTop w:val="0"/>
                                                                  <w:marBottom w:val="0"/>
                                                                  <w:divBdr>
                                                                    <w:top w:val="none" w:sz="0" w:space="0" w:color="auto"/>
                                                                    <w:left w:val="none" w:sz="0" w:space="0" w:color="auto"/>
                                                                    <w:bottom w:val="none" w:sz="0" w:space="0" w:color="auto"/>
                                                                    <w:right w:val="none" w:sz="0" w:space="0" w:color="auto"/>
                                                                  </w:divBdr>
                                                                  <w:divsChild>
                                                                    <w:div w:id="355235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7826795">
                                                              <w:marLeft w:val="0"/>
                                                              <w:marRight w:val="0"/>
                                                              <w:marTop w:val="0"/>
                                                              <w:marBottom w:val="0"/>
                                                              <w:divBdr>
                                                                <w:top w:val="none" w:sz="0" w:space="0" w:color="auto"/>
                                                                <w:left w:val="none" w:sz="0" w:space="0" w:color="auto"/>
                                                                <w:bottom w:val="none" w:sz="0" w:space="0" w:color="auto"/>
                                                                <w:right w:val="none" w:sz="0" w:space="0" w:color="auto"/>
                                                              </w:divBdr>
                                                              <w:divsChild>
                                                                <w:div w:id="202789308">
                                                                  <w:marLeft w:val="0"/>
                                                                  <w:marRight w:val="0"/>
                                                                  <w:marTop w:val="0"/>
                                                                  <w:marBottom w:val="0"/>
                                                                  <w:divBdr>
                                                                    <w:top w:val="none" w:sz="0" w:space="0" w:color="auto"/>
                                                                    <w:left w:val="none" w:sz="0" w:space="0" w:color="auto"/>
                                                                    <w:bottom w:val="none" w:sz="0" w:space="0" w:color="auto"/>
                                                                    <w:right w:val="none" w:sz="0" w:space="0" w:color="auto"/>
                                                                  </w:divBdr>
                                                                  <w:divsChild>
                                                                    <w:div w:id="1263610216">
                                                                      <w:marLeft w:val="0"/>
                                                                      <w:marRight w:val="0"/>
                                                                      <w:marTop w:val="0"/>
                                                                      <w:marBottom w:val="0"/>
                                                                      <w:divBdr>
                                                                        <w:top w:val="none" w:sz="0" w:space="0" w:color="auto"/>
                                                                        <w:left w:val="none" w:sz="0" w:space="0" w:color="auto"/>
                                                                        <w:bottom w:val="none" w:sz="0" w:space="0" w:color="auto"/>
                                                                        <w:right w:val="none" w:sz="0" w:space="0" w:color="auto"/>
                                                                      </w:divBdr>
                                                                      <w:divsChild>
                                                                        <w:div w:id="236207817">
                                                                          <w:marLeft w:val="0"/>
                                                                          <w:marRight w:val="0"/>
                                                                          <w:marTop w:val="0"/>
                                                                          <w:marBottom w:val="0"/>
                                                                          <w:divBdr>
                                                                            <w:top w:val="none" w:sz="0" w:space="0" w:color="auto"/>
                                                                            <w:left w:val="none" w:sz="0" w:space="0" w:color="auto"/>
                                                                            <w:bottom w:val="none" w:sz="0" w:space="0" w:color="auto"/>
                                                                            <w:right w:val="none" w:sz="0" w:space="0" w:color="auto"/>
                                                                          </w:divBdr>
                                                                          <w:divsChild>
                                                                            <w:div w:id="1985695807">
                                                                              <w:marLeft w:val="0"/>
                                                                              <w:marRight w:val="0"/>
                                                                              <w:marTop w:val="75"/>
                                                                              <w:marBottom w:val="75"/>
                                                                              <w:divBdr>
                                                                                <w:top w:val="none" w:sz="0" w:space="0" w:color="auto"/>
                                                                                <w:left w:val="none" w:sz="0" w:space="0" w:color="auto"/>
                                                                                <w:bottom w:val="none" w:sz="0" w:space="0" w:color="auto"/>
                                                                                <w:right w:val="none" w:sz="0" w:space="0" w:color="auto"/>
                                                                              </w:divBdr>
                                                                              <w:divsChild>
                                                                                <w:div w:id="865368032">
                                                                                  <w:marLeft w:val="0"/>
                                                                                  <w:marRight w:val="0"/>
                                                                                  <w:marTop w:val="0"/>
                                                                                  <w:marBottom w:val="0"/>
                                                                                  <w:divBdr>
                                                                                    <w:top w:val="none" w:sz="0" w:space="0" w:color="auto"/>
                                                                                    <w:left w:val="none" w:sz="0" w:space="0" w:color="auto"/>
                                                                                    <w:bottom w:val="none" w:sz="0" w:space="0" w:color="auto"/>
                                                                                    <w:right w:val="none" w:sz="0" w:space="0" w:color="auto"/>
                                                                                  </w:divBdr>
                                                                                  <w:divsChild>
                                                                                    <w:div w:id="804396602">
                                                                                      <w:marLeft w:val="0"/>
                                                                                      <w:marRight w:val="0"/>
                                                                                      <w:marTop w:val="0"/>
                                                                                      <w:marBottom w:val="0"/>
                                                                                      <w:divBdr>
                                                                                        <w:top w:val="none" w:sz="0" w:space="0" w:color="auto"/>
                                                                                        <w:left w:val="none" w:sz="0" w:space="0" w:color="auto"/>
                                                                                        <w:bottom w:val="none" w:sz="0" w:space="0" w:color="auto"/>
                                                                                        <w:right w:val="none" w:sz="0" w:space="0" w:color="auto"/>
                                                                                      </w:divBdr>
                                                                                      <w:divsChild>
                                                                                        <w:div w:id="1283726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413742730">
                                              <w:marLeft w:val="0"/>
                                              <w:marRight w:val="0"/>
                                              <w:marTop w:val="0"/>
                                              <w:marBottom w:val="0"/>
                                              <w:divBdr>
                                                <w:top w:val="none" w:sz="0" w:space="0" w:color="auto"/>
                                                <w:left w:val="none" w:sz="0" w:space="0" w:color="auto"/>
                                                <w:bottom w:val="none" w:sz="0" w:space="0" w:color="auto"/>
                                                <w:right w:val="none" w:sz="0" w:space="0" w:color="auto"/>
                                              </w:divBdr>
                                              <w:divsChild>
                                                <w:div w:id="603151455">
                                                  <w:marLeft w:val="0"/>
                                                  <w:marRight w:val="0"/>
                                                  <w:marTop w:val="0"/>
                                                  <w:marBottom w:val="0"/>
                                                  <w:divBdr>
                                                    <w:top w:val="none" w:sz="0" w:space="0" w:color="auto"/>
                                                    <w:left w:val="none" w:sz="0" w:space="0" w:color="auto"/>
                                                    <w:bottom w:val="none" w:sz="0" w:space="0" w:color="auto"/>
                                                    <w:right w:val="none" w:sz="0" w:space="0" w:color="auto"/>
                                                  </w:divBdr>
                                                  <w:divsChild>
                                                    <w:div w:id="277221358">
                                                      <w:marLeft w:val="0"/>
                                                      <w:marRight w:val="0"/>
                                                      <w:marTop w:val="0"/>
                                                      <w:marBottom w:val="0"/>
                                                      <w:divBdr>
                                                        <w:top w:val="none" w:sz="0" w:space="0" w:color="auto"/>
                                                        <w:left w:val="none" w:sz="0" w:space="0" w:color="auto"/>
                                                        <w:bottom w:val="none" w:sz="0" w:space="0" w:color="auto"/>
                                                        <w:right w:val="none" w:sz="0" w:space="0" w:color="auto"/>
                                                      </w:divBdr>
                                                      <w:divsChild>
                                                        <w:div w:id="1008483713">
                                                          <w:marLeft w:val="0"/>
                                                          <w:marRight w:val="0"/>
                                                          <w:marTop w:val="150"/>
                                                          <w:marBottom w:val="0"/>
                                                          <w:divBdr>
                                                            <w:top w:val="none" w:sz="0" w:space="0" w:color="auto"/>
                                                            <w:left w:val="none" w:sz="0" w:space="0" w:color="auto"/>
                                                            <w:bottom w:val="none" w:sz="0" w:space="0" w:color="auto"/>
                                                            <w:right w:val="none" w:sz="0" w:space="0" w:color="auto"/>
                                                          </w:divBdr>
                                                          <w:divsChild>
                                                            <w:div w:id="331491501">
                                                              <w:marLeft w:val="0"/>
                                                              <w:marRight w:val="0"/>
                                                              <w:marTop w:val="0"/>
                                                              <w:marBottom w:val="0"/>
                                                              <w:divBdr>
                                                                <w:top w:val="none" w:sz="0" w:space="0" w:color="auto"/>
                                                                <w:left w:val="none" w:sz="0" w:space="0" w:color="auto"/>
                                                                <w:bottom w:val="none" w:sz="0" w:space="0" w:color="auto"/>
                                                                <w:right w:val="none" w:sz="0" w:space="0" w:color="auto"/>
                                                              </w:divBdr>
                                                            </w:div>
                                                            <w:div w:id="2013675446">
                                                              <w:marLeft w:val="0"/>
                                                              <w:marRight w:val="0"/>
                                                              <w:marTop w:val="0"/>
                                                              <w:marBottom w:val="0"/>
                                                              <w:divBdr>
                                                                <w:top w:val="none" w:sz="0" w:space="0" w:color="auto"/>
                                                                <w:left w:val="none" w:sz="0" w:space="0" w:color="auto"/>
                                                                <w:bottom w:val="none" w:sz="0" w:space="0" w:color="auto"/>
                                                                <w:right w:val="none" w:sz="0" w:space="0" w:color="auto"/>
                                                              </w:divBdr>
                                                            </w:div>
                                                          </w:divsChild>
                                                        </w:div>
                                                        <w:div w:id="1605530394">
                                                          <w:marLeft w:val="0"/>
                                                          <w:marRight w:val="0"/>
                                                          <w:marTop w:val="0"/>
                                                          <w:marBottom w:val="0"/>
                                                          <w:divBdr>
                                                            <w:top w:val="none" w:sz="0" w:space="0" w:color="auto"/>
                                                            <w:left w:val="none" w:sz="0" w:space="0" w:color="auto"/>
                                                            <w:bottom w:val="none" w:sz="0" w:space="0" w:color="auto"/>
                                                            <w:right w:val="none" w:sz="0" w:space="0" w:color="auto"/>
                                                          </w:divBdr>
                                                          <w:divsChild>
                                                            <w:div w:id="1453590424">
                                                              <w:marLeft w:val="0"/>
                                                              <w:marRight w:val="0"/>
                                                              <w:marTop w:val="0"/>
                                                              <w:marBottom w:val="0"/>
                                                              <w:divBdr>
                                                                <w:top w:val="none" w:sz="0" w:space="0" w:color="auto"/>
                                                                <w:left w:val="none" w:sz="0" w:space="0" w:color="auto"/>
                                                                <w:bottom w:val="none" w:sz="0" w:space="0" w:color="auto"/>
                                                                <w:right w:val="none" w:sz="0" w:space="0" w:color="auto"/>
                                                              </w:divBdr>
                                                              <w:divsChild>
                                                                <w:div w:id="600648666">
                                                                  <w:marLeft w:val="0"/>
                                                                  <w:marRight w:val="0"/>
                                                                  <w:marTop w:val="0"/>
                                                                  <w:marBottom w:val="0"/>
                                                                  <w:divBdr>
                                                                    <w:top w:val="none" w:sz="0" w:space="0" w:color="auto"/>
                                                                    <w:left w:val="none" w:sz="0" w:space="0" w:color="auto"/>
                                                                    <w:bottom w:val="none" w:sz="0" w:space="0" w:color="auto"/>
                                                                    <w:right w:val="none" w:sz="0" w:space="0" w:color="auto"/>
                                                                  </w:divBdr>
                                                                  <w:divsChild>
                                                                    <w:div w:id="391539974">
                                                                      <w:marLeft w:val="0"/>
                                                                      <w:marRight w:val="0"/>
                                                                      <w:marTop w:val="0"/>
                                                                      <w:marBottom w:val="0"/>
                                                                      <w:divBdr>
                                                                        <w:top w:val="none" w:sz="0" w:space="0" w:color="auto"/>
                                                                        <w:left w:val="none" w:sz="0" w:space="0" w:color="auto"/>
                                                                        <w:bottom w:val="none" w:sz="0" w:space="0" w:color="auto"/>
                                                                        <w:right w:val="none" w:sz="0" w:space="0" w:color="auto"/>
                                                                      </w:divBdr>
                                                                    </w:div>
                                                                    <w:div w:id="457577747">
                                                                      <w:marLeft w:val="0"/>
                                                                      <w:marRight w:val="0"/>
                                                                      <w:marTop w:val="0"/>
                                                                      <w:marBottom w:val="0"/>
                                                                      <w:divBdr>
                                                                        <w:top w:val="none" w:sz="0" w:space="0" w:color="auto"/>
                                                                        <w:left w:val="none" w:sz="0" w:space="0" w:color="auto"/>
                                                                        <w:bottom w:val="none" w:sz="0" w:space="0" w:color="auto"/>
                                                                        <w:right w:val="none" w:sz="0" w:space="0" w:color="auto"/>
                                                                      </w:divBdr>
                                                                    </w:div>
                                                                    <w:div w:id="11155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8499423">
                                                          <w:marLeft w:val="0"/>
                                                          <w:marRight w:val="0"/>
                                                          <w:marTop w:val="390"/>
                                                          <w:marBottom w:val="0"/>
                                                          <w:divBdr>
                                                            <w:top w:val="none" w:sz="0" w:space="0" w:color="auto"/>
                                                            <w:left w:val="none" w:sz="0" w:space="0" w:color="auto"/>
                                                            <w:bottom w:val="none" w:sz="0" w:space="0" w:color="auto"/>
                                                            <w:right w:val="none" w:sz="0" w:space="0" w:color="auto"/>
                                                          </w:divBdr>
                                                          <w:divsChild>
                                                            <w:div w:id="1282809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687704829">
          <w:marLeft w:val="0"/>
          <w:marRight w:val="0"/>
          <w:marTop w:val="0"/>
          <w:marBottom w:val="0"/>
          <w:divBdr>
            <w:top w:val="none" w:sz="0" w:space="0" w:color="auto"/>
            <w:left w:val="none" w:sz="0" w:space="0" w:color="auto"/>
            <w:bottom w:val="none" w:sz="0" w:space="0" w:color="auto"/>
            <w:right w:val="none" w:sz="0" w:space="0" w:color="auto"/>
          </w:divBdr>
          <w:divsChild>
            <w:div w:id="1588493830">
              <w:marLeft w:val="0"/>
              <w:marRight w:val="0"/>
              <w:marTop w:val="0"/>
              <w:marBottom w:val="0"/>
              <w:divBdr>
                <w:top w:val="none" w:sz="0" w:space="0" w:color="auto"/>
                <w:left w:val="none" w:sz="0" w:space="0" w:color="auto"/>
                <w:bottom w:val="none" w:sz="0" w:space="0" w:color="auto"/>
                <w:right w:val="none" w:sz="0" w:space="0" w:color="auto"/>
              </w:divBdr>
              <w:divsChild>
                <w:div w:id="1498617576">
                  <w:marLeft w:val="0"/>
                  <w:marRight w:val="0"/>
                  <w:marTop w:val="0"/>
                  <w:marBottom w:val="0"/>
                  <w:divBdr>
                    <w:top w:val="none" w:sz="0" w:space="0" w:color="auto"/>
                    <w:left w:val="none" w:sz="0" w:space="0" w:color="auto"/>
                    <w:bottom w:val="none" w:sz="0" w:space="0" w:color="auto"/>
                    <w:right w:val="none" w:sz="0" w:space="0" w:color="auto"/>
                  </w:divBdr>
                  <w:divsChild>
                    <w:div w:id="1705909906">
                      <w:marLeft w:val="0"/>
                      <w:marRight w:val="0"/>
                      <w:marTop w:val="0"/>
                      <w:marBottom w:val="0"/>
                      <w:divBdr>
                        <w:top w:val="none" w:sz="0" w:space="0" w:color="auto"/>
                        <w:left w:val="none" w:sz="0" w:space="0" w:color="auto"/>
                        <w:bottom w:val="none" w:sz="0" w:space="0" w:color="auto"/>
                        <w:right w:val="none" w:sz="0" w:space="0" w:color="auto"/>
                      </w:divBdr>
                      <w:divsChild>
                        <w:div w:id="1570459836">
                          <w:marLeft w:val="0"/>
                          <w:marRight w:val="0"/>
                          <w:marTop w:val="75"/>
                          <w:marBottom w:val="0"/>
                          <w:divBdr>
                            <w:top w:val="none" w:sz="0" w:space="0" w:color="auto"/>
                            <w:left w:val="none" w:sz="0" w:space="0" w:color="auto"/>
                            <w:bottom w:val="none" w:sz="0" w:space="0" w:color="auto"/>
                            <w:right w:val="none" w:sz="0" w:space="0" w:color="auto"/>
                          </w:divBdr>
                          <w:divsChild>
                            <w:div w:id="1678732615">
                              <w:marLeft w:val="0"/>
                              <w:marRight w:val="0"/>
                              <w:marTop w:val="0"/>
                              <w:marBottom w:val="0"/>
                              <w:divBdr>
                                <w:top w:val="none" w:sz="0" w:space="0" w:color="auto"/>
                                <w:left w:val="none" w:sz="0" w:space="0" w:color="auto"/>
                                <w:bottom w:val="none" w:sz="0" w:space="0" w:color="auto"/>
                                <w:right w:val="none" w:sz="0" w:space="0" w:color="auto"/>
                              </w:divBdr>
                            </w:div>
                            <w:div w:id="1700621589">
                              <w:marLeft w:val="0"/>
                              <w:marRight w:val="0"/>
                              <w:marTop w:val="0"/>
                              <w:marBottom w:val="0"/>
                              <w:divBdr>
                                <w:top w:val="none" w:sz="0" w:space="0" w:color="auto"/>
                                <w:left w:val="none" w:sz="0" w:space="0" w:color="auto"/>
                                <w:bottom w:val="none" w:sz="0" w:space="0" w:color="auto"/>
                                <w:right w:val="none" w:sz="0" w:space="0" w:color="auto"/>
                              </w:divBdr>
                            </w:div>
                          </w:divsChild>
                        </w:div>
                        <w:div w:id="61760748">
                          <w:marLeft w:val="0"/>
                          <w:marRight w:val="0"/>
                          <w:marTop w:val="0"/>
                          <w:marBottom w:val="150"/>
                          <w:divBdr>
                            <w:top w:val="none" w:sz="0" w:space="0" w:color="auto"/>
                            <w:left w:val="none" w:sz="0" w:space="0" w:color="auto"/>
                            <w:bottom w:val="single" w:sz="6" w:space="0" w:color="CCCCCC"/>
                            <w:right w:val="none" w:sz="0" w:space="0" w:color="auto"/>
                          </w:divBdr>
                          <w:divsChild>
                            <w:div w:id="1366758551">
                              <w:marLeft w:val="300"/>
                              <w:marRight w:val="0"/>
                              <w:marTop w:val="0"/>
                              <w:marBottom w:val="450"/>
                              <w:divBdr>
                                <w:top w:val="none" w:sz="0" w:space="0" w:color="auto"/>
                                <w:left w:val="none" w:sz="0" w:space="0" w:color="auto"/>
                                <w:bottom w:val="none" w:sz="0" w:space="0" w:color="auto"/>
                                <w:right w:val="none" w:sz="0" w:space="0" w:color="auto"/>
                              </w:divBdr>
                            </w:div>
                          </w:divsChild>
                        </w:div>
                        <w:div w:id="546988425">
                          <w:marLeft w:val="0"/>
                          <w:marRight w:val="0"/>
                          <w:marTop w:val="0"/>
                          <w:marBottom w:val="0"/>
                          <w:divBdr>
                            <w:top w:val="none" w:sz="0" w:space="0" w:color="auto"/>
                            <w:left w:val="none" w:sz="0" w:space="0" w:color="auto"/>
                            <w:bottom w:val="none" w:sz="0" w:space="0" w:color="auto"/>
                            <w:right w:val="none" w:sz="0" w:space="0" w:color="auto"/>
                          </w:divBdr>
                          <w:divsChild>
                            <w:div w:id="1397583965">
                              <w:marLeft w:val="0"/>
                              <w:marRight w:val="0"/>
                              <w:marTop w:val="0"/>
                              <w:marBottom w:val="0"/>
                              <w:divBdr>
                                <w:top w:val="none" w:sz="0" w:space="0" w:color="auto"/>
                                <w:left w:val="none" w:sz="0" w:space="0" w:color="auto"/>
                                <w:bottom w:val="none" w:sz="0" w:space="0" w:color="auto"/>
                                <w:right w:val="none" w:sz="0" w:space="0" w:color="auto"/>
                              </w:divBdr>
                              <w:divsChild>
                                <w:div w:id="1450321785">
                                  <w:marLeft w:val="0"/>
                                  <w:marRight w:val="0"/>
                                  <w:marTop w:val="0"/>
                                  <w:marBottom w:val="0"/>
                                  <w:divBdr>
                                    <w:top w:val="none" w:sz="0" w:space="0" w:color="auto"/>
                                    <w:left w:val="none" w:sz="0" w:space="0" w:color="auto"/>
                                    <w:bottom w:val="none" w:sz="0" w:space="0" w:color="auto"/>
                                    <w:right w:val="none" w:sz="0" w:space="0" w:color="auto"/>
                                  </w:divBdr>
                                </w:div>
                                <w:div w:id="1449354953">
                                  <w:marLeft w:val="300"/>
                                  <w:marRight w:val="0"/>
                                  <w:marTop w:val="0"/>
                                  <w:marBottom w:val="0"/>
                                  <w:divBdr>
                                    <w:top w:val="none" w:sz="0" w:space="0" w:color="auto"/>
                                    <w:left w:val="none" w:sz="0" w:space="0" w:color="auto"/>
                                    <w:bottom w:val="none" w:sz="0" w:space="0" w:color="auto"/>
                                    <w:right w:val="none" w:sz="0" w:space="0" w:color="auto"/>
                                  </w:divBdr>
                                  <w:divsChild>
                                    <w:div w:id="1939169015">
                                      <w:marLeft w:val="0"/>
                                      <w:marRight w:val="0"/>
                                      <w:marTop w:val="0"/>
                                      <w:marBottom w:val="375"/>
                                      <w:divBdr>
                                        <w:top w:val="none" w:sz="0" w:space="0" w:color="auto"/>
                                        <w:left w:val="none" w:sz="0" w:space="0" w:color="auto"/>
                                        <w:bottom w:val="none" w:sz="0" w:space="0" w:color="auto"/>
                                        <w:right w:val="none" w:sz="0" w:space="0" w:color="auto"/>
                                      </w:divBdr>
                                      <w:divsChild>
                                        <w:div w:id="1607614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5784014">
                              <w:marLeft w:val="0"/>
                              <w:marRight w:val="0"/>
                              <w:marTop w:val="0"/>
                              <w:marBottom w:val="0"/>
                              <w:divBdr>
                                <w:top w:val="none" w:sz="0" w:space="0" w:color="auto"/>
                                <w:left w:val="none" w:sz="0" w:space="0" w:color="auto"/>
                                <w:bottom w:val="none" w:sz="0" w:space="0" w:color="auto"/>
                                <w:right w:val="none" w:sz="0" w:space="0" w:color="auto"/>
                              </w:divBdr>
                              <w:divsChild>
                                <w:div w:id="1464153191">
                                  <w:marLeft w:val="0"/>
                                  <w:marRight w:val="0"/>
                                  <w:marTop w:val="0"/>
                                  <w:marBottom w:val="0"/>
                                  <w:divBdr>
                                    <w:top w:val="none" w:sz="0" w:space="0" w:color="auto"/>
                                    <w:left w:val="none" w:sz="0" w:space="0" w:color="auto"/>
                                    <w:bottom w:val="none" w:sz="0" w:space="0" w:color="auto"/>
                                    <w:right w:val="none" w:sz="0" w:space="0" w:color="auto"/>
                                  </w:divBdr>
                                </w:div>
                                <w:div w:id="1263878326">
                                  <w:marLeft w:val="0"/>
                                  <w:marRight w:val="0"/>
                                  <w:marTop w:val="0"/>
                                  <w:marBottom w:val="0"/>
                                  <w:divBdr>
                                    <w:top w:val="none" w:sz="0" w:space="0" w:color="auto"/>
                                    <w:left w:val="none" w:sz="0" w:space="0" w:color="auto"/>
                                    <w:bottom w:val="none" w:sz="0" w:space="0" w:color="auto"/>
                                    <w:right w:val="none" w:sz="0" w:space="0" w:color="auto"/>
                                  </w:divBdr>
                                  <w:divsChild>
                                    <w:div w:id="1902058026">
                                      <w:marLeft w:val="300"/>
                                      <w:marRight w:val="0"/>
                                      <w:marTop w:val="0"/>
                                      <w:marBottom w:val="0"/>
                                      <w:divBdr>
                                        <w:top w:val="none" w:sz="0" w:space="0" w:color="auto"/>
                                        <w:left w:val="none" w:sz="0" w:space="0" w:color="auto"/>
                                        <w:bottom w:val="none" w:sz="0" w:space="0" w:color="auto"/>
                                        <w:right w:val="none" w:sz="0" w:space="0" w:color="auto"/>
                                      </w:divBdr>
                                    </w:div>
                                  </w:divsChild>
                                </w:div>
                                <w:div w:id="1663197127">
                                  <w:marLeft w:val="0"/>
                                  <w:marRight w:val="0"/>
                                  <w:marTop w:val="0"/>
                                  <w:marBottom w:val="0"/>
                                  <w:divBdr>
                                    <w:top w:val="none" w:sz="0" w:space="0" w:color="auto"/>
                                    <w:left w:val="none" w:sz="0" w:space="0" w:color="auto"/>
                                    <w:bottom w:val="none" w:sz="0" w:space="0" w:color="auto"/>
                                    <w:right w:val="none" w:sz="0" w:space="0" w:color="auto"/>
                                  </w:divBdr>
                                  <w:divsChild>
                                    <w:div w:id="549727698">
                                      <w:marLeft w:val="300"/>
                                      <w:marRight w:val="0"/>
                                      <w:marTop w:val="0"/>
                                      <w:marBottom w:val="0"/>
                                      <w:divBdr>
                                        <w:top w:val="none" w:sz="0" w:space="0" w:color="auto"/>
                                        <w:left w:val="none" w:sz="0" w:space="0" w:color="auto"/>
                                        <w:bottom w:val="none" w:sz="0" w:space="0" w:color="auto"/>
                                        <w:right w:val="none" w:sz="0" w:space="0" w:color="auto"/>
                                      </w:divBdr>
                                    </w:div>
                                  </w:divsChild>
                                </w:div>
                                <w:div w:id="1182016972">
                                  <w:marLeft w:val="0"/>
                                  <w:marRight w:val="0"/>
                                  <w:marTop w:val="0"/>
                                  <w:marBottom w:val="0"/>
                                  <w:divBdr>
                                    <w:top w:val="none" w:sz="0" w:space="0" w:color="auto"/>
                                    <w:left w:val="none" w:sz="0" w:space="0" w:color="auto"/>
                                    <w:bottom w:val="none" w:sz="0" w:space="0" w:color="auto"/>
                                    <w:right w:val="none" w:sz="0" w:space="0" w:color="auto"/>
                                  </w:divBdr>
                                  <w:divsChild>
                                    <w:div w:id="2130855759">
                                      <w:marLeft w:val="300"/>
                                      <w:marRight w:val="0"/>
                                      <w:marTop w:val="0"/>
                                      <w:marBottom w:val="0"/>
                                      <w:divBdr>
                                        <w:top w:val="none" w:sz="0" w:space="0" w:color="auto"/>
                                        <w:left w:val="none" w:sz="0" w:space="0" w:color="auto"/>
                                        <w:bottom w:val="none" w:sz="0" w:space="0" w:color="auto"/>
                                        <w:right w:val="none" w:sz="0" w:space="0" w:color="auto"/>
                                      </w:divBdr>
                                    </w:div>
                                  </w:divsChild>
                                </w:div>
                                <w:div w:id="22442036">
                                  <w:marLeft w:val="0"/>
                                  <w:marRight w:val="0"/>
                                  <w:marTop w:val="0"/>
                                  <w:marBottom w:val="0"/>
                                  <w:divBdr>
                                    <w:top w:val="none" w:sz="0" w:space="0" w:color="auto"/>
                                    <w:left w:val="none" w:sz="0" w:space="0" w:color="auto"/>
                                    <w:bottom w:val="none" w:sz="0" w:space="0" w:color="auto"/>
                                    <w:right w:val="none" w:sz="0" w:space="0" w:color="auto"/>
                                  </w:divBdr>
                                  <w:divsChild>
                                    <w:div w:id="572812142">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711149544">
                              <w:marLeft w:val="0"/>
                              <w:marRight w:val="0"/>
                              <w:marTop w:val="0"/>
                              <w:marBottom w:val="0"/>
                              <w:divBdr>
                                <w:top w:val="none" w:sz="0" w:space="0" w:color="auto"/>
                                <w:left w:val="none" w:sz="0" w:space="0" w:color="auto"/>
                                <w:bottom w:val="none" w:sz="0" w:space="0" w:color="auto"/>
                                <w:right w:val="none" w:sz="0" w:space="0" w:color="auto"/>
                              </w:divBdr>
                              <w:divsChild>
                                <w:div w:id="1847089900">
                                  <w:marLeft w:val="0"/>
                                  <w:marRight w:val="0"/>
                                  <w:marTop w:val="0"/>
                                  <w:marBottom w:val="0"/>
                                  <w:divBdr>
                                    <w:top w:val="none" w:sz="0" w:space="0" w:color="auto"/>
                                    <w:left w:val="none" w:sz="0" w:space="0" w:color="auto"/>
                                    <w:bottom w:val="none" w:sz="0" w:space="0" w:color="auto"/>
                                    <w:right w:val="none" w:sz="0" w:space="0" w:color="auto"/>
                                  </w:divBdr>
                                </w:div>
                                <w:div w:id="111215704">
                                  <w:marLeft w:val="0"/>
                                  <w:marRight w:val="0"/>
                                  <w:marTop w:val="0"/>
                                  <w:marBottom w:val="0"/>
                                  <w:divBdr>
                                    <w:top w:val="none" w:sz="0" w:space="0" w:color="auto"/>
                                    <w:left w:val="none" w:sz="0" w:space="0" w:color="auto"/>
                                    <w:bottom w:val="none" w:sz="0" w:space="0" w:color="auto"/>
                                    <w:right w:val="none" w:sz="0" w:space="0" w:color="auto"/>
                                  </w:divBdr>
                                  <w:divsChild>
                                    <w:div w:id="805663212">
                                      <w:marLeft w:val="300"/>
                                      <w:marRight w:val="0"/>
                                      <w:marTop w:val="0"/>
                                      <w:marBottom w:val="0"/>
                                      <w:divBdr>
                                        <w:top w:val="none" w:sz="0" w:space="0" w:color="auto"/>
                                        <w:left w:val="none" w:sz="0" w:space="0" w:color="auto"/>
                                        <w:bottom w:val="none" w:sz="0" w:space="0" w:color="auto"/>
                                        <w:right w:val="none" w:sz="0" w:space="0" w:color="auto"/>
                                      </w:divBdr>
                                    </w:div>
                                  </w:divsChild>
                                </w:div>
                                <w:div w:id="746070967">
                                  <w:marLeft w:val="0"/>
                                  <w:marRight w:val="0"/>
                                  <w:marTop w:val="0"/>
                                  <w:marBottom w:val="0"/>
                                  <w:divBdr>
                                    <w:top w:val="none" w:sz="0" w:space="0" w:color="auto"/>
                                    <w:left w:val="none" w:sz="0" w:space="0" w:color="auto"/>
                                    <w:bottom w:val="none" w:sz="0" w:space="0" w:color="auto"/>
                                    <w:right w:val="none" w:sz="0" w:space="0" w:color="auto"/>
                                  </w:divBdr>
                                  <w:divsChild>
                                    <w:div w:id="633952717">
                                      <w:marLeft w:val="300"/>
                                      <w:marRight w:val="0"/>
                                      <w:marTop w:val="0"/>
                                      <w:marBottom w:val="0"/>
                                      <w:divBdr>
                                        <w:top w:val="none" w:sz="0" w:space="0" w:color="auto"/>
                                        <w:left w:val="none" w:sz="0" w:space="0" w:color="auto"/>
                                        <w:bottom w:val="none" w:sz="0" w:space="0" w:color="auto"/>
                                        <w:right w:val="none" w:sz="0" w:space="0" w:color="auto"/>
                                      </w:divBdr>
                                    </w:div>
                                    <w:div w:id="1916477482">
                                      <w:marLeft w:val="0"/>
                                      <w:marRight w:val="0"/>
                                      <w:marTop w:val="0"/>
                                      <w:marBottom w:val="0"/>
                                      <w:divBdr>
                                        <w:top w:val="none" w:sz="0" w:space="0" w:color="auto"/>
                                        <w:left w:val="none" w:sz="0" w:space="0" w:color="auto"/>
                                        <w:bottom w:val="none" w:sz="0" w:space="0" w:color="auto"/>
                                        <w:right w:val="none" w:sz="0" w:space="0" w:color="auto"/>
                                      </w:divBdr>
                                      <w:divsChild>
                                        <w:div w:id="882640279">
                                          <w:marLeft w:val="300"/>
                                          <w:marRight w:val="0"/>
                                          <w:marTop w:val="0"/>
                                          <w:marBottom w:val="0"/>
                                          <w:divBdr>
                                            <w:top w:val="none" w:sz="0" w:space="0" w:color="auto"/>
                                            <w:left w:val="none" w:sz="0" w:space="0" w:color="auto"/>
                                            <w:bottom w:val="none" w:sz="0" w:space="0" w:color="auto"/>
                                            <w:right w:val="none" w:sz="0" w:space="0" w:color="auto"/>
                                          </w:divBdr>
                                        </w:div>
                                      </w:divsChild>
                                    </w:div>
                                    <w:div w:id="929121388">
                                      <w:marLeft w:val="0"/>
                                      <w:marRight w:val="0"/>
                                      <w:marTop w:val="0"/>
                                      <w:marBottom w:val="0"/>
                                      <w:divBdr>
                                        <w:top w:val="none" w:sz="0" w:space="0" w:color="auto"/>
                                        <w:left w:val="none" w:sz="0" w:space="0" w:color="auto"/>
                                        <w:bottom w:val="none" w:sz="0" w:space="0" w:color="auto"/>
                                        <w:right w:val="none" w:sz="0" w:space="0" w:color="auto"/>
                                      </w:divBdr>
                                      <w:divsChild>
                                        <w:div w:id="2101952097">
                                          <w:marLeft w:val="300"/>
                                          <w:marRight w:val="0"/>
                                          <w:marTop w:val="0"/>
                                          <w:marBottom w:val="0"/>
                                          <w:divBdr>
                                            <w:top w:val="none" w:sz="0" w:space="0" w:color="auto"/>
                                            <w:left w:val="none" w:sz="0" w:space="0" w:color="auto"/>
                                            <w:bottom w:val="none" w:sz="0" w:space="0" w:color="auto"/>
                                            <w:right w:val="none" w:sz="0" w:space="0" w:color="auto"/>
                                          </w:divBdr>
                                        </w:div>
                                      </w:divsChild>
                                    </w:div>
                                    <w:div w:id="1145511349">
                                      <w:marLeft w:val="0"/>
                                      <w:marRight w:val="0"/>
                                      <w:marTop w:val="0"/>
                                      <w:marBottom w:val="0"/>
                                      <w:divBdr>
                                        <w:top w:val="none" w:sz="0" w:space="0" w:color="auto"/>
                                        <w:left w:val="none" w:sz="0" w:space="0" w:color="auto"/>
                                        <w:bottom w:val="none" w:sz="0" w:space="0" w:color="auto"/>
                                        <w:right w:val="none" w:sz="0" w:space="0" w:color="auto"/>
                                      </w:divBdr>
                                      <w:divsChild>
                                        <w:div w:id="1881816841">
                                          <w:marLeft w:val="300"/>
                                          <w:marRight w:val="0"/>
                                          <w:marTop w:val="0"/>
                                          <w:marBottom w:val="0"/>
                                          <w:divBdr>
                                            <w:top w:val="none" w:sz="0" w:space="0" w:color="auto"/>
                                            <w:left w:val="none" w:sz="0" w:space="0" w:color="auto"/>
                                            <w:bottom w:val="none" w:sz="0" w:space="0" w:color="auto"/>
                                            <w:right w:val="none" w:sz="0" w:space="0" w:color="auto"/>
                                          </w:divBdr>
                                        </w:div>
                                      </w:divsChild>
                                    </w:div>
                                    <w:div w:id="864293265">
                                      <w:marLeft w:val="0"/>
                                      <w:marRight w:val="0"/>
                                      <w:marTop w:val="0"/>
                                      <w:marBottom w:val="0"/>
                                      <w:divBdr>
                                        <w:top w:val="none" w:sz="0" w:space="0" w:color="auto"/>
                                        <w:left w:val="none" w:sz="0" w:space="0" w:color="auto"/>
                                        <w:bottom w:val="none" w:sz="0" w:space="0" w:color="auto"/>
                                        <w:right w:val="none" w:sz="0" w:space="0" w:color="auto"/>
                                      </w:divBdr>
                                      <w:divsChild>
                                        <w:div w:id="1080639293">
                                          <w:marLeft w:val="300"/>
                                          <w:marRight w:val="0"/>
                                          <w:marTop w:val="0"/>
                                          <w:marBottom w:val="0"/>
                                          <w:divBdr>
                                            <w:top w:val="none" w:sz="0" w:space="0" w:color="auto"/>
                                            <w:left w:val="none" w:sz="0" w:space="0" w:color="auto"/>
                                            <w:bottom w:val="none" w:sz="0" w:space="0" w:color="auto"/>
                                            <w:right w:val="none" w:sz="0" w:space="0" w:color="auto"/>
                                          </w:divBdr>
                                        </w:div>
                                      </w:divsChild>
                                    </w:div>
                                    <w:div w:id="1887988147">
                                      <w:marLeft w:val="0"/>
                                      <w:marRight w:val="0"/>
                                      <w:marTop w:val="0"/>
                                      <w:marBottom w:val="0"/>
                                      <w:divBdr>
                                        <w:top w:val="none" w:sz="0" w:space="0" w:color="auto"/>
                                        <w:left w:val="none" w:sz="0" w:space="0" w:color="auto"/>
                                        <w:bottom w:val="none" w:sz="0" w:space="0" w:color="auto"/>
                                        <w:right w:val="none" w:sz="0" w:space="0" w:color="auto"/>
                                      </w:divBdr>
                                      <w:divsChild>
                                        <w:div w:id="1661423571">
                                          <w:marLeft w:val="300"/>
                                          <w:marRight w:val="0"/>
                                          <w:marTop w:val="0"/>
                                          <w:marBottom w:val="0"/>
                                          <w:divBdr>
                                            <w:top w:val="none" w:sz="0" w:space="0" w:color="auto"/>
                                            <w:left w:val="none" w:sz="0" w:space="0" w:color="auto"/>
                                            <w:bottom w:val="none" w:sz="0" w:space="0" w:color="auto"/>
                                            <w:right w:val="none" w:sz="0" w:space="0" w:color="auto"/>
                                          </w:divBdr>
                                        </w:div>
                                      </w:divsChild>
                                    </w:div>
                                    <w:div w:id="1352951232">
                                      <w:marLeft w:val="0"/>
                                      <w:marRight w:val="0"/>
                                      <w:marTop w:val="0"/>
                                      <w:marBottom w:val="0"/>
                                      <w:divBdr>
                                        <w:top w:val="none" w:sz="0" w:space="0" w:color="auto"/>
                                        <w:left w:val="none" w:sz="0" w:space="0" w:color="auto"/>
                                        <w:bottom w:val="none" w:sz="0" w:space="0" w:color="auto"/>
                                        <w:right w:val="none" w:sz="0" w:space="0" w:color="auto"/>
                                      </w:divBdr>
                                      <w:divsChild>
                                        <w:div w:id="565990561">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1666618">
                              <w:marLeft w:val="0"/>
                              <w:marRight w:val="0"/>
                              <w:marTop w:val="0"/>
                              <w:marBottom w:val="0"/>
                              <w:divBdr>
                                <w:top w:val="none" w:sz="0" w:space="0" w:color="auto"/>
                                <w:left w:val="none" w:sz="0" w:space="0" w:color="auto"/>
                                <w:bottom w:val="none" w:sz="0" w:space="0" w:color="auto"/>
                                <w:right w:val="none" w:sz="0" w:space="0" w:color="auto"/>
                              </w:divBdr>
                              <w:divsChild>
                                <w:div w:id="955254116">
                                  <w:marLeft w:val="0"/>
                                  <w:marRight w:val="0"/>
                                  <w:marTop w:val="0"/>
                                  <w:marBottom w:val="0"/>
                                  <w:divBdr>
                                    <w:top w:val="none" w:sz="0" w:space="0" w:color="auto"/>
                                    <w:left w:val="none" w:sz="0" w:space="0" w:color="auto"/>
                                    <w:bottom w:val="none" w:sz="0" w:space="0" w:color="auto"/>
                                    <w:right w:val="none" w:sz="0" w:space="0" w:color="auto"/>
                                  </w:divBdr>
                                </w:div>
                              </w:divsChild>
                            </w:div>
                            <w:div w:id="1919630928">
                              <w:marLeft w:val="0"/>
                              <w:marRight w:val="0"/>
                              <w:marTop w:val="0"/>
                              <w:marBottom w:val="0"/>
                              <w:divBdr>
                                <w:top w:val="none" w:sz="0" w:space="0" w:color="auto"/>
                                <w:left w:val="none" w:sz="0" w:space="0" w:color="auto"/>
                                <w:bottom w:val="none" w:sz="0" w:space="0" w:color="auto"/>
                                <w:right w:val="none" w:sz="0" w:space="0" w:color="auto"/>
                              </w:divBdr>
                              <w:divsChild>
                                <w:div w:id="1572887352">
                                  <w:marLeft w:val="0"/>
                                  <w:marRight w:val="0"/>
                                  <w:marTop w:val="0"/>
                                  <w:marBottom w:val="0"/>
                                  <w:divBdr>
                                    <w:top w:val="none" w:sz="0" w:space="0" w:color="auto"/>
                                    <w:left w:val="none" w:sz="0" w:space="0" w:color="auto"/>
                                    <w:bottom w:val="none" w:sz="0" w:space="0" w:color="auto"/>
                                    <w:right w:val="none" w:sz="0" w:space="0" w:color="auto"/>
                                  </w:divBdr>
                                </w:div>
                                <w:div w:id="368603857">
                                  <w:marLeft w:val="0"/>
                                  <w:marRight w:val="0"/>
                                  <w:marTop w:val="0"/>
                                  <w:marBottom w:val="0"/>
                                  <w:divBdr>
                                    <w:top w:val="none" w:sz="0" w:space="0" w:color="auto"/>
                                    <w:left w:val="none" w:sz="0" w:space="0" w:color="auto"/>
                                    <w:bottom w:val="none" w:sz="0" w:space="0" w:color="auto"/>
                                    <w:right w:val="none" w:sz="0" w:space="0" w:color="auto"/>
                                  </w:divBdr>
                                </w:div>
                                <w:div w:id="1515722793">
                                  <w:marLeft w:val="0"/>
                                  <w:marRight w:val="0"/>
                                  <w:marTop w:val="0"/>
                                  <w:marBottom w:val="0"/>
                                  <w:divBdr>
                                    <w:top w:val="none" w:sz="0" w:space="0" w:color="auto"/>
                                    <w:left w:val="none" w:sz="0" w:space="0" w:color="auto"/>
                                    <w:bottom w:val="none" w:sz="0" w:space="0" w:color="auto"/>
                                    <w:right w:val="none" w:sz="0" w:space="0" w:color="auto"/>
                                  </w:divBdr>
                                </w:div>
                                <w:div w:id="1178541576">
                                  <w:marLeft w:val="375"/>
                                  <w:marRight w:val="375"/>
                                  <w:marTop w:val="0"/>
                                  <w:marBottom w:val="0"/>
                                  <w:divBdr>
                                    <w:top w:val="none" w:sz="0" w:space="0" w:color="auto"/>
                                    <w:left w:val="none" w:sz="0" w:space="0" w:color="auto"/>
                                    <w:bottom w:val="none" w:sz="0" w:space="0" w:color="auto"/>
                                    <w:right w:val="none" w:sz="0" w:space="0" w:color="auto"/>
                                  </w:divBdr>
                                  <w:divsChild>
                                    <w:div w:id="1160461873">
                                      <w:marLeft w:val="0"/>
                                      <w:marRight w:val="0"/>
                                      <w:marTop w:val="0"/>
                                      <w:marBottom w:val="0"/>
                                      <w:divBdr>
                                        <w:top w:val="none" w:sz="0" w:space="0" w:color="auto"/>
                                        <w:left w:val="none" w:sz="0" w:space="0" w:color="auto"/>
                                        <w:bottom w:val="none" w:sz="0" w:space="0" w:color="auto"/>
                                        <w:right w:val="none" w:sz="0" w:space="0" w:color="auto"/>
                                      </w:divBdr>
                                    </w:div>
                                    <w:div w:id="2108648697">
                                      <w:marLeft w:val="0"/>
                                      <w:marRight w:val="0"/>
                                      <w:marTop w:val="150"/>
                                      <w:marBottom w:val="0"/>
                                      <w:divBdr>
                                        <w:top w:val="none" w:sz="0" w:space="0" w:color="auto"/>
                                        <w:left w:val="none" w:sz="0" w:space="0" w:color="auto"/>
                                        <w:bottom w:val="none" w:sz="0" w:space="0" w:color="auto"/>
                                        <w:right w:val="none" w:sz="0" w:space="0" w:color="auto"/>
                                      </w:divBdr>
                                    </w:div>
                                  </w:divsChild>
                                </w:div>
                                <w:div w:id="1420785875">
                                  <w:marLeft w:val="0"/>
                                  <w:marRight w:val="0"/>
                                  <w:marTop w:val="0"/>
                                  <w:marBottom w:val="0"/>
                                  <w:divBdr>
                                    <w:top w:val="none" w:sz="0" w:space="0" w:color="auto"/>
                                    <w:left w:val="none" w:sz="0" w:space="0" w:color="auto"/>
                                    <w:bottom w:val="none" w:sz="0" w:space="0" w:color="auto"/>
                                    <w:right w:val="none" w:sz="0" w:space="0" w:color="auto"/>
                                  </w:divBdr>
                                  <w:divsChild>
                                    <w:div w:id="956715169">
                                      <w:marLeft w:val="300"/>
                                      <w:marRight w:val="0"/>
                                      <w:marTop w:val="0"/>
                                      <w:marBottom w:val="0"/>
                                      <w:divBdr>
                                        <w:top w:val="none" w:sz="0" w:space="0" w:color="auto"/>
                                        <w:left w:val="none" w:sz="0" w:space="0" w:color="auto"/>
                                        <w:bottom w:val="none" w:sz="0" w:space="0" w:color="auto"/>
                                        <w:right w:val="none" w:sz="0" w:space="0" w:color="auto"/>
                                      </w:divBdr>
                                    </w:div>
                                    <w:div w:id="1225020507">
                                      <w:marLeft w:val="0"/>
                                      <w:marRight w:val="0"/>
                                      <w:marTop w:val="0"/>
                                      <w:marBottom w:val="0"/>
                                      <w:divBdr>
                                        <w:top w:val="none" w:sz="0" w:space="0" w:color="auto"/>
                                        <w:left w:val="none" w:sz="0" w:space="0" w:color="auto"/>
                                        <w:bottom w:val="none" w:sz="0" w:space="0" w:color="auto"/>
                                        <w:right w:val="none" w:sz="0" w:space="0" w:color="auto"/>
                                      </w:divBdr>
                                    </w:div>
                                    <w:div w:id="1284649226">
                                      <w:marLeft w:val="0"/>
                                      <w:marRight w:val="0"/>
                                      <w:marTop w:val="0"/>
                                      <w:marBottom w:val="0"/>
                                      <w:divBdr>
                                        <w:top w:val="none" w:sz="0" w:space="0" w:color="auto"/>
                                        <w:left w:val="none" w:sz="0" w:space="0" w:color="auto"/>
                                        <w:bottom w:val="none" w:sz="0" w:space="0" w:color="auto"/>
                                        <w:right w:val="none" w:sz="0" w:space="0" w:color="auto"/>
                                      </w:divBdr>
                                    </w:div>
                                    <w:div w:id="494034302">
                                      <w:marLeft w:val="375"/>
                                      <w:marRight w:val="375"/>
                                      <w:marTop w:val="0"/>
                                      <w:marBottom w:val="0"/>
                                      <w:divBdr>
                                        <w:top w:val="none" w:sz="0" w:space="0" w:color="auto"/>
                                        <w:left w:val="none" w:sz="0" w:space="0" w:color="auto"/>
                                        <w:bottom w:val="none" w:sz="0" w:space="0" w:color="auto"/>
                                        <w:right w:val="none" w:sz="0" w:space="0" w:color="auto"/>
                                      </w:divBdr>
                                      <w:divsChild>
                                        <w:div w:id="1563247161">
                                          <w:marLeft w:val="0"/>
                                          <w:marRight w:val="0"/>
                                          <w:marTop w:val="0"/>
                                          <w:marBottom w:val="0"/>
                                          <w:divBdr>
                                            <w:top w:val="none" w:sz="0" w:space="0" w:color="auto"/>
                                            <w:left w:val="none" w:sz="0" w:space="0" w:color="auto"/>
                                            <w:bottom w:val="none" w:sz="0" w:space="0" w:color="auto"/>
                                            <w:right w:val="none" w:sz="0" w:space="0" w:color="auto"/>
                                          </w:divBdr>
                                        </w:div>
                                        <w:div w:id="481116182">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502741041">
                              <w:marLeft w:val="0"/>
                              <w:marRight w:val="0"/>
                              <w:marTop w:val="0"/>
                              <w:marBottom w:val="0"/>
                              <w:divBdr>
                                <w:top w:val="none" w:sz="0" w:space="0" w:color="auto"/>
                                <w:left w:val="none" w:sz="0" w:space="0" w:color="auto"/>
                                <w:bottom w:val="none" w:sz="0" w:space="0" w:color="auto"/>
                                <w:right w:val="none" w:sz="0" w:space="0" w:color="auto"/>
                              </w:divBdr>
                              <w:divsChild>
                                <w:div w:id="730805891">
                                  <w:marLeft w:val="0"/>
                                  <w:marRight w:val="0"/>
                                  <w:marTop w:val="0"/>
                                  <w:marBottom w:val="0"/>
                                  <w:divBdr>
                                    <w:top w:val="none" w:sz="0" w:space="0" w:color="auto"/>
                                    <w:left w:val="none" w:sz="0" w:space="0" w:color="auto"/>
                                    <w:bottom w:val="none" w:sz="0" w:space="0" w:color="auto"/>
                                    <w:right w:val="none" w:sz="0" w:space="0" w:color="auto"/>
                                  </w:divBdr>
                                </w:div>
                                <w:div w:id="329796391">
                                  <w:marLeft w:val="0"/>
                                  <w:marRight w:val="0"/>
                                  <w:marTop w:val="0"/>
                                  <w:marBottom w:val="0"/>
                                  <w:divBdr>
                                    <w:top w:val="none" w:sz="0" w:space="0" w:color="auto"/>
                                    <w:left w:val="none" w:sz="0" w:space="0" w:color="auto"/>
                                    <w:bottom w:val="none" w:sz="0" w:space="0" w:color="auto"/>
                                    <w:right w:val="none" w:sz="0" w:space="0" w:color="auto"/>
                                  </w:divBdr>
                                  <w:divsChild>
                                    <w:div w:id="1253010350">
                                      <w:marLeft w:val="300"/>
                                      <w:marRight w:val="0"/>
                                      <w:marTop w:val="0"/>
                                      <w:marBottom w:val="0"/>
                                      <w:divBdr>
                                        <w:top w:val="none" w:sz="0" w:space="0" w:color="auto"/>
                                        <w:left w:val="none" w:sz="0" w:space="0" w:color="auto"/>
                                        <w:bottom w:val="none" w:sz="0" w:space="0" w:color="auto"/>
                                        <w:right w:val="none" w:sz="0" w:space="0" w:color="auto"/>
                                      </w:divBdr>
                                    </w:div>
                                  </w:divsChild>
                                </w:div>
                                <w:div w:id="1931693277">
                                  <w:marLeft w:val="0"/>
                                  <w:marRight w:val="0"/>
                                  <w:marTop w:val="0"/>
                                  <w:marBottom w:val="0"/>
                                  <w:divBdr>
                                    <w:top w:val="none" w:sz="0" w:space="0" w:color="auto"/>
                                    <w:left w:val="none" w:sz="0" w:space="0" w:color="auto"/>
                                    <w:bottom w:val="none" w:sz="0" w:space="0" w:color="auto"/>
                                    <w:right w:val="none" w:sz="0" w:space="0" w:color="auto"/>
                                  </w:divBdr>
                                  <w:divsChild>
                                    <w:div w:id="775490881">
                                      <w:marLeft w:val="300"/>
                                      <w:marRight w:val="0"/>
                                      <w:marTop w:val="0"/>
                                      <w:marBottom w:val="0"/>
                                      <w:divBdr>
                                        <w:top w:val="none" w:sz="0" w:space="0" w:color="auto"/>
                                        <w:left w:val="none" w:sz="0" w:space="0" w:color="auto"/>
                                        <w:bottom w:val="none" w:sz="0" w:space="0" w:color="auto"/>
                                        <w:right w:val="none" w:sz="0" w:space="0" w:color="auto"/>
                                      </w:divBdr>
                                    </w:div>
                                  </w:divsChild>
                                </w:div>
                                <w:div w:id="28191341">
                                  <w:marLeft w:val="0"/>
                                  <w:marRight w:val="0"/>
                                  <w:marTop w:val="0"/>
                                  <w:marBottom w:val="0"/>
                                  <w:divBdr>
                                    <w:top w:val="none" w:sz="0" w:space="0" w:color="auto"/>
                                    <w:left w:val="none" w:sz="0" w:space="0" w:color="auto"/>
                                    <w:bottom w:val="none" w:sz="0" w:space="0" w:color="auto"/>
                                    <w:right w:val="none" w:sz="0" w:space="0" w:color="auto"/>
                                  </w:divBdr>
                                  <w:divsChild>
                                    <w:div w:id="1532843641">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371882100">
                              <w:marLeft w:val="0"/>
                              <w:marRight w:val="0"/>
                              <w:marTop w:val="0"/>
                              <w:marBottom w:val="0"/>
                              <w:divBdr>
                                <w:top w:val="none" w:sz="0" w:space="0" w:color="auto"/>
                                <w:left w:val="none" w:sz="0" w:space="0" w:color="auto"/>
                                <w:bottom w:val="none" w:sz="0" w:space="0" w:color="auto"/>
                                <w:right w:val="none" w:sz="0" w:space="0" w:color="auto"/>
                              </w:divBdr>
                              <w:divsChild>
                                <w:div w:id="1326318739">
                                  <w:marLeft w:val="0"/>
                                  <w:marRight w:val="0"/>
                                  <w:marTop w:val="0"/>
                                  <w:marBottom w:val="0"/>
                                  <w:divBdr>
                                    <w:top w:val="none" w:sz="0" w:space="0" w:color="auto"/>
                                    <w:left w:val="none" w:sz="0" w:space="0" w:color="auto"/>
                                    <w:bottom w:val="none" w:sz="0" w:space="0" w:color="auto"/>
                                    <w:right w:val="none" w:sz="0" w:space="0" w:color="auto"/>
                                  </w:divBdr>
                                </w:div>
                              </w:divsChild>
                            </w:div>
                            <w:div w:id="1485000551">
                              <w:marLeft w:val="0"/>
                              <w:marRight w:val="0"/>
                              <w:marTop w:val="0"/>
                              <w:marBottom w:val="0"/>
                              <w:divBdr>
                                <w:top w:val="none" w:sz="0" w:space="0" w:color="auto"/>
                                <w:left w:val="none" w:sz="0" w:space="0" w:color="auto"/>
                                <w:bottom w:val="none" w:sz="0" w:space="0" w:color="auto"/>
                                <w:right w:val="none" w:sz="0" w:space="0" w:color="auto"/>
                              </w:divBdr>
                              <w:divsChild>
                                <w:div w:id="391076002">
                                  <w:marLeft w:val="0"/>
                                  <w:marRight w:val="0"/>
                                  <w:marTop w:val="0"/>
                                  <w:marBottom w:val="0"/>
                                  <w:divBdr>
                                    <w:top w:val="none" w:sz="0" w:space="0" w:color="auto"/>
                                    <w:left w:val="none" w:sz="0" w:space="0" w:color="auto"/>
                                    <w:bottom w:val="none" w:sz="0" w:space="0" w:color="auto"/>
                                    <w:right w:val="none" w:sz="0" w:space="0" w:color="auto"/>
                                  </w:divBdr>
                                </w:div>
                              </w:divsChild>
                            </w:div>
                            <w:div w:id="982735247">
                              <w:marLeft w:val="0"/>
                              <w:marRight w:val="0"/>
                              <w:marTop w:val="0"/>
                              <w:marBottom w:val="0"/>
                              <w:divBdr>
                                <w:top w:val="none" w:sz="0" w:space="0" w:color="auto"/>
                                <w:left w:val="none" w:sz="0" w:space="0" w:color="auto"/>
                                <w:bottom w:val="none" w:sz="0" w:space="0" w:color="auto"/>
                                <w:right w:val="none" w:sz="0" w:space="0" w:color="auto"/>
                              </w:divBdr>
                              <w:divsChild>
                                <w:div w:id="1023631598">
                                  <w:marLeft w:val="0"/>
                                  <w:marRight w:val="0"/>
                                  <w:marTop w:val="0"/>
                                  <w:marBottom w:val="0"/>
                                  <w:divBdr>
                                    <w:top w:val="none" w:sz="0" w:space="0" w:color="auto"/>
                                    <w:left w:val="none" w:sz="0" w:space="0" w:color="auto"/>
                                    <w:bottom w:val="none" w:sz="0" w:space="0" w:color="auto"/>
                                    <w:right w:val="none" w:sz="0" w:space="0" w:color="auto"/>
                                  </w:divBdr>
                                </w:div>
                              </w:divsChild>
                            </w:div>
                            <w:div w:id="1578127930">
                              <w:marLeft w:val="0"/>
                              <w:marRight w:val="0"/>
                              <w:marTop w:val="0"/>
                              <w:marBottom w:val="0"/>
                              <w:divBdr>
                                <w:top w:val="none" w:sz="0" w:space="0" w:color="auto"/>
                                <w:left w:val="none" w:sz="0" w:space="0" w:color="auto"/>
                                <w:bottom w:val="none" w:sz="0" w:space="0" w:color="auto"/>
                                <w:right w:val="none" w:sz="0" w:space="0" w:color="auto"/>
                              </w:divBdr>
                            </w:div>
                            <w:div w:id="642008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66088089">
      <w:bodyDiv w:val="1"/>
      <w:marLeft w:val="0"/>
      <w:marRight w:val="0"/>
      <w:marTop w:val="0"/>
      <w:marBottom w:val="0"/>
      <w:divBdr>
        <w:top w:val="none" w:sz="0" w:space="0" w:color="auto"/>
        <w:left w:val="none" w:sz="0" w:space="0" w:color="auto"/>
        <w:bottom w:val="none" w:sz="0" w:space="0" w:color="auto"/>
        <w:right w:val="none" w:sz="0" w:space="0" w:color="auto"/>
      </w:divBdr>
    </w:div>
    <w:div w:id="271939869">
      <w:bodyDiv w:val="1"/>
      <w:marLeft w:val="0"/>
      <w:marRight w:val="0"/>
      <w:marTop w:val="0"/>
      <w:marBottom w:val="0"/>
      <w:divBdr>
        <w:top w:val="none" w:sz="0" w:space="0" w:color="auto"/>
        <w:left w:val="none" w:sz="0" w:space="0" w:color="auto"/>
        <w:bottom w:val="none" w:sz="0" w:space="0" w:color="auto"/>
        <w:right w:val="none" w:sz="0" w:space="0" w:color="auto"/>
      </w:divBdr>
      <w:divsChild>
        <w:div w:id="176121973">
          <w:marLeft w:val="0"/>
          <w:marRight w:val="0"/>
          <w:marTop w:val="0"/>
          <w:marBottom w:val="120"/>
          <w:divBdr>
            <w:top w:val="none" w:sz="0" w:space="0" w:color="auto"/>
            <w:left w:val="none" w:sz="0" w:space="0" w:color="auto"/>
            <w:bottom w:val="none" w:sz="0" w:space="0" w:color="auto"/>
            <w:right w:val="none" w:sz="0" w:space="0" w:color="auto"/>
          </w:divBdr>
          <w:divsChild>
            <w:div w:id="209075151">
              <w:marLeft w:val="0"/>
              <w:marRight w:val="0"/>
              <w:marTop w:val="0"/>
              <w:marBottom w:val="0"/>
              <w:divBdr>
                <w:top w:val="none" w:sz="0" w:space="0" w:color="auto"/>
                <w:left w:val="none" w:sz="0" w:space="0" w:color="auto"/>
                <w:bottom w:val="none" w:sz="0" w:space="0" w:color="auto"/>
                <w:right w:val="none" w:sz="0" w:space="0" w:color="auto"/>
              </w:divBdr>
              <w:divsChild>
                <w:div w:id="1638145894">
                  <w:marLeft w:val="0"/>
                  <w:marRight w:val="0"/>
                  <w:marTop w:val="0"/>
                  <w:marBottom w:val="0"/>
                  <w:divBdr>
                    <w:top w:val="none" w:sz="0" w:space="0" w:color="auto"/>
                    <w:left w:val="none" w:sz="0" w:space="0" w:color="auto"/>
                    <w:bottom w:val="none" w:sz="0" w:space="0" w:color="auto"/>
                    <w:right w:val="none" w:sz="0" w:space="0" w:color="auto"/>
                  </w:divBdr>
                  <w:divsChild>
                    <w:div w:id="1192844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2075167">
              <w:marLeft w:val="0"/>
              <w:marRight w:val="0"/>
              <w:marTop w:val="0"/>
              <w:marBottom w:val="0"/>
              <w:divBdr>
                <w:top w:val="none" w:sz="0" w:space="0" w:color="auto"/>
                <w:left w:val="none" w:sz="0" w:space="0" w:color="auto"/>
                <w:bottom w:val="single" w:sz="6" w:space="0" w:color="000000"/>
                <w:right w:val="none" w:sz="0" w:space="0" w:color="auto"/>
              </w:divBdr>
              <w:divsChild>
                <w:div w:id="905142318">
                  <w:marLeft w:val="0"/>
                  <w:marRight w:val="0"/>
                  <w:marTop w:val="0"/>
                  <w:marBottom w:val="0"/>
                  <w:divBdr>
                    <w:top w:val="none" w:sz="0" w:space="0" w:color="auto"/>
                    <w:left w:val="none" w:sz="0" w:space="0" w:color="auto"/>
                    <w:bottom w:val="none" w:sz="0" w:space="0" w:color="auto"/>
                    <w:right w:val="none" w:sz="0" w:space="0" w:color="auto"/>
                  </w:divBdr>
                  <w:divsChild>
                    <w:div w:id="1317681080">
                      <w:marLeft w:val="0"/>
                      <w:marRight w:val="0"/>
                      <w:marTop w:val="0"/>
                      <w:marBottom w:val="0"/>
                      <w:divBdr>
                        <w:top w:val="none" w:sz="0" w:space="0" w:color="auto"/>
                        <w:left w:val="none" w:sz="0" w:space="0" w:color="auto"/>
                        <w:bottom w:val="none" w:sz="0" w:space="0" w:color="auto"/>
                        <w:right w:val="none" w:sz="0" w:space="0" w:color="auto"/>
                      </w:divBdr>
                      <w:divsChild>
                        <w:div w:id="347222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3187989">
                  <w:marLeft w:val="0"/>
                  <w:marRight w:val="0"/>
                  <w:marTop w:val="0"/>
                  <w:marBottom w:val="0"/>
                  <w:divBdr>
                    <w:top w:val="none" w:sz="0" w:space="0" w:color="auto"/>
                    <w:left w:val="none" w:sz="0" w:space="0" w:color="auto"/>
                    <w:bottom w:val="none" w:sz="0" w:space="0" w:color="auto"/>
                    <w:right w:val="none" w:sz="0" w:space="0" w:color="auto"/>
                  </w:divBdr>
                  <w:divsChild>
                    <w:div w:id="1396198093">
                      <w:marLeft w:val="0"/>
                      <w:marRight w:val="0"/>
                      <w:marTop w:val="0"/>
                      <w:marBottom w:val="0"/>
                      <w:divBdr>
                        <w:top w:val="none" w:sz="0" w:space="0" w:color="auto"/>
                        <w:left w:val="none" w:sz="0" w:space="0" w:color="auto"/>
                        <w:bottom w:val="none" w:sz="0" w:space="0" w:color="auto"/>
                        <w:right w:val="none" w:sz="0" w:space="0" w:color="auto"/>
                      </w:divBdr>
                      <w:divsChild>
                        <w:div w:id="1557280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3498765">
          <w:marLeft w:val="0"/>
          <w:marRight w:val="0"/>
          <w:marTop w:val="0"/>
          <w:marBottom w:val="0"/>
          <w:divBdr>
            <w:top w:val="none" w:sz="0" w:space="0" w:color="auto"/>
            <w:left w:val="none" w:sz="0" w:space="0" w:color="auto"/>
            <w:bottom w:val="none" w:sz="0" w:space="0" w:color="auto"/>
            <w:right w:val="none" w:sz="0" w:space="0" w:color="auto"/>
          </w:divBdr>
        </w:div>
        <w:div w:id="1693416488">
          <w:marLeft w:val="0"/>
          <w:marRight w:val="0"/>
          <w:marTop w:val="0"/>
          <w:marBottom w:val="0"/>
          <w:divBdr>
            <w:top w:val="none" w:sz="0" w:space="0" w:color="auto"/>
            <w:left w:val="none" w:sz="0" w:space="0" w:color="auto"/>
            <w:bottom w:val="none" w:sz="0" w:space="0" w:color="auto"/>
            <w:right w:val="none" w:sz="0" w:space="0" w:color="auto"/>
          </w:divBdr>
          <w:divsChild>
            <w:div w:id="1955403241">
              <w:marLeft w:val="0"/>
              <w:marRight w:val="0"/>
              <w:marTop w:val="0"/>
              <w:marBottom w:val="120"/>
              <w:divBdr>
                <w:top w:val="none" w:sz="0" w:space="0" w:color="auto"/>
                <w:left w:val="none" w:sz="0" w:space="0" w:color="auto"/>
                <w:bottom w:val="none" w:sz="0" w:space="0" w:color="auto"/>
                <w:right w:val="none" w:sz="0" w:space="0" w:color="auto"/>
              </w:divBdr>
              <w:divsChild>
                <w:div w:id="997999391">
                  <w:marLeft w:val="0"/>
                  <w:marRight w:val="0"/>
                  <w:marTop w:val="0"/>
                  <w:marBottom w:val="0"/>
                  <w:divBdr>
                    <w:top w:val="none" w:sz="0" w:space="0" w:color="auto"/>
                    <w:left w:val="none" w:sz="0" w:space="0" w:color="auto"/>
                    <w:bottom w:val="none" w:sz="0" w:space="0" w:color="auto"/>
                    <w:right w:val="none" w:sz="0" w:space="0" w:color="auto"/>
                  </w:divBdr>
                </w:div>
                <w:div w:id="316345363">
                  <w:marLeft w:val="0"/>
                  <w:marRight w:val="0"/>
                  <w:marTop w:val="0"/>
                  <w:marBottom w:val="0"/>
                  <w:divBdr>
                    <w:top w:val="none" w:sz="0" w:space="0" w:color="auto"/>
                    <w:left w:val="none" w:sz="0" w:space="0" w:color="auto"/>
                    <w:bottom w:val="none" w:sz="0" w:space="0" w:color="auto"/>
                    <w:right w:val="none" w:sz="0" w:space="0" w:color="auto"/>
                  </w:divBdr>
                </w:div>
                <w:div w:id="1346397200">
                  <w:marLeft w:val="0"/>
                  <w:marRight w:val="0"/>
                  <w:marTop w:val="0"/>
                  <w:marBottom w:val="0"/>
                  <w:divBdr>
                    <w:top w:val="none" w:sz="0" w:space="0" w:color="auto"/>
                    <w:left w:val="none" w:sz="0" w:space="0" w:color="auto"/>
                    <w:bottom w:val="none" w:sz="0" w:space="0" w:color="auto"/>
                    <w:right w:val="none" w:sz="0" w:space="0" w:color="auto"/>
                  </w:divBdr>
                </w:div>
                <w:div w:id="1853758305">
                  <w:marLeft w:val="0"/>
                  <w:marRight w:val="0"/>
                  <w:marTop w:val="0"/>
                  <w:marBottom w:val="0"/>
                  <w:divBdr>
                    <w:top w:val="none" w:sz="0" w:space="0" w:color="auto"/>
                    <w:left w:val="none" w:sz="0" w:space="0" w:color="auto"/>
                    <w:bottom w:val="none" w:sz="0" w:space="0" w:color="auto"/>
                    <w:right w:val="none" w:sz="0" w:space="0" w:color="auto"/>
                  </w:divBdr>
                </w:div>
              </w:divsChild>
            </w:div>
            <w:div w:id="589970712">
              <w:marLeft w:val="0"/>
              <w:marRight w:val="0"/>
              <w:marTop w:val="0"/>
              <w:marBottom w:val="120"/>
              <w:divBdr>
                <w:top w:val="none" w:sz="0" w:space="0" w:color="auto"/>
                <w:left w:val="none" w:sz="0" w:space="0" w:color="auto"/>
                <w:bottom w:val="none" w:sz="0" w:space="0" w:color="auto"/>
                <w:right w:val="none" w:sz="0" w:space="0" w:color="auto"/>
              </w:divBdr>
              <w:divsChild>
                <w:div w:id="458189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4976666">
          <w:marLeft w:val="0"/>
          <w:marRight w:val="0"/>
          <w:marTop w:val="0"/>
          <w:marBottom w:val="480"/>
          <w:divBdr>
            <w:top w:val="none" w:sz="0" w:space="0" w:color="auto"/>
            <w:left w:val="none" w:sz="0" w:space="0" w:color="auto"/>
            <w:bottom w:val="single" w:sz="12" w:space="24" w:color="EBEBEB"/>
            <w:right w:val="none" w:sz="0" w:space="0" w:color="auto"/>
          </w:divBdr>
          <w:divsChild>
            <w:div w:id="934674707">
              <w:marLeft w:val="0"/>
              <w:marRight w:val="0"/>
              <w:marTop w:val="0"/>
              <w:marBottom w:val="0"/>
              <w:divBdr>
                <w:top w:val="none" w:sz="0" w:space="0" w:color="auto"/>
                <w:left w:val="none" w:sz="0" w:space="0" w:color="auto"/>
                <w:bottom w:val="none" w:sz="0" w:space="0" w:color="auto"/>
                <w:right w:val="none" w:sz="0" w:space="0" w:color="auto"/>
              </w:divBdr>
              <w:divsChild>
                <w:div w:id="40635778">
                  <w:marLeft w:val="0"/>
                  <w:marRight w:val="0"/>
                  <w:marTop w:val="0"/>
                  <w:marBottom w:val="0"/>
                  <w:divBdr>
                    <w:top w:val="none" w:sz="0" w:space="0" w:color="auto"/>
                    <w:left w:val="none" w:sz="0" w:space="0" w:color="auto"/>
                    <w:bottom w:val="none" w:sz="0" w:space="0" w:color="auto"/>
                    <w:right w:val="none" w:sz="0" w:space="0" w:color="auto"/>
                  </w:divBdr>
                </w:div>
                <w:div w:id="970790079">
                  <w:marLeft w:val="0"/>
                  <w:marRight w:val="0"/>
                  <w:marTop w:val="0"/>
                  <w:marBottom w:val="0"/>
                  <w:divBdr>
                    <w:top w:val="none" w:sz="0" w:space="0" w:color="auto"/>
                    <w:left w:val="none" w:sz="0" w:space="0" w:color="auto"/>
                    <w:bottom w:val="none" w:sz="0" w:space="0" w:color="auto"/>
                    <w:right w:val="none" w:sz="0" w:space="0" w:color="auto"/>
                  </w:divBdr>
                </w:div>
                <w:div w:id="2125035566">
                  <w:marLeft w:val="0"/>
                  <w:marRight w:val="0"/>
                  <w:marTop w:val="0"/>
                  <w:marBottom w:val="0"/>
                  <w:divBdr>
                    <w:top w:val="none" w:sz="0" w:space="0" w:color="auto"/>
                    <w:left w:val="none" w:sz="0" w:space="0" w:color="auto"/>
                    <w:bottom w:val="none" w:sz="0" w:space="0" w:color="auto"/>
                    <w:right w:val="none" w:sz="0" w:space="0" w:color="auto"/>
                  </w:divBdr>
                </w:div>
                <w:div w:id="516820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3474506">
          <w:marLeft w:val="0"/>
          <w:marRight w:val="0"/>
          <w:marTop w:val="0"/>
          <w:marBottom w:val="0"/>
          <w:divBdr>
            <w:top w:val="none" w:sz="0" w:space="0" w:color="auto"/>
            <w:left w:val="none" w:sz="0" w:space="0" w:color="auto"/>
            <w:bottom w:val="none" w:sz="0" w:space="0" w:color="auto"/>
            <w:right w:val="none" w:sz="0" w:space="0" w:color="auto"/>
          </w:divBdr>
          <w:divsChild>
            <w:div w:id="1359426990">
              <w:marLeft w:val="0"/>
              <w:marRight w:val="0"/>
              <w:marTop w:val="0"/>
              <w:marBottom w:val="0"/>
              <w:divBdr>
                <w:top w:val="none" w:sz="0" w:space="0" w:color="auto"/>
                <w:left w:val="none" w:sz="0" w:space="0" w:color="auto"/>
                <w:bottom w:val="none" w:sz="0" w:space="0" w:color="auto"/>
                <w:right w:val="none" w:sz="0" w:space="0" w:color="auto"/>
              </w:divBdr>
              <w:divsChild>
                <w:div w:id="277954745">
                  <w:marLeft w:val="0"/>
                  <w:marRight w:val="0"/>
                  <w:marTop w:val="0"/>
                  <w:marBottom w:val="0"/>
                  <w:divBdr>
                    <w:top w:val="none" w:sz="0" w:space="0" w:color="auto"/>
                    <w:left w:val="none" w:sz="0" w:space="0" w:color="auto"/>
                    <w:bottom w:val="none" w:sz="0" w:space="0" w:color="auto"/>
                    <w:right w:val="none" w:sz="0" w:space="0" w:color="auto"/>
                  </w:divBdr>
                  <w:divsChild>
                    <w:div w:id="1516190764">
                      <w:marLeft w:val="0"/>
                      <w:marRight w:val="0"/>
                      <w:marTop w:val="240"/>
                      <w:marBottom w:val="240"/>
                      <w:divBdr>
                        <w:top w:val="single" w:sz="12" w:space="0" w:color="EBEBEB"/>
                        <w:left w:val="none" w:sz="0" w:space="0" w:color="auto"/>
                        <w:bottom w:val="single" w:sz="12" w:space="0" w:color="EBEBEB"/>
                        <w:right w:val="none" w:sz="0" w:space="0" w:color="auto"/>
                      </w:divBdr>
                      <w:divsChild>
                        <w:div w:id="66913500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5173832">
                  <w:marLeft w:val="0"/>
                  <w:marRight w:val="0"/>
                  <w:marTop w:val="0"/>
                  <w:marBottom w:val="0"/>
                  <w:divBdr>
                    <w:top w:val="none" w:sz="0" w:space="0" w:color="auto"/>
                    <w:left w:val="none" w:sz="0" w:space="0" w:color="auto"/>
                    <w:bottom w:val="none" w:sz="0" w:space="0" w:color="auto"/>
                    <w:right w:val="none" w:sz="0" w:space="0" w:color="auto"/>
                  </w:divBdr>
                  <w:divsChild>
                    <w:div w:id="1282879001">
                      <w:marLeft w:val="0"/>
                      <w:marRight w:val="0"/>
                      <w:marTop w:val="240"/>
                      <w:marBottom w:val="240"/>
                      <w:divBdr>
                        <w:top w:val="single" w:sz="12" w:space="0" w:color="EBEBEB"/>
                        <w:left w:val="none" w:sz="0" w:space="0" w:color="auto"/>
                        <w:bottom w:val="single" w:sz="12" w:space="0" w:color="EBEBEB"/>
                        <w:right w:val="none" w:sz="0" w:space="0" w:color="auto"/>
                      </w:divBdr>
                      <w:divsChild>
                        <w:div w:id="86868469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810173940">
          <w:marLeft w:val="0"/>
          <w:marRight w:val="0"/>
          <w:marTop w:val="0"/>
          <w:marBottom w:val="120"/>
          <w:divBdr>
            <w:top w:val="none" w:sz="0" w:space="0" w:color="auto"/>
            <w:left w:val="none" w:sz="0" w:space="0" w:color="auto"/>
            <w:bottom w:val="none" w:sz="0" w:space="0" w:color="auto"/>
            <w:right w:val="none" w:sz="0" w:space="0" w:color="auto"/>
          </w:divBdr>
          <w:divsChild>
            <w:div w:id="463549912">
              <w:marLeft w:val="0"/>
              <w:marRight w:val="0"/>
              <w:marTop w:val="0"/>
              <w:marBottom w:val="240"/>
              <w:divBdr>
                <w:top w:val="none" w:sz="0" w:space="0" w:color="auto"/>
                <w:left w:val="none" w:sz="0" w:space="0" w:color="auto"/>
                <w:bottom w:val="none" w:sz="0" w:space="0" w:color="auto"/>
                <w:right w:val="none" w:sz="0" w:space="0" w:color="auto"/>
              </w:divBdr>
              <w:divsChild>
                <w:div w:id="1158695738">
                  <w:marLeft w:val="0"/>
                  <w:marRight w:val="0"/>
                  <w:marTop w:val="0"/>
                  <w:marBottom w:val="0"/>
                  <w:divBdr>
                    <w:top w:val="none" w:sz="0" w:space="0" w:color="auto"/>
                    <w:left w:val="none" w:sz="0" w:space="0" w:color="auto"/>
                    <w:bottom w:val="none" w:sz="0" w:space="0" w:color="auto"/>
                    <w:right w:val="none" w:sz="0" w:space="0" w:color="auto"/>
                  </w:divBdr>
                  <w:divsChild>
                    <w:div w:id="632949699">
                      <w:marLeft w:val="480"/>
                      <w:marRight w:val="0"/>
                      <w:marTop w:val="0"/>
                      <w:marBottom w:val="0"/>
                      <w:divBdr>
                        <w:top w:val="none" w:sz="0" w:space="0" w:color="auto"/>
                        <w:left w:val="none" w:sz="0" w:space="0" w:color="auto"/>
                        <w:bottom w:val="none" w:sz="0" w:space="0" w:color="auto"/>
                        <w:right w:val="none" w:sz="0" w:space="0" w:color="auto"/>
                      </w:divBdr>
                      <w:divsChild>
                        <w:div w:id="436413338">
                          <w:marLeft w:val="0"/>
                          <w:marRight w:val="0"/>
                          <w:marTop w:val="0"/>
                          <w:marBottom w:val="0"/>
                          <w:divBdr>
                            <w:top w:val="none" w:sz="0" w:space="0" w:color="auto"/>
                            <w:left w:val="none" w:sz="0" w:space="0" w:color="auto"/>
                            <w:bottom w:val="none" w:sz="0" w:space="0" w:color="auto"/>
                            <w:right w:val="none" w:sz="0" w:space="0" w:color="auto"/>
                          </w:divBdr>
                        </w:div>
                        <w:div w:id="1254818215">
                          <w:marLeft w:val="0"/>
                          <w:marRight w:val="0"/>
                          <w:marTop w:val="0"/>
                          <w:marBottom w:val="0"/>
                          <w:divBdr>
                            <w:top w:val="none" w:sz="0" w:space="0" w:color="auto"/>
                            <w:left w:val="none" w:sz="0" w:space="0" w:color="auto"/>
                            <w:bottom w:val="none" w:sz="0" w:space="0" w:color="auto"/>
                            <w:right w:val="none" w:sz="0" w:space="0" w:color="auto"/>
                          </w:divBdr>
                          <w:divsChild>
                            <w:div w:id="851602318">
                              <w:marLeft w:val="0"/>
                              <w:marRight w:val="0"/>
                              <w:marTop w:val="0"/>
                              <w:marBottom w:val="0"/>
                              <w:divBdr>
                                <w:top w:val="none" w:sz="0" w:space="0" w:color="auto"/>
                                <w:left w:val="none" w:sz="0" w:space="0" w:color="auto"/>
                                <w:bottom w:val="none" w:sz="0" w:space="0" w:color="auto"/>
                                <w:right w:val="none" w:sz="0" w:space="0" w:color="auto"/>
                              </w:divBdr>
                              <w:divsChild>
                                <w:div w:id="1268005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3636216">
                          <w:marLeft w:val="0"/>
                          <w:marRight w:val="0"/>
                          <w:marTop w:val="0"/>
                          <w:marBottom w:val="0"/>
                          <w:divBdr>
                            <w:top w:val="none" w:sz="0" w:space="0" w:color="auto"/>
                            <w:left w:val="none" w:sz="0" w:space="0" w:color="auto"/>
                            <w:bottom w:val="none" w:sz="0" w:space="0" w:color="auto"/>
                            <w:right w:val="none" w:sz="0" w:space="0" w:color="auto"/>
                          </w:divBdr>
                          <w:divsChild>
                            <w:div w:id="1575818089">
                              <w:marLeft w:val="0"/>
                              <w:marRight w:val="0"/>
                              <w:marTop w:val="0"/>
                              <w:marBottom w:val="0"/>
                              <w:divBdr>
                                <w:top w:val="none" w:sz="0" w:space="0" w:color="auto"/>
                                <w:left w:val="none" w:sz="0" w:space="0" w:color="auto"/>
                                <w:bottom w:val="none" w:sz="0" w:space="0" w:color="auto"/>
                                <w:right w:val="none" w:sz="0" w:space="0" w:color="auto"/>
                              </w:divBdr>
                              <w:divsChild>
                                <w:div w:id="1811822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6032430">
                          <w:marLeft w:val="0"/>
                          <w:marRight w:val="0"/>
                          <w:marTop w:val="0"/>
                          <w:marBottom w:val="0"/>
                          <w:divBdr>
                            <w:top w:val="none" w:sz="0" w:space="0" w:color="auto"/>
                            <w:left w:val="none" w:sz="0" w:space="0" w:color="auto"/>
                            <w:bottom w:val="none" w:sz="0" w:space="0" w:color="auto"/>
                            <w:right w:val="none" w:sz="0" w:space="0" w:color="auto"/>
                          </w:divBdr>
                          <w:divsChild>
                            <w:div w:id="1485664386">
                              <w:marLeft w:val="0"/>
                              <w:marRight w:val="0"/>
                              <w:marTop w:val="0"/>
                              <w:marBottom w:val="0"/>
                              <w:divBdr>
                                <w:top w:val="none" w:sz="0" w:space="0" w:color="auto"/>
                                <w:left w:val="none" w:sz="0" w:space="0" w:color="auto"/>
                                <w:bottom w:val="none" w:sz="0" w:space="0" w:color="auto"/>
                                <w:right w:val="none" w:sz="0" w:space="0" w:color="auto"/>
                              </w:divBdr>
                            </w:div>
                            <w:div w:id="1368532913">
                              <w:marLeft w:val="0"/>
                              <w:marRight w:val="0"/>
                              <w:marTop w:val="0"/>
                              <w:marBottom w:val="240"/>
                              <w:divBdr>
                                <w:top w:val="none" w:sz="0" w:space="0" w:color="auto"/>
                                <w:left w:val="none" w:sz="0" w:space="0" w:color="auto"/>
                                <w:bottom w:val="none" w:sz="0" w:space="0" w:color="auto"/>
                                <w:right w:val="none" w:sz="0" w:space="0" w:color="auto"/>
                              </w:divBdr>
                            </w:div>
                            <w:div w:id="923297417">
                              <w:marLeft w:val="0"/>
                              <w:marRight w:val="0"/>
                              <w:marTop w:val="0"/>
                              <w:marBottom w:val="240"/>
                              <w:divBdr>
                                <w:top w:val="none" w:sz="0" w:space="0" w:color="auto"/>
                                <w:left w:val="none" w:sz="0" w:space="0" w:color="auto"/>
                                <w:bottom w:val="none" w:sz="0" w:space="0" w:color="auto"/>
                                <w:right w:val="none" w:sz="0" w:space="0" w:color="auto"/>
                              </w:divBdr>
                            </w:div>
                            <w:div w:id="1069697103">
                              <w:marLeft w:val="0"/>
                              <w:marRight w:val="0"/>
                              <w:marTop w:val="0"/>
                              <w:marBottom w:val="240"/>
                              <w:divBdr>
                                <w:top w:val="none" w:sz="0" w:space="0" w:color="auto"/>
                                <w:left w:val="none" w:sz="0" w:space="0" w:color="auto"/>
                                <w:bottom w:val="none" w:sz="0" w:space="0" w:color="auto"/>
                                <w:right w:val="none" w:sz="0" w:space="0" w:color="auto"/>
                              </w:divBdr>
                            </w:div>
                            <w:div w:id="607154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84124166">
          <w:marLeft w:val="0"/>
          <w:marRight w:val="0"/>
          <w:marTop w:val="0"/>
          <w:marBottom w:val="0"/>
          <w:divBdr>
            <w:top w:val="none" w:sz="0" w:space="0" w:color="auto"/>
            <w:left w:val="none" w:sz="0" w:space="0" w:color="auto"/>
            <w:bottom w:val="none" w:sz="0" w:space="0" w:color="auto"/>
            <w:right w:val="none" w:sz="0" w:space="0" w:color="auto"/>
          </w:divBdr>
          <w:divsChild>
            <w:div w:id="1178497409">
              <w:marLeft w:val="0"/>
              <w:marRight w:val="0"/>
              <w:marTop w:val="0"/>
              <w:marBottom w:val="0"/>
              <w:divBdr>
                <w:top w:val="none" w:sz="0" w:space="0" w:color="auto"/>
                <w:left w:val="none" w:sz="0" w:space="0" w:color="auto"/>
                <w:bottom w:val="none" w:sz="0" w:space="0" w:color="auto"/>
                <w:right w:val="none" w:sz="0" w:space="0" w:color="auto"/>
              </w:divBdr>
            </w:div>
          </w:divsChild>
        </w:div>
        <w:div w:id="1278177143">
          <w:marLeft w:val="0"/>
          <w:marRight w:val="0"/>
          <w:marTop w:val="0"/>
          <w:marBottom w:val="0"/>
          <w:divBdr>
            <w:top w:val="none" w:sz="0" w:space="0" w:color="auto"/>
            <w:left w:val="none" w:sz="0" w:space="0" w:color="auto"/>
            <w:bottom w:val="none" w:sz="0" w:space="0" w:color="auto"/>
            <w:right w:val="none" w:sz="0" w:space="0" w:color="auto"/>
          </w:divBdr>
        </w:div>
        <w:div w:id="1112212322">
          <w:marLeft w:val="0"/>
          <w:marRight w:val="0"/>
          <w:marTop w:val="0"/>
          <w:marBottom w:val="0"/>
          <w:divBdr>
            <w:top w:val="none" w:sz="0" w:space="0" w:color="auto"/>
            <w:left w:val="none" w:sz="0" w:space="0" w:color="auto"/>
            <w:bottom w:val="none" w:sz="0" w:space="0" w:color="auto"/>
            <w:right w:val="none" w:sz="0" w:space="0" w:color="auto"/>
          </w:divBdr>
        </w:div>
        <w:div w:id="1392847845">
          <w:marLeft w:val="0"/>
          <w:marRight w:val="0"/>
          <w:marTop w:val="0"/>
          <w:marBottom w:val="0"/>
          <w:divBdr>
            <w:top w:val="none" w:sz="0" w:space="0" w:color="auto"/>
            <w:left w:val="none" w:sz="0" w:space="0" w:color="auto"/>
            <w:bottom w:val="none" w:sz="0" w:space="0" w:color="auto"/>
            <w:right w:val="none" w:sz="0" w:space="0" w:color="auto"/>
          </w:divBdr>
          <w:divsChild>
            <w:div w:id="1610157669">
              <w:marLeft w:val="0"/>
              <w:marRight w:val="0"/>
              <w:marTop w:val="0"/>
              <w:marBottom w:val="0"/>
              <w:divBdr>
                <w:top w:val="none" w:sz="0" w:space="0" w:color="auto"/>
                <w:left w:val="none" w:sz="0" w:space="0" w:color="auto"/>
                <w:bottom w:val="none" w:sz="0" w:space="0" w:color="auto"/>
                <w:right w:val="none" w:sz="0" w:space="0" w:color="auto"/>
              </w:divBdr>
            </w:div>
          </w:divsChild>
        </w:div>
        <w:div w:id="1953897009">
          <w:marLeft w:val="0"/>
          <w:marRight w:val="0"/>
          <w:marTop w:val="0"/>
          <w:marBottom w:val="0"/>
          <w:divBdr>
            <w:top w:val="none" w:sz="0" w:space="0" w:color="auto"/>
            <w:left w:val="none" w:sz="0" w:space="0" w:color="auto"/>
            <w:bottom w:val="none" w:sz="0" w:space="0" w:color="auto"/>
            <w:right w:val="none" w:sz="0" w:space="0" w:color="auto"/>
          </w:divBdr>
        </w:div>
        <w:div w:id="1531526057">
          <w:marLeft w:val="0"/>
          <w:marRight w:val="0"/>
          <w:marTop w:val="0"/>
          <w:marBottom w:val="0"/>
          <w:divBdr>
            <w:top w:val="none" w:sz="0" w:space="0" w:color="auto"/>
            <w:left w:val="none" w:sz="0" w:space="0" w:color="auto"/>
            <w:bottom w:val="none" w:sz="0" w:space="0" w:color="auto"/>
            <w:right w:val="none" w:sz="0" w:space="0" w:color="auto"/>
          </w:divBdr>
        </w:div>
        <w:div w:id="465662128">
          <w:marLeft w:val="0"/>
          <w:marRight w:val="0"/>
          <w:marTop w:val="0"/>
          <w:marBottom w:val="0"/>
          <w:divBdr>
            <w:top w:val="none" w:sz="0" w:space="0" w:color="auto"/>
            <w:left w:val="none" w:sz="0" w:space="0" w:color="auto"/>
            <w:bottom w:val="none" w:sz="0" w:space="0" w:color="auto"/>
            <w:right w:val="none" w:sz="0" w:space="0" w:color="auto"/>
          </w:divBdr>
          <w:divsChild>
            <w:div w:id="1462577332">
              <w:marLeft w:val="0"/>
              <w:marRight w:val="0"/>
              <w:marTop w:val="0"/>
              <w:marBottom w:val="0"/>
              <w:divBdr>
                <w:top w:val="none" w:sz="0" w:space="0" w:color="auto"/>
                <w:left w:val="none" w:sz="0" w:space="0" w:color="auto"/>
                <w:bottom w:val="none" w:sz="0" w:space="0" w:color="auto"/>
                <w:right w:val="none" w:sz="0" w:space="0" w:color="auto"/>
              </w:divBdr>
            </w:div>
          </w:divsChild>
        </w:div>
        <w:div w:id="1007369101">
          <w:marLeft w:val="0"/>
          <w:marRight w:val="0"/>
          <w:marTop w:val="0"/>
          <w:marBottom w:val="0"/>
          <w:divBdr>
            <w:top w:val="none" w:sz="0" w:space="0" w:color="auto"/>
            <w:left w:val="none" w:sz="0" w:space="0" w:color="auto"/>
            <w:bottom w:val="none" w:sz="0" w:space="0" w:color="auto"/>
            <w:right w:val="none" w:sz="0" w:space="0" w:color="auto"/>
          </w:divBdr>
        </w:div>
        <w:div w:id="613631829">
          <w:marLeft w:val="0"/>
          <w:marRight w:val="0"/>
          <w:marTop w:val="0"/>
          <w:marBottom w:val="0"/>
          <w:divBdr>
            <w:top w:val="none" w:sz="0" w:space="0" w:color="auto"/>
            <w:left w:val="none" w:sz="0" w:space="0" w:color="auto"/>
            <w:bottom w:val="none" w:sz="0" w:space="0" w:color="auto"/>
            <w:right w:val="none" w:sz="0" w:space="0" w:color="auto"/>
          </w:divBdr>
        </w:div>
        <w:div w:id="395326891">
          <w:marLeft w:val="0"/>
          <w:marRight w:val="0"/>
          <w:marTop w:val="0"/>
          <w:marBottom w:val="0"/>
          <w:divBdr>
            <w:top w:val="none" w:sz="0" w:space="0" w:color="auto"/>
            <w:left w:val="none" w:sz="0" w:space="0" w:color="auto"/>
            <w:bottom w:val="none" w:sz="0" w:space="0" w:color="auto"/>
            <w:right w:val="none" w:sz="0" w:space="0" w:color="auto"/>
          </w:divBdr>
          <w:divsChild>
            <w:div w:id="624892173">
              <w:marLeft w:val="0"/>
              <w:marRight w:val="0"/>
              <w:marTop w:val="0"/>
              <w:marBottom w:val="0"/>
              <w:divBdr>
                <w:top w:val="none" w:sz="0" w:space="0" w:color="auto"/>
                <w:left w:val="none" w:sz="0" w:space="0" w:color="auto"/>
                <w:bottom w:val="none" w:sz="0" w:space="0" w:color="auto"/>
                <w:right w:val="none" w:sz="0" w:space="0" w:color="auto"/>
              </w:divBdr>
            </w:div>
          </w:divsChild>
        </w:div>
        <w:div w:id="2016373389">
          <w:marLeft w:val="0"/>
          <w:marRight w:val="0"/>
          <w:marTop w:val="0"/>
          <w:marBottom w:val="0"/>
          <w:divBdr>
            <w:top w:val="none" w:sz="0" w:space="0" w:color="auto"/>
            <w:left w:val="none" w:sz="0" w:space="0" w:color="auto"/>
            <w:bottom w:val="none" w:sz="0" w:space="0" w:color="auto"/>
            <w:right w:val="none" w:sz="0" w:space="0" w:color="auto"/>
          </w:divBdr>
        </w:div>
        <w:div w:id="1192957724">
          <w:marLeft w:val="0"/>
          <w:marRight w:val="0"/>
          <w:marTop w:val="0"/>
          <w:marBottom w:val="0"/>
          <w:divBdr>
            <w:top w:val="none" w:sz="0" w:space="0" w:color="auto"/>
            <w:left w:val="none" w:sz="0" w:space="0" w:color="auto"/>
            <w:bottom w:val="none" w:sz="0" w:space="0" w:color="auto"/>
            <w:right w:val="none" w:sz="0" w:space="0" w:color="auto"/>
          </w:divBdr>
        </w:div>
        <w:div w:id="328295934">
          <w:marLeft w:val="0"/>
          <w:marRight w:val="0"/>
          <w:marTop w:val="0"/>
          <w:marBottom w:val="0"/>
          <w:divBdr>
            <w:top w:val="none" w:sz="0" w:space="0" w:color="auto"/>
            <w:left w:val="none" w:sz="0" w:space="0" w:color="auto"/>
            <w:bottom w:val="none" w:sz="0" w:space="0" w:color="auto"/>
            <w:right w:val="none" w:sz="0" w:space="0" w:color="auto"/>
          </w:divBdr>
        </w:div>
        <w:div w:id="1915358548">
          <w:marLeft w:val="0"/>
          <w:marRight w:val="0"/>
          <w:marTop w:val="0"/>
          <w:marBottom w:val="0"/>
          <w:divBdr>
            <w:top w:val="none" w:sz="0" w:space="0" w:color="auto"/>
            <w:left w:val="none" w:sz="0" w:space="0" w:color="auto"/>
            <w:bottom w:val="none" w:sz="0" w:space="0" w:color="auto"/>
            <w:right w:val="none" w:sz="0" w:space="0" w:color="auto"/>
          </w:divBdr>
        </w:div>
        <w:div w:id="2023312743">
          <w:marLeft w:val="0"/>
          <w:marRight w:val="0"/>
          <w:marTop w:val="0"/>
          <w:marBottom w:val="0"/>
          <w:divBdr>
            <w:top w:val="none" w:sz="0" w:space="0" w:color="auto"/>
            <w:left w:val="none" w:sz="0" w:space="0" w:color="auto"/>
            <w:bottom w:val="none" w:sz="0" w:space="0" w:color="auto"/>
            <w:right w:val="none" w:sz="0" w:space="0" w:color="auto"/>
          </w:divBdr>
          <w:divsChild>
            <w:div w:id="1355229320">
              <w:marLeft w:val="0"/>
              <w:marRight w:val="0"/>
              <w:marTop w:val="0"/>
              <w:marBottom w:val="0"/>
              <w:divBdr>
                <w:top w:val="none" w:sz="0" w:space="0" w:color="auto"/>
                <w:left w:val="none" w:sz="0" w:space="0" w:color="auto"/>
                <w:bottom w:val="none" w:sz="0" w:space="0" w:color="auto"/>
                <w:right w:val="none" w:sz="0" w:space="0" w:color="auto"/>
              </w:divBdr>
            </w:div>
          </w:divsChild>
        </w:div>
        <w:div w:id="360936063">
          <w:marLeft w:val="0"/>
          <w:marRight w:val="0"/>
          <w:marTop w:val="0"/>
          <w:marBottom w:val="0"/>
          <w:divBdr>
            <w:top w:val="none" w:sz="0" w:space="0" w:color="auto"/>
            <w:left w:val="none" w:sz="0" w:space="0" w:color="auto"/>
            <w:bottom w:val="none" w:sz="0" w:space="0" w:color="auto"/>
            <w:right w:val="none" w:sz="0" w:space="0" w:color="auto"/>
          </w:divBdr>
        </w:div>
        <w:div w:id="737442611">
          <w:marLeft w:val="0"/>
          <w:marRight w:val="0"/>
          <w:marTop w:val="0"/>
          <w:marBottom w:val="0"/>
          <w:divBdr>
            <w:top w:val="none" w:sz="0" w:space="0" w:color="auto"/>
            <w:left w:val="none" w:sz="0" w:space="0" w:color="auto"/>
            <w:bottom w:val="none" w:sz="0" w:space="0" w:color="auto"/>
            <w:right w:val="none" w:sz="0" w:space="0" w:color="auto"/>
          </w:divBdr>
        </w:div>
        <w:div w:id="722287025">
          <w:marLeft w:val="0"/>
          <w:marRight w:val="0"/>
          <w:marTop w:val="0"/>
          <w:marBottom w:val="0"/>
          <w:divBdr>
            <w:top w:val="none" w:sz="0" w:space="0" w:color="auto"/>
            <w:left w:val="none" w:sz="0" w:space="0" w:color="auto"/>
            <w:bottom w:val="none" w:sz="0" w:space="0" w:color="auto"/>
            <w:right w:val="none" w:sz="0" w:space="0" w:color="auto"/>
          </w:divBdr>
          <w:divsChild>
            <w:div w:id="184949262">
              <w:marLeft w:val="0"/>
              <w:marRight w:val="0"/>
              <w:marTop w:val="0"/>
              <w:marBottom w:val="0"/>
              <w:divBdr>
                <w:top w:val="none" w:sz="0" w:space="0" w:color="auto"/>
                <w:left w:val="none" w:sz="0" w:space="0" w:color="auto"/>
                <w:bottom w:val="none" w:sz="0" w:space="0" w:color="auto"/>
                <w:right w:val="none" w:sz="0" w:space="0" w:color="auto"/>
              </w:divBdr>
            </w:div>
          </w:divsChild>
        </w:div>
        <w:div w:id="1355112568">
          <w:marLeft w:val="0"/>
          <w:marRight w:val="0"/>
          <w:marTop w:val="0"/>
          <w:marBottom w:val="0"/>
          <w:divBdr>
            <w:top w:val="none" w:sz="0" w:space="0" w:color="auto"/>
            <w:left w:val="none" w:sz="0" w:space="0" w:color="auto"/>
            <w:bottom w:val="none" w:sz="0" w:space="0" w:color="auto"/>
            <w:right w:val="none" w:sz="0" w:space="0" w:color="auto"/>
          </w:divBdr>
        </w:div>
        <w:div w:id="1850368829">
          <w:marLeft w:val="0"/>
          <w:marRight w:val="0"/>
          <w:marTop w:val="0"/>
          <w:marBottom w:val="0"/>
          <w:divBdr>
            <w:top w:val="none" w:sz="0" w:space="0" w:color="auto"/>
            <w:left w:val="none" w:sz="0" w:space="0" w:color="auto"/>
            <w:bottom w:val="none" w:sz="0" w:space="0" w:color="auto"/>
            <w:right w:val="none" w:sz="0" w:space="0" w:color="auto"/>
          </w:divBdr>
        </w:div>
        <w:div w:id="1437751919">
          <w:marLeft w:val="0"/>
          <w:marRight w:val="0"/>
          <w:marTop w:val="0"/>
          <w:marBottom w:val="0"/>
          <w:divBdr>
            <w:top w:val="none" w:sz="0" w:space="0" w:color="auto"/>
            <w:left w:val="none" w:sz="0" w:space="0" w:color="auto"/>
            <w:bottom w:val="none" w:sz="0" w:space="0" w:color="auto"/>
            <w:right w:val="none" w:sz="0" w:space="0" w:color="auto"/>
          </w:divBdr>
          <w:divsChild>
            <w:div w:id="1214275299">
              <w:marLeft w:val="0"/>
              <w:marRight w:val="0"/>
              <w:marTop w:val="0"/>
              <w:marBottom w:val="0"/>
              <w:divBdr>
                <w:top w:val="none" w:sz="0" w:space="0" w:color="auto"/>
                <w:left w:val="none" w:sz="0" w:space="0" w:color="auto"/>
                <w:bottom w:val="none" w:sz="0" w:space="0" w:color="auto"/>
                <w:right w:val="none" w:sz="0" w:space="0" w:color="auto"/>
              </w:divBdr>
            </w:div>
          </w:divsChild>
        </w:div>
        <w:div w:id="2063746707">
          <w:marLeft w:val="0"/>
          <w:marRight w:val="0"/>
          <w:marTop w:val="0"/>
          <w:marBottom w:val="0"/>
          <w:divBdr>
            <w:top w:val="none" w:sz="0" w:space="0" w:color="auto"/>
            <w:left w:val="none" w:sz="0" w:space="0" w:color="auto"/>
            <w:bottom w:val="none" w:sz="0" w:space="0" w:color="auto"/>
            <w:right w:val="none" w:sz="0" w:space="0" w:color="auto"/>
          </w:divBdr>
        </w:div>
        <w:div w:id="403719919">
          <w:marLeft w:val="0"/>
          <w:marRight w:val="0"/>
          <w:marTop w:val="0"/>
          <w:marBottom w:val="0"/>
          <w:divBdr>
            <w:top w:val="none" w:sz="0" w:space="0" w:color="auto"/>
            <w:left w:val="none" w:sz="0" w:space="0" w:color="auto"/>
            <w:bottom w:val="none" w:sz="0" w:space="0" w:color="auto"/>
            <w:right w:val="none" w:sz="0" w:space="0" w:color="auto"/>
          </w:divBdr>
        </w:div>
        <w:div w:id="337536563">
          <w:marLeft w:val="0"/>
          <w:marRight w:val="0"/>
          <w:marTop w:val="0"/>
          <w:marBottom w:val="0"/>
          <w:divBdr>
            <w:top w:val="none" w:sz="0" w:space="0" w:color="auto"/>
            <w:left w:val="none" w:sz="0" w:space="0" w:color="auto"/>
            <w:bottom w:val="none" w:sz="0" w:space="0" w:color="auto"/>
            <w:right w:val="none" w:sz="0" w:space="0" w:color="auto"/>
          </w:divBdr>
          <w:divsChild>
            <w:div w:id="1662852085">
              <w:marLeft w:val="0"/>
              <w:marRight w:val="0"/>
              <w:marTop w:val="0"/>
              <w:marBottom w:val="0"/>
              <w:divBdr>
                <w:top w:val="none" w:sz="0" w:space="0" w:color="auto"/>
                <w:left w:val="none" w:sz="0" w:space="0" w:color="auto"/>
                <w:bottom w:val="none" w:sz="0" w:space="0" w:color="auto"/>
                <w:right w:val="none" w:sz="0" w:space="0" w:color="auto"/>
              </w:divBdr>
            </w:div>
          </w:divsChild>
        </w:div>
        <w:div w:id="1776485446">
          <w:marLeft w:val="0"/>
          <w:marRight w:val="0"/>
          <w:marTop w:val="0"/>
          <w:marBottom w:val="0"/>
          <w:divBdr>
            <w:top w:val="none" w:sz="0" w:space="0" w:color="auto"/>
            <w:left w:val="none" w:sz="0" w:space="0" w:color="auto"/>
            <w:bottom w:val="none" w:sz="0" w:space="0" w:color="auto"/>
            <w:right w:val="none" w:sz="0" w:space="0" w:color="auto"/>
          </w:divBdr>
        </w:div>
        <w:div w:id="1846019000">
          <w:marLeft w:val="0"/>
          <w:marRight w:val="0"/>
          <w:marTop w:val="0"/>
          <w:marBottom w:val="0"/>
          <w:divBdr>
            <w:top w:val="none" w:sz="0" w:space="0" w:color="auto"/>
            <w:left w:val="none" w:sz="0" w:space="0" w:color="auto"/>
            <w:bottom w:val="none" w:sz="0" w:space="0" w:color="auto"/>
            <w:right w:val="none" w:sz="0" w:space="0" w:color="auto"/>
          </w:divBdr>
        </w:div>
        <w:div w:id="1573195893">
          <w:marLeft w:val="0"/>
          <w:marRight w:val="0"/>
          <w:marTop w:val="0"/>
          <w:marBottom w:val="0"/>
          <w:divBdr>
            <w:top w:val="none" w:sz="0" w:space="0" w:color="auto"/>
            <w:left w:val="none" w:sz="0" w:space="0" w:color="auto"/>
            <w:bottom w:val="none" w:sz="0" w:space="0" w:color="auto"/>
            <w:right w:val="none" w:sz="0" w:space="0" w:color="auto"/>
          </w:divBdr>
          <w:divsChild>
            <w:div w:id="755394873">
              <w:marLeft w:val="0"/>
              <w:marRight w:val="0"/>
              <w:marTop w:val="0"/>
              <w:marBottom w:val="0"/>
              <w:divBdr>
                <w:top w:val="none" w:sz="0" w:space="0" w:color="auto"/>
                <w:left w:val="none" w:sz="0" w:space="0" w:color="auto"/>
                <w:bottom w:val="none" w:sz="0" w:space="0" w:color="auto"/>
                <w:right w:val="none" w:sz="0" w:space="0" w:color="auto"/>
              </w:divBdr>
            </w:div>
          </w:divsChild>
        </w:div>
        <w:div w:id="1421440789">
          <w:marLeft w:val="0"/>
          <w:marRight w:val="0"/>
          <w:marTop w:val="0"/>
          <w:marBottom w:val="0"/>
          <w:divBdr>
            <w:top w:val="none" w:sz="0" w:space="0" w:color="auto"/>
            <w:left w:val="none" w:sz="0" w:space="0" w:color="auto"/>
            <w:bottom w:val="none" w:sz="0" w:space="0" w:color="auto"/>
            <w:right w:val="none" w:sz="0" w:space="0" w:color="auto"/>
          </w:divBdr>
        </w:div>
        <w:div w:id="2079479481">
          <w:marLeft w:val="0"/>
          <w:marRight w:val="0"/>
          <w:marTop w:val="0"/>
          <w:marBottom w:val="0"/>
          <w:divBdr>
            <w:top w:val="none" w:sz="0" w:space="0" w:color="auto"/>
            <w:left w:val="none" w:sz="0" w:space="0" w:color="auto"/>
            <w:bottom w:val="none" w:sz="0" w:space="0" w:color="auto"/>
            <w:right w:val="none" w:sz="0" w:space="0" w:color="auto"/>
          </w:divBdr>
        </w:div>
        <w:div w:id="672225262">
          <w:marLeft w:val="0"/>
          <w:marRight w:val="0"/>
          <w:marTop w:val="0"/>
          <w:marBottom w:val="0"/>
          <w:divBdr>
            <w:top w:val="none" w:sz="0" w:space="0" w:color="auto"/>
            <w:left w:val="none" w:sz="0" w:space="0" w:color="auto"/>
            <w:bottom w:val="none" w:sz="0" w:space="0" w:color="auto"/>
            <w:right w:val="none" w:sz="0" w:space="0" w:color="auto"/>
          </w:divBdr>
          <w:divsChild>
            <w:div w:id="449204137">
              <w:marLeft w:val="0"/>
              <w:marRight w:val="0"/>
              <w:marTop w:val="0"/>
              <w:marBottom w:val="0"/>
              <w:divBdr>
                <w:top w:val="none" w:sz="0" w:space="0" w:color="auto"/>
                <w:left w:val="none" w:sz="0" w:space="0" w:color="auto"/>
                <w:bottom w:val="none" w:sz="0" w:space="0" w:color="auto"/>
                <w:right w:val="none" w:sz="0" w:space="0" w:color="auto"/>
              </w:divBdr>
            </w:div>
          </w:divsChild>
        </w:div>
        <w:div w:id="1760441192">
          <w:marLeft w:val="0"/>
          <w:marRight w:val="0"/>
          <w:marTop w:val="0"/>
          <w:marBottom w:val="0"/>
          <w:divBdr>
            <w:top w:val="none" w:sz="0" w:space="0" w:color="auto"/>
            <w:left w:val="none" w:sz="0" w:space="0" w:color="auto"/>
            <w:bottom w:val="none" w:sz="0" w:space="0" w:color="auto"/>
            <w:right w:val="none" w:sz="0" w:space="0" w:color="auto"/>
          </w:divBdr>
        </w:div>
        <w:div w:id="1025519876">
          <w:marLeft w:val="0"/>
          <w:marRight w:val="0"/>
          <w:marTop w:val="0"/>
          <w:marBottom w:val="0"/>
          <w:divBdr>
            <w:top w:val="none" w:sz="0" w:space="0" w:color="auto"/>
            <w:left w:val="none" w:sz="0" w:space="0" w:color="auto"/>
            <w:bottom w:val="none" w:sz="0" w:space="0" w:color="auto"/>
            <w:right w:val="none" w:sz="0" w:space="0" w:color="auto"/>
          </w:divBdr>
        </w:div>
        <w:div w:id="2101368604">
          <w:marLeft w:val="0"/>
          <w:marRight w:val="0"/>
          <w:marTop w:val="0"/>
          <w:marBottom w:val="0"/>
          <w:divBdr>
            <w:top w:val="none" w:sz="0" w:space="0" w:color="auto"/>
            <w:left w:val="none" w:sz="0" w:space="0" w:color="auto"/>
            <w:bottom w:val="none" w:sz="0" w:space="0" w:color="auto"/>
            <w:right w:val="none" w:sz="0" w:space="0" w:color="auto"/>
          </w:divBdr>
        </w:div>
        <w:div w:id="1607539752">
          <w:marLeft w:val="0"/>
          <w:marRight w:val="0"/>
          <w:marTop w:val="0"/>
          <w:marBottom w:val="0"/>
          <w:divBdr>
            <w:top w:val="none" w:sz="0" w:space="0" w:color="auto"/>
            <w:left w:val="none" w:sz="0" w:space="0" w:color="auto"/>
            <w:bottom w:val="none" w:sz="0" w:space="0" w:color="auto"/>
            <w:right w:val="none" w:sz="0" w:space="0" w:color="auto"/>
          </w:divBdr>
        </w:div>
        <w:div w:id="1258056892">
          <w:marLeft w:val="0"/>
          <w:marRight w:val="0"/>
          <w:marTop w:val="0"/>
          <w:marBottom w:val="0"/>
          <w:divBdr>
            <w:top w:val="none" w:sz="0" w:space="0" w:color="auto"/>
            <w:left w:val="none" w:sz="0" w:space="0" w:color="auto"/>
            <w:bottom w:val="none" w:sz="0" w:space="0" w:color="auto"/>
            <w:right w:val="none" w:sz="0" w:space="0" w:color="auto"/>
          </w:divBdr>
          <w:divsChild>
            <w:div w:id="1146168288">
              <w:marLeft w:val="0"/>
              <w:marRight w:val="0"/>
              <w:marTop w:val="0"/>
              <w:marBottom w:val="0"/>
              <w:divBdr>
                <w:top w:val="none" w:sz="0" w:space="0" w:color="auto"/>
                <w:left w:val="none" w:sz="0" w:space="0" w:color="auto"/>
                <w:bottom w:val="none" w:sz="0" w:space="0" w:color="auto"/>
                <w:right w:val="none" w:sz="0" w:space="0" w:color="auto"/>
              </w:divBdr>
            </w:div>
          </w:divsChild>
        </w:div>
        <w:div w:id="493643812">
          <w:marLeft w:val="0"/>
          <w:marRight w:val="0"/>
          <w:marTop w:val="0"/>
          <w:marBottom w:val="0"/>
          <w:divBdr>
            <w:top w:val="none" w:sz="0" w:space="0" w:color="auto"/>
            <w:left w:val="none" w:sz="0" w:space="0" w:color="auto"/>
            <w:bottom w:val="none" w:sz="0" w:space="0" w:color="auto"/>
            <w:right w:val="none" w:sz="0" w:space="0" w:color="auto"/>
          </w:divBdr>
        </w:div>
        <w:div w:id="1149639377">
          <w:marLeft w:val="0"/>
          <w:marRight w:val="0"/>
          <w:marTop w:val="0"/>
          <w:marBottom w:val="0"/>
          <w:divBdr>
            <w:top w:val="none" w:sz="0" w:space="0" w:color="auto"/>
            <w:left w:val="none" w:sz="0" w:space="0" w:color="auto"/>
            <w:bottom w:val="none" w:sz="0" w:space="0" w:color="auto"/>
            <w:right w:val="none" w:sz="0" w:space="0" w:color="auto"/>
          </w:divBdr>
        </w:div>
        <w:div w:id="247664912">
          <w:marLeft w:val="0"/>
          <w:marRight w:val="0"/>
          <w:marTop w:val="0"/>
          <w:marBottom w:val="0"/>
          <w:divBdr>
            <w:top w:val="none" w:sz="0" w:space="0" w:color="auto"/>
            <w:left w:val="none" w:sz="0" w:space="0" w:color="auto"/>
            <w:bottom w:val="none" w:sz="0" w:space="0" w:color="auto"/>
            <w:right w:val="none" w:sz="0" w:space="0" w:color="auto"/>
          </w:divBdr>
          <w:divsChild>
            <w:div w:id="1338071373">
              <w:marLeft w:val="0"/>
              <w:marRight w:val="0"/>
              <w:marTop w:val="0"/>
              <w:marBottom w:val="0"/>
              <w:divBdr>
                <w:top w:val="none" w:sz="0" w:space="0" w:color="auto"/>
                <w:left w:val="none" w:sz="0" w:space="0" w:color="auto"/>
                <w:bottom w:val="none" w:sz="0" w:space="0" w:color="auto"/>
                <w:right w:val="none" w:sz="0" w:space="0" w:color="auto"/>
              </w:divBdr>
            </w:div>
          </w:divsChild>
        </w:div>
        <w:div w:id="393890656">
          <w:marLeft w:val="0"/>
          <w:marRight w:val="0"/>
          <w:marTop w:val="0"/>
          <w:marBottom w:val="0"/>
          <w:divBdr>
            <w:top w:val="none" w:sz="0" w:space="0" w:color="auto"/>
            <w:left w:val="none" w:sz="0" w:space="0" w:color="auto"/>
            <w:bottom w:val="none" w:sz="0" w:space="0" w:color="auto"/>
            <w:right w:val="none" w:sz="0" w:space="0" w:color="auto"/>
          </w:divBdr>
        </w:div>
        <w:div w:id="1235775894">
          <w:marLeft w:val="0"/>
          <w:marRight w:val="0"/>
          <w:marTop w:val="0"/>
          <w:marBottom w:val="0"/>
          <w:divBdr>
            <w:top w:val="none" w:sz="0" w:space="0" w:color="auto"/>
            <w:left w:val="none" w:sz="0" w:space="0" w:color="auto"/>
            <w:bottom w:val="none" w:sz="0" w:space="0" w:color="auto"/>
            <w:right w:val="none" w:sz="0" w:space="0" w:color="auto"/>
          </w:divBdr>
        </w:div>
        <w:div w:id="601499706">
          <w:marLeft w:val="0"/>
          <w:marRight w:val="0"/>
          <w:marTop w:val="0"/>
          <w:marBottom w:val="0"/>
          <w:divBdr>
            <w:top w:val="none" w:sz="0" w:space="0" w:color="auto"/>
            <w:left w:val="none" w:sz="0" w:space="0" w:color="auto"/>
            <w:bottom w:val="none" w:sz="0" w:space="0" w:color="auto"/>
            <w:right w:val="none" w:sz="0" w:space="0" w:color="auto"/>
          </w:divBdr>
          <w:divsChild>
            <w:div w:id="789787142">
              <w:marLeft w:val="0"/>
              <w:marRight w:val="0"/>
              <w:marTop w:val="0"/>
              <w:marBottom w:val="0"/>
              <w:divBdr>
                <w:top w:val="none" w:sz="0" w:space="0" w:color="auto"/>
                <w:left w:val="none" w:sz="0" w:space="0" w:color="auto"/>
                <w:bottom w:val="none" w:sz="0" w:space="0" w:color="auto"/>
                <w:right w:val="none" w:sz="0" w:space="0" w:color="auto"/>
              </w:divBdr>
            </w:div>
          </w:divsChild>
        </w:div>
        <w:div w:id="1224214902">
          <w:marLeft w:val="0"/>
          <w:marRight w:val="0"/>
          <w:marTop w:val="0"/>
          <w:marBottom w:val="0"/>
          <w:divBdr>
            <w:top w:val="none" w:sz="0" w:space="0" w:color="auto"/>
            <w:left w:val="none" w:sz="0" w:space="0" w:color="auto"/>
            <w:bottom w:val="none" w:sz="0" w:space="0" w:color="auto"/>
            <w:right w:val="none" w:sz="0" w:space="0" w:color="auto"/>
          </w:divBdr>
        </w:div>
        <w:div w:id="2031253143">
          <w:marLeft w:val="0"/>
          <w:marRight w:val="0"/>
          <w:marTop w:val="0"/>
          <w:marBottom w:val="0"/>
          <w:divBdr>
            <w:top w:val="none" w:sz="0" w:space="0" w:color="auto"/>
            <w:left w:val="none" w:sz="0" w:space="0" w:color="auto"/>
            <w:bottom w:val="none" w:sz="0" w:space="0" w:color="auto"/>
            <w:right w:val="none" w:sz="0" w:space="0" w:color="auto"/>
          </w:divBdr>
        </w:div>
        <w:div w:id="556205548">
          <w:marLeft w:val="0"/>
          <w:marRight w:val="0"/>
          <w:marTop w:val="0"/>
          <w:marBottom w:val="0"/>
          <w:divBdr>
            <w:top w:val="none" w:sz="0" w:space="0" w:color="auto"/>
            <w:left w:val="none" w:sz="0" w:space="0" w:color="auto"/>
            <w:bottom w:val="none" w:sz="0" w:space="0" w:color="auto"/>
            <w:right w:val="none" w:sz="0" w:space="0" w:color="auto"/>
          </w:divBdr>
          <w:divsChild>
            <w:div w:id="1007441169">
              <w:marLeft w:val="0"/>
              <w:marRight w:val="0"/>
              <w:marTop w:val="0"/>
              <w:marBottom w:val="0"/>
              <w:divBdr>
                <w:top w:val="none" w:sz="0" w:space="0" w:color="auto"/>
                <w:left w:val="none" w:sz="0" w:space="0" w:color="auto"/>
                <w:bottom w:val="none" w:sz="0" w:space="0" w:color="auto"/>
                <w:right w:val="none" w:sz="0" w:space="0" w:color="auto"/>
              </w:divBdr>
            </w:div>
          </w:divsChild>
        </w:div>
        <w:div w:id="1196235267">
          <w:marLeft w:val="0"/>
          <w:marRight w:val="0"/>
          <w:marTop w:val="0"/>
          <w:marBottom w:val="0"/>
          <w:divBdr>
            <w:top w:val="none" w:sz="0" w:space="0" w:color="auto"/>
            <w:left w:val="none" w:sz="0" w:space="0" w:color="auto"/>
            <w:bottom w:val="none" w:sz="0" w:space="0" w:color="auto"/>
            <w:right w:val="none" w:sz="0" w:space="0" w:color="auto"/>
          </w:divBdr>
        </w:div>
        <w:div w:id="55011571">
          <w:marLeft w:val="0"/>
          <w:marRight w:val="0"/>
          <w:marTop w:val="0"/>
          <w:marBottom w:val="0"/>
          <w:divBdr>
            <w:top w:val="none" w:sz="0" w:space="0" w:color="auto"/>
            <w:left w:val="none" w:sz="0" w:space="0" w:color="auto"/>
            <w:bottom w:val="none" w:sz="0" w:space="0" w:color="auto"/>
            <w:right w:val="none" w:sz="0" w:space="0" w:color="auto"/>
          </w:divBdr>
        </w:div>
        <w:div w:id="24136048">
          <w:marLeft w:val="0"/>
          <w:marRight w:val="0"/>
          <w:marTop w:val="0"/>
          <w:marBottom w:val="0"/>
          <w:divBdr>
            <w:top w:val="none" w:sz="0" w:space="0" w:color="auto"/>
            <w:left w:val="none" w:sz="0" w:space="0" w:color="auto"/>
            <w:bottom w:val="none" w:sz="0" w:space="0" w:color="auto"/>
            <w:right w:val="none" w:sz="0" w:space="0" w:color="auto"/>
          </w:divBdr>
          <w:divsChild>
            <w:div w:id="1396467292">
              <w:marLeft w:val="0"/>
              <w:marRight w:val="0"/>
              <w:marTop w:val="0"/>
              <w:marBottom w:val="0"/>
              <w:divBdr>
                <w:top w:val="none" w:sz="0" w:space="0" w:color="auto"/>
                <w:left w:val="none" w:sz="0" w:space="0" w:color="auto"/>
                <w:bottom w:val="none" w:sz="0" w:space="0" w:color="auto"/>
                <w:right w:val="none" w:sz="0" w:space="0" w:color="auto"/>
              </w:divBdr>
            </w:div>
          </w:divsChild>
        </w:div>
        <w:div w:id="1714309543">
          <w:marLeft w:val="0"/>
          <w:marRight w:val="0"/>
          <w:marTop w:val="0"/>
          <w:marBottom w:val="0"/>
          <w:divBdr>
            <w:top w:val="none" w:sz="0" w:space="0" w:color="auto"/>
            <w:left w:val="none" w:sz="0" w:space="0" w:color="auto"/>
            <w:bottom w:val="none" w:sz="0" w:space="0" w:color="auto"/>
            <w:right w:val="none" w:sz="0" w:space="0" w:color="auto"/>
          </w:divBdr>
        </w:div>
        <w:div w:id="804078818">
          <w:marLeft w:val="0"/>
          <w:marRight w:val="0"/>
          <w:marTop w:val="0"/>
          <w:marBottom w:val="0"/>
          <w:divBdr>
            <w:top w:val="none" w:sz="0" w:space="0" w:color="auto"/>
            <w:left w:val="none" w:sz="0" w:space="0" w:color="auto"/>
            <w:bottom w:val="none" w:sz="0" w:space="0" w:color="auto"/>
            <w:right w:val="none" w:sz="0" w:space="0" w:color="auto"/>
          </w:divBdr>
        </w:div>
        <w:div w:id="961689631">
          <w:marLeft w:val="0"/>
          <w:marRight w:val="0"/>
          <w:marTop w:val="0"/>
          <w:marBottom w:val="0"/>
          <w:divBdr>
            <w:top w:val="none" w:sz="0" w:space="0" w:color="auto"/>
            <w:left w:val="none" w:sz="0" w:space="0" w:color="auto"/>
            <w:bottom w:val="none" w:sz="0" w:space="0" w:color="auto"/>
            <w:right w:val="none" w:sz="0" w:space="0" w:color="auto"/>
          </w:divBdr>
          <w:divsChild>
            <w:div w:id="1062559302">
              <w:marLeft w:val="0"/>
              <w:marRight w:val="0"/>
              <w:marTop w:val="0"/>
              <w:marBottom w:val="0"/>
              <w:divBdr>
                <w:top w:val="none" w:sz="0" w:space="0" w:color="auto"/>
                <w:left w:val="none" w:sz="0" w:space="0" w:color="auto"/>
                <w:bottom w:val="none" w:sz="0" w:space="0" w:color="auto"/>
                <w:right w:val="none" w:sz="0" w:space="0" w:color="auto"/>
              </w:divBdr>
            </w:div>
          </w:divsChild>
        </w:div>
        <w:div w:id="192502203">
          <w:marLeft w:val="0"/>
          <w:marRight w:val="0"/>
          <w:marTop w:val="0"/>
          <w:marBottom w:val="0"/>
          <w:divBdr>
            <w:top w:val="none" w:sz="0" w:space="0" w:color="auto"/>
            <w:left w:val="none" w:sz="0" w:space="0" w:color="auto"/>
            <w:bottom w:val="none" w:sz="0" w:space="0" w:color="auto"/>
            <w:right w:val="none" w:sz="0" w:space="0" w:color="auto"/>
          </w:divBdr>
        </w:div>
        <w:div w:id="1816753570">
          <w:marLeft w:val="0"/>
          <w:marRight w:val="0"/>
          <w:marTop w:val="0"/>
          <w:marBottom w:val="0"/>
          <w:divBdr>
            <w:top w:val="none" w:sz="0" w:space="0" w:color="auto"/>
            <w:left w:val="none" w:sz="0" w:space="0" w:color="auto"/>
            <w:bottom w:val="none" w:sz="0" w:space="0" w:color="auto"/>
            <w:right w:val="none" w:sz="0" w:space="0" w:color="auto"/>
          </w:divBdr>
        </w:div>
        <w:div w:id="1815640429">
          <w:marLeft w:val="0"/>
          <w:marRight w:val="0"/>
          <w:marTop w:val="0"/>
          <w:marBottom w:val="0"/>
          <w:divBdr>
            <w:top w:val="none" w:sz="0" w:space="0" w:color="auto"/>
            <w:left w:val="none" w:sz="0" w:space="0" w:color="auto"/>
            <w:bottom w:val="none" w:sz="0" w:space="0" w:color="auto"/>
            <w:right w:val="none" w:sz="0" w:space="0" w:color="auto"/>
          </w:divBdr>
          <w:divsChild>
            <w:div w:id="1699045205">
              <w:marLeft w:val="0"/>
              <w:marRight w:val="0"/>
              <w:marTop w:val="0"/>
              <w:marBottom w:val="0"/>
              <w:divBdr>
                <w:top w:val="none" w:sz="0" w:space="0" w:color="auto"/>
                <w:left w:val="none" w:sz="0" w:space="0" w:color="auto"/>
                <w:bottom w:val="none" w:sz="0" w:space="0" w:color="auto"/>
                <w:right w:val="none" w:sz="0" w:space="0" w:color="auto"/>
              </w:divBdr>
            </w:div>
          </w:divsChild>
        </w:div>
        <w:div w:id="1828741915">
          <w:marLeft w:val="0"/>
          <w:marRight w:val="0"/>
          <w:marTop w:val="0"/>
          <w:marBottom w:val="0"/>
          <w:divBdr>
            <w:top w:val="none" w:sz="0" w:space="0" w:color="auto"/>
            <w:left w:val="none" w:sz="0" w:space="0" w:color="auto"/>
            <w:bottom w:val="none" w:sz="0" w:space="0" w:color="auto"/>
            <w:right w:val="none" w:sz="0" w:space="0" w:color="auto"/>
          </w:divBdr>
        </w:div>
        <w:div w:id="773063155">
          <w:marLeft w:val="0"/>
          <w:marRight w:val="0"/>
          <w:marTop w:val="0"/>
          <w:marBottom w:val="0"/>
          <w:divBdr>
            <w:top w:val="none" w:sz="0" w:space="0" w:color="auto"/>
            <w:left w:val="none" w:sz="0" w:space="0" w:color="auto"/>
            <w:bottom w:val="none" w:sz="0" w:space="0" w:color="auto"/>
            <w:right w:val="none" w:sz="0" w:space="0" w:color="auto"/>
          </w:divBdr>
        </w:div>
        <w:div w:id="1197428928">
          <w:marLeft w:val="0"/>
          <w:marRight w:val="0"/>
          <w:marTop w:val="0"/>
          <w:marBottom w:val="0"/>
          <w:divBdr>
            <w:top w:val="none" w:sz="0" w:space="0" w:color="auto"/>
            <w:left w:val="none" w:sz="0" w:space="0" w:color="auto"/>
            <w:bottom w:val="none" w:sz="0" w:space="0" w:color="auto"/>
            <w:right w:val="none" w:sz="0" w:space="0" w:color="auto"/>
          </w:divBdr>
        </w:div>
        <w:div w:id="149516429">
          <w:marLeft w:val="0"/>
          <w:marRight w:val="0"/>
          <w:marTop w:val="0"/>
          <w:marBottom w:val="0"/>
          <w:divBdr>
            <w:top w:val="none" w:sz="0" w:space="0" w:color="auto"/>
            <w:left w:val="none" w:sz="0" w:space="0" w:color="auto"/>
            <w:bottom w:val="none" w:sz="0" w:space="0" w:color="auto"/>
            <w:right w:val="none" w:sz="0" w:space="0" w:color="auto"/>
          </w:divBdr>
        </w:div>
        <w:div w:id="296423947">
          <w:marLeft w:val="0"/>
          <w:marRight w:val="0"/>
          <w:marTop w:val="0"/>
          <w:marBottom w:val="0"/>
          <w:divBdr>
            <w:top w:val="none" w:sz="0" w:space="0" w:color="auto"/>
            <w:left w:val="none" w:sz="0" w:space="0" w:color="auto"/>
            <w:bottom w:val="none" w:sz="0" w:space="0" w:color="auto"/>
            <w:right w:val="none" w:sz="0" w:space="0" w:color="auto"/>
          </w:divBdr>
          <w:divsChild>
            <w:div w:id="1826970948">
              <w:marLeft w:val="0"/>
              <w:marRight w:val="0"/>
              <w:marTop w:val="0"/>
              <w:marBottom w:val="0"/>
              <w:divBdr>
                <w:top w:val="none" w:sz="0" w:space="0" w:color="auto"/>
                <w:left w:val="none" w:sz="0" w:space="0" w:color="auto"/>
                <w:bottom w:val="none" w:sz="0" w:space="0" w:color="auto"/>
                <w:right w:val="none" w:sz="0" w:space="0" w:color="auto"/>
              </w:divBdr>
            </w:div>
          </w:divsChild>
        </w:div>
        <w:div w:id="1108044043">
          <w:marLeft w:val="0"/>
          <w:marRight w:val="0"/>
          <w:marTop w:val="0"/>
          <w:marBottom w:val="0"/>
          <w:divBdr>
            <w:top w:val="none" w:sz="0" w:space="0" w:color="auto"/>
            <w:left w:val="none" w:sz="0" w:space="0" w:color="auto"/>
            <w:bottom w:val="none" w:sz="0" w:space="0" w:color="auto"/>
            <w:right w:val="none" w:sz="0" w:space="0" w:color="auto"/>
          </w:divBdr>
        </w:div>
        <w:div w:id="1848864798">
          <w:marLeft w:val="0"/>
          <w:marRight w:val="0"/>
          <w:marTop w:val="0"/>
          <w:marBottom w:val="0"/>
          <w:divBdr>
            <w:top w:val="none" w:sz="0" w:space="0" w:color="auto"/>
            <w:left w:val="none" w:sz="0" w:space="0" w:color="auto"/>
            <w:bottom w:val="none" w:sz="0" w:space="0" w:color="auto"/>
            <w:right w:val="none" w:sz="0" w:space="0" w:color="auto"/>
          </w:divBdr>
        </w:div>
        <w:div w:id="871764133">
          <w:marLeft w:val="0"/>
          <w:marRight w:val="0"/>
          <w:marTop w:val="0"/>
          <w:marBottom w:val="0"/>
          <w:divBdr>
            <w:top w:val="none" w:sz="0" w:space="0" w:color="auto"/>
            <w:left w:val="none" w:sz="0" w:space="0" w:color="auto"/>
            <w:bottom w:val="none" w:sz="0" w:space="0" w:color="auto"/>
            <w:right w:val="none" w:sz="0" w:space="0" w:color="auto"/>
          </w:divBdr>
          <w:divsChild>
            <w:div w:id="1772773868">
              <w:marLeft w:val="0"/>
              <w:marRight w:val="0"/>
              <w:marTop w:val="0"/>
              <w:marBottom w:val="0"/>
              <w:divBdr>
                <w:top w:val="none" w:sz="0" w:space="0" w:color="auto"/>
                <w:left w:val="none" w:sz="0" w:space="0" w:color="auto"/>
                <w:bottom w:val="none" w:sz="0" w:space="0" w:color="auto"/>
                <w:right w:val="none" w:sz="0" w:space="0" w:color="auto"/>
              </w:divBdr>
            </w:div>
          </w:divsChild>
        </w:div>
        <w:div w:id="300576608">
          <w:marLeft w:val="0"/>
          <w:marRight w:val="0"/>
          <w:marTop w:val="0"/>
          <w:marBottom w:val="0"/>
          <w:divBdr>
            <w:top w:val="none" w:sz="0" w:space="0" w:color="auto"/>
            <w:left w:val="none" w:sz="0" w:space="0" w:color="auto"/>
            <w:bottom w:val="none" w:sz="0" w:space="0" w:color="auto"/>
            <w:right w:val="none" w:sz="0" w:space="0" w:color="auto"/>
          </w:divBdr>
        </w:div>
        <w:div w:id="1837066966">
          <w:marLeft w:val="0"/>
          <w:marRight w:val="0"/>
          <w:marTop w:val="0"/>
          <w:marBottom w:val="0"/>
          <w:divBdr>
            <w:top w:val="none" w:sz="0" w:space="0" w:color="auto"/>
            <w:left w:val="none" w:sz="0" w:space="0" w:color="auto"/>
            <w:bottom w:val="none" w:sz="0" w:space="0" w:color="auto"/>
            <w:right w:val="none" w:sz="0" w:space="0" w:color="auto"/>
          </w:divBdr>
        </w:div>
        <w:div w:id="737367520">
          <w:marLeft w:val="0"/>
          <w:marRight w:val="0"/>
          <w:marTop w:val="0"/>
          <w:marBottom w:val="0"/>
          <w:divBdr>
            <w:top w:val="none" w:sz="0" w:space="0" w:color="auto"/>
            <w:left w:val="none" w:sz="0" w:space="0" w:color="auto"/>
            <w:bottom w:val="none" w:sz="0" w:space="0" w:color="auto"/>
            <w:right w:val="none" w:sz="0" w:space="0" w:color="auto"/>
          </w:divBdr>
          <w:divsChild>
            <w:div w:id="1241872487">
              <w:marLeft w:val="0"/>
              <w:marRight w:val="0"/>
              <w:marTop w:val="0"/>
              <w:marBottom w:val="0"/>
              <w:divBdr>
                <w:top w:val="none" w:sz="0" w:space="0" w:color="auto"/>
                <w:left w:val="none" w:sz="0" w:space="0" w:color="auto"/>
                <w:bottom w:val="none" w:sz="0" w:space="0" w:color="auto"/>
                <w:right w:val="none" w:sz="0" w:space="0" w:color="auto"/>
              </w:divBdr>
            </w:div>
          </w:divsChild>
        </w:div>
        <w:div w:id="237251446">
          <w:marLeft w:val="0"/>
          <w:marRight w:val="0"/>
          <w:marTop w:val="0"/>
          <w:marBottom w:val="0"/>
          <w:divBdr>
            <w:top w:val="none" w:sz="0" w:space="0" w:color="auto"/>
            <w:left w:val="none" w:sz="0" w:space="0" w:color="auto"/>
            <w:bottom w:val="none" w:sz="0" w:space="0" w:color="auto"/>
            <w:right w:val="none" w:sz="0" w:space="0" w:color="auto"/>
          </w:divBdr>
        </w:div>
        <w:div w:id="1709333891">
          <w:marLeft w:val="0"/>
          <w:marRight w:val="0"/>
          <w:marTop w:val="0"/>
          <w:marBottom w:val="0"/>
          <w:divBdr>
            <w:top w:val="none" w:sz="0" w:space="0" w:color="auto"/>
            <w:left w:val="none" w:sz="0" w:space="0" w:color="auto"/>
            <w:bottom w:val="none" w:sz="0" w:space="0" w:color="auto"/>
            <w:right w:val="none" w:sz="0" w:space="0" w:color="auto"/>
          </w:divBdr>
        </w:div>
      </w:divsChild>
    </w:div>
    <w:div w:id="284045644">
      <w:bodyDiv w:val="1"/>
      <w:marLeft w:val="0"/>
      <w:marRight w:val="0"/>
      <w:marTop w:val="0"/>
      <w:marBottom w:val="0"/>
      <w:divBdr>
        <w:top w:val="none" w:sz="0" w:space="0" w:color="auto"/>
        <w:left w:val="none" w:sz="0" w:space="0" w:color="auto"/>
        <w:bottom w:val="none" w:sz="0" w:space="0" w:color="auto"/>
        <w:right w:val="none" w:sz="0" w:space="0" w:color="auto"/>
      </w:divBdr>
    </w:div>
    <w:div w:id="285622330">
      <w:bodyDiv w:val="1"/>
      <w:marLeft w:val="0"/>
      <w:marRight w:val="0"/>
      <w:marTop w:val="0"/>
      <w:marBottom w:val="0"/>
      <w:divBdr>
        <w:top w:val="none" w:sz="0" w:space="0" w:color="auto"/>
        <w:left w:val="none" w:sz="0" w:space="0" w:color="auto"/>
        <w:bottom w:val="none" w:sz="0" w:space="0" w:color="auto"/>
        <w:right w:val="none" w:sz="0" w:space="0" w:color="auto"/>
      </w:divBdr>
      <w:divsChild>
        <w:div w:id="1968194648">
          <w:marLeft w:val="0"/>
          <w:marRight w:val="0"/>
          <w:marTop w:val="0"/>
          <w:marBottom w:val="120"/>
          <w:divBdr>
            <w:top w:val="none" w:sz="0" w:space="0" w:color="auto"/>
            <w:left w:val="none" w:sz="0" w:space="0" w:color="auto"/>
            <w:bottom w:val="none" w:sz="0" w:space="0" w:color="auto"/>
            <w:right w:val="none" w:sz="0" w:space="0" w:color="auto"/>
          </w:divBdr>
          <w:divsChild>
            <w:div w:id="568686523">
              <w:marLeft w:val="0"/>
              <w:marRight w:val="0"/>
              <w:marTop w:val="0"/>
              <w:marBottom w:val="0"/>
              <w:divBdr>
                <w:top w:val="none" w:sz="0" w:space="0" w:color="auto"/>
                <w:left w:val="none" w:sz="0" w:space="0" w:color="auto"/>
                <w:bottom w:val="none" w:sz="0" w:space="0" w:color="auto"/>
                <w:right w:val="none" w:sz="0" w:space="0" w:color="auto"/>
              </w:divBdr>
              <w:divsChild>
                <w:div w:id="1088383388">
                  <w:marLeft w:val="0"/>
                  <w:marRight w:val="0"/>
                  <w:marTop w:val="0"/>
                  <w:marBottom w:val="0"/>
                  <w:divBdr>
                    <w:top w:val="none" w:sz="0" w:space="0" w:color="auto"/>
                    <w:left w:val="none" w:sz="0" w:space="0" w:color="auto"/>
                    <w:bottom w:val="none" w:sz="0" w:space="0" w:color="auto"/>
                    <w:right w:val="none" w:sz="0" w:space="0" w:color="auto"/>
                  </w:divBdr>
                  <w:divsChild>
                    <w:div w:id="2136631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1122416">
              <w:marLeft w:val="0"/>
              <w:marRight w:val="0"/>
              <w:marTop w:val="0"/>
              <w:marBottom w:val="0"/>
              <w:divBdr>
                <w:top w:val="none" w:sz="0" w:space="0" w:color="auto"/>
                <w:left w:val="none" w:sz="0" w:space="0" w:color="auto"/>
                <w:bottom w:val="single" w:sz="6" w:space="0" w:color="000000"/>
                <w:right w:val="none" w:sz="0" w:space="0" w:color="auto"/>
              </w:divBdr>
              <w:divsChild>
                <w:div w:id="1357120743">
                  <w:marLeft w:val="0"/>
                  <w:marRight w:val="0"/>
                  <w:marTop w:val="0"/>
                  <w:marBottom w:val="0"/>
                  <w:divBdr>
                    <w:top w:val="none" w:sz="0" w:space="0" w:color="auto"/>
                    <w:left w:val="none" w:sz="0" w:space="0" w:color="auto"/>
                    <w:bottom w:val="none" w:sz="0" w:space="0" w:color="auto"/>
                    <w:right w:val="none" w:sz="0" w:space="0" w:color="auto"/>
                  </w:divBdr>
                  <w:divsChild>
                    <w:div w:id="621545932">
                      <w:marLeft w:val="0"/>
                      <w:marRight w:val="0"/>
                      <w:marTop w:val="0"/>
                      <w:marBottom w:val="0"/>
                      <w:divBdr>
                        <w:top w:val="none" w:sz="0" w:space="0" w:color="auto"/>
                        <w:left w:val="none" w:sz="0" w:space="0" w:color="auto"/>
                        <w:bottom w:val="none" w:sz="0" w:space="0" w:color="auto"/>
                        <w:right w:val="none" w:sz="0" w:space="0" w:color="auto"/>
                      </w:divBdr>
                      <w:divsChild>
                        <w:div w:id="1969437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7056953">
                  <w:marLeft w:val="0"/>
                  <w:marRight w:val="0"/>
                  <w:marTop w:val="0"/>
                  <w:marBottom w:val="0"/>
                  <w:divBdr>
                    <w:top w:val="none" w:sz="0" w:space="0" w:color="auto"/>
                    <w:left w:val="none" w:sz="0" w:space="0" w:color="auto"/>
                    <w:bottom w:val="none" w:sz="0" w:space="0" w:color="auto"/>
                    <w:right w:val="none" w:sz="0" w:space="0" w:color="auto"/>
                  </w:divBdr>
                  <w:divsChild>
                    <w:div w:id="240868949">
                      <w:marLeft w:val="0"/>
                      <w:marRight w:val="0"/>
                      <w:marTop w:val="0"/>
                      <w:marBottom w:val="0"/>
                      <w:divBdr>
                        <w:top w:val="none" w:sz="0" w:space="0" w:color="auto"/>
                        <w:left w:val="none" w:sz="0" w:space="0" w:color="auto"/>
                        <w:bottom w:val="none" w:sz="0" w:space="0" w:color="auto"/>
                        <w:right w:val="none" w:sz="0" w:space="0" w:color="auto"/>
                      </w:divBdr>
                      <w:divsChild>
                        <w:div w:id="625281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62605">
          <w:marLeft w:val="0"/>
          <w:marRight w:val="0"/>
          <w:marTop w:val="0"/>
          <w:marBottom w:val="0"/>
          <w:divBdr>
            <w:top w:val="none" w:sz="0" w:space="0" w:color="auto"/>
            <w:left w:val="none" w:sz="0" w:space="0" w:color="auto"/>
            <w:bottom w:val="none" w:sz="0" w:space="0" w:color="auto"/>
            <w:right w:val="none" w:sz="0" w:space="0" w:color="auto"/>
          </w:divBdr>
        </w:div>
        <w:div w:id="458308171">
          <w:marLeft w:val="0"/>
          <w:marRight w:val="0"/>
          <w:marTop w:val="0"/>
          <w:marBottom w:val="0"/>
          <w:divBdr>
            <w:top w:val="none" w:sz="0" w:space="0" w:color="auto"/>
            <w:left w:val="none" w:sz="0" w:space="0" w:color="auto"/>
            <w:bottom w:val="none" w:sz="0" w:space="0" w:color="auto"/>
            <w:right w:val="none" w:sz="0" w:space="0" w:color="auto"/>
          </w:divBdr>
          <w:divsChild>
            <w:div w:id="1507864127">
              <w:marLeft w:val="0"/>
              <w:marRight w:val="0"/>
              <w:marTop w:val="0"/>
              <w:marBottom w:val="120"/>
              <w:divBdr>
                <w:top w:val="none" w:sz="0" w:space="0" w:color="auto"/>
                <w:left w:val="none" w:sz="0" w:space="0" w:color="auto"/>
                <w:bottom w:val="none" w:sz="0" w:space="0" w:color="auto"/>
                <w:right w:val="none" w:sz="0" w:space="0" w:color="auto"/>
              </w:divBdr>
              <w:divsChild>
                <w:div w:id="821702201">
                  <w:marLeft w:val="0"/>
                  <w:marRight w:val="0"/>
                  <w:marTop w:val="0"/>
                  <w:marBottom w:val="0"/>
                  <w:divBdr>
                    <w:top w:val="none" w:sz="0" w:space="0" w:color="auto"/>
                    <w:left w:val="none" w:sz="0" w:space="0" w:color="auto"/>
                    <w:bottom w:val="none" w:sz="0" w:space="0" w:color="auto"/>
                    <w:right w:val="none" w:sz="0" w:space="0" w:color="auto"/>
                  </w:divBdr>
                </w:div>
                <w:div w:id="1701275080">
                  <w:marLeft w:val="0"/>
                  <w:marRight w:val="0"/>
                  <w:marTop w:val="0"/>
                  <w:marBottom w:val="0"/>
                  <w:divBdr>
                    <w:top w:val="none" w:sz="0" w:space="0" w:color="auto"/>
                    <w:left w:val="none" w:sz="0" w:space="0" w:color="auto"/>
                    <w:bottom w:val="none" w:sz="0" w:space="0" w:color="auto"/>
                    <w:right w:val="none" w:sz="0" w:space="0" w:color="auto"/>
                  </w:divBdr>
                </w:div>
                <w:div w:id="1298605226">
                  <w:marLeft w:val="0"/>
                  <w:marRight w:val="0"/>
                  <w:marTop w:val="0"/>
                  <w:marBottom w:val="0"/>
                  <w:divBdr>
                    <w:top w:val="none" w:sz="0" w:space="0" w:color="auto"/>
                    <w:left w:val="none" w:sz="0" w:space="0" w:color="auto"/>
                    <w:bottom w:val="none" w:sz="0" w:space="0" w:color="auto"/>
                    <w:right w:val="none" w:sz="0" w:space="0" w:color="auto"/>
                  </w:divBdr>
                </w:div>
                <w:div w:id="558367129">
                  <w:marLeft w:val="0"/>
                  <w:marRight w:val="0"/>
                  <w:marTop w:val="0"/>
                  <w:marBottom w:val="0"/>
                  <w:divBdr>
                    <w:top w:val="none" w:sz="0" w:space="0" w:color="auto"/>
                    <w:left w:val="none" w:sz="0" w:space="0" w:color="auto"/>
                    <w:bottom w:val="none" w:sz="0" w:space="0" w:color="auto"/>
                    <w:right w:val="none" w:sz="0" w:space="0" w:color="auto"/>
                  </w:divBdr>
                </w:div>
              </w:divsChild>
            </w:div>
            <w:div w:id="590820546">
              <w:marLeft w:val="0"/>
              <w:marRight w:val="0"/>
              <w:marTop w:val="0"/>
              <w:marBottom w:val="120"/>
              <w:divBdr>
                <w:top w:val="none" w:sz="0" w:space="0" w:color="auto"/>
                <w:left w:val="none" w:sz="0" w:space="0" w:color="auto"/>
                <w:bottom w:val="none" w:sz="0" w:space="0" w:color="auto"/>
                <w:right w:val="none" w:sz="0" w:space="0" w:color="auto"/>
              </w:divBdr>
              <w:divsChild>
                <w:div w:id="1165557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0207023">
          <w:marLeft w:val="0"/>
          <w:marRight w:val="0"/>
          <w:marTop w:val="0"/>
          <w:marBottom w:val="480"/>
          <w:divBdr>
            <w:top w:val="none" w:sz="0" w:space="0" w:color="auto"/>
            <w:left w:val="none" w:sz="0" w:space="0" w:color="auto"/>
            <w:bottom w:val="single" w:sz="12" w:space="24" w:color="EBEBEB"/>
            <w:right w:val="none" w:sz="0" w:space="0" w:color="auto"/>
          </w:divBdr>
          <w:divsChild>
            <w:div w:id="506554491">
              <w:marLeft w:val="0"/>
              <w:marRight w:val="0"/>
              <w:marTop w:val="0"/>
              <w:marBottom w:val="0"/>
              <w:divBdr>
                <w:top w:val="none" w:sz="0" w:space="0" w:color="auto"/>
                <w:left w:val="none" w:sz="0" w:space="0" w:color="auto"/>
                <w:bottom w:val="none" w:sz="0" w:space="0" w:color="auto"/>
                <w:right w:val="none" w:sz="0" w:space="0" w:color="auto"/>
              </w:divBdr>
              <w:divsChild>
                <w:div w:id="1643076528">
                  <w:marLeft w:val="0"/>
                  <w:marRight w:val="0"/>
                  <w:marTop w:val="0"/>
                  <w:marBottom w:val="0"/>
                  <w:divBdr>
                    <w:top w:val="none" w:sz="0" w:space="0" w:color="auto"/>
                    <w:left w:val="none" w:sz="0" w:space="0" w:color="auto"/>
                    <w:bottom w:val="none" w:sz="0" w:space="0" w:color="auto"/>
                    <w:right w:val="none" w:sz="0" w:space="0" w:color="auto"/>
                  </w:divBdr>
                </w:div>
                <w:div w:id="144054166">
                  <w:marLeft w:val="0"/>
                  <w:marRight w:val="0"/>
                  <w:marTop w:val="0"/>
                  <w:marBottom w:val="0"/>
                  <w:divBdr>
                    <w:top w:val="none" w:sz="0" w:space="0" w:color="auto"/>
                    <w:left w:val="none" w:sz="0" w:space="0" w:color="auto"/>
                    <w:bottom w:val="none" w:sz="0" w:space="0" w:color="auto"/>
                    <w:right w:val="none" w:sz="0" w:space="0" w:color="auto"/>
                  </w:divBdr>
                </w:div>
                <w:div w:id="1533223109">
                  <w:marLeft w:val="0"/>
                  <w:marRight w:val="0"/>
                  <w:marTop w:val="0"/>
                  <w:marBottom w:val="0"/>
                  <w:divBdr>
                    <w:top w:val="none" w:sz="0" w:space="0" w:color="auto"/>
                    <w:left w:val="none" w:sz="0" w:space="0" w:color="auto"/>
                    <w:bottom w:val="none" w:sz="0" w:space="0" w:color="auto"/>
                    <w:right w:val="none" w:sz="0" w:space="0" w:color="auto"/>
                  </w:divBdr>
                </w:div>
                <w:div w:id="1248075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5954583">
          <w:marLeft w:val="0"/>
          <w:marRight w:val="0"/>
          <w:marTop w:val="0"/>
          <w:marBottom w:val="0"/>
          <w:divBdr>
            <w:top w:val="none" w:sz="0" w:space="0" w:color="auto"/>
            <w:left w:val="none" w:sz="0" w:space="0" w:color="auto"/>
            <w:bottom w:val="none" w:sz="0" w:space="0" w:color="auto"/>
            <w:right w:val="none" w:sz="0" w:space="0" w:color="auto"/>
          </w:divBdr>
          <w:divsChild>
            <w:div w:id="184179099">
              <w:marLeft w:val="0"/>
              <w:marRight w:val="0"/>
              <w:marTop w:val="0"/>
              <w:marBottom w:val="0"/>
              <w:divBdr>
                <w:top w:val="none" w:sz="0" w:space="0" w:color="auto"/>
                <w:left w:val="none" w:sz="0" w:space="0" w:color="auto"/>
                <w:bottom w:val="none" w:sz="0" w:space="0" w:color="auto"/>
                <w:right w:val="none" w:sz="0" w:space="0" w:color="auto"/>
              </w:divBdr>
              <w:divsChild>
                <w:div w:id="2027438215">
                  <w:marLeft w:val="0"/>
                  <w:marRight w:val="0"/>
                  <w:marTop w:val="0"/>
                  <w:marBottom w:val="0"/>
                  <w:divBdr>
                    <w:top w:val="none" w:sz="0" w:space="0" w:color="auto"/>
                    <w:left w:val="none" w:sz="0" w:space="0" w:color="auto"/>
                    <w:bottom w:val="none" w:sz="0" w:space="0" w:color="auto"/>
                    <w:right w:val="none" w:sz="0" w:space="0" w:color="auto"/>
                  </w:divBdr>
                  <w:divsChild>
                    <w:div w:id="261648325">
                      <w:marLeft w:val="0"/>
                      <w:marRight w:val="0"/>
                      <w:marTop w:val="240"/>
                      <w:marBottom w:val="240"/>
                      <w:divBdr>
                        <w:top w:val="single" w:sz="12" w:space="0" w:color="EBEBEB"/>
                        <w:left w:val="none" w:sz="0" w:space="0" w:color="auto"/>
                        <w:bottom w:val="single" w:sz="12" w:space="0" w:color="EBEBEB"/>
                        <w:right w:val="none" w:sz="0" w:space="0" w:color="auto"/>
                      </w:divBdr>
                      <w:divsChild>
                        <w:div w:id="157604229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747196242">
                  <w:marLeft w:val="0"/>
                  <w:marRight w:val="0"/>
                  <w:marTop w:val="0"/>
                  <w:marBottom w:val="0"/>
                  <w:divBdr>
                    <w:top w:val="none" w:sz="0" w:space="0" w:color="auto"/>
                    <w:left w:val="none" w:sz="0" w:space="0" w:color="auto"/>
                    <w:bottom w:val="none" w:sz="0" w:space="0" w:color="auto"/>
                    <w:right w:val="none" w:sz="0" w:space="0" w:color="auto"/>
                  </w:divBdr>
                  <w:divsChild>
                    <w:div w:id="1483889421">
                      <w:marLeft w:val="0"/>
                      <w:marRight w:val="0"/>
                      <w:marTop w:val="240"/>
                      <w:marBottom w:val="240"/>
                      <w:divBdr>
                        <w:top w:val="single" w:sz="12" w:space="0" w:color="EBEBEB"/>
                        <w:left w:val="none" w:sz="0" w:space="0" w:color="auto"/>
                        <w:bottom w:val="single" w:sz="12" w:space="0" w:color="EBEBEB"/>
                        <w:right w:val="none" w:sz="0" w:space="0" w:color="auto"/>
                      </w:divBdr>
                      <w:divsChild>
                        <w:div w:id="123852096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482088561">
          <w:marLeft w:val="0"/>
          <w:marRight w:val="0"/>
          <w:marTop w:val="0"/>
          <w:marBottom w:val="120"/>
          <w:divBdr>
            <w:top w:val="none" w:sz="0" w:space="0" w:color="auto"/>
            <w:left w:val="none" w:sz="0" w:space="0" w:color="auto"/>
            <w:bottom w:val="none" w:sz="0" w:space="0" w:color="auto"/>
            <w:right w:val="none" w:sz="0" w:space="0" w:color="auto"/>
          </w:divBdr>
          <w:divsChild>
            <w:div w:id="1103962609">
              <w:marLeft w:val="0"/>
              <w:marRight w:val="0"/>
              <w:marTop w:val="0"/>
              <w:marBottom w:val="240"/>
              <w:divBdr>
                <w:top w:val="none" w:sz="0" w:space="0" w:color="auto"/>
                <w:left w:val="none" w:sz="0" w:space="0" w:color="auto"/>
                <w:bottom w:val="none" w:sz="0" w:space="0" w:color="auto"/>
                <w:right w:val="none" w:sz="0" w:space="0" w:color="auto"/>
              </w:divBdr>
              <w:divsChild>
                <w:div w:id="1540818779">
                  <w:marLeft w:val="0"/>
                  <w:marRight w:val="0"/>
                  <w:marTop w:val="0"/>
                  <w:marBottom w:val="0"/>
                  <w:divBdr>
                    <w:top w:val="none" w:sz="0" w:space="0" w:color="auto"/>
                    <w:left w:val="none" w:sz="0" w:space="0" w:color="auto"/>
                    <w:bottom w:val="none" w:sz="0" w:space="0" w:color="auto"/>
                    <w:right w:val="none" w:sz="0" w:space="0" w:color="auto"/>
                  </w:divBdr>
                  <w:divsChild>
                    <w:div w:id="104231803">
                      <w:marLeft w:val="480"/>
                      <w:marRight w:val="0"/>
                      <w:marTop w:val="0"/>
                      <w:marBottom w:val="0"/>
                      <w:divBdr>
                        <w:top w:val="none" w:sz="0" w:space="0" w:color="auto"/>
                        <w:left w:val="none" w:sz="0" w:space="0" w:color="auto"/>
                        <w:bottom w:val="none" w:sz="0" w:space="0" w:color="auto"/>
                        <w:right w:val="none" w:sz="0" w:space="0" w:color="auto"/>
                      </w:divBdr>
                      <w:divsChild>
                        <w:div w:id="137847710">
                          <w:marLeft w:val="0"/>
                          <w:marRight w:val="0"/>
                          <w:marTop w:val="0"/>
                          <w:marBottom w:val="0"/>
                          <w:divBdr>
                            <w:top w:val="none" w:sz="0" w:space="0" w:color="auto"/>
                            <w:left w:val="none" w:sz="0" w:space="0" w:color="auto"/>
                            <w:bottom w:val="none" w:sz="0" w:space="0" w:color="auto"/>
                            <w:right w:val="none" w:sz="0" w:space="0" w:color="auto"/>
                          </w:divBdr>
                        </w:div>
                        <w:div w:id="1239635987">
                          <w:marLeft w:val="0"/>
                          <w:marRight w:val="0"/>
                          <w:marTop w:val="0"/>
                          <w:marBottom w:val="0"/>
                          <w:divBdr>
                            <w:top w:val="none" w:sz="0" w:space="0" w:color="auto"/>
                            <w:left w:val="none" w:sz="0" w:space="0" w:color="auto"/>
                            <w:bottom w:val="none" w:sz="0" w:space="0" w:color="auto"/>
                            <w:right w:val="none" w:sz="0" w:space="0" w:color="auto"/>
                          </w:divBdr>
                          <w:divsChild>
                            <w:div w:id="866648499">
                              <w:marLeft w:val="0"/>
                              <w:marRight w:val="0"/>
                              <w:marTop w:val="0"/>
                              <w:marBottom w:val="0"/>
                              <w:divBdr>
                                <w:top w:val="none" w:sz="0" w:space="0" w:color="auto"/>
                                <w:left w:val="none" w:sz="0" w:space="0" w:color="auto"/>
                                <w:bottom w:val="none" w:sz="0" w:space="0" w:color="auto"/>
                                <w:right w:val="none" w:sz="0" w:space="0" w:color="auto"/>
                              </w:divBdr>
                              <w:divsChild>
                                <w:div w:id="1347633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5395355">
                          <w:marLeft w:val="0"/>
                          <w:marRight w:val="0"/>
                          <w:marTop w:val="0"/>
                          <w:marBottom w:val="0"/>
                          <w:divBdr>
                            <w:top w:val="none" w:sz="0" w:space="0" w:color="auto"/>
                            <w:left w:val="none" w:sz="0" w:space="0" w:color="auto"/>
                            <w:bottom w:val="none" w:sz="0" w:space="0" w:color="auto"/>
                            <w:right w:val="none" w:sz="0" w:space="0" w:color="auto"/>
                          </w:divBdr>
                          <w:divsChild>
                            <w:div w:id="872574766">
                              <w:marLeft w:val="0"/>
                              <w:marRight w:val="0"/>
                              <w:marTop w:val="0"/>
                              <w:marBottom w:val="0"/>
                              <w:divBdr>
                                <w:top w:val="none" w:sz="0" w:space="0" w:color="auto"/>
                                <w:left w:val="none" w:sz="0" w:space="0" w:color="auto"/>
                                <w:bottom w:val="none" w:sz="0" w:space="0" w:color="auto"/>
                                <w:right w:val="none" w:sz="0" w:space="0" w:color="auto"/>
                              </w:divBdr>
                              <w:divsChild>
                                <w:div w:id="1792938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1791952">
                          <w:marLeft w:val="0"/>
                          <w:marRight w:val="0"/>
                          <w:marTop w:val="0"/>
                          <w:marBottom w:val="0"/>
                          <w:divBdr>
                            <w:top w:val="none" w:sz="0" w:space="0" w:color="auto"/>
                            <w:left w:val="none" w:sz="0" w:space="0" w:color="auto"/>
                            <w:bottom w:val="none" w:sz="0" w:space="0" w:color="auto"/>
                            <w:right w:val="none" w:sz="0" w:space="0" w:color="auto"/>
                          </w:divBdr>
                          <w:divsChild>
                            <w:div w:id="878083368">
                              <w:marLeft w:val="0"/>
                              <w:marRight w:val="0"/>
                              <w:marTop w:val="0"/>
                              <w:marBottom w:val="0"/>
                              <w:divBdr>
                                <w:top w:val="none" w:sz="0" w:space="0" w:color="auto"/>
                                <w:left w:val="none" w:sz="0" w:space="0" w:color="auto"/>
                                <w:bottom w:val="none" w:sz="0" w:space="0" w:color="auto"/>
                                <w:right w:val="none" w:sz="0" w:space="0" w:color="auto"/>
                              </w:divBdr>
                            </w:div>
                            <w:div w:id="426082174">
                              <w:marLeft w:val="0"/>
                              <w:marRight w:val="0"/>
                              <w:marTop w:val="0"/>
                              <w:marBottom w:val="240"/>
                              <w:divBdr>
                                <w:top w:val="none" w:sz="0" w:space="0" w:color="auto"/>
                                <w:left w:val="none" w:sz="0" w:space="0" w:color="auto"/>
                                <w:bottom w:val="none" w:sz="0" w:space="0" w:color="auto"/>
                                <w:right w:val="none" w:sz="0" w:space="0" w:color="auto"/>
                              </w:divBdr>
                            </w:div>
                            <w:div w:id="959871394">
                              <w:marLeft w:val="0"/>
                              <w:marRight w:val="0"/>
                              <w:marTop w:val="0"/>
                              <w:marBottom w:val="240"/>
                              <w:divBdr>
                                <w:top w:val="none" w:sz="0" w:space="0" w:color="auto"/>
                                <w:left w:val="none" w:sz="0" w:space="0" w:color="auto"/>
                                <w:bottom w:val="none" w:sz="0" w:space="0" w:color="auto"/>
                                <w:right w:val="none" w:sz="0" w:space="0" w:color="auto"/>
                              </w:divBdr>
                            </w:div>
                            <w:div w:id="1578050687">
                              <w:marLeft w:val="0"/>
                              <w:marRight w:val="0"/>
                              <w:marTop w:val="0"/>
                              <w:marBottom w:val="240"/>
                              <w:divBdr>
                                <w:top w:val="none" w:sz="0" w:space="0" w:color="auto"/>
                                <w:left w:val="none" w:sz="0" w:space="0" w:color="auto"/>
                                <w:bottom w:val="none" w:sz="0" w:space="0" w:color="auto"/>
                                <w:right w:val="none" w:sz="0" w:space="0" w:color="auto"/>
                              </w:divBdr>
                            </w:div>
                            <w:div w:id="987326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80973140">
          <w:marLeft w:val="0"/>
          <w:marRight w:val="0"/>
          <w:marTop w:val="0"/>
          <w:marBottom w:val="0"/>
          <w:divBdr>
            <w:top w:val="none" w:sz="0" w:space="0" w:color="auto"/>
            <w:left w:val="none" w:sz="0" w:space="0" w:color="auto"/>
            <w:bottom w:val="none" w:sz="0" w:space="0" w:color="auto"/>
            <w:right w:val="none" w:sz="0" w:space="0" w:color="auto"/>
          </w:divBdr>
          <w:divsChild>
            <w:div w:id="197162771">
              <w:marLeft w:val="0"/>
              <w:marRight w:val="0"/>
              <w:marTop w:val="0"/>
              <w:marBottom w:val="0"/>
              <w:divBdr>
                <w:top w:val="none" w:sz="0" w:space="0" w:color="auto"/>
                <w:left w:val="none" w:sz="0" w:space="0" w:color="auto"/>
                <w:bottom w:val="none" w:sz="0" w:space="0" w:color="auto"/>
                <w:right w:val="none" w:sz="0" w:space="0" w:color="auto"/>
              </w:divBdr>
            </w:div>
          </w:divsChild>
        </w:div>
        <w:div w:id="304437641">
          <w:marLeft w:val="0"/>
          <w:marRight w:val="0"/>
          <w:marTop w:val="0"/>
          <w:marBottom w:val="0"/>
          <w:divBdr>
            <w:top w:val="none" w:sz="0" w:space="0" w:color="auto"/>
            <w:left w:val="none" w:sz="0" w:space="0" w:color="auto"/>
            <w:bottom w:val="none" w:sz="0" w:space="0" w:color="auto"/>
            <w:right w:val="none" w:sz="0" w:space="0" w:color="auto"/>
          </w:divBdr>
        </w:div>
        <w:div w:id="2078161596">
          <w:marLeft w:val="0"/>
          <w:marRight w:val="0"/>
          <w:marTop w:val="0"/>
          <w:marBottom w:val="0"/>
          <w:divBdr>
            <w:top w:val="none" w:sz="0" w:space="0" w:color="auto"/>
            <w:left w:val="none" w:sz="0" w:space="0" w:color="auto"/>
            <w:bottom w:val="none" w:sz="0" w:space="0" w:color="auto"/>
            <w:right w:val="none" w:sz="0" w:space="0" w:color="auto"/>
          </w:divBdr>
        </w:div>
        <w:div w:id="884294972">
          <w:marLeft w:val="0"/>
          <w:marRight w:val="0"/>
          <w:marTop w:val="0"/>
          <w:marBottom w:val="0"/>
          <w:divBdr>
            <w:top w:val="none" w:sz="0" w:space="0" w:color="auto"/>
            <w:left w:val="none" w:sz="0" w:space="0" w:color="auto"/>
            <w:bottom w:val="none" w:sz="0" w:space="0" w:color="auto"/>
            <w:right w:val="none" w:sz="0" w:space="0" w:color="auto"/>
          </w:divBdr>
          <w:divsChild>
            <w:div w:id="1418866039">
              <w:marLeft w:val="0"/>
              <w:marRight w:val="0"/>
              <w:marTop w:val="0"/>
              <w:marBottom w:val="0"/>
              <w:divBdr>
                <w:top w:val="none" w:sz="0" w:space="0" w:color="auto"/>
                <w:left w:val="none" w:sz="0" w:space="0" w:color="auto"/>
                <w:bottom w:val="none" w:sz="0" w:space="0" w:color="auto"/>
                <w:right w:val="none" w:sz="0" w:space="0" w:color="auto"/>
              </w:divBdr>
            </w:div>
          </w:divsChild>
        </w:div>
        <w:div w:id="992412542">
          <w:marLeft w:val="0"/>
          <w:marRight w:val="0"/>
          <w:marTop w:val="0"/>
          <w:marBottom w:val="0"/>
          <w:divBdr>
            <w:top w:val="none" w:sz="0" w:space="0" w:color="auto"/>
            <w:left w:val="none" w:sz="0" w:space="0" w:color="auto"/>
            <w:bottom w:val="none" w:sz="0" w:space="0" w:color="auto"/>
            <w:right w:val="none" w:sz="0" w:space="0" w:color="auto"/>
          </w:divBdr>
        </w:div>
        <w:div w:id="2130319123">
          <w:marLeft w:val="0"/>
          <w:marRight w:val="0"/>
          <w:marTop w:val="0"/>
          <w:marBottom w:val="0"/>
          <w:divBdr>
            <w:top w:val="none" w:sz="0" w:space="0" w:color="auto"/>
            <w:left w:val="none" w:sz="0" w:space="0" w:color="auto"/>
            <w:bottom w:val="none" w:sz="0" w:space="0" w:color="auto"/>
            <w:right w:val="none" w:sz="0" w:space="0" w:color="auto"/>
          </w:divBdr>
        </w:div>
        <w:div w:id="323096497">
          <w:marLeft w:val="0"/>
          <w:marRight w:val="0"/>
          <w:marTop w:val="0"/>
          <w:marBottom w:val="0"/>
          <w:divBdr>
            <w:top w:val="none" w:sz="0" w:space="0" w:color="auto"/>
            <w:left w:val="none" w:sz="0" w:space="0" w:color="auto"/>
            <w:bottom w:val="none" w:sz="0" w:space="0" w:color="auto"/>
            <w:right w:val="none" w:sz="0" w:space="0" w:color="auto"/>
          </w:divBdr>
          <w:divsChild>
            <w:div w:id="1103384552">
              <w:marLeft w:val="0"/>
              <w:marRight w:val="0"/>
              <w:marTop w:val="0"/>
              <w:marBottom w:val="0"/>
              <w:divBdr>
                <w:top w:val="none" w:sz="0" w:space="0" w:color="auto"/>
                <w:left w:val="none" w:sz="0" w:space="0" w:color="auto"/>
                <w:bottom w:val="none" w:sz="0" w:space="0" w:color="auto"/>
                <w:right w:val="none" w:sz="0" w:space="0" w:color="auto"/>
              </w:divBdr>
            </w:div>
          </w:divsChild>
        </w:div>
        <w:div w:id="2120446191">
          <w:marLeft w:val="0"/>
          <w:marRight w:val="0"/>
          <w:marTop w:val="0"/>
          <w:marBottom w:val="0"/>
          <w:divBdr>
            <w:top w:val="none" w:sz="0" w:space="0" w:color="auto"/>
            <w:left w:val="none" w:sz="0" w:space="0" w:color="auto"/>
            <w:bottom w:val="none" w:sz="0" w:space="0" w:color="auto"/>
            <w:right w:val="none" w:sz="0" w:space="0" w:color="auto"/>
          </w:divBdr>
        </w:div>
        <w:div w:id="968782288">
          <w:marLeft w:val="0"/>
          <w:marRight w:val="0"/>
          <w:marTop w:val="0"/>
          <w:marBottom w:val="0"/>
          <w:divBdr>
            <w:top w:val="none" w:sz="0" w:space="0" w:color="auto"/>
            <w:left w:val="none" w:sz="0" w:space="0" w:color="auto"/>
            <w:bottom w:val="none" w:sz="0" w:space="0" w:color="auto"/>
            <w:right w:val="none" w:sz="0" w:space="0" w:color="auto"/>
          </w:divBdr>
        </w:div>
        <w:div w:id="1532181800">
          <w:marLeft w:val="0"/>
          <w:marRight w:val="0"/>
          <w:marTop w:val="0"/>
          <w:marBottom w:val="0"/>
          <w:divBdr>
            <w:top w:val="none" w:sz="0" w:space="0" w:color="auto"/>
            <w:left w:val="none" w:sz="0" w:space="0" w:color="auto"/>
            <w:bottom w:val="none" w:sz="0" w:space="0" w:color="auto"/>
            <w:right w:val="none" w:sz="0" w:space="0" w:color="auto"/>
          </w:divBdr>
          <w:divsChild>
            <w:div w:id="1930502095">
              <w:marLeft w:val="0"/>
              <w:marRight w:val="0"/>
              <w:marTop w:val="0"/>
              <w:marBottom w:val="0"/>
              <w:divBdr>
                <w:top w:val="none" w:sz="0" w:space="0" w:color="auto"/>
                <w:left w:val="none" w:sz="0" w:space="0" w:color="auto"/>
                <w:bottom w:val="none" w:sz="0" w:space="0" w:color="auto"/>
                <w:right w:val="none" w:sz="0" w:space="0" w:color="auto"/>
              </w:divBdr>
            </w:div>
          </w:divsChild>
        </w:div>
        <w:div w:id="849836955">
          <w:marLeft w:val="0"/>
          <w:marRight w:val="0"/>
          <w:marTop w:val="0"/>
          <w:marBottom w:val="0"/>
          <w:divBdr>
            <w:top w:val="none" w:sz="0" w:space="0" w:color="auto"/>
            <w:left w:val="none" w:sz="0" w:space="0" w:color="auto"/>
            <w:bottom w:val="none" w:sz="0" w:space="0" w:color="auto"/>
            <w:right w:val="none" w:sz="0" w:space="0" w:color="auto"/>
          </w:divBdr>
        </w:div>
        <w:div w:id="277302032">
          <w:marLeft w:val="0"/>
          <w:marRight w:val="0"/>
          <w:marTop w:val="0"/>
          <w:marBottom w:val="0"/>
          <w:divBdr>
            <w:top w:val="none" w:sz="0" w:space="0" w:color="auto"/>
            <w:left w:val="none" w:sz="0" w:space="0" w:color="auto"/>
            <w:bottom w:val="none" w:sz="0" w:space="0" w:color="auto"/>
            <w:right w:val="none" w:sz="0" w:space="0" w:color="auto"/>
          </w:divBdr>
        </w:div>
        <w:div w:id="1376738575">
          <w:marLeft w:val="0"/>
          <w:marRight w:val="0"/>
          <w:marTop w:val="0"/>
          <w:marBottom w:val="0"/>
          <w:divBdr>
            <w:top w:val="none" w:sz="0" w:space="0" w:color="auto"/>
            <w:left w:val="none" w:sz="0" w:space="0" w:color="auto"/>
            <w:bottom w:val="none" w:sz="0" w:space="0" w:color="auto"/>
            <w:right w:val="none" w:sz="0" w:space="0" w:color="auto"/>
          </w:divBdr>
        </w:div>
        <w:div w:id="921841382">
          <w:marLeft w:val="0"/>
          <w:marRight w:val="0"/>
          <w:marTop w:val="0"/>
          <w:marBottom w:val="0"/>
          <w:divBdr>
            <w:top w:val="none" w:sz="0" w:space="0" w:color="auto"/>
            <w:left w:val="none" w:sz="0" w:space="0" w:color="auto"/>
            <w:bottom w:val="none" w:sz="0" w:space="0" w:color="auto"/>
            <w:right w:val="none" w:sz="0" w:space="0" w:color="auto"/>
          </w:divBdr>
        </w:div>
        <w:div w:id="956058904">
          <w:marLeft w:val="0"/>
          <w:marRight w:val="0"/>
          <w:marTop w:val="0"/>
          <w:marBottom w:val="0"/>
          <w:divBdr>
            <w:top w:val="none" w:sz="0" w:space="0" w:color="auto"/>
            <w:left w:val="none" w:sz="0" w:space="0" w:color="auto"/>
            <w:bottom w:val="none" w:sz="0" w:space="0" w:color="auto"/>
            <w:right w:val="none" w:sz="0" w:space="0" w:color="auto"/>
          </w:divBdr>
          <w:divsChild>
            <w:div w:id="1370372658">
              <w:marLeft w:val="0"/>
              <w:marRight w:val="0"/>
              <w:marTop w:val="0"/>
              <w:marBottom w:val="0"/>
              <w:divBdr>
                <w:top w:val="none" w:sz="0" w:space="0" w:color="auto"/>
                <w:left w:val="none" w:sz="0" w:space="0" w:color="auto"/>
                <w:bottom w:val="none" w:sz="0" w:space="0" w:color="auto"/>
                <w:right w:val="none" w:sz="0" w:space="0" w:color="auto"/>
              </w:divBdr>
            </w:div>
          </w:divsChild>
        </w:div>
        <w:div w:id="649595494">
          <w:marLeft w:val="0"/>
          <w:marRight w:val="0"/>
          <w:marTop w:val="0"/>
          <w:marBottom w:val="0"/>
          <w:divBdr>
            <w:top w:val="none" w:sz="0" w:space="0" w:color="auto"/>
            <w:left w:val="none" w:sz="0" w:space="0" w:color="auto"/>
            <w:bottom w:val="none" w:sz="0" w:space="0" w:color="auto"/>
            <w:right w:val="none" w:sz="0" w:space="0" w:color="auto"/>
          </w:divBdr>
        </w:div>
        <w:div w:id="2025940442">
          <w:marLeft w:val="0"/>
          <w:marRight w:val="0"/>
          <w:marTop w:val="0"/>
          <w:marBottom w:val="0"/>
          <w:divBdr>
            <w:top w:val="none" w:sz="0" w:space="0" w:color="auto"/>
            <w:left w:val="none" w:sz="0" w:space="0" w:color="auto"/>
            <w:bottom w:val="none" w:sz="0" w:space="0" w:color="auto"/>
            <w:right w:val="none" w:sz="0" w:space="0" w:color="auto"/>
          </w:divBdr>
        </w:div>
        <w:div w:id="514537876">
          <w:marLeft w:val="0"/>
          <w:marRight w:val="0"/>
          <w:marTop w:val="0"/>
          <w:marBottom w:val="0"/>
          <w:divBdr>
            <w:top w:val="none" w:sz="0" w:space="0" w:color="auto"/>
            <w:left w:val="none" w:sz="0" w:space="0" w:color="auto"/>
            <w:bottom w:val="none" w:sz="0" w:space="0" w:color="auto"/>
            <w:right w:val="none" w:sz="0" w:space="0" w:color="auto"/>
          </w:divBdr>
          <w:divsChild>
            <w:div w:id="341902030">
              <w:marLeft w:val="0"/>
              <w:marRight w:val="0"/>
              <w:marTop w:val="0"/>
              <w:marBottom w:val="0"/>
              <w:divBdr>
                <w:top w:val="none" w:sz="0" w:space="0" w:color="auto"/>
                <w:left w:val="none" w:sz="0" w:space="0" w:color="auto"/>
                <w:bottom w:val="none" w:sz="0" w:space="0" w:color="auto"/>
                <w:right w:val="none" w:sz="0" w:space="0" w:color="auto"/>
              </w:divBdr>
            </w:div>
          </w:divsChild>
        </w:div>
        <w:div w:id="202332600">
          <w:marLeft w:val="0"/>
          <w:marRight w:val="0"/>
          <w:marTop w:val="0"/>
          <w:marBottom w:val="0"/>
          <w:divBdr>
            <w:top w:val="none" w:sz="0" w:space="0" w:color="auto"/>
            <w:left w:val="none" w:sz="0" w:space="0" w:color="auto"/>
            <w:bottom w:val="none" w:sz="0" w:space="0" w:color="auto"/>
            <w:right w:val="none" w:sz="0" w:space="0" w:color="auto"/>
          </w:divBdr>
        </w:div>
        <w:div w:id="482547681">
          <w:marLeft w:val="0"/>
          <w:marRight w:val="0"/>
          <w:marTop w:val="0"/>
          <w:marBottom w:val="0"/>
          <w:divBdr>
            <w:top w:val="none" w:sz="0" w:space="0" w:color="auto"/>
            <w:left w:val="none" w:sz="0" w:space="0" w:color="auto"/>
            <w:bottom w:val="none" w:sz="0" w:space="0" w:color="auto"/>
            <w:right w:val="none" w:sz="0" w:space="0" w:color="auto"/>
          </w:divBdr>
        </w:div>
        <w:div w:id="16273614">
          <w:marLeft w:val="0"/>
          <w:marRight w:val="0"/>
          <w:marTop w:val="0"/>
          <w:marBottom w:val="0"/>
          <w:divBdr>
            <w:top w:val="none" w:sz="0" w:space="0" w:color="auto"/>
            <w:left w:val="none" w:sz="0" w:space="0" w:color="auto"/>
            <w:bottom w:val="none" w:sz="0" w:space="0" w:color="auto"/>
            <w:right w:val="none" w:sz="0" w:space="0" w:color="auto"/>
          </w:divBdr>
          <w:divsChild>
            <w:div w:id="361250487">
              <w:marLeft w:val="0"/>
              <w:marRight w:val="0"/>
              <w:marTop w:val="0"/>
              <w:marBottom w:val="0"/>
              <w:divBdr>
                <w:top w:val="none" w:sz="0" w:space="0" w:color="auto"/>
                <w:left w:val="none" w:sz="0" w:space="0" w:color="auto"/>
                <w:bottom w:val="none" w:sz="0" w:space="0" w:color="auto"/>
                <w:right w:val="none" w:sz="0" w:space="0" w:color="auto"/>
              </w:divBdr>
            </w:div>
          </w:divsChild>
        </w:div>
        <w:div w:id="14120600">
          <w:marLeft w:val="0"/>
          <w:marRight w:val="0"/>
          <w:marTop w:val="0"/>
          <w:marBottom w:val="0"/>
          <w:divBdr>
            <w:top w:val="none" w:sz="0" w:space="0" w:color="auto"/>
            <w:left w:val="none" w:sz="0" w:space="0" w:color="auto"/>
            <w:bottom w:val="none" w:sz="0" w:space="0" w:color="auto"/>
            <w:right w:val="none" w:sz="0" w:space="0" w:color="auto"/>
          </w:divBdr>
        </w:div>
        <w:div w:id="1138376126">
          <w:marLeft w:val="0"/>
          <w:marRight w:val="0"/>
          <w:marTop w:val="0"/>
          <w:marBottom w:val="0"/>
          <w:divBdr>
            <w:top w:val="none" w:sz="0" w:space="0" w:color="auto"/>
            <w:left w:val="none" w:sz="0" w:space="0" w:color="auto"/>
            <w:bottom w:val="none" w:sz="0" w:space="0" w:color="auto"/>
            <w:right w:val="none" w:sz="0" w:space="0" w:color="auto"/>
          </w:divBdr>
        </w:div>
        <w:div w:id="589852503">
          <w:marLeft w:val="0"/>
          <w:marRight w:val="0"/>
          <w:marTop w:val="0"/>
          <w:marBottom w:val="0"/>
          <w:divBdr>
            <w:top w:val="none" w:sz="0" w:space="0" w:color="auto"/>
            <w:left w:val="none" w:sz="0" w:space="0" w:color="auto"/>
            <w:bottom w:val="none" w:sz="0" w:space="0" w:color="auto"/>
            <w:right w:val="none" w:sz="0" w:space="0" w:color="auto"/>
          </w:divBdr>
          <w:divsChild>
            <w:div w:id="1158838621">
              <w:marLeft w:val="0"/>
              <w:marRight w:val="0"/>
              <w:marTop w:val="0"/>
              <w:marBottom w:val="0"/>
              <w:divBdr>
                <w:top w:val="none" w:sz="0" w:space="0" w:color="auto"/>
                <w:left w:val="none" w:sz="0" w:space="0" w:color="auto"/>
                <w:bottom w:val="none" w:sz="0" w:space="0" w:color="auto"/>
                <w:right w:val="none" w:sz="0" w:space="0" w:color="auto"/>
              </w:divBdr>
            </w:div>
          </w:divsChild>
        </w:div>
        <w:div w:id="2106802074">
          <w:marLeft w:val="0"/>
          <w:marRight w:val="0"/>
          <w:marTop w:val="0"/>
          <w:marBottom w:val="0"/>
          <w:divBdr>
            <w:top w:val="none" w:sz="0" w:space="0" w:color="auto"/>
            <w:left w:val="none" w:sz="0" w:space="0" w:color="auto"/>
            <w:bottom w:val="none" w:sz="0" w:space="0" w:color="auto"/>
            <w:right w:val="none" w:sz="0" w:space="0" w:color="auto"/>
          </w:divBdr>
        </w:div>
        <w:div w:id="2133593243">
          <w:marLeft w:val="0"/>
          <w:marRight w:val="0"/>
          <w:marTop w:val="0"/>
          <w:marBottom w:val="0"/>
          <w:divBdr>
            <w:top w:val="none" w:sz="0" w:space="0" w:color="auto"/>
            <w:left w:val="none" w:sz="0" w:space="0" w:color="auto"/>
            <w:bottom w:val="none" w:sz="0" w:space="0" w:color="auto"/>
            <w:right w:val="none" w:sz="0" w:space="0" w:color="auto"/>
          </w:divBdr>
        </w:div>
        <w:div w:id="1794982639">
          <w:marLeft w:val="0"/>
          <w:marRight w:val="0"/>
          <w:marTop w:val="0"/>
          <w:marBottom w:val="0"/>
          <w:divBdr>
            <w:top w:val="none" w:sz="0" w:space="0" w:color="auto"/>
            <w:left w:val="none" w:sz="0" w:space="0" w:color="auto"/>
            <w:bottom w:val="none" w:sz="0" w:space="0" w:color="auto"/>
            <w:right w:val="none" w:sz="0" w:space="0" w:color="auto"/>
          </w:divBdr>
          <w:divsChild>
            <w:div w:id="332032640">
              <w:marLeft w:val="0"/>
              <w:marRight w:val="0"/>
              <w:marTop w:val="0"/>
              <w:marBottom w:val="0"/>
              <w:divBdr>
                <w:top w:val="none" w:sz="0" w:space="0" w:color="auto"/>
                <w:left w:val="none" w:sz="0" w:space="0" w:color="auto"/>
                <w:bottom w:val="none" w:sz="0" w:space="0" w:color="auto"/>
                <w:right w:val="none" w:sz="0" w:space="0" w:color="auto"/>
              </w:divBdr>
            </w:div>
          </w:divsChild>
        </w:div>
        <w:div w:id="1615401781">
          <w:marLeft w:val="0"/>
          <w:marRight w:val="0"/>
          <w:marTop w:val="0"/>
          <w:marBottom w:val="0"/>
          <w:divBdr>
            <w:top w:val="none" w:sz="0" w:space="0" w:color="auto"/>
            <w:left w:val="none" w:sz="0" w:space="0" w:color="auto"/>
            <w:bottom w:val="none" w:sz="0" w:space="0" w:color="auto"/>
            <w:right w:val="none" w:sz="0" w:space="0" w:color="auto"/>
          </w:divBdr>
        </w:div>
        <w:div w:id="1438214845">
          <w:marLeft w:val="0"/>
          <w:marRight w:val="0"/>
          <w:marTop w:val="0"/>
          <w:marBottom w:val="0"/>
          <w:divBdr>
            <w:top w:val="none" w:sz="0" w:space="0" w:color="auto"/>
            <w:left w:val="none" w:sz="0" w:space="0" w:color="auto"/>
            <w:bottom w:val="none" w:sz="0" w:space="0" w:color="auto"/>
            <w:right w:val="none" w:sz="0" w:space="0" w:color="auto"/>
          </w:divBdr>
        </w:div>
        <w:div w:id="659577070">
          <w:marLeft w:val="0"/>
          <w:marRight w:val="0"/>
          <w:marTop w:val="0"/>
          <w:marBottom w:val="0"/>
          <w:divBdr>
            <w:top w:val="none" w:sz="0" w:space="0" w:color="auto"/>
            <w:left w:val="none" w:sz="0" w:space="0" w:color="auto"/>
            <w:bottom w:val="none" w:sz="0" w:space="0" w:color="auto"/>
            <w:right w:val="none" w:sz="0" w:space="0" w:color="auto"/>
          </w:divBdr>
          <w:divsChild>
            <w:div w:id="2143957000">
              <w:marLeft w:val="0"/>
              <w:marRight w:val="0"/>
              <w:marTop w:val="0"/>
              <w:marBottom w:val="0"/>
              <w:divBdr>
                <w:top w:val="none" w:sz="0" w:space="0" w:color="auto"/>
                <w:left w:val="none" w:sz="0" w:space="0" w:color="auto"/>
                <w:bottom w:val="none" w:sz="0" w:space="0" w:color="auto"/>
                <w:right w:val="none" w:sz="0" w:space="0" w:color="auto"/>
              </w:divBdr>
            </w:div>
          </w:divsChild>
        </w:div>
        <w:div w:id="855769851">
          <w:marLeft w:val="0"/>
          <w:marRight w:val="0"/>
          <w:marTop w:val="0"/>
          <w:marBottom w:val="0"/>
          <w:divBdr>
            <w:top w:val="none" w:sz="0" w:space="0" w:color="auto"/>
            <w:left w:val="none" w:sz="0" w:space="0" w:color="auto"/>
            <w:bottom w:val="none" w:sz="0" w:space="0" w:color="auto"/>
            <w:right w:val="none" w:sz="0" w:space="0" w:color="auto"/>
          </w:divBdr>
        </w:div>
        <w:div w:id="1372921227">
          <w:marLeft w:val="0"/>
          <w:marRight w:val="0"/>
          <w:marTop w:val="0"/>
          <w:marBottom w:val="0"/>
          <w:divBdr>
            <w:top w:val="none" w:sz="0" w:space="0" w:color="auto"/>
            <w:left w:val="none" w:sz="0" w:space="0" w:color="auto"/>
            <w:bottom w:val="none" w:sz="0" w:space="0" w:color="auto"/>
            <w:right w:val="none" w:sz="0" w:space="0" w:color="auto"/>
          </w:divBdr>
        </w:div>
        <w:div w:id="1925414018">
          <w:marLeft w:val="0"/>
          <w:marRight w:val="0"/>
          <w:marTop w:val="0"/>
          <w:marBottom w:val="0"/>
          <w:divBdr>
            <w:top w:val="none" w:sz="0" w:space="0" w:color="auto"/>
            <w:left w:val="none" w:sz="0" w:space="0" w:color="auto"/>
            <w:bottom w:val="none" w:sz="0" w:space="0" w:color="auto"/>
            <w:right w:val="none" w:sz="0" w:space="0" w:color="auto"/>
          </w:divBdr>
        </w:div>
        <w:div w:id="812986650">
          <w:marLeft w:val="0"/>
          <w:marRight w:val="0"/>
          <w:marTop w:val="0"/>
          <w:marBottom w:val="0"/>
          <w:divBdr>
            <w:top w:val="none" w:sz="0" w:space="0" w:color="auto"/>
            <w:left w:val="none" w:sz="0" w:space="0" w:color="auto"/>
            <w:bottom w:val="none" w:sz="0" w:space="0" w:color="auto"/>
            <w:right w:val="none" w:sz="0" w:space="0" w:color="auto"/>
          </w:divBdr>
        </w:div>
        <w:div w:id="1576747024">
          <w:marLeft w:val="0"/>
          <w:marRight w:val="0"/>
          <w:marTop w:val="0"/>
          <w:marBottom w:val="0"/>
          <w:divBdr>
            <w:top w:val="none" w:sz="0" w:space="0" w:color="auto"/>
            <w:left w:val="none" w:sz="0" w:space="0" w:color="auto"/>
            <w:bottom w:val="none" w:sz="0" w:space="0" w:color="auto"/>
            <w:right w:val="none" w:sz="0" w:space="0" w:color="auto"/>
          </w:divBdr>
          <w:divsChild>
            <w:div w:id="1249191180">
              <w:marLeft w:val="0"/>
              <w:marRight w:val="0"/>
              <w:marTop w:val="0"/>
              <w:marBottom w:val="0"/>
              <w:divBdr>
                <w:top w:val="none" w:sz="0" w:space="0" w:color="auto"/>
                <w:left w:val="none" w:sz="0" w:space="0" w:color="auto"/>
                <w:bottom w:val="none" w:sz="0" w:space="0" w:color="auto"/>
                <w:right w:val="none" w:sz="0" w:space="0" w:color="auto"/>
              </w:divBdr>
            </w:div>
          </w:divsChild>
        </w:div>
        <w:div w:id="1340350545">
          <w:marLeft w:val="0"/>
          <w:marRight w:val="0"/>
          <w:marTop w:val="0"/>
          <w:marBottom w:val="0"/>
          <w:divBdr>
            <w:top w:val="none" w:sz="0" w:space="0" w:color="auto"/>
            <w:left w:val="none" w:sz="0" w:space="0" w:color="auto"/>
            <w:bottom w:val="none" w:sz="0" w:space="0" w:color="auto"/>
            <w:right w:val="none" w:sz="0" w:space="0" w:color="auto"/>
          </w:divBdr>
        </w:div>
        <w:div w:id="1301576287">
          <w:marLeft w:val="0"/>
          <w:marRight w:val="0"/>
          <w:marTop w:val="0"/>
          <w:marBottom w:val="0"/>
          <w:divBdr>
            <w:top w:val="none" w:sz="0" w:space="0" w:color="auto"/>
            <w:left w:val="none" w:sz="0" w:space="0" w:color="auto"/>
            <w:bottom w:val="none" w:sz="0" w:space="0" w:color="auto"/>
            <w:right w:val="none" w:sz="0" w:space="0" w:color="auto"/>
          </w:divBdr>
        </w:div>
        <w:div w:id="879629010">
          <w:marLeft w:val="0"/>
          <w:marRight w:val="0"/>
          <w:marTop w:val="0"/>
          <w:marBottom w:val="0"/>
          <w:divBdr>
            <w:top w:val="none" w:sz="0" w:space="0" w:color="auto"/>
            <w:left w:val="none" w:sz="0" w:space="0" w:color="auto"/>
            <w:bottom w:val="none" w:sz="0" w:space="0" w:color="auto"/>
            <w:right w:val="none" w:sz="0" w:space="0" w:color="auto"/>
          </w:divBdr>
          <w:divsChild>
            <w:div w:id="761071998">
              <w:marLeft w:val="0"/>
              <w:marRight w:val="0"/>
              <w:marTop w:val="0"/>
              <w:marBottom w:val="0"/>
              <w:divBdr>
                <w:top w:val="none" w:sz="0" w:space="0" w:color="auto"/>
                <w:left w:val="none" w:sz="0" w:space="0" w:color="auto"/>
                <w:bottom w:val="none" w:sz="0" w:space="0" w:color="auto"/>
                <w:right w:val="none" w:sz="0" w:space="0" w:color="auto"/>
              </w:divBdr>
            </w:div>
          </w:divsChild>
        </w:div>
        <w:div w:id="237794144">
          <w:marLeft w:val="0"/>
          <w:marRight w:val="0"/>
          <w:marTop w:val="0"/>
          <w:marBottom w:val="0"/>
          <w:divBdr>
            <w:top w:val="none" w:sz="0" w:space="0" w:color="auto"/>
            <w:left w:val="none" w:sz="0" w:space="0" w:color="auto"/>
            <w:bottom w:val="none" w:sz="0" w:space="0" w:color="auto"/>
            <w:right w:val="none" w:sz="0" w:space="0" w:color="auto"/>
          </w:divBdr>
        </w:div>
        <w:div w:id="1235355403">
          <w:marLeft w:val="0"/>
          <w:marRight w:val="0"/>
          <w:marTop w:val="0"/>
          <w:marBottom w:val="0"/>
          <w:divBdr>
            <w:top w:val="none" w:sz="0" w:space="0" w:color="auto"/>
            <w:left w:val="none" w:sz="0" w:space="0" w:color="auto"/>
            <w:bottom w:val="none" w:sz="0" w:space="0" w:color="auto"/>
            <w:right w:val="none" w:sz="0" w:space="0" w:color="auto"/>
          </w:divBdr>
        </w:div>
        <w:div w:id="928655219">
          <w:marLeft w:val="0"/>
          <w:marRight w:val="0"/>
          <w:marTop w:val="0"/>
          <w:marBottom w:val="0"/>
          <w:divBdr>
            <w:top w:val="none" w:sz="0" w:space="0" w:color="auto"/>
            <w:left w:val="none" w:sz="0" w:space="0" w:color="auto"/>
            <w:bottom w:val="none" w:sz="0" w:space="0" w:color="auto"/>
            <w:right w:val="none" w:sz="0" w:space="0" w:color="auto"/>
          </w:divBdr>
          <w:divsChild>
            <w:div w:id="933515668">
              <w:marLeft w:val="0"/>
              <w:marRight w:val="0"/>
              <w:marTop w:val="0"/>
              <w:marBottom w:val="0"/>
              <w:divBdr>
                <w:top w:val="none" w:sz="0" w:space="0" w:color="auto"/>
                <w:left w:val="none" w:sz="0" w:space="0" w:color="auto"/>
                <w:bottom w:val="none" w:sz="0" w:space="0" w:color="auto"/>
                <w:right w:val="none" w:sz="0" w:space="0" w:color="auto"/>
              </w:divBdr>
            </w:div>
          </w:divsChild>
        </w:div>
        <w:div w:id="2010911357">
          <w:marLeft w:val="0"/>
          <w:marRight w:val="0"/>
          <w:marTop w:val="0"/>
          <w:marBottom w:val="0"/>
          <w:divBdr>
            <w:top w:val="none" w:sz="0" w:space="0" w:color="auto"/>
            <w:left w:val="none" w:sz="0" w:space="0" w:color="auto"/>
            <w:bottom w:val="none" w:sz="0" w:space="0" w:color="auto"/>
            <w:right w:val="none" w:sz="0" w:space="0" w:color="auto"/>
          </w:divBdr>
        </w:div>
        <w:div w:id="1229223206">
          <w:marLeft w:val="0"/>
          <w:marRight w:val="0"/>
          <w:marTop w:val="0"/>
          <w:marBottom w:val="0"/>
          <w:divBdr>
            <w:top w:val="none" w:sz="0" w:space="0" w:color="auto"/>
            <w:left w:val="none" w:sz="0" w:space="0" w:color="auto"/>
            <w:bottom w:val="none" w:sz="0" w:space="0" w:color="auto"/>
            <w:right w:val="none" w:sz="0" w:space="0" w:color="auto"/>
          </w:divBdr>
        </w:div>
        <w:div w:id="1762409637">
          <w:marLeft w:val="0"/>
          <w:marRight w:val="0"/>
          <w:marTop w:val="0"/>
          <w:marBottom w:val="0"/>
          <w:divBdr>
            <w:top w:val="none" w:sz="0" w:space="0" w:color="auto"/>
            <w:left w:val="none" w:sz="0" w:space="0" w:color="auto"/>
            <w:bottom w:val="none" w:sz="0" w:space="0" w:color="auto"/>
            <w:right w:val="none" w:sz="0" w:space="0" w:color="auto"/>
          </w:divBdr>
          <w:divsChild>
            <w:div w:id="1747342928">
              <w:marLeft w:val="0"/>
              <w:marRight w:val="0"/>
              <w:marTop w:val="0"/>
              <w:marBottom w:val="0"/>
              <w:divBdr>
                <w:top w:val="none" w:sz="0" w:space="0" w:color="auto"/>
                <w:left w:val="none" w:sz="0" w:space="0" w:color="auto"/>
                <w:bottom w:val="none" w:sz="0" w:space="0" w:color="auto"/>
                <w:right w:val="none" w:sz="0" w:space="0" w:color="auto"/>
              </w:divBdr>
            </w:div>
          </w:divsChild>
        </w:div>
        <w:div w:id="661928622">
          <w:marLeft w:val="0"/>
          <w:marRight w:val="0"/>
          <w:marTop w:val="0"/>
          <w:marBottom w:val="0"/>
          <w:divBdr>
            <w:top w:val="none" w:sz="0" w:space="0" w:color="auto"/>
            <w:left w:val="none" w:sz="0" w:space="0" w:color="auto"/>
            <w:bottom w:val="none" w:sz="0" w:space="0" w:color="auto"/>
            <w:right w:val="none" w:sz="0" w:space="0" w:color="auto"/>
          </w:divBdr>
        </w:div>
        <w:div w:id="1309631622">
          <w:marLeft w:val="0"/>
          <w:marRight w:val="0"/>
          <w:marTop w:val="0"/>
          <w:marBottom w:val="0"/>
          <w:divBdr>
            <w:top w:val="none" w:sz="0" w:space="0" w:color="auto"/>
            <w:left w:val="none" w:sz="0" w:space="0" w:color="auto"/>
            <w:bottom w:val="none" w:sz="0" w:space="0" w:color="auto"/>
            <w:right w:val="none" w:sz="0" w:space="0" w:color="auto"/>
          </w:divBdr>
        </w:div>
        <w:div w:id="1309289981">
          <w:marLeft w:val="0"/>
          <w:marRight w:val="0"/>
          <w:marTop w:val="0"/>
          <w:marBottom w:val="0"/>
          <w:divBdr>
            <w:top w:val="none" w:sz="0" w:space="0" w:color="auto"/>
            <w:left w:val="none" w:sz="0" w:space="0" w:color="auto"/>
            <w:bottom w:val="none" w:sz="0" w:space="0" w:color="auto"/>
            <w:right w:val="none" w:sz="0" w:space="0" w:color="auto"/>
          </w:divBdr>
          <w:divsChild>
            <w:div w:id="179589878">
              <w:marLeft w:val="0"/>
              <w:marRight w:val="0"/>
              <w:marTop w:val="0"/>
              <w:marBottom w:val="0"/>
              <w:divBdr>
                <w:top w:val="none" w:sz="0" w:space="0" w:color="auto"/>
                <w:left w:val="none" w:sz="0" w:space="0" w:color="auto"/>
                <w:bottom w:val="none" w:sz="0" w:space="0" w:color="auto"/>
                <w:right w:val="none" w:sz="0" w:space="0" w:color="auto"/>
              </w:divBdr>
            </w:div>
          </w:divsChild>
        </w:div>
        <w:div w:id="1347055680">
          <w:marLeft w:val="0"/>
          <w:marRight w:val="0"/>
          <w:marTop w:val="0"/>
          <w:marBottom w:val="0"/>
          <w:divBdr>
            <w:top w:val="none" w:sz="0" w:space="0" w:color="auto"/>
            <w:left w:val="none" w:sz="0" w:space="0" w:color="auto"/>
            <w:bottom w:val="none" w:sz="0" w:space="0" w:color="auto"/>
            <w:right w:val="none" w:sz="0" w:space="0" w:color="auto"/>
          </w:divBdr>
        </w:div>
        <w:div w:id="1576893245">
          <w:marLeft w:val="0"/>
          <w:marRight w:val="0"/>
          <w:marTop w:val="0"/>
          <w:marBottom w:val="0"/>
          <w:divBdr>
            <w:top w:val="none" w:sz="0" w:space="0" w:color="auto"/>
            <w:left w:val="none" w:sz="0" w:space="0" w:color="auto"/>
            <w:bottom w:val="none" w:sz="0" w:space="0" w:color="auto"/>
            <w:right w:val="none" w:sz="0" w:space="0" w:color="auto"/>
          </w:divBdr>
        </w:div>
        <w:div w:id="2003846606">
          <w:marLeft w:val="0"/>
          <w:marRight w:val="0"/>
          <w:marTop w:val="0"/>
          <w:marBottom w:val="0"/>
          <w:divBdr>
            <w:top w:val="none" w:sz="0" w:space="0" w:color="auto"/>
            <w:left w:val="none" w:sz="0" w:space="0" w:color="auto"/>
            <w:bottom w:val="none" w:sz="0" w:space="0" w:color="auto"/>
            <w:right w:val="none" w:sz="0" w:space="0" w:color="auto"/>
          </w:divBdr>
          <w:divsChild>
            <w:div w:id="1977831599">
              <w:marLeft w:val="0"/>
              <w:marRight w:val="0"/>
              <w:marTop w:val="0"/>
              <w:marBottom w:val="0"/>
              <w:divBdr>
                <w:top w:val="none" w:sz="0" w:space="0" w:color="auto"/>
                <w:left w:val="none" w:sz="0" w:space="0" w:color="auto"/>
                <w:bottom w:val="none" w:sz="0" w:space="0" w:color="auto"/>
                <w:right w:val="none" w:sz="0" w:space="0" w:color="auto"/>
              </w:divBdr>
            </w:div>
          </w:divsChild>
        </w:div>
        <w:div w:id="479810017">
          <w:marLeft w:val="0"/>
          <w:marRight w:val="0"/>
          <w:marTop w:val="0"/>
          <w:marBottom w:val="0"/>
          <w:divBdr>
            <w:top w:val="none" w:sz="0" w:space="0" w:color="auto"/>
            <w:left w:val="none" w:sz="0" w:space="0" w:color="auto"/>
            <w:bottom w:val="none" w:sz="0" w:space="0" w:color="auto"/>
            <w:right w:val="none" w:sz="0" w:space="0" w:color="auto"/>
          </w:divBdr>
        </w:div>
        <w:div w:id="1156606925">
          <w:marLeft w:val="0"/>
          <w:marRight w:val="0"/>
          <w:marTop w:val="0"/>
          <w:marBottom w:val="0"/>
          <w:divBdr>
            <w:top w:val="none" w:sz="0" w:space="0" w:color="auto"/>
            <w:left w:val="none" w:sz="0" w:space="0" w:color="auto"/>
            <w:bottom w:val="none" w:sz="0" w:space="0" w:color="auto"/>
            <w:right w:val="none" w:sz="0" w:space="0" w:color="auto"/>
          </w:divBdr>
        </w:div>
        <w:div w:id="434600270">
          <w:marLeft w:val="0"/>
          <w:marRight w:val="0"/>
          <w:marTop w:val="0"/>
          <w:marBottom w:val="0"/>
          <w:divBdr>
            <w:top w:val="none" w:sz="0" w:space="0" w:color="auto"/>
            <w:left w:val="none" w:sz="0" w:space="0" w:color="auto"/>
            <w:bottom w:val="none" w:sz="0" w:space="0" w:color="auto"/>
            <w:right w:val="none" w:sz="0" w:space="0" w:color="auto"/>
          </w:divBdr>
          <w:divsChild>
            <w:div w:id="1047798046">
              <w:marLeft w:val="0"/>
              <w:marRight w:val="0"/>
              <w:marTop w:val="0"/>
              <w:marBottom w:val="0"/>
              <w:divBdr>
                <w:top w:val="none" w:sz="0" w:space="0" w:color="auto"/>
                <w:left w:val="none" w:sz="0" w:space="0" w:color="auto"/>
                <w:bottom w:val="none" w:sz="0" w:space="0" w:color="auto"/>
                <w:right w:val="none" w:sz="0" w:space="0" w:color="auto"/>
              </w:divBdr>
            </w:div>
          </w:divsChild>
        </w:div>
        <w:div w:id="1682314495">
          <w:marLeft w:val="0"/>
          <w:marRight w:val="0"/>
          <w:marTop w:val="0"/>
          <w:marBottom w:val="0"/>
          <w:divBdr>
            <w:top w:val="none" w:sz="0" w:space="0" w:color="auto"/>
            <w:left w:val="none" w:sz="0" w:space="0" w:color="auto"/>
            <w:bottom w:val="none" w:sz="0" w:space="0" w:color="auto"/>
            <w:right w:val="none" w:sz="0" w:space="0" w:color="auto"/>
          </w:divBdr>
        </w:div>
        <w:div w:id="329140642">
          <w:marLeft w:val="0"/>
          <w:marRight w:val="0"/>
          <w:marTop w:val="0"/>
          <w:marBottom w:val="0"/>
          <w:divBdr>
            <w:top w:val="none" w:sz="0" w:space="0" w:color="auto"/>
            <w:left w:val="none" w:sz="0" w:space="0" w:color="auto"/>
            <w:bottom w:val="none" w:sz="0" w:space="0" w:color="auto"/>
            <w:right w:val="none" w:sz="0" w:space="0" w:color="auto"/>
          </w:divBdr>
        </w:div>
        <w:div w:id="1621688371">
          <w:marLeft w:val="0"/>
          <w:marRight w:val="0"/>
          <w:marTop w:val="0"/>
          <w:marBottom w:val="0"/>
          <w:divBdr>
            <w:top w:val="none" w:sz="0" w:space="0" w:color="auto"/>
            <w:left w:val="none" w:sz="0" w:space="0" w:color="auto"/>
            <w:bottom w:val="none" w:sz="0" w:space="0" w:color="auto"/>
            <w:right w:val="none" w:sz="0" w:space="0" w:color="auto"/>
          </w:divBdr>
        </w:div>
        <w:div w:id="995768483">
          <w:marLeft w:val="0"/>
          <w:marRight w:val="0"/>
          <w:marTop w:val="0"/>
          <w:marBottom w:val="0"/>
          <w:divBdr>
            <w:top w:val="none" w:sz="0" w:space="0" w:color="auto"/>
            <w:left w:val="none" w:sz="0" w:space="0" w:color="auto"/>
            <w:bottom w:val="none" w:sz="0" w:space="0" w:color="auto"/>
            <w:right w:val="none" w:sz="0" w:space="0" w:color="auto"/>
          </w:divBdr>
        </w:div>
        <w:div w:id="687145325">
          <w:marLeft w:val="0"/>
          <w:marRight w:val="0"/>
          <w:marTop w:val="0"/>
          <w:marBottom w:val="0"/>
          <w:divBdr>
            <w:top w:val="none" w:sz="0" w:space="0" w:color="auto"/>
            <w:left w:val="none" w:sz="0" w:space="0" w:color="auto"/>
            <w:bottom w:val="none" w:sz="0" w:space="0" w:color="auto"/>
            <w:right w:val="none" w:sz="0" w:space="0" w:color="auto"/>
          </w:divBdr>
          <w:divsChild>
            <w:div w:id="1628006859">
              <w:marLeft w:val="0"/>
              <w:marRight w:val="0"/>
              <w:marTop w:val="0"/>
              <w:marBottom w:val="0"/>
              <w:divBdr>
                <w:top w:val="none" w:sz="0" w:space="0" w:color="auto"/>
                <w:left w:val="none" w:sz="0" w:space="0" w:color="auto"/>
                <w:bottom w:val="none" w:sz="0" w:space="0" w:color="auto"/>
                <w:right w:val="none" w:sz="0" w:space="0" w:color="auto"/>
              </w:divBdr>
            </w:div>
          </w:divsChild>
        </w:div>
        <w:div w:id="829760347">
          <w:marLeft w:val="0"/>
          <w:marRight w:val="0"/>
          <w:marTop w:val="0"/>
          <w:marBottom w:val="0"/>
          <w:divBdr>
            <w:top w:val="none" w:sz="0" w:space="0" w:color="auto"/>
            <w:left w:val="none" w:sz="0" w:space="0" w:color="auto"/>
            <w:bottom w:val="none" w:sz="0" w:space="0" w:color="auto"/>
            <w:right w:val="none" w:sz="0" w:space="0" w:color="auto"/>
          </w:divBdr>
        </w:div>
        <w:div w:id="2100172742">
          <w:marLeft w:val="0"/>
          <w:marRight w:val="0"/>
          <w:marTop w:val="0"/>
          <w:marBottom w:val="0"/>
          <w:divBdr>
            <w:top w:val="none" w:sz="0" w:space="0" w:color="auto"/>
            <w:left w:val="none" w:sz="0" w:space="0" w:color="auto"/>
            <w:bottom w:val="none" w:sz="0" w:space="0" w:color="auto"/>
            <w:right w:val="none" w:sz="0" w:space="0" w:color="auto"/>
          </w:divBdr>
        </w:div>
        <w:div w:id="1879467967">
          <w:marLeft w:val="0"/>
          <w:marRight w:val="0"/>
          <w:marTop w:val="0"/>
          <w:marBottom w:val="0"/>
          <w:divBdr>
            <w:top w:val="none" w:sz="0" w:space="0" w:color="auto"/>
            <w:left w:val="none" w:sz="0" w:space="0" w:color="auto"/>
            <w:bottom w:val="none" w:sz="0" w:space="0" w:color="auto"/>
            <w:right w:val="none" w:sz="0" w:space="0" w:color="auto"/>
          </w:divBdr>
          <w:divsChild>
            <w:div w:id="588732528">
              <w:marLeft w:val="0"/>
              <w:marRight w:val="0"/>
              <w:marTop w:val="0"/>
              <w:marBottom w:val="0"/>
              <w:divBdr>
                <w:top w:val="none" w:sz="0" w:space="0" w:color="auto"/>
                <w:left w:val="none" w:sz="0" w:space="0" w:color="auto"/>
                <w:bottom w:val="none" w:sz="0" w:space="0" w:color="auto"/>
                <w:right w:val="none" w:sz="0" w:space="0" w:color="auto"/>
              </w:divBdr>
            </w:div>
          </w:divsChild>
        </w:div>
        <w:div w:id="510023206">
          <w:marLeft w:val="0"/>
          <w:marRight w:val="0"/>
          <w:marTop w:val="0"/>
          <w:marBottom w:val="0"/>
          <w:divBdr>
            <w:top w:val="none" w:sz="0" w:space="0" w:color="auto"/>
            <w:left w:val="none" w:sz="0" w:space="0" w:color="auto"/>
            <w:bottom w:val="none" w:sz="0" w:space="0" w:color="auto"/>
            <w:right w:val="none" w:sz="0" w:space="0" w:color="auto"/>
          </w:divBdr>
        </w:div>
        <w:div w:id="62802511">
          <w:marLeft w:val="0"/>
          <w:marRight w:val="0"/>
          <w:marTop w:val="0"/>
          <w:marBottom w:val="0"/>
          <w:divBdr>
            <w:top w:val="none" w:sz="0" w:space="0" w:color="auto"/>
            <w:left w:val="none" w:sz="0" w:space="0" w:color="auto"/>
            <w:bottom w:val="none" w:sz="0" w:space="0" w:color="auto"/>
            <w:right w:val="none" w:sz="0" w:space="0" w:color="auto"/>
          </w:divBdr>
        </w:div>
        <w:div w:id="1017199017">
          <w:marLeft w:val="0"/>
          <w:marRight w:val="0"/>
          <w:marTop w:val="0"/>
          <w:marBottom w:val="0"/>
          <w:divBdr>
            <w:top w:val="none" w:sz="0" w:space="0" w:color="auto"/>
            <w:left w:val="none" w:sz="0" w:space="0" w:color="auto"/>
            <w:bottom w:val="none" w:sz="0" w:space="0" w:color="auto"/>
            <w:right w:val="none" w:sz="0" w:space="0" w:color="auto"/>
          </w:divBdr>
          <w:divsChild>
            <w:div w:id="1723601349">
              <w:marLeft w:val="0"/>
              <w:marRight w:val="0"/>
              <w:marTop w:val="0"/>
              <w:marBottom w:val="0"/>
              <w:divBdr>
                <w:top w:val="none" w:sz="0" w:space="0" w:color="auto"/>
                <w:left w:val="none" w:sz="0" w:space="0" w:color="auto"/>
                <w:bottom w:val="none" w:sz="0" w:space="0" w:color="auto"/>
                <w:right w:val="none" w:sz="0" w:space="0" w:color="auto"/>
              </w:divBdr>
            </w:div>
          </w:divsChild>
        </w:div>
        <w:div w:id="248123439">
          <w:marLeft w:val="0"/>
          <w:marRight w:val="0"/>
          <w:marTop w:val="0"/>
          <w:marBottom w:val="0"/>
          <w:divBdr>
            <w:top w:val="none" w:sz="0" w:space="0" w:color="auto"/>
            <w:left w:val="none" w:sz="0" w:space="0" w:color="auto"/>
            <w:bottom w:val="none" w:sz="0" w:space="0" w:color="auto"/>
            <w:right w:val="none" w:sz="0" w:space="0" w:color="auto"/>
          </w:divBdr>
        </w:div>
        <w:div w:id="1993092983">
          <w:marLeft w:val="0"/>
          <w:marRight w:val="0"/>
          <w:marTop w:val="0"/>
          <w:marBottom w:val="0"/>
          <w:divBdr>
            <w:top w:val="none" w:sz="0" w:space="0" w:color="auto"/>
            <w:left w:val="none" w:sz="0" w:space="0" w:color="auto"/>
            <w:bottom w:val="none" w:sz="0" w:space="0" w:color="auto"/>
            <w:right w:val="none" w:sz="0" w:space="0" w:color="auto"/>
          </w:divBdr>
        </w:div>
      </w:divsChild>
    </w:div>
    <w:div w:id="294413257">
      <w:bodyDiv w:val="1"/>
      <w:marLeft w:val="0"/>
      <w:marRight w:val="0"/>
      <w:marTop w:val="0"/>
      <w:marBottom w:val="0"/>
      <w:divBdr>
        <w:top w:val="none" w:sz="0" w:space="0" w:color="auto"/>
        <w:left w:val="none" w:sz="0" w:space="0" w:color="auto"/>
        <w:bottom w:val="none" w:sz="0" w:space="0" w:color="auto"/>
        <w:right w:val="none" w:sz="0" w:space="0" w:color="auto"/>
      </w:divBdr>
      <w:divsChild>
        <w:div w:id="2111851702">
          <w:marLeft w:val="0"/>
          <w:marRight w:val="0"/>
          <w:marTop w:val="0"/>
          <w:marBottom w:val="0"/>
          <w:divBdr>
            <w:top w:val="none" w:sz="0" w:space="0" w:color="auto"/>
            <w:left w:val="none" w:sz="0" w:space="0" w:color="auto"/>
            <w:bottom w:val="none" w:sz="0" w:space="0" w:color="auto"/>
            <w:right w:val="none" w:sz="0" w:space="0" w:color="auto"/>
          </w:divBdr>
        </w:div>
        <w:div w:id="1994597435">
          <w:marLeft w:val="0"/>
          <w:marRight w:val="0"/>
          <w:marTop w:val="0"/>
          <w:marBottom w:val="0"/>
          <w:divBdr>
            <w:top w:val="none" w:sz="0" w:space="0" w:color="auto"/>
            <w:left w:val="none" w:sz="0" w:space="0" w:color="auto"/>
            <w:bottom w:val="none" w:sz="0" w:space="0" w:color="auto"/>
            <w:right w:val="none" w:sz="0" w:space="0" w:color="auto"/>
          </w:divBdr>
        </w:div>
        <w:div w:id="283538204">
          <w:marLeft w:val="30"/>
          <w:marRight w:val="0"/>
          <w:marTop w:val="240"/>
          <w:marBottom w:val="0"/>
          <w:divBdr>
            <w:top w:val="none" w:sz="0" w:space="0" w:color="auto"/>
            <w:left w:val="none" w:sz="0" w:space="0" w:color="auto"/>
            <w:bottom w:val="none" w:sz="0" w:space="0" w:color="auto"/>
            <w:right w:val="none" w:sz="0" w:space="0" w:color="auto"/>
          </w:divBdr>
        </w:div>
        <w:div w:id="261033859">
          <w:marLeft w:val="0"/>
          <w:marRight w:val="0"/>
          <w:marTop w:val="0"/>
          <w:marBottom w:val="0"/>
          <w:divBdr>
            <w:top w:val="none" w:sz="0" w:space="0" w:color="auto"/>
            <w:left w:val="none" w:sz="0" w:space="0" w:color="auto"/>
            <w:bottom w:val="none" w:sz="0" w:space="0" w:color="auto"/>
            <w:right w:val="none" w:sz="0" w:space="0" w:color="auto"/>
          </w:divBdr>
          <w:divsChild>
            <w:div w:id="897088159">
              <w:marLeft w:val="0"/>
              <w:marRight w:val="0"/>
              <w:marTop w:val="0"/>
              <w:marBottom w:val="0"/>
              <w:divBdr>
                <w:top w:val="none" w:sz="0" w:space="0" w:color="auto"/>
                <w:left w:val="none" w:sz="0" w:space="0" w:color="auto"/>
                <w:bottom w:val="none" w:sz="0" w:space="0" w:color="auto"/>
                <w:right w:val="none" w:sz="0" w:space="0" w:color="auto"/>
              </w:divBdr>
            </w:div>
            <w:div w:id="1308319637">
              <w:marLeft w:val="0"/>
              <w:marRight w:val="0"/>
              <w:marTop w:val="0"/>
              <w:marBottom w:val="0"/>
              <w:divBdr>
                <w:top w:val="none" w:sz="0" w:space="0" w:color="auto"/>
                <w:left w:val="none" w:sz="0" w:space="0" w:color="auto"/>
                <w:bottom w:val="none" w:sz="0" w:space="0" w:color="auto"/>
                <w:right w:val="none" w:sz="0" w:space="0" w:color="auto"/>
              </w:divBdr>
            </w:div>
            <w:div w:id="136530196">
              <w:marLeft w:val="0"/>
              <w:marRight w:val="0"/>
              <w:marTop w:val="0"/>
              <w:marBottom w:val="0"/>
              <w:divBdr>
                <w:top w:val="none" w:sz="0" w:space="0" w:color="auto"/>
                <w:left w:val="none" w:sz="0" w:space="0" w:color="auto"/>
                <w:bottom w:val="none" w:sz="0" w:space="0" w:color="auto"/>
                <w:right w:val="none" w:sz="0" w:space="0" w:color="auto"/>
              </w:divBdr>
            </w:div>
          </w:divsChild>
        </w:div>
        <w:div w:id="1704205444">
          <w:marLeft w:val="0"/>
          <w:marRight w:val="0"/>
          <w:marTop w:val="0"/>
          <w:marBottom w:val="0"/>
          <w:divBdr>
            <w:top w:val="none" w:sz="0" w:space="0" w:color="auto"/>
            <w:left w:val="none" w:sz="0" w:space="0" w:color="auto"/>
            <w:bottom w:val="none" w:sz="0" w:space="0" w:color="auto"/>
            <w:right w:val="none" w:sz="0" w:space="0" w:color="auto"/>
          </w:divBdr>
          <w:divsChild>
            <w:div w:id="203493884">
              <w:marLeft w:val="0"/>
              <w:marRight w:val="0"/>
              <w:marTop w:val="0"/>
              <w:marBottom w:val="0"/>
              <w:divBdr>
                <w:top w:val="none" w:sz="0" w:space="0" w:color="auto"/>
                <w:left w:val="none" w:sz="0" w:space="0" w:color="auto"/>
                <w:bottom w:val="none" w:sz="0" w:space="0" w:color="auto"/>
                <w:right w:val="none" w:sz="0" w:space="0" w:color="auto"/>
              </w:divBdr>
            </w:div>
            <w:div w:id="125586180">
              <w:marLeft w:val="0"/>
              <w:marRight w:val="0"/>
              <w:marTop w:val="0"/>
              <w:marBottom w:val="0"/>
              <w:divBdr>
                <w:top w:val="none" w:sz="0" w:space="0" w:color="auto"/>
                <w:left w:val="none" w:sz="0" w:space="0" w:color="auto"/>
                <w:bottom w:val="none" w:sz="0" w:space="0" w:color="auto"/>
                <w:right w:val="none" w:sz="0" w:space="0" w:color="auto"/>
              </w:divBdr>
            </w:div>
            <w:div w:id="367343410">
              <w:marLeft w:val="0"/>
              <w:marRight w:val="0"/>
              <w:marTop w:val="0"/>
              <w:marBottom w:val="0"/>
              <w:divBdr>
                <w:top w:val="none" w:sz="0" w:space="0" w:color="auto"/>
                <w:left w:val="none" w:sz="0" w:space="0" w:color="auto"/>
                <w:bottom w:val="none" w:sz="0" w:space="0" w:color="auto"/>
                <w:right w:val="none" w:sz="0" w:space="0" w:color="auto"/>
              </w:divBdr>
            </w:div>
            <w:div w:id="123043790">
              <w:marLeft w:val="0"/>
              <w:marRight w:val="0"/>
              <w:marTop w:val="0"/>
              <w:marBottom w:val="0"/>
              <w:divBdr>
                <w:top w:val="none" w:sz="0" w:space="0" w:color="auto"/>
                <w:left w:val="none" w:sz="0" w:space="0" w:color="auto"/>
                <w:bottom w:val="none" w:sz="0" w:space="0" w:color="auto"/>
                <w:right w:val="none" w:sz="0" w:space="0" w:color="auto"/>
              </w:divBdr>
            </w:div>
            <w:div w:id="1747805450">
              <w:marLeft w:val="0"/>
              <w:marRight w:val="0"/>
              <w:marTop w:val="0"/>
              <w:marBottom w:val="0"/>
              <w:divBdr>
                <w:top w:val="none" w:sz="0" w:space="0" w:color="auto"/>
                <w:left w:val="none" w:sz="0" w:space="0" w:color="auto"/>
                <w:bottom w:val="none" w:sz="0" w:space="0" w:color="auto"/>
                <w:right w:val="none" w:sz="0" w:space="0" w:color="auto"/>
              </w:divBdr>
            </w:div>
            <w:div w:id="1577547502">
              <w:marLeft w:val="0"/>
              <w:marRight w:val="0"/>
              <w:marTop w:val="0"/>
              <w:marBottom w:val="0"/>
              <w:divBdr>
                <w:top w:val="none" w:sz="0" w:space="0" w:color="auto"/>
                <w:left w:val="none" w:sz="0" w:space="0" w:color="auto"/>
                <w:bottom w:val="none" w:sz="0" w:space="0" w:color="auto"/>
                <w:right w:val="none" w:sz="0" w:space="0" w:color="auto"/>
              </w:divBdr>
            </w:div>
            <w:div w:id="1731617358">
              <w:marLeft w:val="0"/>
              <w:marRight w:val="0"/>
              <w:marTop w:val="0"/>
              <w:marBottom w:val="0"/>
              <w:divBdr>
                <w:top w:val="none" w:sz="0" w:space="0" w:color="auto"/>
                <w:left w:val="none" w:sz="0" w:space="0" w:color="auto"/>
                <w:bottom w:val="none" w:sz="0" w:space="0" w:color="auto"/>
                <w:right w:val="none" w:sz="0" w:space="0" w:color="auto"/>
              </w:divBdr>
            </w:div>
            <w:div w:id="1788313030">
              <w:marLeft w:val="0"/>
              <w:marRight w:val="0"/>
              <w:marTop w:val="0"/>
              <w:marBottom w:val="0"/>
              <w:divBdr>
                <w:top w:val="none" w:sz="0" w:space="0" w:color="auto"/>
                <w:left w:val="none" w:sz="0" w:space="0" w:color="auto"/>
                <w:bottom w:val="none" w:sz="0" w:space="0" w:color="auto"/>
                <w:right w:val="none" w:sz="0" w:space="0" w:color="auto"/>
              </w:divBdr>
            </w:div>
            <w:div w:id="2031490318">
              <w:marLeft w:val="0"/>
              <w:marRight w:val="0"/>
              <w:marTop w:val="0"/>
              <w:marBottom w:val="0"/>
              <w:divBdr>
                <w:top w:val="none" w:sz="0" w:space="0" w:color="auto"/>
                <w:left w:val="none" w:sz="0" w:space="0" w:color="auto"/>
                <w:bottom w:val="none" w:sz="0" w:space="0" w:color="auto"/>
                <w:right w:val="none" w:sz="0" w:space="0" w:color="auto"/>
              </w:divBdr>
            </w:div>
            <w:div w:id="1267539333">
              <w:marLeft w:val="0"/>
              <w:marRight w:val="0"/>
              <w:marTop w:val="0"/>
              <w:marBottom w:val="0"/>
              <w:divBdr>
                <w:top w:val="none" w:sz="0" w:space="0" w:color="auto"/>
                <w:left w:val="none" w:sz="0" w:space="0" w:color="auto"/>
                <w:bottom w:val="none" w:sz="0" w:space="0" w:color="auto"/>
                <w:right w:val="none" w:sz="0" w:space="0" w:color="auto"/>
              </w:divBdr>
            </w:div>
            <w:div w:id="34431351">
              <w:marLeft w:val="0"/>
              <w:marRight w:val="0"/>
              <w:marTop w:val="0"/>
              <w:marBottom w:val="0"/>
              <w:divBdr>
                <w:top w:val="none" w:sz="0" w:space="0" w:color="auto"/>
                <w:left w:val="none" w:sz="0" w:space="0" w:color="auto"/>
                <w:bottom w:val="none" w:sz="0" w:space="0" w:color="auto"/>
                <w:right w:val="none" w:sz="0" w:space="0" w:color="auto"/>
              </w:divBdr>
            </w:div>
            <w:div w:id="1188252880">
              <w:marLeft w:val="0"/>
              <w:marRight w:val="0"/>
              <w:marTop w:val="0"/>
              <w:marBottom w:val="0"/>
              <w:divBdr>
                <w:top w:val="none" w:sz="0" w:space="0" w:color="auto"/>
                <w:left w:val="none" w:sz="0" w:space="0" w:color="auto"/>
                <w:bottom w:val="none" w:sz="0" w:space="0" w:color="auto"/>
                <w:right w:val="none" w:sz="0" w:space="0" w:color="auto"/>
              </w:divBdr>
            </w:div>
            <w:div w:id="1436287668">
              <w:marLeft w:val="0"/>
              <w:marRight w:val="0"/>
              <w:marTop w:val="0"/>
              <w:marBottom w:val="0"/>
              <w:divBdr>
                <w:top w:val="none" w:sz="0" w:space="0" w:color="auto"/>
                <w:left w:val="none" w:sz="0" w:space="0" w:color="auto"/>
                <w:bottom w:val="none" w:sz="0" w:space="0" w:color="auto"/>
                <w:right w:val="none" w:sz="0" w:space="0" w:color="auto"/>
              </w:divBdr>
            </w:div>
            <w:div w:id="925764437">
              <w:marLeft w:val="0"/>
              <w:marRight w:val="0"/>
              <w:marTop w:val="0"/>
              <w:marBottom w:val="0"/>
              <w:divBdr>
                <w:top w:val="none" w:sz="0" w:space="0" w:color="auto"/>
                <w:left w:val="none" w:sz="0" w:space="0" w:color="auto"/>
                <w:bottom w:val="none" w:sz="0" w:space="0" w:color="auto"/>
                <w:right w:val="none" w:sz="0" w:space="0" w:color="auto"/>
              </w:divBdr>
            </w:div>
            <w:div w:id="1555580280">
              <w:marLeft w:val="0"/>
              <w:marRight w:val="0"/>
              <w:marTop w:val="0"/>
              <w:marBottom w:val="0"/>
              <w:divBdr>
                <w:top w:val="none" w:sz="0" w:space="0" w:color="auto"/>
                <w:left w:val="none" w:sz="0" w:space="0" w:color="auto"/>
                <w:bottom w:val="none" w:sz="0" w:space="0" w:color="auto"/>
                <w:right w:val="none" w:sz="0" w:space="0" w:color="auto"/>
              </w:divBdr>
            </w:div>
            <w:div w:id="963778725">
              <w:marLeft w:val="0"/>
              <w:marRight w:val="0"/>
              <w:marTop w:val="0"/>
              <w:marBottom w:val="0"/>
              <w:divBdr>
                <w:top w:val="none" w:sz="0" w:space="0" w:color="auto"/>
                <w:left w:val="none" w:sz="0" w:space="0" w:color="auto"/>
                <w:bottom w:val="none" w:sz="0" w:space="0" w:color="auto"/>
                <w:right w:val="none" w:sz="0" w:space="0" w:color="auto"/>
              </w:divBdr>
            </w:div>
            <w:div w:id="2011061021">
              <w:marLeft w:val="0"/>
              <w:marRight w:val="0"/>
              <w:marTop w:val="0"/>
              <w:marBottom w:val="0"/>
              <w:divBdr>
                <w:top w:val="none" w:sz="0" w:space="0" w:color="auto"/>
                <w:left w:val="none" w:sz="0" w:space="0" w:color="auto"/>
                <w:bottom w:val="none" w:sz="0" w:space="0" w:color="auto"/>
                <w:right w:val="none" w:sz="0" w:space="0" w:color="auto"/>
              </w:divBdr>
            </w:div>
            <w:div w:id="67848349">
              <w:marLeft w:val="0"/>
              <w:marRight w:val="0"/>
              <w:marTop w:val="0"/>
              <w:marBottom w:val="0"/>
              <w:divBdr>
                <w:top w:val="none" w:sz="0" w:space="0" w:color="auto"/>
                <w:left w:val="none" w:sz="0" w:space="0" w:color="auto"/>
                <w:bottom w:val="none" w:sz="0" w:space="0" w:color="auto"/>
                <w:right w:val="none" w:sz="0" w:space="0" w:color="auto"/>
              </w:divBdr>
            </w:div>
            <w:div w:id="1603609442">
              <w:marLeft w:val="0"/>
              <w:marRight w:val="0"/>
              <w:marTop w:val="0"/>
              <w:marBottom w:val="0"/>
              <w:divBdr>
                <w:top w:val="none" w:sz="0" w:space="0" w:color="auto"/>
                <w:left w:val="none" w:sz="0" w:space="0" w:color="auto"/>
                <w:bottom w:val="none" w:sz="0" w:space="0" w:color="auto"/>
                <w:right w:val="none" w:sz="0" w:space="0" w:color="auto"/>
              </w:divBdr>
            </w:div>
            <w:div w:id="1931694301">
              <w:marLeft w:val="0"/>
              <w:marRight w:val="0"/>
              <w:marTop w:val="0"/>
              <w:marBottom w:val="0"/>
              <w:divBdr>
                <w:top w:val="none" w:sz="0" w:space="0" w:color="auto"/>
                <w:left w:val="none" w:sz="0" w:space="0" w:color="auto"/>
                <w:bottom w:val="none" w:sz="0" w:space="0" w:color="auto"/>
                <w:right w:val="none" w:sz="0" w:space="0" w:color="auto"/>
              </w:divBdr>
            </w:div>
            <w:div w:id="801920972">
              <w:marLeft w:val="0"/>
              <w:marRight w:val="0"/>
              <w:marTop w:val="0"/>
              <w:marBottom w:val="0"/>
              <w:divBdr>
                <w:top w:val="none" w:sz="0" w:space="0" w:color="auto"/>
                <w:left w:val="none" w:sz="0" w:space="0" w:color="auto"/>
                <w:bottom w:val="none" w:sz="0" w:space="0" w:color="auto"/>
                <w:right w:val="none" w:sz="0" w:space="0" w:color="auto"/>
              </w:divBdr>
            </w:div>
            <w:div w:id="1309093025">
              <w:marLeft w:val="0"/>
              <w:marRight w:val="0"/>
              <w:marTop w:val="0"/>
              <w:marBottom w:val="0"/>
              <w:divBdr>
                <w:top w:val="none" w:sz="0" w:space="0" w:color="auto"/>
                <w:left w:val="none" w:sz="0" w:space="0" w:color="auto"/>
                <w:bottom w:val="none" w:sz="0" w:space="0" w:color="auto"/>
                <w:right w:val="none" w:sz="0" w:space="0" w:color="auto"/>
              </w:divBdr>
            </w:div>
            <w:div w:id="557863300">
              <w:marLeft w:val="0"/>
              <w:marRight w:val="0"/>
              <w:marTop w:val="0"/>
              <w:marBottom w:val="0"/>
              <w:divBdr>
                <w:top w:val="none" w:sz="0" w:space="0" w:color="auto"/>
                <w:left w:val="none" w:sz="0" w:space="0" w:color="auto"/>
                <w:bottom w:val="none" w:sz="0" w:space="0" w:color="auto"/>
                <w:right w:val="none" w:sz="0" w:space="0" w:color="auto"/>
              </w:divBdr>
            </w:div>
            <w:div w:id="129324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9114333">
      <w:bodyDiv w:val="1"/>
      <w:marLeft w:val="0"/>
      <w:marRight w:val="0"/>
      <w:marTop w:val="0"/>
      <w:marBottom w:val="0"/>
      <w:divBdr>
        <w:top w:val="none" w:sz="0" w:space="0" w:color="auto"/>
        <w:left w:val="none" w:sz="0" w:space="0" w:color="auto"/>
        <w:bottom w:val="none" w:sz="0" w:space="0" w:color="auto"/>
        <w:right w:val="none" w:sz="0" w:space="0" w:color="auto"/>
      </w:divBdr>
    </w:div>
    <w:div w:id="302857580">
      <w:bodyDiv w:val="1"/>
      <w:marLeft w:val="0"/>
      <w:marRight w:val="0"/>
      <w:marTop w:val="0"/>
      <w:marBottom w:val="0"/>
      <w:divBdr>
        <w:top w:val="none" w:sz="0" w:space="0" w:color="auto"/>
        <w:left w:val="none" w:sz="0" w:space="0" w:color="auto"/>
        <w:bottom w:val="none" w:sz="0" w:space="0" w:color="auto"/>
        <w:right w:val="none" w:sz="0" w:space="0" w:color="auto"/>
      </w:divBdr>
      <w:divsChild>
        <w:div w:id="1523934144">
          <w:marLeft w:val="0"/>
          <w:marRight w:val="0"/>
          <w:marTop w:val="0"/>
          <w:marBottom w:val="150"/>
          <w:divBdr>
            <w:top w:val="none" w:sz="0" w:space="0" w:color="auto"/>
            <w:left w:val="none" w:sz="0" w:space="0" w:color="auto"/>
            <w:bottom w:val="none" w:sz="0" w:space="0" w:color="auto"/>
            <w:right w:val="none" w:sz="0" w:space="0" w:color="auto"/>
          </w:divBdr>
          <w:divsChild>
            <w:div w:id="292950620">
              <w:marLeft w:val="0"/>
              <w:marRight w:val="0"/>
              <w:marTop w:val="0"/>
              <w:marBottom w:val="0"/>
              <w:divBdr>
                <w:top w:val="none" w:sz="0" w:space="0" w:color="auto"/>
                <w:left w:val="none" w:sz="0" w:space="0" w:color="auto"/>
                <w:bottom w:val="none" w:sz="0" w:space="0" w:color="auto"/>
                <w:right w:val="none" w:sz="0" w:space="0" w:color="auto"/>
              </w:divBdr>
              <w:divsChild>
                <w:div w:id="74743223">
                  <w:marLeft w:val="0"/>
                  <w:marRight w:val="0"/>
                  <w:marTop w:val="0"/>
                  <w:marBottom w:val="0"/>
                  <w:divBdr>
                    <w:top w:val="none" w:sz="0" w:space="0" w:color="auto"/>
                    <w:left w:val="none" w:sz="0" w:space="0" w:color="auto"/>
                    <w:bottom w:val="none" w:sz="0" w:space="0" w:color="auto"/>
                    <w:right w:val="none" w:sz="0" w:space="0" w:color="auto"/>
                  </w:divBdr>
                  <w:divsChild>
                    <w:div w:id="1576166070">
                      <w:marLeft w:val="0"/>
                      <w:marRight w:val="0"/>
                      <w:marTop w:val="0"/>
                      <w:marBottom w:val="0"/>
                      <w:divBdr>
                        <w:top w:val="none" w:sz="0" w:space="0" w:color="auto"/>
                        <w:left w:val="none" w:sz="0" w:space="0" w:color="auto"/>
                        <w:bottom w:val="none" w:sz="0" w:space="0" w:color="auto"/>
                        <w:right w:val="none" w:sz="0" w:space="0" w:color="auto"/>
                      </w:divBdr>
                      <w:divsChild>
                        <w:div w:id="541013839">
                          <w:marLeft w:val="0"/>
                          <w:marRight w:val="0"/>
                          <w:marTop w:val="0"/>
                          <w:marBottom w:val="0"/>
                          <w:divBdr>
                            <w:top w:val="single" w:sz="6" w:space="0" w:color="CCCCCC"/>
                            <w:left w:val="single" w:sz="6" w:space="0" w:color="CCCCCC"/>
                            <w:bottom w:val="single" w:sz="6" w:space="0" w:color="CCCCCC"/>
                            <w:right w:val="single" w:sz="6" w:space="0" w:color="CCCCCC"/>
                          </w:divBdr>
                          <w:divsChild>
                            <w:div w:id="1242446425">
                              <w:marLeft w:val="0"/>
                              <w:marRight w:val="0"/>
                              <w:marTop w:val="0"/>
                              <w:marBottom w:val="0"/>
                              <w:divBdr>
                                <w:top w:val="none" w:sz="0" w:space="0" w:color="auto"/>
                                <w:left w:val="none" w:sz="0" w:space="0" w:color="auto"/>
                                <w:bottom w:val="none" w:sz="0" w:space="0" w:color="auto"/>
                                <w:right w:val="none" w:sz="0" w:space="0" w:color="auto"/>
                              </w:divBdr>
                            </w:div>
                            <w:div w:id="2100518949">
                              <w:marLeft w:val="0"/>
                              <w:marRight w:val="0"/>
                              <w:marTop w:val="0"/>
                              <w:marBottom w:val="0"/>
                              <w:divBdr>
                                <w:top w:val="none" w:sz="0" w:space="0" w:color="auto"/>
                                <w:left w:val="none" w:sz="0" w:space="0" w:color="auto"/>
                                <w:bottom w:val="none" w:sz="0" w:space="0" w:color="auto"/>
                                <w:right w:val="none" w:sz="0" w:space="0" w:color="auto"/>
                              </w:divBdr>
                              <w:divsChild>
                                <w:div w:id="54008808">
                                  <w:marLeft w:val="-150"/>
                                  <w:marRight w:val="-150"/>
                                  <w:marTop w:val="0"/>
                                  <w:marBottom w:val="0"/>
                                  <w:divBdr>
                                    <w:top w:val="none" w:sz="0" w:space="0" w:color="auto"/>
                                    <w:left w:val="none" w:sz="0" w:space="0" w:color="auto"/>
                                    <w:bottom w:val="none" w:sz="0" w:space="0" w:color="auto"/>
                                    <w:right w:val="none" w:sz="0" w:space="0" w:color="auto"/>
                                  </w:divBdr>
                                </w:div>
                                <w:div w:id="765536333">
                                  <w:marLeft w:val="0"/>
                                  <w:marRight w:val="0"/>
                                  <w:marTop w:val="0"/>
                                  <w:marBottom w:val="0"/>
                                  <w:divBdr>
                                    <w:top w:val="none" w:sz="0" w:space="0" w:color="auto"/>
                                    <w:left w:val="none" w:sz="0" w:space="0" w:color="auto"/>
                                    <w:bottom w:val="none" w:sz="0" w:space="0" w:color="auto"/>
                                    <w:right w:val="none" w:sz="0" w:space="0" w:color="auto"/>
                                  </w:divBdr>
                                </w:div>
                                <w:div w:id="348528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75771731">
          <w:marLeft w:val="0"/>
          <w:marRight w:val="0"/>
          <w:marTop w:val="30"/>
          <w:marBottom w:val="60"/>
          <w:divBdr>
            <w:top w:val="none" w:sz="0" w:space="0" w:color="auto"/>
            <w:left w:val="none" w:sz="0" w:space="0" w:color="auto"/>
            <w:bottom w:val="none" w:sz="0" w:space="0" w:color="auto"/>
            <w:right w:val="none" w:sz="0" w:space="0" w:color="auto"/>
          </w:divBdr>
          <w:divsChild>
            <w:div w:id="1917938633">
              <w:marLeft w:val="0"/>
              <w:marRight w:val="0"/>
              <w:marTop w:val="0"/>
              <w:marBottom w:val="0"/>
              <w:divBdr>
                <w:top w:val="none" w:sz="0" w:space="0" w:color="auto"/>
                <w:left w:val="none" w:sz="0" w:space="0" w:color="auto"/>
                <w:bottom w:val="none" w:sz="0" w:space="0" w:color="auto"/>
                <w:right w:val="none" w:sz="0" w:space="0" w:color="auto"/>
              </w:divBdr>
              <w:divsChild>
                <w:div w:id="1281834992">
                  <w:marLeft w:val="0"/>
                  <w:marRight w:val="0"/>
                  <w:marTop w:val="0"/>
                  <w:marBottom w:val="0"/>
                  <w:divBdr>
                    <w:top w:val="none" w:sz="0" w:space="0" w:color="auto"/>
                    <w:left w:val="none" w:sz="0" w:space="0" w:color="auto"/>
                    <w:bottom w:val="none" w:sz="0" w:space="0" w:color="auto"/>
                    <w:right w:val="none" w:sz="0" w:space="0" w:color="auto"/>
                  </w:divBdr>
                  <w:divsChild>
                    <w:div w:id="885026856">
                      <w:marLeft w:val="0"/>
                      <w:marRight w:val="0"/>
                      <w:marTop w:val="0"/>
                      <w:marBottom w:val="0"/>
                      <w:divBdr>
                        <w:top w:val="none" w:sz="0" w:space="0" w:color="auto"/>
                        <w:left w:val="none" w:sz="0" w:space="0" w:color="auto"/>
                        <w:bottom w:val="none" w:sz="0" w:space="0" w:color="auto"/>
                        <w:right w:val="none" w:sz="0" w:space="0" w:color="auto"/>
                      </w:divBdr>
                      <w:divsChild>
                        <w:div w:id="1693917711">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726150111">
              <w:marLeft w:val="0"/>
              <w:marRight w:val="0"/>
              <w:marTop w:val="0"/>
              <w:marBottom w:val="0"/>
              <w:divBdr>
                <w:top w:val="none" w:sz="0" w:space="0" w:color="auto"/>
                <w:left w:val="none" w:sz="0" w:space="0" w:color="auto"/>
                <w:bottom w:val="none" w:sz="0" w:space="0" w:color="auto"/>
                <w:right w:val="none" w:sz="0" w:space="0" w:color="auto"/>
              </w:divBdr>
              <w:divsChild>
                <w:div w:id="768702400">
                  <w:marLeft w:val="0"/>
                  <w:marRight w:val="0"/>
                  <w:marTop w:val="0"/>
                  <w:marBottom w:val="0"/>
                  <w:divBdr>
                    <w:top w:val="none" w:sz="0" w:space="0" w:color="auto"/>
                    <w:left w:val="none" w:sz="0" w:space="0" w:color="auto"/>
                    <w:bottom w:val="none" w:sz="0" w:space="0" w:color="auto"/>
                    <w:right w:val="none" w:sz="0" w:space="0" w:color="auto"/>
                  </w:divBdr>
                  <w:divsChild>
                    <w:div w:id="422721841">
                      <w:marLeft w:val="0"/>
                      <w:marRight w:val="0"/>
                      <w:marTop w:val="0"/>
                      <w:marBottom w:val="0"/>
                      <w:divBdr>
                        <w:top w:val="none" w:sz="0" w:space="0" w:color="auto"/>
                        <w:left w:val="none" w:sz="0" w:space="0" w:color="auto"/>
                        <w:bottom w:val="none" w:sz="0" w:space="0" w:color="auto"/>
                        <w:right w:val="none" w:sz="0" w:space="0" w:color="auto"/>
                      </w:divBdr>
                      <w:divsChild>
                        <w:div w:id="154414831">
                          <w:marLeft w:val="0"/>
                          <w:marRight w:val="0"/>
                          <w:marTop w:val="0"/>
                          <w:marBottom w:val="0"/>
                          <w:divBdr>
                            <w:top w:val="none" w:sz="0" w:space="0" w:color="auto"/>
                            <w:left w:val="none" w:sz="0" w:space="0" w:color="auto"/>
                            <w:bottom w:val="none" w:sz="0" w:space="0" w:color="auto"/>
                            <w:right w:val="none" w:sz="0" w:space="0" w:color="auto"/>
                          </w:divBdr>
                          <w:divsChild>
                            <w:div w:id="832062762">
                              <w:marLeft w:val="0"/>
                              <w:marRight w:val="0"/>
                              <w:marTop w:val="0"/>
                              <w:marBottom w:val="0"/>
                              <w:divBdr>
                                <w:top w:val="none" w:sz="0" w:space="0" w:color="auto"/>
                                <w:left w:val="none" w:sz="0" w:space="0" w:color="auto"/>
                                <w:bottom w:val="none" w:sz="0" w:space="0" w:color="auto"/>
                                <w:right w:val="none" w:sz="0" w:space="0" w:color="auto"/>
                              </w:divBdr>
                              <w:divsChild>
                                <w:div w:id="1174301725">
                                  <w:marLeft w:val="0"/>
                                  <w:marRight w:val="0"/>
                                  <w:marTop w:val="0"/>
                                  <w:marBottom w:val="0"/>
                                  <w:divBdr>
                                    <w:top w:val="none" w:sz="0" w:space="0" w:color="auto"/>
                                    <w:left w:val="none" w:sz="0" w:space="0" w:color="auto"/>
                                    <w:bottom w:val="none" w:sz="0" w:space="0" w:color="auto"/>
                                    <w:right w:val="none" w:sz="0" w:space="0" w:color="auto"/>
                                  </w:divBdr>
                                  <w:divsChild>
                                    <w:div w:id="1752969072">
                                      <w:marLeft w:val="0"/>
                                      <w:marRight w:val="0"/>
                                      <w:marTop w:val="0"/>
                                      <w:marBottom w:val="0"/>
                                      <w:divBdr>
                                        <w:top w:val="none" w:sz="0" w:space="0" w:color="auto"/>
                                        <w:left w:val="none" w:sz="0" w:space="0" w:color="auto"/>
                                        <w:bottom w:val="none" w:sz="0" w:space="0" w:color="auto"/>
                                        <w:right w:val="none" w:sz="0" w:space="0" w:color="auto"/>
                                      </w:divBdr>
                                      <w:divsChild>
                                        <w:div w:id="1099906162">
                                          <w:marLeft w:val="0"/>
                                          <w:marRight w:val="0"/>
                                          <w:marTop w:val="0"/>
                                          <w:marBottom w:val="0"/>
                                          <w:divBdr>
                                            <w:top w:val="none" w:sz="0" w:space="0" w:color="auto"/>
                                            <w:left w:val="none" w:sz="0" w:space="0" w:color="auto"/>
                                            <w:bottom w:val="none" w:sz="0" w:space="0" w:color="auto"/>
                                            <w:right w:val="none" w:sz="0" w:space="0" w:color="auto"/>
                                          </w:divBdr>
                                          <w:divsChild>
                                            <w:div w:id="1217664497">
                                              <w:marLeft w:val="0"/>
                                              <w:marRight w:val="0"/>
                                              <w:marTop w:val="0"/>
                                              <w:marBottom w:val="0"/>
                                              <w:divBdr>
                                                <w:top w:val="none" w:sz="0" w:space="0" w:color="auto"/>
                                                <w:left w:val="none" w:sz="0" w:space="0" w:color="auto"/>
                                                <w:bottom w:val="none" w:sz="0" w:space="0" w:color="auto"/>
                                                <w:right w:val="none" w:sz="0" w:space="0" w:color="auto"/>
                                              </w:divBdr>
                                              <w:divsChild>
                                                <w:div w:id="935476197">
                                                  <w:marLeft w:val="0"/>
                                                  <w:marRight w:val="0"/>
                                                  <w:marTop w:val="0"/>
                                                  <w:marBottom w:val="0"/>
                                                  <w:divBdr>
                                                    <w:top w:val="none" w:sz="0" w:space="0" w:color="auto"/>
                                                    <w:left w:val="none" w:sz="0" w:space="0" w:color="auto"/>
                                                    <w:bottom w:val="none" w:sz="0" w:space="0" w:color="auto"/>
                                                    <w:right w:val="none" w:sz="0" w:space="0" w:color="auto"/>
                                                  </w:divBdr>
                                                  <w:divsChild>
                                                    <w:div w:id="1334576625">
                                                      <w:marLeft w:val="0"/>
                                                      <w:marRight w:val="0"/>
                                                      <w:marTop w:val="0"/>
                                                      <w:marBottom w:val="0"/>
                                                      <w:divBdr>
                                                        <w:top w:val="none" w:sz="0" w:space="0" w:color="auto"/>
                                                        <w:left w:val="none" w:sz="0" w:space="0" w:color="auto"/>
                                                        <w:bottom w:val="none" w:sz="0" w:space="0" w:color="auto"/>
                                                        <w:right w:val="none" w:sz="0" w:space="0" w:color="auto"/>
                                                      </w:divBdr>
                                                      <w:divsChild>
                                                        <w:div w:id="1473330562">
                                                          <w:marLeft w:val="0"/>
                                                          <w:marRight w:val="0"/>
                                                          <w:marTop w:val="0"/>
                                                          <w:marBottom w:val="0"/>
                                                          <w:divBdr>
                                                            <w:top w:val="none" w:sz="0" w:space="0" w:color="auto"/>
                                                            <w:left w:val="none" w:sz="0" w:space="0" w:color="auto"/>
                                                            <w:bottom w:val="none" w:sz="0" w:space="0" w:color="auto"/>
                                                            <w:right w:val="none" w:sz="0" w:space="0" w:color="auto"/>
                                                          </w:divBdr>
                                                          <w:divsChild>
                                                            <w:div w:id="345837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349814">
                                                      <w:marLeft w:val="0"/>
                                                      <w:marRight w:val="0"/>
                                                      <w:marTop w:val="0"/>
                                                      <w:marBottom w:val="0"/>
                                                      <w:divBdr>
                                                        <w:top w:val="none" w:sz="0" w:space="0" w:color="auto"/>
                                                        <w:left w:val="none" w:sz="0" w:space="0" w:color="auto"/>
                                                        <w:bottom w:val="none" w:sz="0" w:space="0" w:color="auto"/>
                                                        <w:right w:val="none" w:sz="0" w:space="0" w:color="auto"/>
                                                      </w:divBdr>
                                                      <w:divsChild>
                                                        <w:div w:id="1976637462">
                                                          <w:marLeft w:val="0"/>
                                                          <w:marRight w:val="0"/>
                                                          <w:marTop w:val="0"/>
                                                          <w:marBottom w:val="0"/>
                                                          <w:divBdr>
                                                            <w:top w:val="none" w:sz="0" w:space="0" w:color="auto"/>
                                                            <w:left w:val="none" w:sz="0" w:space="0" w:color="auto"/>
                                                            <w:bottom w:val="none" w:sz="0" w:space="0" w:color="auto"/>
                                                            <w:right w:val="none" w:sz="0" w:space="0" w:color="auto"/>
                                                          </w:divBdr>
                                                          <w:divsChild>
                                                            <w:div w:id="172688914">
                                                              <w:marLeft w:val="0"/>
                                                              <w:marRight w:val="0"/>
                                                              <w:marTop w:val="0"/>
                                                              <w:marBottom w:val="0"/>
                                                              <w:divBdr>
                                                                <w:top w:val="none" w:sz="0" w:space="0" w:color="auto"/>
                                                                <w:left w:val="none" w:sz="0" w:space="0" w:color="auto"/>
                                                                <w:bottom w:val="none" w:sz="0" w:space="0" w:color="auto"/>
                                                                <w:right w:val="none" w:sz="0" w:space="0" w:color="auto"/>
                                                              </w:divBdr>
                                                              <w:divsChild>
                                                                <w:div w:id="766120368">
                                                                  <w:marLeft w:val="0"/>
                                                                  <w:marRight w:val="0"/>
                                                                  <w:marTop w:val="0"/>
                                                                  <w:marBottom w:val="0"/>
                                                                  <w:divBdr>
                                                                    <w:top w:val="none" w:sz="0" w:space="0" w:color="auto"/>
                                                                    <w:left w:val="none" w:sz="0" w:space="0" w:color="auto"/>
                                                                    <w:bottom w:val="none" w:sz="0" w:space="0" w:color="auto"/>
                                                                    <w:right w:val="none" w:sz="0" w:space="0" w:color="auto"/>
                                                                  </w:divBdr>
                                                                  <w:divsChild>
                                                                    <w:div w:id="2143234058">
                                                                      <w:marLeft w:val="0"/>
                                                                      <w:marRight w:val="0"/>
                                                                      <w:marTop w:val="75"/>
                                                                      <w:marBottom w:val="75"/>
                                                                      <w:divBdr>
                                                                        <w:top w:val="none" w:sz="0" w:space="0" w:color="auto"/>
                                                                        <w:left w:val="none" w:sz="0" w:space="0" w:color="auto"/>
                                                                        <w:bottom w:val="none" w:sz="0" w:space="0" w:color="auto"/>
                                                                        <w:right w:val="none" w:sz="0" w:space="0" w:color="auto"/>
                                                                      </w:divBdr>
                                                                      <w:divsChild>
                                                                        <w:div w:id="1605265835">
                                                                          <w:marLeft w:val="0"/>
                                                                          <w:marRight w:val="0"/>
                                                                          <w:marTop w:val="0"/>
                                                                          <w:marBottom w:val="0"/>
                                                                          <w:divBdr>
                                                                            <w:top w:val="none" w:sz="0" w:space="0" w:color="auto"/>
                                                                            <w:left w:val="none" w:sz="0" w:space="0" w:color="auto"/>
                                                                            <w:bottom w:val="none" w:sz="0" w:space="0" w:color="auto"/>
                                                                            <w:right w:val="none" w:sz="0" w:space="0" w:color="auto"/>
                                                                          </w:divBdr>
                                                                          <w:divsChild>
                                                                            <w:div w:id="670059768">
                                                                              <w:marLeft w:val="0"/>
                                                                              <w:marRight w:val="0"/>
                                                                              <w:marTop w:val="0"/>
                                                                              <w:marBottom w:val="0"/>
                                                                              <w:divBdr>
                                                                                <w:top w:val="none" w:sz="0" w:space="0" w:color="auto"/>
                                                                                <w:left w:val="none" w:sz="0" w:space="0" w:color="auto"/>
                                                                                <w:bottom w:val="none" w:sz="0" w:space="0" w:color="auto"/>
                                                                                <w:right w:val="none" w:sz="0" w:space="0" w:color="auto"/>
                                                                              </w:divBdr>
                                                                              <w:divsChild>
                                                                                <w:div w:id="1968462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885604963">
                                      <w:marLeft w:val="0"/>
                                      <w:marRight w:val="0"/>
                                      <w:marTop w:val="0"/>
                                      <w:marBottom w:val="0"/>
                                      <w:divBdr>
                                        <w:top w:val="none" w:sz="0" w:space="0" w:color="auto"/>
                                        <w:left w:val="none" w:sz="0" w:space="0" w:color="auto"/>
                                        <w:bottom w:val="none" w:sz="0" w:space="0" w:color="auto"/>
                                        <w:right w:val="none" w:sz="0" w:space="0" w:color="auto"/>
                                      </w:divBdr>
                                      <w:divsChild>
                                        <w:div w:id="1345128998">
                                          <w:marLeft w:val="0"/>
                                          <w:marRight w:val="0"/>
                                          <w:marTop w:val="0"/>
                                          <w:marBottom w:val="0"/>
                                          <w:divBdr>
                                            <w:top w:val="none" w:sz="0" w:space="0" w:color="auto"/>
                                            <w:left w:val="none" w:sz="0" w:space="0" w:color="auto"/>
                                            <w:bottom w:val="none" w:sz="0" w:space="0" w:color="auto"/>
                                            <w:right w:val="none" w:sz="0" w:space="0" w:color="auto"/>
                                          </w:divBdr>
                                          <w:divsChild>
                                            <w:div w:id="372847872">
                                              <w:marLeft w:val="0"/>
                                              <w:marRight w:val="0"/>
                                              <w:marTop w:val="0"/>
                                              <w:marBottom w:val="0"/>
                                              <w:divBdr>
                                                <w:top w:val="none" w:sz="0" w:space="0" w:color="auto"/>
                                                <w:left w:val="none" w:sz="0" w:space="0" w:color="auto"/>
                                                <w:bottom w:val="none" w:sz="0" w:space="0" w:color="auto"/>
                                                <w:right w:val="none" w:sz="0" w:space="0" w:color="auto"/>
                                              </w:divBdr>
                                              <w:divsChild>
                                                <w:div w:id="1561286431">
                                                  <w:marLeft w:val="0"/>
                                                  <w:marRight w:val="0"/>
                                                  <w:marTop w:val="150"/>
                                                  <w:marBottom w:val="0"/>
                                                  <w:divBdr>
                                                    <w:top w:val="none" w:sz="0" w:space="0" w:color="auto"/>
                                                    <w:left w:val="none" w:sz="0" w:space="0" w:color="auto"/>
                                                    <w:bottom w:val="none" w:sz="0" w:space="0" w:color="auto"/>
                                                    <w:right w:val="none" w:sz="0" w:space="0" w:color="auto"/>
                                                  </w:divBdr>
                                                  <w:divsChild>
                                                    <w:div w:id="1808084200">
                                                      <w:marLeft w:val="0"/>
                                                      <w:marRight w:val="0"/>
                                                      <w:marTop w:val="0"/>
                                                      <w:marBottom w:val="0"/>
                                                      <w:divBdr>
                                                        <w:top w:val="none" w:sz="0" w:space="0" w:color="auto"/>
                                                        <w:left w:val="none" w:sz="0" w:space="0" w:color="auto"/>
                                                        <w:bottom w:val="none" w:sz="0" w:space="0" w:color="auto"/>
                                                        <w:right w:val="none" w:sz="0" w:space="0" w:color="auto"/>
                                                      </w:divBdr>
                                                    </w:div>
                                                  </w:divsChild>
                                                </w:div>
                                                <w:div w:id="996349737">
                                                  <w:marLeft w:val="0"/>
                                                  <w:marRight w:val="0"/>
                                                  <w:marTop w:val="0"/>
                                                  <w:marBottom w:val="0"/>
                                                  <w:divBdr>
                                                    <w:top w:val="none" w:sz="0" w:space="0" w:color="auto"/>
                                                    <w:left w:val="none" w:sz="0" w:space="0" w:color="auto"/>
                                                    <w:bottom w:val="none" w:sz="0" w:space="0" w:color="auto"/>
                                                    <w:right w:val="none" w:sz="0" w:space="0" w:color="auto"/>
                                                  </w:divBdr>
                                                  <w:divsChild>
                                                    <w:div w:id="218980373">
                                                      <w:marLeft w:val="0"/>
                                                      <w:marRight w:val="0"/>
                                                      <w:marTop w:val="0"/>
                                                      <w:marBottom w:val="0"/>
                                                      <w:divBdr>
                                                        <w:top w:val="none" w:sz="0" w:space="0" w:color="auto"/>
                                                        <w:left w:val="none" w:sz="0" w:space="0" w:color="auto"/>
                                                        <w:bottom w:val="none" w:sz="0" w:space="0" w:color="auto"/>
                                                        <w:right w:val="none" w:sz="0" w:space="0" w:color="auto"/>
                                                      </w:divBdr>
                                                      <w:divsChild>
                                                        <w:div w:id="65734623">
                                                          <w:marLeft w:val="0"/>
                                                          <w:marRight w:val="0"/>
                                                          <w:marTop w:val="0"/>
                                                          <w:marBottom w:val="0"/>
                                                          <w:divBdr>
                                                            <w:top w:val="none" w:sz="0" w:space="0" w:color="auto"/>
                                                            <w:left w:val="none" w:sz="0" w:space="0" w:color="auto"/>
                                                            <w:bottom w:val="none" w:sz="0" w:space="0" w:color="auto"/>
                                                            <w:right w:val="none" w:sz="0" w:space="0" w:color="auto"/>
                                                          </w:divBdr>
                                                          <w:divsChild>
                                                            <w:div w:id="1467890084">
                                                              <w:marLeft w:val="0"/>
                                                              <w:marRight w:val="0"/>
                                                              <w:marTop w:val="0"/>
                                                              <w:marBottom w:val="0"/>
                                                              <w:divBdr>
                                                                <w:top w:val="none" w:sz="0" w:space="0" w:color="auto"/>
                                                                <w:left w:val="none" w:sz="0" w:space="0" w:color="auto"/>
                                                                <w:bottom w:val="none" w:sz="0" w:space="0" w:color="auto"/>
                                                                <w:right w:val="none" w:sz="0" w:space="0" w:color="auto"/>
                                                              </w:divBdr>
                                                            </w:div>
                                                            <w:div w:id="1906253564">
                                                              <w:marLeft w:val="0"/>
                                                              <w:marRight w:val="0"/>
                                                              <w:marTop w:val="0"/>
                                                              <w:marBottom w:val="0"/>
                                                              <w:divBdr>
                                                                <w:top w:val="none" w:sz="0" w:space="0" w:color="auto"/>
                                                                <w:left w:val="none" w:sz="0" w:space="0" w:color="auto"/>
                                                                <w:bottom w:val="none" w:sz="0" w:space="0" w:color="auto"/>
                                                                <w:right w:val="none" w:sz="0" w:space="0" w:color="auto"/>
                                                              </w:divBdr>
                                                            </w:div>
                                                            <w:div w:id="838890391">
                                                              <w:marLeft w:val="0"/>
                                                              <w:marRight w:val="0"/>
                                                              <w:marTop w:val="0"/>
                                                              <w:marBottom w:val="0"/>
                                                              <w:divBdr>
                                                                <w:top w:val="none" w:sz="0" w:space="0" w:color="auto"/>
                                                                <w:left w:val="none" w:sz="0" w:space="0" w:color="auto"/>
                                                                <w:bottom w:val="none" w:sz="0" w:space="0" w:color="auto"/>
                                                                <w:right w:val="none" w:sz="0" w:space="0" w:color="auto"/>
                                                              </w:divBdr>
                                                            </w:div>
                                                            <w:div w:id="359430784">
                                                              <w:marLeft w:val="0"/>
                                                              <w:marRight w:val="0"/>
                                                              <w:marTop w:val="0"/>
                                                              <w:marBottom w:val="0"/>
                                                              <w:divBdr>
                                                                <w:top w:val="none" w:sz="0" w:space="0" w:color="auto"/>
                                                                <w:left w:val="none" w:sz="0" w:space="0" w:color="auto"/>
                                                                <w:bottom w:val="none" w:sz="0" w:space="0" w:color="auto"/>
                                                                <w:right w:val="none" w:sz="0" w:space="0" w:color="auto"/>
                                                              </w:divBdr>
                                                            </w:div>
                                                            <w:div w:id="437023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310444624">
      <w:bodyDiv w:val="1"/>
      <w:marLeft w:val="0"/>
      <w:marRight w:val="0"/>
      <w:marTop w:val="0"/>
      <w:marBottom w:val="0"/>
      <w:divBdr>
        <w:top w:val="none" w:sz="0" w:space="0" w:color="auto"/>
        <w:left w:val="none" w:sz="0" w:space="0" w:color="auto"/>
        <w:bottom w:val="none" w:sz="0" w:space="0" w:color="auto"/>
        <w:right w:val="none" w:sz="0" w:space="0" w:color="auto"/>
      </w:divBdr>
    </w:div>
    <w:div w:id="328875387">
      <w:bodyDiv w:val="1"/>
      <w:marLeft w:val="0"/>
      <w:marRight w:val="0"/>
      <w:marTop w:val="0"/>
      <w:marBottom w:val="0"/>
      <w:divBdr>
        <w:top w:val="none" w:sz="0" w:space="0" w:color="auto"/>
        <w:left w:val="none" w:sz="0" w:space="0" w:color="auto"/>
        <w:bottom w:val="none" w:sz="0" w:space="0" w:color="auto"/>
        <w:right w:val="none" w:sz="0" w:space="0" w:color="auto"/>
      </w:divBdr>
      <w:divsChild>
        <w:div w:id="935789361">
          <w:marLeft w:val="0"/>
          <w:marRight w:val="0"/>
          <w:marTop w:val="0"/>
          <w:marBottom w:val="0"/>
          <w:divBdr>
            <w:top w:val="none" w:sz="0" w:space="0" w:color="auto"/>
            <w:left w:val="none" w:sz="0" w:space="0" w:color="auto"/>
            <w:bottom w:val="none" w:sz="0" w:space="0" w:color="auto"/>
            <w:right w:val="none" w:sz="0" w:space="0" w:color="auto"/>
          </w:divBdr>
          <w:divsChild>
            <w:div w:id="240068245">
              <w:marLeft w:val="0"/>
              <w:marRight w:val="0"/>
              <w:marTop w:val="0"/>
              <w:marBottom w:val="0"/>
              <w:divBdr>
                <w:top w:val="none" w:sz="0" w:space="0" w:color="auto"/>
                <w:left w:val="none" w:sz="0" w:space="0" w:color="auto"/>
                <w:bottom w:val="none" w:sz="0" w:space="0" w:color="auto"/>
                <w:right w:val="none" w:sz="0" w:space="0" w:color="auto"/>
              </w:divBdr>
            </w:div>
          </w:divsChild>
        </w:div>
        <w:div w:id="1378581139">
          <w:marLeft w:val="0"/>
          <w:marRight w:val="0"/>
          <w:marTop w:val="0"/>
          <w:marBottom w:val="150"/>
          <w:divBdr>
            <w:top w:val="none" w:sz="0" w:space="0" w:color="auto"/>
            <w:left w:val="none" w:sz="0" w:space="0" w:color="auto"/>
            <w:bottom w:val="none" w:sz="0" w:space="0" w:color="auto"/>
            <w:right w:val="none" w:sz="0" w:space="0" w:color="auto"/>
          </w:divBdr>
          <w:divsChild>
            <w:div w:id="2037272140">
              <w:marLeft w:val="0"/>
              <w:marRight w:val="0"/>
              <w:marTop w:val="0"/>
              <w:marBottom w:val="0"/>
              <w:divBdr>
                <w:top w:val="none" w:sz="0" w:space="0" w:color="auto"/>
                <w:left w:val="none" w:sz="0" w:space="0" w:color="auto"/>
                <w:bottom w:val="none" w:sz="0" w:space="0" w:color="auto"/>
                <w:right w:val="none" w:sz="0" w:space="0" w:color="auto"/>
              </w:divBdr>
              <w:divsChild>
                <w:div w:id="1441414578">
                  <w:marLeft w:val="0"/>
                  <w:marRight w:val="0"/>
                  <w:marTop w:val="0"/>
                  <w:marBottom w:val="0"/>
                  <w:divBdr>
                    <w:top w:val="none" w:sz="0" w:space="0" w:color="auto"/>
                    <w:left w:val="none" w:sz="0" w:space="0" w:color="auto"/>
                    <w:bottom w:val="none" w:sz="0" w:space="0" w:color="auto"/>
                    <w:right w:val="none" w:sz="0" w:space="0" w:color="auto"/>
                  </w:divBdr>
                  <w:divsChild>
                    <w:div w:id="2123837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8387649">
          <w:marLeft w:val="0"/>
          <w:marRight w:val="0"/>
          <w:marTop w:val="30"/>
          <w:marBottom w:val="60"/>
          <w:divBdr>
            <w:top w:val="none" w:sz="0" w:space="0" w:color="auto"/>
            <w:left w:val="none" w:sz="0" w:space="0" w:color="auto"/>
            <w:bottom w:val="none" w:sz="0" w:space="0" w:color="auto"/>
            <w:right w:val="none" w:sz="0" w:space="0" w:color="auto"/>
          </w:divBdr>
          <w:divsChild>
            <w:div w:id="884021282">
              <w:marLeft w:val="0"/>
              <w:marRight w:val="0"/>
              <w:marTop w:val="0"/>
              <w:marBottom w:val="0"/>
              <w:divBdr>
                <w:top w:val="none" w:sz="0" w:space="0" w:color="auto"/>
                <w:left w:val="none" w:sz="0" w:space="0" w:color="auto"/>
                <w:bottom w:val="none" w:sz="0" w:space="0" w:color="auto"/>
                <w:right w:val="none" w:sz="0" w:space="0" w:color="auto"/>
              </w:divBdr>
              <w:divsChild>
                <w:div w:id="1180511593">
                  <w:marLeft w:val="0"/>
                  <w:marRight w:val="0"/>
                  <w:marTop w:val="0"/>
                  <w:marBottom w:val="0"/>
                  <w:divBdr>
                    <w:top w:val="none" w:sz="0" w:space="0" w:color="auto"/>
                    <w:left w:val="none" w:sz="0" w:space="0" w:color="auto"/>
                    <w:bottom w:val="none" w:sz="0" w:space="0" w:color="auto"/>
                    <w:right w:val="none" w:sz="0" w:space="0" w:color="auto"/>
                  </w:divBdr>
                  <w:divsChild>
                    <w:div w:id="1619143681">
                      <w:marLeft w:val="0"/>
                      <w:marRight w:val="0"/>
                      <w:marTop w:val="0"/>
                      <w:marBottom w:val="0"/>
                      <w:divBdr>
                        <w:top w:val="none" w:sz="0" w:space="0" w:color="auto"/>
                        <w:left w:val="none" w:sz="0" w:space="0" w:color="auto"/>
                        <w:bottom w:val="none" w:sz="0" w:space="0" w:color="auto"/>
                        <w:right w:val="none" w:sz="0" w:space="0" w:color="auto"/>
                      </w:divBdr>
                      <w:divsChild>
                        <w:div w:id="245504985">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802314849">
              <w:marLeft w:val="0"/>
              <w:marRight w:val="0"/>
              <w:marTop w:val="0"/>
              <w:marBottom w:val="0"/>
              <w:divBdr>
                <w:top w:val="none" w:sz="0" w:space="0" w:color="auto"/>
                <w:left w:val="none" w:sz="0" w:space="0" w:color="auto"/>
                <w:bottom w:val="none" w:sz="0" w:space="0" w:color="auto"/>
                <w:right w:val="none" w:sz="0" w:space="0" w:color="auto"/>
              </w:divBdr>
              <w:divsChild>
                <w:div w:id="667444609">
                  <w:marLeft w:val="0"/>
                  <w:marRight w:val="0"/>
                  <w:marTop w:val="0"/>
                  <w:marBottom w:val="0"/>
                  <w:divBdr>
                    <w:top w:val="none" w:sz="0" w:space="0" w:color="auto"/>
                    <w:left w:val="none" w:sz="0" w:space="0" w:color="auto"/>
                    <w:bottom w:val="none" w:sz="0" w:space="0" w:color="auto"/>
                    <w:right w:val="none" w:sz="0" w:space="0" w:color="auto"/>
                  </w:divBdr>
                  <w:divsChild>
                    <w:div w:id="1965650192">
                      <w:marLeft w:val="0"/>
                      <w:marRight w:val="0"/>
                      <w:marTop w:val="0"/>
                      <w:marBottom w:val="0"/>
                      <w:divBdr>
                        <w:top w:val="none" w:sz="0" w:space="0" w:color="auto"/>
                        <w:left w:val="none" w:sz="0" w:space="0" w:color="auto"/>
                        <w:bottom w:val="none" w:sz="0" w:space="0" w:color="auto"/>
                        <w:right w:val="none" w:sz="0" w:space="0" w:color="auto"/>
                      </w:divBdr>
                      <w:divsChild>
                        <w:div w:id="346293114">
                          <w:marLeft w:val="0"/>
                          <w:marRight w:val="0"/>
                          <w:marTop w:val="0"/>
                          <w:marBottom w:val="0"/>
                          <w:divBdr>
                            <w:top w:val="none" w:sz="0" w:space="0" w:color="auto"/>
                            <w:left w:val="none" w:sz="0" w:space="0" w:color="auto"/>
                            <w:bottom w:val="none" w:sz="0" w:space="0" w:color="auto"/>
                            <w:right w:val="none" w:sz="0" w:space="0" w:color="auto"/>
                          </w:divBdr>
                          <w:divsChild>
                            <w:div w:id="240792580">
                              <w:marLeft w:val="0"/>
                              <w:marRight w:val="0"/>
                              <w:marTop w:val="0"/>
                              <w:marBottom w:val="0"/>
                              <w:divBdr>
                                <w:top w:val="none" w:sz="0" w:space="0" w:color="auto"/>
                                <w:left w:val="none" w:sz="0" w:space="0" w:color="auto"/>
                                <w:bottom w:val="none" w:sz="0" w:space="0" w:color="auto"/>
                                <w:right w:val="none" w:sz="0" w:space="0" w:color="auto"/>
                              </w:divBdr>
                              <w:divsChild>
                                <w:div w:id="1535000160">
                                  <w:marLeft w:val="0"/>
                                  <w:marRight w:val="0"/>
                                  <w:marTop w:val="0"/>
                                  <w:marBottom w:val="0"/>
                                  <w:divBdr>
                                    <w:top w:val="none" w:sz="0" w:space="0" w:color="auto"/>
                                    <w:left w:val="none" w:sz="0" w:space="0" w:color="auto"/>
                                    <w:bottom w:val="none" w:sz="0" w:space="0" w:color="auto"/>
                                    <w:right w:val="none" w:sz="0" w:space="0" w:color="auto"/>
                                  </w:divBdr>
                                  <w:divsChild>
                                    <w:div w:id="1334146030">
                                      <w:marLeft w:val="0"/>
                                      <w:marRight w:val="0"/>
                                      <w:marTop w:val="0"/>
                                      <w:marBottom w:val="0"/>
                                      <w:divBdr>
                                        <w:top w:val="none" w:sz="0" w:space="0" w:color="auto"/>
                                        <w:left w:val="none" w:sz="0" w:space="0" w:color="auto"/>
                                        <w:bottom w:val="none" w:sz="0" w:space="0" w:color="auto"/>
                                        <w:right w:val="none" w:sz="0" w:space="0" w:color="auto"/>
                                      </w:divBdr>
                                      <w:divsChild>
                                        <w:div w:id="213735048">
                                          <w:marLeft w:val="0"/>
                                          <w:marRight w:val="0"/>
                                          <w:marTop w:val="0"/>
                                          <w:marBottom w:val="0"/>
                                          <w:divBdr>
                                            <w:top w:val="none" w:sz="0" w:space="0" w:color="auto"/>
                                            <w:left w:val="none" w:sz="0" w:space="0" w:color="auto"/>
                                            <w:bottom w:val="none" w:sz="0" w:space="0" w:color="auto"/>
                                            <w:right w:val="none" w:sz="0" w:space="0" w:color="auto"/>
                                          </w:divBdr>
                                          <w:divsChild>
                                            <w:div w:id="571505793">
                                              <w:marLeft w:val="0"/>
                                              <w:marRight w:val="0"/>
                                              <w:marTop w:val="0"/>
                                              <w:marBottom w:val="0"/>
                                              <w:divBdr>
                                                <w:top w:val="none" w:sz="0" w:space="0" w:color="auto"/>
                                                <w:left w:val="none" w:sz="0" w:space="0" w:color="auto"/>
                                                <w:bottom w:val="none" w:sz="0" w:space="0" w:color="auto"/>
                                                <w:right w:val="none" w:sz="0" w:space="0" w:color="auto"/>
                                              </w:divBdr>
                                              <w:divsChild>
                                                <w:div w:id="1633246812">
                                                  <w:marLeft w:val="0"/>
                                                  <w:marRight w:val="0"/>
                                                  <w:marTop w:val="0"/>
                                                  <w:marBottom w:val="0"/>
                                                  <w:divBdr>
                                                    <w:top w:val="none" w:sz="0" w:space="0" w:color="auto"/>
                                                    <w:left w:val="none" w:sz="0" w:space="0" w:color="auto"/>
                                                    <w:bottom w:val="none" w:sz="0" w:space="0" w:color="auto"/>
                                                    <w:right w:val="none" w:sz="0" w:space="0" w:color="auto"/>
                                                  </w:divBdr>
                                                  <w:divsChild>
                                                    <w:div w:id="573202326">
                                                      <w:marLeft w:val="0"/>
                                                      <w:marRight w:val="0"/>
                                                      <w:marTop w:val="0"/>
                                                      <w:marBottom w:val="0"/>
                                                      <w:divBdr>
                                                        <w:top w:val="none" w:sz="0" w:space="0" w:color="auto"/>
                                                        <w:left w:val="none" w:sz="0" w:space="0" w:color="auto"/>
                                                        <w:bottom w:val="none" w:sz="0" w:space="0" w:color="auto"/>
                                                        <w:right w:val="none" w:sz="0" w:space="0" w:color="auto"/>
                                                      </w:divBdr>
                                                      <w:divsChild>
                                                        <w:div w:id="1105926987">
                                                          <w:marLeft w:val="0"/>
                                                          <w:marRight w:val="0"/>
                                                          <w:marTop w:val="0"/>
                                                          <w:marBottom w:val="0"/>
                                                          <w:divBdr>
                                                            <w:top w:val="none" w:sz="0" w:space="0" w:color="auto"/>
                                                            <w:left w:val="none" w:sz="0" w:space="0" w:color="auto"/>
                                                            <w:bottom w:val="none" w:sz="0" w:space="0" w:color="auto"/>
                                                            <w:right w:val="none" w:sz="0" w:space="0" w:color="auto"/>
                                                          </w:divBdr>
                                                          <w:divsChild>
                                                            <w:div w:id="1260332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1362411">
                                                      <w:marLeft w:val="0"/>
                                                      <w:marRight w:val="0"/>
                                                      <w:marTop w:val="0"/>
                                                      <w:marBottom w:val="0"/>
                                                      <w:divBdr>
                                                        <w:top w:val="none" w:sz="0" w:space="0" w:color="auto"/>
                                                        <w:left w:val="none" w:sz="0" w:space="0" w:color="auto"/>
                                                        <w:bottom w:val="none" w:sz="0" w:space="0" w:color="auto"/>
                                                        <w:right w:val="none" w:sz="0" w:space="0" w:color="auto"/>
                                                      </w:divBdr>
                                                      <w:divsChild>
                                                        <w:div w:id="1095252348">
                                                          <w:marLeft w:val="0"/>
                                                          <w:marRight w:val="0"/>
                                                          <w:marTop w:val="0"/>
                                                          <w:marBottom w:val="0"/>
                                                          <w:divBdr>
                                                            <w:top w:val="none" w:sz="0" w:space="0" w:color="auto"/>
                                                            <w:left w:val="none" w:sz="0" w:space="0" w:color="auto"/>
                                                            <w:bottom w:val="none" w:sz="0" w:space="0" w:color="auto"/>
                                                            <w:right w:val="none" w:sz="0" w:space="0" w:color="auto"/>
                                                          </w:divBdr>
                                                          <w:divsChild>
                                                            <w:div w:id="1000230455">
                                                              <w:marLeft w:val="0"/>
                                                              <w:marRight w:val="0"/>
                                                              <w:marTop w:val="0"/>
                                                              <w:marBottom w:val="0"/>
                                                              <w:divBdr>
                                                                <w:top w:val="none" w:sz="0" w:space="0" w:color="auto"/>
                                                                <w:left w:val="none" w:sz="0" w:space="0" w:color="auto"/>
                                                                <w:bottom w:val="none" w:sz="0" w:space="0" w:color="auto"/>
                                                                <w:right w:val="none" w:sz="0" w:space="0" w:color="auto"/>
                                                              </w:divBdr>
                                                              <w:divsChild>
                                                                <w:div w:id="1577786535">
                                                                  <w:marLeft w:val="0"/>
                                                                  <w:marRight w:val="0"/>
                                                                  <w:marTop w:val="0"/>
                                                                  <w:marBottom w:val="0"/>
                                                                  <w:divBdr>
                                                                    <w:top w:val="none" w:sz="0" w:space="0" w:color="auto"/>
                                                                    <w:left w:val="none" w:sz="0" w:space="0" w:color="auto"/>
                                                                    <w:bottom w:val="none" w:sz="0" w:space="0" w:color="auto"/>
                                                                    <w:right w:val="none" w:sz="0" w:space="0" w:color="auto"/>
                                                                  </w:divBdr>
                                                                  <w:divsChild>
                                                                    <w:div w:id="1134904821">
                                                                      <w:marLeft w:val="0"/>
                                                                      <w:marRight w:val="0"/>
                                                                      <w:marTop w:val="75"/>
                                                                      <w:marBottom w:val="75"/>
                                                                      <w:divBdr>
                                                                        <w:top w:val="none" w:sz="0" w:space="0" w:color="auto"/>
                                                                        <w:left w:val="none" w:sz="0" w:space="0" w:color="auto"/>
                                                                        <w:bottom w:val="none" w:sz="0" w:space="0" w:color="auto"/>
                                                                        <w:right w:val="none" w:sz="0" w:space="0" w:color="auto"/>
                                                                      </w:divBdr>
                                                                      <w:divsChild>
                                                                        <w:div w:id="846748320">
                                                                          <w:marLeft w:val="0"/>
                                                                          <w:marRight w:val="0"/>
                                                                          <w:marTop w:val="0"/>
                                                                          <w:marBottom w:val="0"/>
                                                                          <w:divBdr>
                                                                            <w:top w:val="none" w:sz="0" w:space="0" w:color="auto"/>
                                                                            <w:left w:val="none" w:sz="0" w:space="0" w:color="auto"/>
                                                                            <w:bottom w:val="none" w:sz="0" w:space="0" w:color="auto"/>
                                                                            <w:right w:val="none" w:sz="0" w:space="0" w:color="auto"/>
                                                                          </w:divBdr>
                                                                          <w:divsChild>
                                                                            <w:div w:id="502159391">
                                                                              <w:marLeft w:val="0"/>
                                                                              <w:marRight w:val="0"/>
                                                                              <w:marTop w:val="0"/>
                                                                              <w:marBottom w:val="0"/>
                                                                              <w:divBdr>
                                                                                <w:top w:val="none" w:sz="0" w:space="0" w:color="auto"/>
                                                                                <w:left w:val="none" w:sz="0" w:space="0" w:color="auto"/>
                                                                                <w:bottom w:val="none" w:sz="0" w:space="0" w:color="auto"/>
                                                                                <w:right w:val="none" w:sz="0" w:space="0" w:color="auto"/>
                                                                              </w:divBdr>
                                                                              <w:divsChild>
                                                                                <w:div w:id="356085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63837264">
                                      <w:marLeft w:val="0"/>
                                      <w:marRight w:val="0"/>
                                      <w:marTop w:val="0"/>
                                      <w:marBottom w:val="0"/>
                                      <w:divBdr>
                                        <w:top w:val="none" w:sz="0" w:space="0" w:color="auto"/>
                                        <w:left w:val="none" w:sz="0" w:space="0" w:color="auto"/>
                                        <w:bottom w:val="none" w:sz="0" w:space="0" w:color="auto"/>
                                        <w:right w:val="none" w:sz="0" w:space="0" w:color="auto"/>
                                      </w:divBdr>
                                      <w:divsChild>
                                        <w:div w:id="252785501">
                                          <w:marLeft w:val="0"/>
                                          <w:marRight w:val="0"/>
                                          <w:marTop w:val="0"/>
                                          <w:marBottom w:val="0"/>
                                          <w:divBdr>
                                            <w:top w:val="none" w:sz="0" w:space="0" w:color="auto"/>
                                            <w:left w:val="none" w:sz="0" w:space="0" w:color="auto"/>
                                            <w:bottom w:val="none" w:sz="0" w:space="0" w:color="auto"/>
                                            <w:right w:val="none" w:sz="0" w:space="0" w:color="auto"/>
                                          </w:divBdr>
                                          <w:divsChild>
                                            <w:div w:id="2105298226">
                                              <w:marLeft w:val="0"/>
                                              <w:marRight w:val="0"/>
                                              <w:marTop w:val="0"/>
                                              <w:marBottom w:val="0"/>
                                              <w:divBdr>
                                                <w:top w:val="none" w:sz="0" w:space="0" w:color="auto"/>
                                                <w:left w:val="none" w:sz="0" w:space="0" w:color="auto"/>
                                                <w:bottom w:val="none" w:sz="0" w:space="0" w:color="auto"/>
                                                <w:right w:val="none" w:sz="0" w:space="0" w:color="auto"/>
                                              </w:divBdr>
                                              <w:divsChild>
                                                <w:div w:id="1145438266">
                                                  <w:marLeft w:val="0"/>
                                                  <w:marRight w:val="0"/>
                                                  <w:marTop w:val="150"/>
                                                  <w:marBottom w:val="0"/>
                                                  <w:divBdr>
                                                    <w:top w:val="none" w:sz="0" w:space="0" w:color="auto"/>
                                                    <w:left w:val="none" w:sz="0" w:space="0" w:color="auto"/>
                                                    <w:bottom w:val="none" w:sz="0" w:space="0" w:color="auto"/>
                                                    <w:right w:val="none" w:sz="0" w:space="0" w:color="auto"/>
                                                  </w:divBdr>
                                                  <w:divsChild>
                                                    <w:div w:id="641890567">
                                                      <w:marLeft w:val="0"/>
                                                      <w:marRight w:val="0"/>
                                                      <w:marTop w:val="0"/>
                                                      <w:marBottom w:val="0"/>
                                                      <w:divBdr>
                                                        <w:top w:val="none" w:sz="0" w:space="0" w:color="auto"/>
                                                        <w:left w:val="none" w:sz="0" w:space="0" w:color="auto"/>
                                                        <w:bottom w:val="none" w:sz="0" w:space="0" w:color="auto"/>
                                                        <w:right w:val="none" w:sz="0" w:space="0" w:color="auto"/>
                                                      </w:divBdr>
                                                    </w:div>
                                                    <w:div w:id="784159021">
                                                      <w:marLeft w:val="0"/>
                                                      <w:marRight w:val="0"/>
                                                      <w:marTop w:val="0"/>
                                                      <w:marBottom w:val="0"/>
                                                      <w:divBdr>
                                                        <w:top w:val="none" w:sz="0" w:space="0" w:color="auto"/>
                                                        <w:left w:val="none" w:sz="0" w:space="0" w:color="auto"/>
                                                        <w:bottom w:val="none" w:sz="0" w:space="0" w:color="auto"/>
                                                        <w:right w:val="none" w:sz="0" w:space="0" w:color="auto"/>
                                                      </w:divBdr>
                                                    </w:div>
                                                  </w:divsChild>
                                                </w:div>
                                                <w:div w:id="462428308">
                                                  <w:marLeft w:val="0"/>
                                                  <w:marRight w:val="0"/>
                                                  <w:marTop w:val="0"/>
                                                  <w:marBottom w:val="0"/>
                                                  <w:divBdr>
                                                    <w:top w:val="none" w:sz="0" w:space="0" w:color="auto"/>
                                                    <w:left w:val="none" w:sz="0" w:space="0" w:color="auto"/>
                                                    <w:bottom w:val="none" w:sz="0" w:space="0" w:color="auto"/>
                                                    <w:right w:val="none" w:sz="0" w:space="0" w:color="auto"/>
                                                  </w:divBdr>
                                                  <w:divsChild>
                                                    <w:div w:id="1737431569">
                                                      <w:marLeft w:val="0"/>
                                                      <w:marRight w:val="0"/>
                                                      <w:marTop w:val="0"/>
                                                      <w:marBottom w:val="0"/>
                                                      <w:divBdr>
                                                        <w:top w:val="none" w:sz="0" w:space="0" w:color="auto"/>
                                                        <w:left w:val="none" w:sz="0" w:space="0" w:color="auto"/>
                                                        <w:bottom w:val="none" w:sz="0" w:space="0" w:color="auto"/>
                                                        <w:right w:val="none" w:sz="0" w:space="0" w:color="auto"/>
                                                      </w:divBdr>
                                                      <w:divsChild>
                                                        <w:div w:id="735053794">
                                                          <w:marLeft w:val="0"/>
                                                          <w:marRight w:val="0"/>
                                                          <w:marTop w:val="0"/>
                                                          <w:marBottom w:val="0"/>
                                                          <w:divBdr>
                                                            <w:top w:val="none" w:sz="0" w:space="0" w:color="auto"/>
                                                            <w:left w:val="none" w:sz="0" w:space="0" w:color="auto"/>
                                                            <w:bottom w:val="none" w:sz="0" w:space="0" w:color="auto"/>
                                                            <w:right w:val="none" w:sz="0" w:space="0" w:color="auto"/>
                                                          </w:divBdr>
                                                          <w:divsChild>
                                                            <w:div w:id="859585425">
                                                              <w:marLeft w:val="0"/>
                                                              <w:marRight w:val="0"/>
                                                              <w:marTop w:val="0"/>
                                                              <w:marBottom w:val="0"/>
                                                              <w:divBdr>
                                                                <w:top w:val="none" w:sz="0" w:space="0" w:color="auto"/>
                                                                <w:left w:val="none" w:sz="0" w:space="0" w:color="auto"/>
                                                                <w:bottom w:val="none" w:sz="0" w:space="0" w:color="auto"/>
                                                                <w:right w:val="none" w:sz="0" w:space="0" w:color="auto"/>
                                                              </w:divBdr>
                                                            </w:div>
                                                            <w:div w:id="867911055">
                                                              <w:marLeft w:val="0"/>
                                                              <w:marRight w:val="0"/>
                                                              <w:marTop w:val="0"/>
                                                              <w:marBottom w:val="0"/>
                                                              <w:divBdr>
                                                                <w:top w:val="none" w:sz="0" w:space="0" w:color="auto"/>
                                                                <w:left w:val="none" w:sz="0" w:space="0" w:color="auto"/>
                                                                <w:bottom w:val="none" w:sz="0" w:space="0" w:color="auto"/>
                                                                <w:right w:val="none" w:sz="0" w:space="0" w:color="auto"/>
                                                              </w:divBdr>
                                                            </w:div>
                                                            <w:div w:id="251471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346754676">
      <w:bodyDiv w:val="1"/>
      <w:marLeft w:val="0"/>
      <w:marRight w:val="0"/>
      <w:marTop w:val="0"/>
      <w:marBottom w:val="0"/>
      <w:divBdr>
        <w:top w:val="none" w:sz="0" w:space="0" w:color="auto"/>
        <w:left w:val="none" w:sz="0" w:space="0" w:color="auto"/>
        <w:bottom w:val="none" w:sz="0" w:space="0" w:color="auto"/>
        <w:right w:val="none" w:sz="0" w:space="0" w:color="auto"/>
      </w:divBdr>
      <w:divsChild>
        <w:div w:id="1201437906">
          <w:marLeft w:val="0"/>
          <w:marRight w:val="0"/>
          <w:marTop w:val="0"/>
          <w:marBottom w:val="0"/>
          <w:divBdr>
            <w:top w:val="none" w:sz="0" w:space="0" w:color="auto"/>
            <w:left w:val="none" w:sz="0" w:space="0" w:color="auto"/>
            <w:bottom w:val="single" w:sz="6" w:space="12" w:color="DDDDDD"/>
            <w:right w:val="none" w:sz="0" w:space="0" w:color="auto"/>
          </w:divBdr>
          <w:divsChild>
            <w:div w:id="1368796362">
              <w:marLeft w:val="0"/>
              <w:marRight w:val="0"/>
              <w:marTop w:val="0"/>
              <w:marBottom w:val="0"/>
              <w:divBdr>
                <w:top w:val="none" w:sz="0" w:space="0" w:color="auto"/>
                <w:left w:val="none" w:sz="0" w:space="0" w:color="auto"/>
                <w:bottom w:val="none" w:sz="0" w:space="0" w:color="auto"/>
                <w:right w:val="none" w:sz="0" w:space="0" w:color="auto"/>
              </w:divBdr>
              <w:divsChild>
                <w:div w:id="766343065">
                  <w:marLeft w:val="0"/>
                  <w:marRight w:val="0"/>
                  <w:marTop w:val="0"/>
                  <w:marBottom w:val="0"/>
                  <w:divBdr>
                    <w:top w:val="none" w:sz="0" w:space="0" w:color="auto"/>
                    <w:left w:val="none" w:sz="0" w:space="0" w:color="auto"/>
                    <w:bottom w:val="none" w:sz="0" w:space="0" w:color="auto"/>
                    <w:right w:val="none" w:sz="0" w:space="0" w:color="auto"/>
                  </w:divBdr>
                  <w:divsChild>
                    <w:div w:id="862784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1363512">
          <w:marLeft w:val="0"/>
          <w:marRight w:val="0"/>
          <w:marTop w:val="0"/>
          <w:marBottom w:val="0"/>
          <w:divBdr>
            <w:top w:val="none" w:sz="0" w:space="0" w:color="auto"/>
            <w:left w:val="none" w:sz="0" w:space="0" w:color="auto"/>
            <w:bottom w:val="single" w:sz="6" w:space="12" w:color="DDDDDD"/>
            <w:right w:val="none" w:sz="0" w:space="0" w:color="auto"/>
          </w:divBdr>
          <w:divsChild>
            <w:div w:id="76481111">
              <w:marLeft w:val="0"/>
              <w:marRight w:val="0"/>
              <w:marTop w:val="0"/>
              <w:marBottom w:val="0"/>
              <w:divBdr>
                <w:top w:val="none" w:sz="0" w:space="0" w:color="auto"/>
                <w:left w:val="none" w:sz="0" w:space="0" w:color="auto"/>
                <w:bottom w:val="none" w:sz="0" w:space="0" w:color="auto"/>
                <w:right w:val="none" w:sz="0" w:space="0" w:color="auto"/>
              </w:divBdr>
              <w:divsChild>
                <w:div w:id="1727142157">
                  <w:marLeft w:val="0"/>
                  <w:marRight w:val="0"/>
                  <w:marTop w:val="0"/>
                  <w:marBottom w:val="0"/>
                  <w:divBdr>
                    <w:top w:val="none" w:sz="0" w:space="0" w:color="auto"/>
                    <w:left w:val="none" w:sz="0" w:space="0" w:color="auto"/>
                    <w:bottom w:val="none" w:sz="0" w:space="0" w:color="auto"/>
                    <w:right w:val="none" w:sz="0" w:space="0" w:color="auto"/>
                  </w:divBdr>
                  <w:divsChild>
                    <w:div w:id="902251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5271004">
          <w:marLeft w:val="0"/>
          <w:marRight w:val="0"/>
          <w:marTop w:val="0"/>
          <w:marBottom w:val="0"/>
          <w:divBdr>
            <w:top w:val="none" w:sz="0" w:space="0" w:color="auto"/>
            <w:left w:val="none" w:sz="0" w:space="0" w:color="auto"/>
            <w:bottom w:val="single" w:sz="6" w:space="12" w:color="DDDDDD"/>
            <w:right w:val="none" w:sz="0" w:space="0" w:color="auto"/>
          </w:divBdr>
          <w:divsChild>
            <w:div w:id="318964964">
              <w:marLeft w:val="0"/>
              <w:marRight w:val="0"/>
              <w:marTop w:val="0"/>
              <w:marBottom w:val="0"/>
              <w:divBdr>
                <w:top w:val="none" w:sz="0" w:space="0" w:color="auto"/>
                <w:left w:val="none" w:sz="0" w:space="0" w:color="auto"/>
                <w:bottom w:val="none" w:sz="0" w:space="0" w:color="auto"/>
                <w:right w:val="none" w:sz="0" w:space="0" w:color="auto"/>
              </w:divBdr>
              <w:divsChild>
                <w:div w:id="819804351">
                  <w:marLeft w:val="0"/>
                  <w:marRight w:val="0"/>
                  <w:marTop w:val="0"/>
                  <w:marBottom w:val="0"/>
                  <w:divBdr>
                    <w:top w:val="none" w:sz="0" w:space="0" w:color="auto"/>
                    <w:left w:val="none" w:sz="0" w:space="0" w:color="auto"/>
                    <w:bottom w:val="none" w:sz="0" w:space="0" w:color="auto"/>
                    <w:right w:val="none" w:sz="0" w:space="0" w:color="auto"/>
                  </w:divBdr>
                  <w:divsChild>
                    <w:div w:id="1587957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799501">
          <w:marLeft w:val="0"/>
          <w:marRight w:val="0"/>
          <w:marTop w:val="0"/>
          <w:marBottom w:val="0"/>
          <w:divBdr>
            <w:top w:val="none" w:sz="0" w:space="0" w:color="auto"/>
            <w:left w:val="none" w:sz="0" w:space="0" w:color="auto"/>
            <w:bottom w:val="single" w:sz="6" w:space="12" w:color="DDDDDD"/>
            <w:right w:val="none" w:sz="0" w:space="0" w:color="auto"/>
          </w:divBdr>
          <w:divsChild>
            <w:div w:id="240457683">
              <w:marLeft w:val="0"/>
              <w:marRight w:val="0"/>
              <w:marTop w:val="0"/>
              <w:marBottom w:val="0"/>
              <w:divBdr>
                <w:top w:val="none" w:sz="0" w:space="0" w:color="auto"/>
                <w:left w:val="none" w:sz="0" w:space="0" w:color="auto"/>
                <w:bottom w:val="none" w:sz="0" w:space="0" w:color="auto"/>
                <w:right w:val="none" w:sz="0" w:space="0" w:color="auto"/>
              </w:divBdr>
              <w:divsChild>
                <w:div w:id="1132599872">
                  <w:marLeft w:val="0"/>
                  <w:marRight w:val="0"/>
                  <w:marTop w:val="0"/>
                  <w:marBottom w:val="0"/>
                  <w:divBdr>
                    <w:top w:val="none" w:sz="0" w:space="0" w:color="auto"/>
                    <w:left w:val="none" w:sz="0" w:space="0" w:color="auto"/>
                    <w:bottom w:val="none" w:sz="0" w:space="0" w:color="auto"/>
                    <w:right w:val="none" w:sz="0" w:space="0" w:color="auto"/>
                  </w:divBdr>
                  <w:divsChild>
                    <w:div w:id="1550919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586370">
          <w:marLeft w:val="0"/>
          <w:marRight w:val="0"/>
          <w:marTop w:val="0"/>
          <w:marBottom w:val="0"/>
          <w:divBdr>
            <w:top w:val="none" w:sz="0" w:space="0" w:color="auto"/>
            <w:left w:val="none" w:sz="0" w:space="0" w:color="auto"/>
            <w:bottom w:val="single" w:sz="6" w:space="12" w:color="DDDDDD"/>
            <w:right w:val="none" w:sz="0" w:space="0" w:color="auto"/>
          </w:divBdr>
          <w:divsChild>
            <w:div w:id="1842306398">
              <w:marLeft w:val="0"/>
              <w:marRight w:val="0"/>
              <w:marTop w:val="0"/>
              <w:marBottom w:val="0"/>
              <w:divBdr>
                <w:top w:val="none" w:sz="0" w:space="0" w:color="auto"/>
                <w:left w:val="none" w:sz="0" w:space="0" w:color="auto"/>
                <w:bottom w:val="none" w:sz="0" w:space="0" w:color="auto"/>
                <w:right w:val="none" w:sz="0" w:space="0" w:color="auto"/>
              </w:divBdr>
              <w:divsChild>
                <w:div w:id="1557547139">
                  <w:marLeft w:val="0"/>
                  <w:marRight w:val="0"/>
                  <w:marTop w:val="0"/>
                  <w:marBottom w:val="0"/>
                  <w:divBdr>
                    <w:top w:val="none" w:sz="0" w:space="0" w:color="auto"/>
                    <w:left w:val="none" w:sz="0" w:space="0" w:color="auto"/>
                    <w:bottom w:val="none" w:sz="0" w:space="0" w:color="auto"/>
                    <w:right w:val="none" w:sz="0" w:space="0" w:color="auto"/>
                  </w:divBdr>
                  <w:divsChild>
                    <w:div w:id="1970893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179236">
          <w:marLeft w:val="0"/>
          <w:marRight w:val="0"/>
          <w:marTop w:val="0"/>
          <w:marBottom w:val="0"/>
          <w:divBdr>
            <w:top w:val="none" w:sz="0" w:space="0" w:color="auto"/>
            <w:left w:val="none" w:sz="0" w:space="0" w:color="auto"/>
            <w:bottom w:val="single" w:sz="6" w:space="12" w:color="DDDDDD"/>
            <w:right w:val="none" w:sz="0" w:space="0" w:color="auto"/>
          </w:divBdr>
          <w:divsChild>
            <w:div w:id="1087843421">
              <w:marLeft w:val="0"/>
              <w:marRight w:val="0"/>
              <w:marTop w:val="0"/>
              <w:marBottom w:val="0"/>
              <w:divBdr>
                <w:top w:val="none" w:sz="0" w:space="0" w:color="auto"/>
                <w:left w:val="none" w:sz="0" w:space="0" w:color="auto"/>
                <w:bottom w:val="none" w:sz="0" w:space="0" w:color="auto"/>
                <w:right w:val="none" w:sz="0" w:space="0" w:color="auto"/>
              </w:divBdr>
              <w:divsChild>
                <w:div w:id="531459495">
                  <w:marLeft w:val="0"/>
                  <w:marRight w:val="0"/>
                  <w:marTop w:val="0"/>
                  <w:marBottom w:val="0"/>
                  <w:divBdr>
                    <w:top w:val="none" w:sz="0" w:space="0" w:color="auto"/>
                    <w:left w:val="none" w:sz="0" w:space="0" w:color="auto"/>
                    <w:bottom w:val="none" w:sz="0" w:space="0" w:color="auto"/>
                    <w:right w:val="none" w:sz="0" w:space="0" w:color="auto"/>
                  </w:divBdr>
                  <w:divsChild>
                    <w:div w:id="533932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8521119">
          <w:marLeft w:val="0"/>
          <w:marRight w:val="0"/>
          <w:marTop w:val="0"/>
          <w:marBottom w:val="0"/>
          <w:divBdr>
            <w:top w:val="none" w:sz="0" w:space="0" w:color="auto"/>
            <w:left w:val="none" w:sz="0" w:space="0" w:color="auto"/>
            <w:bottom w:val="single" w:sz="6" w:space="12" w:color="DDDDDD"/>
            <w:right w:val="none" w:sz="0" w:space="0" w:color="auto"/>
          </w:divBdr>
          <w:divsChild>
            <w:div w:id="1963992544">
              <w:marLeft w:val="0"/>
              <w:marRight w:val="0"/>
              <w:marTop w:val="0"/>
              <w:marBottom w:val="0"/>
              <w:divBdr>
                <w:top w:val="none" w:sz="0" w:space="0" w:color="auto"/>
                <w:left w:val="none" w:sz="0" w:space="0" w:color="auto"/>
                <w:bottom w:val="none" w:sz="0" w:space="0" w:color="auto"/>
                <w:right w:val="none" w:sz="0" w:space="0" w:color="auto"/>
              </w:divBdr>
              <w:divsChild>
                <w:div w:id="1925263380">
                  <w:marLeft w:val="0"/>
                  <w:marRight w:val="0"/>
                  <w:marTop w:val="0"/>
                  <w:marBottom w:val="0"/>
                  <w:divBdr>
                    <w:top w:val="none" w:sz="0" w:space="0" w:color="auto"/>
                    <w:left w:val="none" w:sz="0" w:space="0" w:color="auto"/>
                    <w:bottom w:val="none" w:sz="0" w:space="0" w:color="auto"/>
                    <w:right w:val="none" w:sz="0" w:space="0" w:color="auto"/>
                  </w:divBdr>
                  <w:divsChild>
                    <w:div w:id="965425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7381108">
          <w:marLeft w:val="0"/>
          <w:marRight w:val="0"/>
          <w:marTop w:val="0"/>
          <w:marBottom w:val="0"/>
          <w:divBdr>
            <w:top w:val="none" w:sz="0" w:space="0" w:color="auto"/>
            <w:left w:val="none" w:sz="0" w:space="0" w:color="auto"/>
            <w:bottom w:val="single" w:sz="6" w:space="12" w:color="DDDDDD"/>
            <w:right w:val="none" w:sz="0" w:space="0" w:color="auto"/>
          </w:divBdr>
          <w:divsChild>
            <w:div w:id="316954925">
              <w:marLeft w:val="0"/>
              <w:marRight w:val="0"/>
              <w:marTop w:val="0"/>
              <w:marBottom w:val="0"/>
              <w:divBdr>
                <w:top w:val="none" w:sz="0" w:space="0" w:color="auto"/>
                <w:left w:val="none" w:sz="0" w:space="0" w:color="auto"/>
                <w:bottom w:val="none" w:sz="0" w:space="0" w:color="auto"/>
                <w:right w:val="none" w:sz="0" w:space="0" w:color="auto"/>
              </w:divBdr>
              <w:divsChild>
                <w:div w:id="1857191301">
                  <w:marLeft w:val="0"/>
                  <w:marRight w:val="0"/>
                  <w:marTop w:val="0"/>
                  <w:marBottom w:val="0"/>
                  <w:divBdr>
                    <w:top w:val="none" w:sz="0" w:space="0" w:color="auto"/>
                    <w:left w:val="none" w:sz="0" w:space="0" w:color="auto"/>
                    <w:bottom w:val="none" w:sz="0" w:space="0" w:color="auto"/>
                    <w:right w:val="none" w:sz="0" w:space="0" w:color="auto"/>
                  </w:divBdr>
                  <w:divsChild>
                    <w:div w:id="1241018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0675677">
          <w:marLeft w:val="0"/>
          <w:marRight w:val="0"/>
          <w:marTop w:val="0"/>
          <w:marBottom w:val="0"/>
          <w:divBdr>
            <w:top w:val="none" w:sz="0" w:space="0" w:color="auto"/>
            <w:left w:val="none" w:sz="0" w:space="0" w:color="auto"/>
            <w:bottom w:val="single" w:sz="6" w:space="12" w:color="DDDDDD"/>
            <w:right w:val="none" w:sz="0" w:space="0" w:color="auto"/>
          </w:divBdr>
          <w:divsChild>
            <w:div w:id="1012754695">
              <w:marLeft w:val="0"/>
              <w:marRight w:val="0"/>
              <w:marTop w:val="0"/>
              <w:marBottom w:val="0"/>
              <w:divBdr>
                <w:top w:val="none" w:sz="0" w:space="0" w:color="auto"/>
                <w:left w:val="none" w:sz="0" w:space="0" w:color="auto"/>
                <w:bottom w:val="none" w:sz="0" w:space="0" w:color="auto"/>
                <w:right w:val="none" w:sz="0" w:space="0" w:color="auto"/>
              </w:divBdr>
              <w:divsChild>
                <w:div w:id="1140614736">
                  <w:marLeft w:val="0"/>
                  <w:marRight w:val="0"/>
                  <w:marTop w:val="0"/>
                  <w:marBottom w:val="0"/>
                  <w:divBdr>
                    <w:top w:val="none" w:sz="0" w:space="0" w:color="auto"/>
                    <w:left w:val="none" w:sz="0" w:space="0" w:color="auto"/>
                    <w:bottom w:val="none" w:sz="0" w:space="0" w:color="auto"/>
                    <w:right w:val="none" w:sz="0" w:space="0" w:color="auto"/>
                  </w:divBdr>
                  <w:divsChild>
                    <w:div w:id="619386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9432657">
          <w:marLeft w:val="0"/>
          <w:marRight w:val="0"/>
          <w:marTop w:val="0"/>
          <w:marBottom w:val="0"/>
          <w:divBdr>
            <w:top w:val="none" w:sz="0" w:space="0" w:color="auto"/>
            <w:left w:val="none" w:sz="0" w:space="0" w:color="auto"/>
            <w:bottom w:val="single" w:sz="6" w:space="12" w:color="DDDDDD"/>
            <w:right w:val="none" w:sz="0" w:space="0" w:color="auto"/>
          </w:divBdr>
          <w:divsChild>
            <w:div w:id="1123692999">
              <w:marLeft w:val="0"/>
              <w:marRight w:val="0"/>
              <w:marTop w:val="0"/>
              <w:marBottom w:val="0"/>
              <w:divBdr>
                <w:top w:val="none" w:sz="0" w:space="0" w:color="auto"/>
                <w:left w:val="none" w:sz="0" w:space="0" w:color="auto"/>
                <w:bottom w:val="none" w:sz="0" w:space="0" w:color="auto"/>
                <w:right w:val="none" w:sz="0" w:space="0" w:color="auto"/>
              </w:divBdr>
              <w:divsChild>
                <w:div w:id="159008104">
                  <w:marLeft w:val="0"/>
                  <w:marRight w:val="0"/>
                  <w:marTop w:val="0"/>
                  <w:marBottom w:val="0"/>
                  <w:divBdr>
                    <w:top w:val="none" w:sz="0" w:space="0" w:color="auto"/>
                    <w:left w:val="none" w:sz="0" w:space="0" w:color="auto"/>
                    <w:bottom w:val="none" w:sz="0" w:space="0" w:color="auto"/>
                    <w:right w:val="none" w:sz="0" w:space="0" w:color="auto"/>
                  </w:divBdr>
                  <w:divsChild>
                    <w:div w:id="1526401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265410">
          <w:marLeft w:val="0"/>
          <w:marRight w:val="0"/>
          <w:marTop w:val="0"/>
          <w:marBottom w:val="0"/>
          <w:divBdr>
            <w:top w:val="none" w:sz="0" w:space="0" w:color="auto"/>
            <w:left w:val="none" w:sz="0" w:space="0" w:color="auto"/>
            <w:bottom w:val="single" w:sz="6" w:space="12" w:color="DDDDDD"/>
            <w:right w:val="none" w:sz="0" w:space="0" w:color="auto"/>
          </w:divBdr>
          <w:divsChild>
            <w:div w:id="784999894">
              <w:marLeft w:val="0"/>
              <w:marRight w:val="0"/>
              <w:marTop w:val="0"/>
              <w:marBottom w:val="0"/>
              <w:divBdr>
                <w:top w:val="none" w:sz="0" w:space="0" w:color="auto"/>
                <w:left w:val="none" w:sz="0" w:space="0" w:color="auto"/>
                <w:bottom w:val="none" w:sz="0" w:space="0" w:color="auto"/>
                <w:right w:val="none" w:sz="0" w:space="0" w:color="auto"/>
              </w:divBdr>
              <w:divsChild>
                <w:div w:id="1417629826">
                  <w:marLeft w:val="0"/>
                  <w:marRight w:val="0"/>
                  <w:marTop w:val="0"/>
                  <w:marBottom w:val="0"/>
                  <w:divBdr>
                    <w:top w:val="none" w:sz="0" w:space="0" w:color="auto"/>
                    <w:left w:val="none" w:sz="0" w:space="0" w:color="auto"/>
                    <w:bottom w:val="none" w:sz="0" w:space="0" w:color="auto"/>
                    <w:right w:val="none" w:sz="0" w:space="0" w:color="auto"/>
                  </w:divBdr>
                  <w:divsChild>
                    <w:div w:id="851921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5870243">
          <w:marLeft w:val="0"/>
          <w:marRight w:val="0"/>
          <w:marTop w:val="0"/>
          <w:marBottom w:val="0"/>
          <w:divBdr>
            <w:top w:val="none" w:sz="0" w:space="0" w:color="auto"/>
            <w:left w:val="none" w:sz="0" w:space="0" w:color="auto"/>
            <w:bottom w:val="single" w:sz="6" w:space="12" w:color="DDDDDD"/>
            <w:right w:val="none" w:sz="0" w:space="0" w:color="auto"/>
          </w:divBdr>
          <w:divsChild>
            <w:div w:id="1900556387">
              <w:marLeft w:val="0"/>
              <w:marRight w:val="0"/>
              <w:marTop w:val="0"/>
              <w:marBottom w:val="0"/>
              <w:divBdr>
                <w:top w:val="none" w:sz="0" w:space="0" w:color="auto"/>
                <w:left w:val="none" w:sz="0" w:space="0" w:color="auto"/>
                <w:bottom w:val="none" w:sz="0" w:space="0" w:color="auto"/>
                <w:right w:val="none" w:sz="0" w:space="0" w:color="auto"/>
              </w:divBdr>
              <w:divsChild>
                <w:div w:id="1562213508">
                  <w:marLeft w:val="0"/>
                  <w:marRight w:val="0"/>
                  <w:marTop w:val="0"/>
                  <w:marBottom w:val="0"/>
                  <w:divBdr>
                    <w:top w:val="none" w:sz="0" w:space="0" w:color="auto"/>
                    <w:left w:val="none" w:sz="0" w:space="0" w:color="auto"/>
                    <w:bottom w:val="none" w:sz="0" w:space="0" w:color="auto"/>
                    <w:right w:val="none" w:sz="0" w:space="0" w:color="auto"/>
                  </w:divBdr>
                  <w:divsChild>
                    <w:div w:id="67651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2952681">
          <w:marLeft w:val="0"/>
          <w:marRight w:val="0"/>
          <w:marTop w:val="0"/>
          <w:marBottom w:val="0"/>
          <w:divBdr>
            <w:top w:val="none" w:sz="0" w:space="0" w:color="auto"/>
            <w:left w:val="none" w:sz="0" w:space="0" w:color="auto"/>
            <w:bottom w:val="single" w:sz="6" w:space="12" w:color="DDDDDD"/>
            <w:right w:val="none" w:sz="0" w:space="0" w:color="auto"/>
          </w:divBdr>
          <w:divsChild>
            <w:div w:id="1113941011">
              <w:marLeft w:val="0"/>
              <w:marRight w:val="0"/>
              <w:marTop w:val="0"/>
              <w:marBottom w:val="0"/>
              <w:divBdr>
                <w:top w:val="none" w:sz="0" w:space="0" w:color="auto"/>
                <w:left w:val="none" w:sz="0" w:space="0" w:color="auto"/>
                <w:bottom w:val="none" w:sz="0" w:space="0" w:color="auto"/>
                <w:right w:val="none" w:sz="0" w:space="0" w:color="auto"/>
              </w:divBdr>
              <w:divsChild>
                <w:div w:id="1545749003">
                  <w:marLeft w:val="0"/>
                  <w:marRight w:val="0"/>
                  <w:marTop w:val="0"/>
                  <w:marBottom w:val="0"/>
                  <w:divBdr>
                    <w:top w:val="none" w:sz="0" w:space="0" w:color="auto"/>
                    <w:left w:val="none" w:sz="0" w:space="0" w:color="auto"/>
                    <w:bottom w:val="none" w:sz="0" w:space="0" w:color="auto"/>
                    <w:right w:val="none" w:sz="0" w:space="0" w:color="auto"/>
                  </w:divBdr>
                  <w:divsChild>
                    <w:div w:id="388651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6867118">
          <w:marLeft w:val="0"/>
          <w:marRight w:val="0"/>
          <w:marTop w:val="0"/>
          <w:marBottom w:val="0"/>
          <w:divBdr>
            <w:top w:val="none" w:sz="0" w:space="0" w:color="auto"/>
            <w:left w:val="none" w:sz="0" w:space="0" w:color="auto"/>
            <w:bottom w:val="single" w:sz="6" w:space="12" w:color="DDDDDD"/>
            <w:right w:val="none" w:sz="0" w:space="0" w:color="auto"/>
          </w:divBdr>
          <w:divsChild>
            <w:div w:id="1974288782">
              <w:marLeft w:val="0"/>
              <w:marRight w:val="0"/>
              <w:marTop w:val="0"/>
              <w:marBottom w:val="0"/>
              <w:divBdr>
                <w:top w:val="none" w:sz="0" w:space="0" w:color="auto"/>
                <w:left w:val="none" w:sz="0" w:space="0" w:color="auto"/>
                <w:bottom w:val="none" w:sz="0" w:space="0" w:color="auto"/>
                <w:right w:val="none" w:sz="0" w:space="0" w:color="auto"/>
              </w:divBdr>
              <w:divsChild>
                <w:div w:id="1061178353">
                  <w:marLeft w:val="0"/>
                  <w:marRight w:val="0"/>
                  <w:marTop w:val="0"/>
                  <w:marBottom w:val="0"/>
                  <w:divBdr>
                    <w:top w:val="none" w:sz="0" w:space="0" w:color="auto"/>
                    <w:left w:val="none" w:sz="0" w:space="0" w:color="auto"/>
                    <w:bottom w:val="none" w:sz="0" w:space="0" w:color="auto"/>
                    <w:right w:val="none" w:sz="0" w:space="0" w:color="auto"/>
                  </w:divBdr>
                  <w:divsChild>
                    <w:div w:id="1529639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2085855">
          <w:marLeft w:val="0"/>
          <w:marRight w:val="0"/>
          <w:marTop w:val="0"/>
          <w:marBottom w:val="0"/>
          <w:divBdr>
            <w:top w:val="none" w:sz="0" w:space="0" w:color="auto"/>
            <w:left w:val="none" w:sz="0" w:space="0" w:color="auto"/>
            <w:bottom w:val="single" w:sz="6" w:space="12" w:color="DDDDDD"/>
            <w:right w:val="none" w:sz="0" w:space="0" w:color="auto"/>
          </w:divBdr>
          <w:divsChild>
            <w:div w:id="1032801446">
              <w:marLeft w:val="0"/>
              <w:marRight w:val="0"/>
              <w:marTop w:val="0"/>
              <w:marBottom w:val="0"/>
              <w:divBdr>
                <w:top w:val="none" w:sz="0" w:space="0" w:color="auto"/>
                <w:left w:val="none" w:sz="0" w:space="0" w:color="auto"/>
                <w:bottom w:val="none" w:sz="0" w:space="0" w:color="auto"/>
                <w:right w:val="none" w:sz="0" w:space="0" w:color="auto"/>
              </w:divBdr>
              <w:divsChild>
                <w:div w:id="1916815627">
                  <w:marLeft w:val="0"/>
                  <w:marRight w:val="0"/>
                  <w:marTop w:val="0"/>
                  <w:marBottom w:val="0"/>
                  <w:divBdr>
                    <w:top w:val="none" w:sz="0" w:space="0" w:color="auto"/>
                    <w:left w:val="none" w:sz="0" w:space="0" w:color="auto"/>
                    <w:bottom w:val="none" w:sz="0" w:space="0" w:color="auto"/>
                    <w:right w:val="none" w:sz="0" w:space="0" w:color="auto"/>
                  </w:divBdr>
                  <w:divsChild>
                    <w:div w:id="419722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0499576">
          <w:marLeft w:val="0"/>
          <w:marRight w:val="0"/>
          <w:marTop w:val="0"/>
          <w:marBottom w:val="0"/>
          <w:divBdr>
            <w:top w:val="none" w:sz="0" w:space="0" w:color="auto"/>
            <w:left w:val="none" w:sz="0" w:space="0" w:color="auto"/>
            <w:bottom w:val="single" w:sz="6" w:space="12" w:color="DDDDDD"/>
            <w:right w:val="none" w:sz="0" w:space="0" w:color="auto"/>
          </w:divBdr>
          <w:divsChild>
            <w:div w:id="325061485">
              <w:marLeft w:val="0"/>
              <w:marRight w:val="0"/>
              <w:marTop w:val="0"/>
              <w:marBottom w:val="0"/>
              <w:divBdr>
                <w:top w:val="none" w:sz="0" w:space="0" w:color="auto"/>
                <w:left w:val="none" w:sz="0" w:space="0" w:color="auto"/>
                <w:bottom w:val="none" w:sz="0" w:space="0" w:color="auto"/>
                <w:right w:val="none" w:sz="0" w:space="0" w:color="auto"/>
              </w:divBdr>
              <w:divsChild>
                <w:div w:id="1455170690">
                  <w:marLeft w:val="0"/>
                  <w:marRight w:val="0"/>
                  <w:marTop w:val="0"/>
                  <w:marBottom w:val="0"/>
                  <w:divBdr>
                    <w:top w:val="none" w:sz="0" w:space="0" w:color="auto"/>
                    <w:left w:val="none" w:sz="0" w:space="0" w:color="auto"/>
                    <w:bottom w:val="none" w:sz="0" w:space="0" w:color="auto"/>
                    <w:right w:val="none" w:sz="0" w:space="0" w:color="auto"/>
                  </w:divBdr>
                  <w:divsChild>
                    <w:div w:id="697657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34130">
          <w:marLeft w:val="0"/>
          <w:marRight w:val="0"/>
          <w:marTop w:val="0"/>
          <w:marBottom w:val="0"/>
          <w:divBdr>
            <w:top w:val="none" w:sz="0" w:space="0" w:color="auto"/>
            <w:left w:val="none" w:sz="0" w:space="0" w:color="auto"/>
            <w:bottom w:val="single" w:sz="6" w:space="12" w:color="DDDDDD"/>
            <w:right w:val="none" w:sz="0" w:space="0" w:color="auto"/>
          </w:divBdr>
          <w:divsChild>
            <w:div w:id="1216620073">
              <w:marLeft w:val="0"/>
              <w:marRight w:val="0"/>
              <w:marTop w:val="0"/>
              <w:marBottom w:val="0"/>
              <w:divBdr>
                <w:top w:val="none" w:sz="0" w:space="0" w:color="auto"/>
                <w:left w:val="none" w:sz="0" w:space="0" w:color="auto"/>
                <w:bottom w:val="none" w:sz="0" w:space="0" w:color="auto"/>
                <w:right w:val="none" w:sz="0" w:space="0" w:color="auto"/>
              </w:divBdr>
              <w:divsChild>
                <w:div w:id="1798252322">
                  <w:marLeft w:val="0"/>
                  <w:marRight w:val="0"/>
                  <w:marTop w:val="0"/>
                  <w:marBottom w:val="0"/>
                  <w:divBdr>
                    <w:top w:val="none" w:sz="0" w:space="0" w:color="auto"/>
                    <w:left w:val="none" w:sz="0" w:space="0" w:color="auto"/>
                    <w:bottom w:val="none" w:sz="0" w:space="0" w:color="auto"/>
                    <w:right w:val="none" w:sz="0" w:space="0" w:color="auto"/>
                  </w:divBdr>
                  <w:divsChild>
                    <w:div w:id="1012875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4990985">
          <w:marLeft w:val="0"/>
          <w:marRight w:val="0"/>
          <w:marTop w:val="0"/>
          <w:marBottom w:val="0"/>
          <w:divBdr>
            <w:top w:val="none" w:sz="0" w:space="0" w:color="auto"/>
            <w:left w:val="none" w:sz="0" w:space="0" w:color="auto"/>
            <w:bottom w:val="single" w:sz="6" w:space="12" w:color="DDDDDD"/>
            <w:right w:val="none" w:sz="0" w:space="0" w:color="auto"/>
          </w:divBdr>
          <w:divsChild>
            <w:div w:id="468595020">
              <w:marLeft w:val="0"/>
              <w:marRight w:val="0"/>
              <w:marTop w:val="0"/>
              <w:marBottom w:val="0"/>
              <w:divBdr>
                <w:top w:val="none" w:sz="0" w:space="0" w:color="auto"/>
                <w:left w:val="none" w:sz="0" w:space="0" w:color="auto"/>
                <w:bottom w:val="none" w:sz="0" w:space="0" w:color="auto"/>
                <w:right w:val="none" w:sz="0" w:space="0" w:color="auto"/>
              </w:divBdr>
              <w:divsChild>
                <w:div w:id="1155338452">
                  <w:marLeft w:val="0"/>
                  <w:marRight w:val="0"/>
                  <w:marTop w:val="0"/>
                  <w:marBottom w:val="0"/>
                  <w:divBdr>
                    <w:top w:val="none" w:sz="0" w:space="0" w:color="auto"/>
                    <w:left w:val="none" w:sz="0" w:space="0" w:color="auto"/>
                    <w:bottom w:val="none" w:sz="0" w:space="0" w:color="auto"/>
                    <w:right w:val="none" w:sz="0" w:space="0" w:color="auto"/>
                  </w:divBdr>
                  <w:divsChild>
                    <w:div w:id="279797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2154612">
          <w:marLeft w:val="0"/>
          <w:marRight w:val="0"/>
          <w:marTop w:val="0"/>
          <w:marBottom w:val="0"/>
          <w:divBdr>
            <w:top w:val="none" w:sz="0" w:space="0" w:color="auto"/>
            <w:left w:val="none" w:sz="0" w:space="0" w:color="auto"/>
            <w:bottom w:val="single" w:sz="6" w:space="12" w:color="DDDDDD"/>
            <w:right w:val="none" w:sz="0" w:space="0" w:color="auto"/>
          </w:divBdr>
          <w:divsChild>
            <w:div w:id="1137529103">
              <w:marLeft w:val="0"/>
              <w:marRight w:val="0"/>
              <w:marTop w:val="0"/>
              <w:marBottom w:val="0"/>
              <w:divBdr>
                <w:top w:val="none" w:sz="0" w:space="0" w:color="auto"/>
                <w:left w:val="none" w:sz="0" w:space="0" w:color="auto"/>
                <w:bottom w:val="none" w:sz="0" w:space="0" w:color="auto"/>
                <w:right w:val="none" w:sz="0" w:space="0" w:color="auto"/>
              </w:divBdr>
              <w:divsChild>
                <w:div w:id="1996034024">
                  <w:marLeft w:val="0"/>
                  <w:marRight w:val="0"/>
                  <w:marTop w:val="0"/>
                  <w:marBottom w:val="0"/>
                  <w:divBdr>
                    <w:top w:val="none" w:sz="0" w:space="0" w:color="auto"/>
                    <w:left w:val="none" w:sz="0" w:space="0" w:color="auto"/>
                    <w:bottom w:val="none" w:sz="0" w:space="0" w:color="auto"/>
                    <w:right w:val="none" w:sz="0" w:space="0" w:color="auto"/>
                  </w:divBdr>
                  <w:divsChild>
                    <w:div w:id="1069964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8467768">
          <w:marLeft w:val="0"/>
          <w:marRight w:val="0"/>
          <w:marTop w:val="0"/>
          <w:marBottom w:val="0"/>
          <w:divBdr>
            <w:top w:val="none" w:sz="0" w:space="0" w:color="auto"/>
            <w:left w:val="none" w:sz="0" w:space="0" w:color="auto"/>
            <w:bottom w:val="single" w:sz="6" w:space="12" w:color="DDDDDD"/>
            <w:right w:val="none" w:sz="0" w:space="0" w:color="auto"/>
          </w:divBdr>
          <w:divsChild>
            <w:div w:id="581305809">
              <w:marLeft w:val="0"/>
              <w:marRight w:val="0"/>
              <w:marTop w:val="0"/>
              <w:marBottom w:val="0"/>
              <w:divBdr>
                <w:top w:val="none" w:sz="0" w:space="0" w:color="auto"/>
                <w:left w:val="none" w:sz="0" w:space="0" w:color="auto"/>
                <w:bottom w:val="none" w:sz="0" w:space="0" w:color="auto"/>
                <w:right w:val="none" w:sz="0" w:space="0" w:color="auto"/>
              </w:divBdr>
              <w:divsChild>
                <w:div w:id="71053807">
                  <w:marLeft w:val="0"/>
                  <w:marRight w:val="0"/>
                  <w:marTop w:val="0"/>
                  <w:marBottom w:val="0"/>
                  <w:divBdr>
                    <w:top w:val="none" w:sz="0" w:space="0" w:color="auto"/>
                    <w:left w:val="none" w:sz="0" w:space="0" w:color="auto"/>
                    <w:bottom w:val="none" w:sz="0" w:space="0" w:color="auto"/>
                    <w:right w:val="none" w:sz="0" w:space="0" w:color="auto"/>
                  </w:divBdr>
                  <w:divsChild>
                    <w:div w:id="711227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3931816">
          <w:marLeft w:val="0"/>
          <w:marRight w:val="0"/>
          <w:marTop w:val="0"/>
          <w:marBottom w:val="0"/>
          <w:divBdr>
            <w:top w:val="none" w:sz="0" w:space="0" w:color="auto"/>
            <w:left w:val="none" w:sz="0" w:space="0" w:color="auto"/>
            <w:bottom w:val="single" w:sz="6" w:space="12" w:color="DDDDDD"/>
            <w:right w:val="none" w:sz="0" w:space="0" w:color="auto"/>
          </w:divBdr>
          <w:divsChild>
            <w:div w:id="1370185013">
              <w:marLeft w:val="0"/>
              <w:marRight w:val="0"/>
              <w:marTop w:val="0"/>
              <w:marBottom w:val="0"/>
              <w:divBdr>
                <w:top w:val="none" w:sz="0" w:space="0" w:color="auto"/>
                <w:left w:val="none" w:sz="0" w:space="0" w:color="auto"/>
                <w:bottom w:val="none" w:sz="0" w:space="0" w:color="auto"/>
                <w:right w:val="none" w:sz="0" w:space="0" w:color="auto"/>
              </w:divBdr>
              <w:divsChild>
                <w:div w:id="1670522041">
                  <w:marLeft w:val="0"/>
                  <w:marRight w:val="0"/>
                  <w:marTop w:val="0"/>
                  <w:marBottom w:val="0"/>
                  <w:divBdr>
                    <w:top w:val="none" w:sz="0" w:space="0" w:color="auto"/>
                    <w:left w:val="none" w:sz="0" w:space="0" w:color="auto"/>
                    <w:bottom w:val="none" w:sz="0" w:space="0" w:color="auto"/>
                    <w:right w:val="none" w:sz="0" w:space="0" w:color="auto"/>
                  </w:divBdr>
                  <w:divsChild>
                    <w:div w:id="268323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9141741">
          <w:marLeft w:val="0"/>
          <w:marRight w:val="0"/>
          <w:marTop w:val="0"/>
          <w:marBottom w:val="0"/>
          <w:divBdr>
            <w:top w:val="none" w:sz="0" w:space="0" w:color="auto"/>
            <w:left w:val="none" w:sz="0" w:space="0" w:color="auto"/>
            <w:bottom w:val="none" w:sz="0" w:space="0" w:color="auto"/>
            <w:right w:val="none" w:sz="0" w:space="0" w:color="auto"/>
          </w:divBdr>
          <w:divsChild>
            <w:div w:id="567498376">
              <w:marLeft w:val="0"/>
              <w:marRight w:val="0"/>
              <w:marTop w:val="0"/>
              <w:marBottom w:val="0"/>
              <w:divBdr>
                <w:top w:val="none" w:sz="0" w:space="0" w:color="auto"/>
                <w:left w:val="none" w:sz="0" w:space="0" w:color="auto"/>
                <w:bottom w:val="none" w:sz="0" w:space="0" w:color="auto"/>
                <w:right w:val="none" w:sz="0" w:space="0" w:color="auto"/>
              </w:divBdr>
              <w:divsChild>
                <w:div w:id="1260795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2388809">
      <w:bodyDiv w:val="1"/>
      <w:marLeft w:val="0"/>
      <w:marRight w:val="0"/>
      <w:marTop w:val="0"/>
      <w:marBottom w:val="0"/>
      <w:divBdr>
        <w:top w:val="none" w:sz="0" w:space="0" w:color="auto"/>
        <w:left w:val="none" w:sz="0" w:space="0" w:color="auto"/>
        <w:bottom w:val="none" w:sz="0" w:space="0" w:color="auto"/>
        <w:right w:val="none" w:sz="0" w:space="0" w:color="auto"/>
      </w:divBdr>
      <w:divsChild>
        <w:div w:id="1320232340">
          <w:marLeft w:val="0"/>
          <w:marRight w:val="0"/>
          <w:marTop w:val="0"/>
          <w:marBottom w:val="0"/>
          <w:divBdr>
            <w:top w:val="none" w:sz="0" w:space="0" w:color="auto"/>
            <w:left w:val="none" w:sz="0" w:space="0" w:color="auto"/>
            <w:bottom w:val="none" w:sz="0" w:space="0" w:color="auto"/>
            <w:right w:val="none" w:sz="0" w:space="0" w:color="auto"/>
          </w:divBdr>
          <w:divsChild>
            <w:div w:id="1939409472">
              <w:marLeft w:val="0"/>
              <w:marRight w:val="0"/>
              <w:marTop w:val="0"/>
              <w:marBottom w:val="0"/>
              <w:divBdr>
                <w:top w:val="none" w:sz="0" w:space="0" w:color="auto"/>
                <w:left w:val="none" w:sz="0" w:space="0" w:color="auto"/>
                <w:bottom w:val="none" w:sz="0" w:space="0" w:color="auto"/>
                <w:right w:val="none" w:sz="0" w:space="0" w:color="auto"/>
              </w:divBdr>
            </w:div>
          </w:divsChild>
        </w:div>
        <w:div w:id="1592425554">
          <w:marLeft w:val="0"/>
          <w:marRight w:val="0"/>
          <w:marTop w:val="75"/>
          <w:marBottom w:val="225"/>
          <w:divBdr>
            <w:top w:val="none" w:sz="0" w:space="0" w:color="auto"/>
            <w:left w:val="none" w:sz="0" w:space="0" w:color="auto"/>
            <w:bottom w:val="none" w:sz="0" w:space="0" w:color="auto"/>
            <w:right w:val="none" w:sz="0" w:space="0" w:color="auto"/>
          </w:divBdr>
          <w:divsChild>
            <w:div w:id="1993754818">
              <w:marLeft w:val="0"/>
              <w:marRight w:val="0"/>
              <w:marTop w:val="0"/>
              <w:marBottom w:val="0"/>
              <w:divBdr>
                <w:top w:val="none" w:sz="0" w:space="0" w:color="auto"/>
                <w:left w:val="none" w:sz="0" w:space="0" w:color="auto"/>
                <w:bottom w:val="none" w:sz="0" w:space="0" w:color="auto"/>
                <w:right w:val="none" w:sz="0" w:space="0" w:color="auto"/>
              </w:divBdr>
              <w:divsChild>
                <w:div w:id="1704016249">
                  <w:marLeft w:val="0"/>
                  <w:marRight w:val="0"/>
                  <w:marTop w:val="0"/>
                  <w:marBottom w:val="0"/>
                  <w:divBdr>
                    <w:top w:val="none" w:sz="0" w:space="0" w:color="auto"/>
                    <w:left w:val="none" w:sz="0" w:space="0" w:color="auto"/>
                    <w:bottom w:val="none" w:sz="0" w:space="0" w:color="auto"/>
                    <w:right w:val="none" w:sz="0" w:space="0" w:color="auto"/>
                  </w:divBdr>
                  <w:divsChild>
                    <w:div w:id="688338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580667">
          <w:marLeft w:val="0"/>
          <w:marRight w:val="0"/>
          <w:marTop w:val="0"/>
          <w:marBottom w:val="150"/>
          <w:divBdr>
            <w:top w:val="none" w:sz="0" w:space="0" w:color="auto"/>
            <w:left w:val="none" w:sz="0" w:space="0" w:color="auto"/>
            <w:bottom w:val="none" w:sz="0" w:space="0" w:color="auto"/>
            <w:right w:val="none" w:sz="0" w:space="0" w:color="auto"/>
          </w:divBdr>
        </w:div>
        <w:div w:id="932321633">
          <w:marLeft w:val="0"/>
          <w:marRight w:val="0"/>
          <w:marTop w:val="0"/>
          <w:marBottom w:val="0"/>
          <w:divBdr>
            <w:top w:val="none" w:sz="0" w:space="0" w:color="auto"/>
            <w:left w:val="none" w:sz="0" w:space="0" w:color="auto"/>
            <w:bottom w:val="none" w:sz="0" w:space="0" w:color="auto"/>
            <w:right w:val="none" w:sz="0" w:space="0" w:color="auto"/>
          </w:divBdr>
        </w:div>
        <w:div w:id="923539748">
          <w:marLeft w:val="0"/>
          <w:marRight w:val="0"/>
          <w:marTop w:val="0"/>
          <w:marBottom w:val="150"/>
          <w:divBdr>
            <w:top w:val="none" w:sz="0" w:space="0" w:color="auto"/>
            <w:left w:val="none" w:sz="0" w:space="0" w:color="auto"/>
            <w:bottom w:val="none" w:sz="0" w:space="0" w:color="auto"/>
            <w:right w:val="none" w:sz="0" w:space="0" w:color="auto"/>
          </w:divBdr>
        </w:div>
      </w:divsChild>
    </w:div>
    <w:div w:id="384178656">
      <w:bodyDiv w:val="1"/>
      <w:marLeft w:val="0"/>
      <w:marRight w:val="0"/>
      <w:marTop w:val="0"/>
      <w:marBottom w:val="0"/>
      <w:divBdr>
        <w:top w:val="none" w:sz="0" w:space="0" w:color="auto"/>
        <w:left w:val="none" w:sz="0" w:space="0" w:color="auto"/>
        <w:bottom w:val="none" w:sz="0" w:space="0" w:color="auto"/>
        <w:right w:val="none" w:sz="0" w:space="0" w:color="auto"/>
      </w:divBdr>
      <w:divsChild>
        <w:div w:id="336928342">
          <w:marLeft w:val="0"/>
          <w:marRight w:val="0"/>
          <w:marTop w:val="0"/>
          <w:marBottom w:val="0"/>
          <w:divBdr>
            <w:top w:val="none" w:sz="0" w:space="0" w:color="auto"/>
            <w:left w:val="none" w:sz="0" w:space="0" w:color="auto"/>
            <w:bottom w:val="none" w:sz="0" w:space="0" w:color="auto"/>
            <w:right w:val="none" w:sz="0" w:space="0" w:color="auto"/>
          </w:divBdr>
          <w:divsChild>
            <w:div w:id="674305508">
              <w:marLeft w:val="960"/>
              <w:marRight w:val="720"/>
              <w:marTop w:val="240"/>
              <w:marBottom w:val="0"/>
              <w:divBdr>
                <w:top w:val="none" w:sz="0" w:space="0" w:color="auto"/>
                <w:left w:val="none" w:sz="0" w:space="0" w:color="auto"/>
                <w:bottom w:val="none" w:sz="0" w:space="0" w:color="auto"/>
                <w:right w:val="none" w:sz="0" w:space="0" w:color="auto"/>
              </w:divBdr>
              <w:divsChild>
                <w:div w:id="3481236">
                  <w:marLeft w:val="0"/>
                  <w:marRight w:val="0"/>
                  <w:marTop w:val="0"/>
                  <w:marBottom w:val="0"/>
                  <w:divBdr>
                    <w:top w:val="none" w:sz="0" w:space="0" w:color="auto"/>
                    <w:left w:val="none" w:sz="0" w:space="0" w:color="auto"/>
                    <w:bottom w:val="none" w:sz="0" w:space="0" w:color="auto"/>
                    <w:right w:val="none" w:sz="0" w:space="0" w:color="auto"/>
                  </w:divBdr>
                </w:div>
              </w:divsChild>
            </w:div>
            <w:div w:id="1317761136">
              <w:marLeft w:val="960"/>
              <w:marRight w:val="720"/>
              <w:marTop w:val="240"/>
              <w:marBottom w:val="0"/>
              <w:divBdr>
                <w:top w:val="none" w:sz="0" w:space="0" w:color="auto"/>
                <w:left w:val="none" w:sz="0" w:space="0" w:color="auto"/>
                <w:bottom w:val="none" w:sz="0" w:space="0" w:color="auto"/>
                <w:right w:val="none" w:sz="0" w:space="0" w:color="auto"/>
              </w:divBdr>
            </w:div>
          </w:divsChild>
        </w:div>
        <w:div w:id="1070808610">
          <w:marLeft w:val="0"/>
          <w:marRight w:val="0"/>
          <w:marTop w:val="150"/>
          <w:marBottom w:val="0"/>
          <w:divBdr>
            <w:top w:val="single" w:sz="6" w:space="0" w:color="E8E7E4"/>
            <w:left w:val="none" w:sz="0" w:space="0" w:color="auto"/>
            <w:bottom w:val="none" w:sz="0" w:space="0" w:color="auto"/>
            <w:right w:val="none" w:sz="0" w:space="0" w:color="auto"/>
          </w:divBdr>
          <w:divsChild>
            <w:div w:id="1487353953">
              <w:blockQuote w:val="1"/>
              <w:marLeft w:val="0"/>
              <w:marRight w:val="0"/>
              <w:marTop w:val="240"/>
              <w:marBottom w:val="240"/>
              <w:divBdr>
                <w:top w:val="none" w:sz="0" w:space="0" w:color="auto"/>
                <w:left w:val="single" w:sz="6" w:space="0" w:color="CACACA"/>
                <w:bottom w:val="none" w:sz="0" w:space="0" w:color="auto"/>
                <w:right w:val="none" w:sz="0" w:space="0" w:color="auto"/>
              </w:divBdr>
            </w:div>
            <w:div w:id="1129124891">
              <w:marLeft w:val="0"/>
              <w:marRight w:val="0"/>
              <w:marTop w:val="0"/>
              <w:marBottom w:val="960"/>
              <w:divBdr>
                <w:top w:val="none" w:sz="0" w:space="0" w:color="auto"/>
                <w:left w:val="none" w:sz="0" w:space="0" w:color="auto"/>
                <w:bottom w:val="none" w:sz="0" w:space="0" w:color="auto"/>
                <w:right w:val="none" w:sz="0" w:space="0" w:color="auto"/>
              </w:divBdr>
              <w:divsChild>
                <w:div w:id="146555190">
                  <w:marLeft w:val="0"/>
                  <w:marRight w:val="0"/>
                  <w:marTop w:val="0"/>
                  <w:marBottom w:val="960"/>
                  <w:divBdr>
                    <w:top w:val="none" w:sz="0" w:space="0" w:color="auto"/>
                    <w:left w:val="none" w:sz="0" w:space="0" w:color="auto"/>
                    <w:bottom w:val="none" w:sz="0" w:space="0" w:color="auto"/>
                    <w:right w:val="none" w:sz="0" w:space="0" w:color="auto"/>
                  </w:divBdr>
                </w:div>
                <w:div w:id="1441561235">
                  <w:marLeft w:val="0"/>
                  <w:marRight w:val="0"/>
                  <w:marTop w:val="0"/>
                  <w:marBottom w:val="960"/>
                  <w:divBdr>
                    <w:top w:val="none" w:sz="0" w:space="0" w:color="auto"/>
                    <w:left w:val="none" w:sz="0" w:space="0" w:color="auto"/>
                    <w:bottom w:val="none" w:sz="0" w:space="0" w:color="auto"/>
                    <w:right w:val="none" w:sz="0" w:space="0" w:color="auto"/>
                  </w:divBdr>
                </w:div>
                <w:div w:id="413891571">
                  <w:marLeft w:val="0"/>
                  <w:marRight w:val="0"/>
                  <w:marTop w:val="0"/>
                  <w:marBottom w:val="960"/>
                  <w:divBdr>
                    <w:top w:val="none" w:sz="0" w:space="0" w:color="auto"/>
                    <w:left w:val="none" w:sz="0" w:space="0" w:color="auto"/>
                    <w:bottom w:val="none" w:sz="0" w:space="0" w:color="auto"/>
                    <w:right w:val="none" w:sz="0" w:space="0" w:color="auto"/>
                  </w:divBdr>
                </w:div>
              </w:divsChild>
            </w:div>
            <w:div w:id="399640979">
              <w:marLeft w:val="0"/>
              <w:marRight w:val="0"/>
              <w:marTop w:val="0"/>
              <w:marBottom w:val="960"/>
              <w:divBdr>
                <w:top w:val="none" w:sz="0" w:space="0" w:color="auto"/>
                <w:left w:val="none" w:sz="0" w:space="0" w:color="auto"/>
                <w:bottom w:val="none" w:sz="0" w:space="0" w:color="auto"/>
                <w:right w:val="none" w:sz="0" w:space="0" w:color="auto"/>
              </w:divBdr>
              <w:divsChild>
                <w:div w:id="1416246729">
                  <w:marLeft w:val="0"/>
                  <w:marRight w:val="0"/>
                  <w:marTop w:val="0"/>
                  <w:marBottom w:val="960"/>
                  <w:divBdr>
                    <w:top w:val="none" w:sz="0" w:space="0" w:color="auto"/>
                    <w:left w:val="none" w:sz="0" w:space="0" w:color="auto"/>
                    <w:bottom w:val="none" w:sz="0" w:space="0" w:color="auto"/>
                    <w:right w:val="none" w:sz="0" w:space="0" w:color="auto"/>
                  </w:divBdr>
                </w:div>
                <w:div w:id="2037193360">
                  <w:marLeft w:val="0"/>
                  <w:marRight w:val="0"/>
                  <w:marTop w:val="0"/>
                  <w:marBottom w:val="960"/>
                  <w:divBdr>
                    <w:top w:val="none" w:sz="0" w:space="0" w:color="auto"/>
                    <w:left w:val="none" w:sz="0" w:space="0" w:color="auto"/>
                    <w:bottom w:val="none" w:sz="0" w:space="0" w:color="auto"/>
                    <w:right w:val="none" w:sz="0" w:space="0" w:color="auto"/>
                  </w:divBdr>
                </w:div>
              </w:divsChild>
            </w:div>
            <w:div w:id="1495536258">
              <w:marLeft w:val="0"/>
              <w:marRight w:val="0"/>
              <w:marTop w:val="0"/>
              <w:marBottom w:val="960"/>
              <w:divBdr>
                <w:top w:val="none" w:sz="0" w:space="0" w:color="auto"/>
                <w:left w:val="none" w:sz="0" w:space="0" w:color="auto"/>
                <w:bottom w:val="none" w:sz="0" w:space="0" w:color="auto"/>
                <w:right w:val="none" w:sz="0" w:space="0" w:color="auto"/>
              </w:divBdr>
              <w:divsChild>
                <w:div w:id="1410076846">
                  <w:marLeft w:val="0"/>
                  <w:marRight w:val="0"/>
                  <w:marTop w:val="0"/>
                  <w:marBottom w:val="960"/>
                  <w:divBdr>
                    <w:top w:val="none" w:sz="0" w:space="0" w:color="auto"/>
                    <w:left w:val="none" w:sz="0" w:space="0" w:color="auto"/>
                    <w:bottom w:val="none" w:sz="0" w:space="0" w:color="auto"/>
                    <w:right w:val="none" w:sz="0" w:space="0" w:color="auto"/>
                  </w:divBdr>
                </w:div>
                <w:div w:id="2073699929">
                  <w:marLeft w:val="0"/>
                  <w:marRight w:val="0"/>
                  <w:marTop w:val="0"/>
                  <w:marBottom w:val="960"/>
                  <w:divBdr>
                    <w:top w:val="none" w:sz="0" w:space="0" w:color="auto"/>
                    <w:left w:val="none" w:sz="0" w:space="0" w:color="auto"/>
                    <w:bottom w:val="none" w:sz="0" w:space="0" w:color="auto"/>
                    <w:right w:val="none" w:sz="0" w:space="0" w:color="auto"/>
                  </w:divBdr>
                </w:div>
                <w:div w:id="909268126">
                  <w:marLeft w:val="0"/>
                  <w:marRight w:val="0"/>
                  <w:marTop w:val="0"/>
                  <w:marBottom w:val="960"/>
                  <w:divBdr>
                    <w:top w:val="none" w:sz="0" w:space="0" w:color="auto"/>
                    <w:left w:val="none" w:sz="0" w:space="0" w:color="auto"/>
                    <w:bottom w:val="none" w:sz="0" w:space="0" w:color="auto"/>
                    <w:right w:val="none" w:sz="0" w:space="0" w:color="auto"/>
                  </w:divBdr>
                </w:div>
              </w:divsChild>
            </w:div>
            <w:div w:id="118492694">
              <w:marLeft w:val="0"/>
              <w:marRight w:val="0"/>
              <w:marTop w:val="0"/>
              <w:marBottom w:val="960"/>
              <w:divBdr>
                <w:top w:val="none" w:sz="0" w:space="0" w:color="auto"/>
                <w:left w:val="none" w:sz="0" w:space="0" w:color="auto"/>
                <w:bottom w:val="none" w:sz="0" w:space="0" w:color="auto"/>
                <w:right w:val="none" w:sz="0" w:space="0" w:color="auto"/>
              </w:divBdr>
            </w:div>
            <w:div w:id="663556552">
              <w:marLeft w:val="0"/>
              <w:marRight w:val="0"/>
              <w:marTop w:val="240"/>
              <w:marBottom w:val="0"/>
              <w:divBdr>
                <w:top w:val="none" w:sz="0" w:space="0" w:color="auto"/>
                <w:left w:val="none" w:sz="0" w:space="0" w:color="auto"/>
                <w:bottom w:val="none" w:sz="0" w:space="0" w:color="auto"/>
                <w:right w:val="none" w:sz="0" w:space="0" w:color="auto"/>
              </w:divBdr>
              <w:divsChild>
                <w:div w:id="153230686">
                  <w:marLeft w:val="0"/>
                  <w:marRight w:val="0"/>
                  <w:marTop w:val="0"/>
                  <w:marBottom w:val="144"/>
                  <w:divBdr>
                    <w:top w:val="none" w:sz="0" w:space="0" w:color="auto"/>
                    <w:left w:val="none" w:sz="0" w:space="0" w:color="auto"/>
                    <w:bottom w:val="none" w:sz="0" w:space="0" w:color="auto"/>
                    <w:right w:val="none" w:sz="0" w:space="0" w:color="auto"/>
                  </w:divBdr>
                  <w:divsChild>
                    <w:div w:id="1977253794">
                      <w:marLeft w:val="0"/>
                      <w:marRight w:val="0"/>
                      <w:marTop w:val="0"/>
                      <w:marBottom w:val="0"/>
                      <w:divBdr>
                        <w:top w:val="none" w:sz="0" w:space="0" w:color="auto"/>
                        <w:left w:val="none" w:sz="0" w:space="0" w:color="auto"/>
                        <w:bottom w:val="none" w:sz="0" w:space="0" w:color="auto"/>
                        <w:right w:val="none" w:sz="0" w:space="0" w:color="auto"/>
                      </w:divBdr>
                    </w:div>
                    <w:div w:id="328946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4775770">
          <w:marLeft w:val="0"/>
          <w:marRight w:val="0"/>
          <w:marTop w:val="240"/>
          <w:marBottom w:val="240"/>
          <w:divBdr>
            <w:top w:val="single" w:sz="6" w:space="12" w:color="E8E7E4"/>
            <w:left w:val="none" w:sz="0" w:space="0" w:color="auto"/>
            <w:bottom w:val="none" w:sz="0" w:space="0" w:color="auto"/>
            <w:right w:val="none" w:sz="0" w:space="0" w:color="auto"/>
          </w:divBdr>
          <w:divsChild>
            <w:div w:id="1918126642">
              <w:marLeft w:val="0"/>
              <w:marRight w:val="0"/>
              <w:marTop w:val="0"/>
              <w:marBottom w:val="0"/>
              <w:divBdr>
                <w:top w:val="none" w:sz="0" w:space="0" w:color="auto"/>
                <w:left w:val="none" w:sz="0" w:space="0" w:color="auto"/>
                <w:bottom w:val="none" w:sz="0" w:space="0" w:color="auto"/>
                <w:right w:val="none" w:sz="0" w:space="0" w:color="auto"/>
              </w:divBdr>
              <w:divsChild>
                <w:div w:id="1161701118">
                  <w:marLeft w:val="0"/>
                  <w:marRight w:val="0"/>
                  <w:marTop w:val="240"/>
                  <w:marBottom w:val="0"/>
                  <w:divBdr>
                    <w:top w:val="none" w:sz="0" w:space="0" w:color="auto"/>
                    <w:left w:val="none" w:sz="0" w:space="0" w:color="auto"/>
                    <w:bottom w:val="none" w:sz="0" w:space="0" w:color="auto"/>
                    <w:right w:val="none" w:sz="0" w:space="0" w:color="auto"/>
                  </w:divBdr>
                </w:div>
              </w:divsChild>
            </w:div>
            <w:div w:id="175580249">
              <w:marLeft w:val="0"/>
              <w:marRight w:val="0"/>
              <w:marTop w:val="0"/>
              <w:marBottom w:val="0"/>
              <w:divBdr>
                <w:top w:val="none" w:sz="0" w:space="0" w:color="auto"/>
                <w:left w:val="none" w:sz="0" w:space="0" w:color="auto"/>
                <w:bottom w:val="none" w:sz="0" w:space="0" w:color="auto"/>
                <w:right w:val="none" w:sz="0" w:space="0" w:color="auto"/>
              </w:divBdr>
            </w:div>
            <w:div w:id="340858800">
              <w:marLeft w:val="0"/>
              <w:marRight w:val="0"/>
              <w:marTop w:val="0"/>
              <w:marBottom w:val="0"/>
              <w:divBdr>
                <w:top w:val="none" w:sz="0" w:space="0" w:color="auto"/>
                <w:left w:val="none" w:sz="0" w:space="0" w:color="auto"/>
                <w:bottom w:val="none" w:sz="0" w:space="0" w:color="auto"/>
                <w:right w:val="none" w:sz="0" w:space="0" w:color="auto"/>
              </w:divBdr>
              <w:divsChild>
                <w:div w:id="2086100325">
                  <w:marLeft w:val="0"/>
                  <w:marRight w:val="0"/>
                  <w:marTop w:val="0"/>
                  <w:marBottom w:val="0"/>
                  <w:divBdr>
                    <w:top w:val="none" w:sz="0" w:space="0" w:color="auto"/>
                    <w:left w:val="none" w:sz="0" w:space="0" w:color="auto"/>
                    <w:bottom w:val="none" w:sz="0" w:space="0" w:color="auto"/>
                    <w:right w:val="none" w:sz="0" w:space="0" w:color="auto"/>
                  </w:divBdr>
                </w:div>
                <w:div w:id="292759448">
                  <w:marLeft w:val="0"/>
                  <w:marRight w:val="0"/>
                  <w:marTop w:val="0"/>
                  <w:marBottom w:val="0"/>
                  <w:divBdr>
                    <w:top w:val="none" w:sz="0" w:space="0" w:color="auto"/>
                    <w:left w:val="none" w:sz="0" w:space="0" w:color="auto"/>
                    <w:bottom w:val="none" w:sz="0" w:space="0" w:color="auto"/>
                    <w:right w:val="none" w:sz="0" w:space="0" w:color="auto"/>
                  </w:divBdr>
                </w:div>
                <w:div w:id="2080859514">
                  <w:marLeft w:val="0"/>
                  <w:marRight w:val="0"/>
                  <w:marTop w:val="0"/>
                  <w:marBottom w:val="0"/>
                  <w:divBdr>
                    <w:top w:val="none" w:sz="0" w:space="0" w:color="auto"/>
                    <w:left w:val="none" w:sz="0" w:space="0" w:color="auto"/>
                    <w:bottom w:val="none" w:sz="0" w:space="0" w:color="auto"/>
                    <w:right w:val="none" w:sz="0" w:space="0" w:color="auto"/>
                  </w:divBdr>
                </w:div>
                <w:div w:id="445999796">
                  <w:marLeft w:val="0"/>
                  <w:marRight w:val="0"/>
                  <w:marTop w:val="0"/>
                  <w:marBottom w:val="0"/>
                  <w:divBdr>
                    <w:top w:val="none" w:sz="0" w:space="0" w:color="auto"/>
                    <w:left w:val="none" w:sz="0" w:space="0" w:color="auto"/>
                    <w:bottom w:val="none" w:sz="0" w:space="0" w:color="auto"/>
                    <w:right w:val="none" w:sz="0" w:space="0" w:color="auto"/>
                  </w:divBdr>
                </w:div>
                <w:div w:id="281153884">
                  <w:marLeft w:val="0"/>
                  <w:marRight w:val="0"/>
                  <w:marTop w:val="0"/>
                  <w:marBottom w:val="0"/>
                  <w:divBdr>
                    <w:top w:val="none" w:sz="0" w:space="0" w:color="auto"/>
                    <w:left w:val="none" w:sz="0" w:space="0" w:color="auto"/>
                    <w:bottom w:val="none" w:sz="0" w:space="0" w:color="auto"/>
                    <w:right w:val="none" w:sz="0" w:space="0" w:color="auto"/>
                  </w:divBdr>
                </w:div>
                <w:div w:id="160433721">
                  <w:marLeft w:val="0"/>
                  <w:marRight w:val="0"/>
                  <w:marTop w:val="0"/>
                  <w:marBottom w:val="0"/>
                  <w:divBdr>
                    <w:top w:val="none" w:sz="0" w:space="0" w:color="auto"/>
                    <w:left w:val="none" w:sz="0" w:space="0" w:color="auto"/>
                    <w:bottom w:val="none" w:sz="0" w:space="0" w:color="auto"/>
                    <w:right w:val="none" w:sz="0" w:space="0" w:color="auto"/>
                  </w:divBdr>
                </w:div>
                <w:div w:id="1051156181">
                  <w:marLeft w:val="0"/>
                  <w:marRight w:val="0"/>
                  <w:marTop w:val="0"/>
                  <w:marBottom w:val="0"/>
                  <w:divBdr>
                    <w:top w:val="none" w:sz="0" w:space="0" w:color="auto"/>
                    <w:left w:val="none" w:sz="0" w:space="0" w:color="auto"/>
                    <w:bottom w:val="none" w:sz="0" w:space="0" w:color="auto"/>
                    <w:right w:val="none" w:sz="0" w:space="0" w:color="auto"/>
                  </w:divBdr>
                </w:div>
                <w:div w:id="704210139">
                  <w:marLeft w:val="0"/>
                  <w:marRight w:val="0"/>
                  <w:marTop w:val="0"/>
                  <w:marBottom w:val="0"/>
                  <w:divBdr>
                    <w:top w:val="none" w:sz="0" w:space="0" w:color="auto"/>
                    <w:left w:val="none" w:sz="0" w:space="0" w:color="auto"/>
                    <w:bottom w:val="none" w:sz="0" w:space="0" w:color="auto"/>
                    <w:right w:val="none" w:sz="0" w:space="0" w:color="auto"/>
                  </w:divBdr>
                </w:div>
                <w:div w:id="1308166162">
                  <w:marLeft w:val="0"/>
                  <w:marRight w:val="0"/>
                  <w:marTop w:val="0"/>
                  <w:marBottom w:val="0"/>
                  <w:divBdr>
                    <w:top w:val="none" w:sz="0" w:space="0" w:color="auto"/>
                    <w:left w:val="none" w:sz="0" w:space="0" w:color="auto"/>
                    <w:bottom w:val="none" w:sz="0" w:space="0" w:color="auto"/>
                    <w:right w:val="none" w:sz="0" w:space="0" w:color="auto"/>
                  </w:divBdr>
                </w:div>
                <w:div w:id="341056718">
                  <w:marLeft w:val="0"/>
                  <w:marRight w:val="0"/>
                  <w:marTop w:val="0"/>
                  <w:marBottom w:val="0"/>
                  <w:divBdr>
                    <w:top w:val="none" w:sz="0" w:space="0" w:color="auto"/>
                    <w:left w:val="none" w:sz="0" w:space="0" w:color="auto"/>
                    <w:bottom w:val="none" w:sz="0" w:space="0" w:color="auto"/>
                    <w:right w:val="none" w:sz="0" w:space="0" w:color="auto"/>
                  </w:divBdr>
                </w:div>
                <w:div w:id="762799864">
                  <w:marLeft w:val="0"/>
                  <w:marRight w:val="0"/>
                  <w:marTop w:val="0"/>
                  <w:marBottom w:val="0"/>
                  <w:divBdr>
                    <w:top w:val="none" w:sz="0" w:space="0" w:color="auto"/>
                    <w:left w:val="none" w:sz="0" w:space="0" w:color="auto"/>
                    <w:bottom w:val="none" w:sz="0" w:space="0" w:color="auto"/>
                    <w:right w:val="none" w:sz="0" w:space="0" w:color="auto"/>
                  </w:divBdr>
                </w:div>
                <w:div w:id="1456867289">
                  <w:marLeft w:val="0"/>
                  <w:marRight w:val="0"/>
                  <w:marTop w:val="0"/>
                  <w:marBottom w:val="0"/>
                  <w:divBdr>
                    <w:top w:val="none" w:sz="0" w:space="0" w:color="auto"/>
                    <w:left w:val="none" w:sz="0" w:space="0" w:color="auto"/>
                    <w:bottom w:val="none" w:sz="0" w:space="0" w:color="auto"/>
                    <w:right w:val="none" w:sz="0" w:space="0" w:color="auto"/>
                  </w:divBdr>
                </w:div>
                <w:div w:id="230430519">
                  <w:marLeft w:val="0"/>
                  <w:marRight w:val="0"/>
                  <w:marTop w:val="0"/>
                  <w:marBottom w:val="0"/>
                  <w:divBdr>
                    <w:top w:val="none" w:sz="0" w:space="0" w:color="auto"/>
                    <w:left w:val="none" w:sz="0" w:space="0" w:color="auto"/>
                    <w:bottom w:val="none" w:sz="0" w:space="0" w:color="auto"/>
                    <w:right w:val="none" w:sz="0" w:space="0" w:color="auto"/>
                  </w:divBdr>
                </w:div>
                <w:div w:id="687022307">
                  <w:marLeft w:val="0"/>
                  <w:marRight w:val="0"/>
                  <w:marTop w:val="0"/>
                  <w:marBottom w:val="0"/>
                  <w:divBdr>
                    <w:top w:val="none" w:sz="0" w:space="0" w:color="auto"/>
                    <w:left w:val="none" w:sz="0" w:space="0" w:color="auto"/>
                    <w:bottom w:val="none" w:sz="0" w:space="0" w:color="auto"/>
                    <w:right w:val="none" w:sz="0" w:space="0" w:color="auto"/>
                  </w:divBdr>
                </w:div>
                <w:div w:id="989405032">
                  <w:marLeft w:val="0"/>
                  <w:marRight w:val="0"/>
                  <w:marTop w:val="0"/>
                  <w:marBottom w:val="0"/>
                  <w:divBdr>
                    <w:top w:val="none" w:sz="0" w:space="0" w:color="auto"/>
                    <w:left w:val="none" w:sz="0" w:space="0" w:color="auto"/>
                    <w:bottom w:val="none" w:sz="0" w:space="0" w:color="auto"/>
                    <w:right w:val="none" w:sz="0" w:space="0" w:color="auto"/>
                  </w:divBdr>
                </w:div>
                <w:div w:id="1731146363">
                  <w:marLeft w:val="0"/>
                  <w:marRight w:val="0"/>
                  <w:marTop w:val="0"/>
                  <w:marBottom w:val="0"/>
                  <w:divBdr>
                    <w:top w:val="none" w:sz="0" w:space="0" w:color="auto"/>
                    <w:left w:val="none" w:sz="0" w:space="0" w:color="auto"/>
                    <w:bottom w:val="none" w:sz="0" w:space="0" w:color="auto"/>
                    <w:right w:val="none" w:sz="0" w:space="0" w:color="auto"/>
                  </w:divBdr>
                </w:div>
                <w:div w:id="793912430">
                  <w:marLeft w:val="0"/>
                  <w:marRight w:val="0"/>
                  <w:marTop w:val="0"/>
                  <w:marBottom w:val="0"/>
                  <w:divBdr>
                    <w:top w:val="none" w:sz="0" w:space="0" w:color="auto"/>
                    <w:left w:val="none" w:sz="0" w:space="0" w:color="auto"/>
                    <w:bottom w:val="none" w:sz="0" w:space="0" w:color="auto"/>
                    <w:right w:val="none" w:sz="0" w:space="0" w:color="auto"/>
                  </w:divBdr>
                </w:div>
                <w:div w:id="548735337">
                  <w:marLeft w:val="0"/>
                  <w:marRight w:val="0"/>
                  <w:marTop w:val="0"/>
                  <w:marBottom w:val="0"/>
                  <w:divBdr>
                    <w:top w:val="none" w:sz="0" w:space="0" w:color="auto"/>
                    <w:left w:val="none" w:sz="0" w:space="0" w:color="auto"/>
                    <w:bottom w:val="none" w:sz="0" w:space="0" w:color="auto"/>
                    <w:right w:val="none" w:sz="0" w:space="0" w:color="auto"/>
                  </w:divBdr>
                </w:div>
                <w:div w:id="2100324017">
                  <w:marLeft w:val="0"/>
                  <w:marRight w:val="0"/>
                  <w:marTop w:val="0"/>
                  <w:marBottom w:val="0"/>
                  <w:divBdr>
                    <w:top w:val="none" w:sz="0" w:space="0" w:color="auto"/>
                    <w:left w:val="none" w:sz="0" w:space="0" w:color="auto"/>
                    <w:bottom w:val="none" w:sz="0" w:space="0" w:color="auto"/>
                    <w:right w:val="none" w:sz="0" w:space="0" w:color="auto"/>
                  </w:divBdr>
                </w:div>
                <w:div w:id="1180506143">
                  <w:marLeft w:val="0"/>
                  <w:marRight w:val="0"/>
                  <w:marTop w:val="0"/>
                  <w:marBottom w:val="0"/>
                  <w:divBdr>
                    <w:top w:val="none" w:sz="0" w:space="0" w:color="auto"/>
                    <w:left w:val="none" w:sz="0" w:space="0" w:color="auto"/>
                    <w:bottom w:val="none" w:sz="0" w:space="0" w:color="auto"/>
                    <w:right w:val="none" w:sz="0" w:space="0" w:color="auto"/>
                  </w:divBdr>
                </w:div>
                <w:div w:id="1611081622">
                  <w:marLeft w:val="0"/>
                  <w:marRight w:val="0"/>
                  <w:marTop w:val="0"/>
                  <w:marBottom w:val="0"/>
                  <w:divBdr>
                    <w:top w:val="none" w:sz="0" w:space="0" w:color="auto"/>
                    <w:left w:val="none" w:sz="0" w:space="0" w:color="auto"/>
                    <w:bottom w:val="none" w:sz="0" w:space="0" w:color="auto"/>
                    <w:right w:val="none" w:sz="0" w:space="0" w:color="auto"/>
                  </w:divBdr>
                </w:div>
                <w:div w:id="720135015">
                  <w:marLeft w:val="0"/>
                  <w:marRight w:val="0"/>
                  <w:marTop w:val="0"/>
                  <w:marBottom w:val="0"/>
                  <w:divBdr>
                    <w:top w:val="none" w:sz="0" w:space="0" w:color="auto"/>
                    <w:left w:val="none" w:sz="0" w:space="0" w:color="auto"/>
                    <w:bottom w:val="none" w:sz="0" w:space="0" w:color="auto"/>
                    <w:right w:val="none" w:sz="0" w:space="0" w:color="auto"/>
                  </w:divBdr>
                </w:div>
                <w:div w:id="455489040">
                  <w:marLeft w:val="0"/>
                  <w:marRight w:val="0"/>
                  <w:marTop w:val="0"/>
                  <w:marBottom w:val="0"/>
                  <w:divBdr>
                    <w:top w:val="none" w:sz="0" w:space="0" w:color="auto"/>
                    <w:left w:val="none" w:sz="0" w:space="0" w:color="auto"/>
                    <w:bottom w:val="none" w:sz="0" w:space="0" w:color="auto"/>
                    <w:right w:val="none" w:sz="0" w:space="0" w:color="auto"/>
                  </w:divBdr>
                </w:div>
                <w:div w:id="511725133">
                  <w:marLeft w:val="0"/>
                  <w:marRight w:val="0"/>
                  <w:marTop w:val="0"/>
                  <w:marBottom w:val="0"/>
                  <w:divBdr>
                    <w:top w:val="none" w:sz="0" w:space="0" w:color="auto"/>
                    <w:left w:val="none" w:sz="0" w:space="0" w:color="auto"/>
                    <w:bottom w:val="none" w:sz="0" w:space="0" w:color="auto"/>
                    <w:right w:val="none" w:sz="0" w:space="0" w:color="auto"/>
                  </w:divBdr>
                </w:div>
                <w:div w:id="1901093889">
                  <w:marLeft w:val="0"/>
                  <w:marRight w:val="0"/>
                  <w:marTop w:val="0"/>
                  <w:marBottom w:val="0"/>
                  <w:divBdr>
                    <w:top w:val="none" w:sz="0" w:space="0" w:color="auto"/>
                    <w:left w:val="none" w:sz="0" w:space="0" w:color="auto"/>
                    <w:bottom w:val="none" w:sz="0" w:space="0" w:color="auto"/>
                    <w:right w:val="none" w:sz="0" w:space="0" w:color="auto"/>
                  </w:divBdr>
                </w:div>
                <w:div w:id="589433563">
                  <w:marLeft w:val="0"/>
                  <w:marRight w:val="0"/>
                  <w:marTop w:val="0"/>
                  <w:marBottom w:val="0"/>
                  <w:divBdr>
                    <w:top w:val="none" w:sz="0" w:space="0" w:color="auto"/>
                    <w:left w:val="none" w:sz="0" w:space="0" w:color="auto"/>
                    <w:bottom w:val="none" w:sz="0" w:space="0" w:color="auto"/>
                    <w:right w:val="none" w:sz="0" w:space="0" w:color="auto"/>
                  </w:divBdr>
                </w:div>
                <w:div w:id="217590388">
                  <w:marLeft w:val="0"/>
                  <w:marRight w:val="0"/>
                  <w:marTop w:val="0"/>
                  <w:marBottom w:val="0"/>
                  <w:divBdr>
                    <w:top w:val="none" w:sz="0" w:space="0" w:color="auto"/>
                    <w:left w:val="none" w:sz="0" w:space="0" w:color="auto"/>
                    <w:bottom w:val="none" w:sz="0" w:space="0" w:color="auto"/>
                    <w:right w:val="none" w:sz="0" w:space="0" w:color="auto"/>
                  </w:divBdr>
                </w:div>
                <w:div w:id="649672459">
                  <w:marLeft w:val="0"/>
                  <w:marRight w:val="0"/>
                  <w:marTop w:val="0"/>
                  <w:marBottom w:val="0"/>
                  <w:divBdr>
                    <w:top w:val="none" w:sz="0" w:space="0" w:color="auto"/>
                    <w:left w:val="none" w:sz="0" w:space="0" w:color="auto"/>
                    <w:bottom w:val="none" w:sz="0" w:space="0" w:color="auto"/>
                    <w:right w:val="none" w:sz="0" w:space="0" w:color="auto"/>
                  </w:divBdr>
                </w:div>
                <w:div w:id="1208445335">
                  <w:marLeft w:val="0"/>
                  <w:marRight w:val="0"/>
                  <w:marTop w:val="0"/>
                  <w:marBottom w:val="0"/>
                  <w:divBdr>
                    <w:top w:val="none" w:sz="0" w:space="0" w:color="auto"/>
                    <w:left w:val="none" w:sz="0" w:space="0" w:color="auto"/>
                    <w:bottom w:val="none" w:sz="0" w:space="0" w:color="auto"/>
                    <w:right w:val="none" w:sz="0" w:space="0" w:color="auto"/>
                  </w:divBdr>
                </w:div>
                <w:div w:id="1989746860">
                  <w:marLeft w:val="0"/>
                  <w:marRight w:val="0"/>
                  <w:marTop w:val="0"/>
                  <w:marBottom w:val="0"/>
                  <w:divBdr>
                    <w:top w:val="none" w:sz="0" w:space="0" w:color="auto"/>
                    <w:left w:val="none" w:sz="0" w:space="0" w:color="auto"/>
                    <w:bottom w:val="none" w:sz="0" w:space="0" w:color="auto"/>
                    <w:right w:val="none" w:sz="0" w:space="0" w:color="auto"/>
                  </w:divBdr>
                </w:div>
                <w:div w:id="57678331">
                  <w:marLeft w:val="0"/>
                  <w:marRight w:val="0"/>
                  <w:marTop w:val="0"/>
                  <w:marBottom w:val="0"/>
                  <w:divBdr>
                    <w:top w:val="none" w:sz="0" w:space="0" w:color="auto"/>
                    <w:left w:val="none" w:sz="0" w:space="0" w:color="auto"/>
                    <w:bottom w:val="none" w:sz="0" w:space="0" w:color="auto"/>
                    <w:right w:val="none" w:sz="0" w:space="0" w:color="auto"/>
                  </w:divBdr>
                </w:div>
                <w:div w:id="1068922727">
                  <w:marLeft w:val="0"/>
                  <w:marRight w:val="0"/>
                  <w:marTop w:val="0"/>
                  <w:marBottom w:val="0"/>
                  <w:divBdr>
                    <w:top w:val="none" w:sz="0" w:space="0" w:color="auto"/>
                    <w:left w:val="none" w:sz="0" w:space="0" w:color="auto"/>
                    <w:bottom w:val="none" w:sz="0" w:space="0" w:color="auto"/>
                    <w:right w:val="none" w:sz="0" w:space="0" w:color="auto"/>
                  </w:divBdr>
                </w:div>
                <w:div w:id="1457332132">
                  <w:marLeft w:val="0"/>
                  <w:marRight w:val="0"/>
                  <w:marTop w:val="0"/>
                  <w:marBottom w:val="0"/>
                  <w:divBdr>
                    <w:top w:val="none" w:sz="0" w:space="0" w:color="auto"/>
                    <w:left w:val="none" w:sz="0" w:space="0" w:color="auto"/>
                    <w:bottom w:val="none" w:sz="0" w:space="0" w:color="auto"/>
                    <w:right w:val="none" w:sz="0" w:space="0" w:color="auto"/>
                  </w:divBdr>
                </w:div>
                <w:div w:id="1547713347">
                  <w:marLeft w:val="0"/>
                  <w:marRight w:val="0"/>
                  <w:marTop w:val="0"/>
                  <w:marBottom w:val="0"/>
                  <w:divBdr>
                    <w:top w:val="none" w:sz="0" w:space="0" w:color="auto"/>
                    <w:left w:val="none" w:sz="0" w:space="0" w:color="auto"/>
                    <w:bottom w:val="none" w:sz="0" w:space="0" w:color="auto"/>
                    <w:right w:val="none" w:sz="0" w:space="0" w:color="auto"/>
                  </w:divBdr>
                </w:div>
                <w:div w:id="539821322">
                  <w:marLeft w:val="0"/>
                  <w:marRight w:val="0"/>
                  <w:marTop w:val="0"/>
                  <w:marBottom w:val="0"/>
                  <w:divBdr>
                    <w:top w:val="none" w:sz="0" w:space="0" w:color="auto"/>
                    <w:left w:val="none" w:sz="0" w:space="0" w:color="auto"/>
                    <w:bottom w:val="none" w:sz="0" w:space="0" w:color="auto"/>
                    <w:right w:val="none" w:sz="0" w:space="0" w:color="auto"/>
                  </w:divBdr>
                </w:div>
                <w:div w:id="1250773480">
                  <w:marLeft w:val="0"/>
                  <w:marRight w:val="0"/>
                  <w:marTop w:val="0"/>
                  <w:marBottom w:val="0"/>
                  <w:divBdr>
                    <w:top w:val="none" w:sz="0" w:space="0" w:color="auto"/>
                    <w:left w:val="none" w:sz="0" w:space="0" w:color="auto"/>
                    <w:bottom w:val="none" w:sz="0" w:space="0" w:color="auto"/>
                    <w:right w:val="none" w:sz="0" w:space="0" w:color="auto"/>
                  </w:divBdr>
                </w:div>
                <w:div w:id="1469009162">
                  <w:marLeft w:val="0"/>
                  <w:marRight w:val="0"/>
                  <w:marTop w:val="0"/>
                  <w:marBottom w:val="0"/>
                  <w:divBdr>
                    <w:top w:val="none" w:sz="0" w:space="0" w:color="auto"/>
                    <w:left w:val="none" w:sz="0" w:space="0" w:color="auto"/>
                    <w:bottom w:val="none" w:sz="0" w:space="0" w:color="auto"/>
                    <w:right w:val="none" w:sz="0" w:space="0" w:color="auto"/>
                  </w:divBdr>
                </w:div>
                <w:div w:id="102506084">
                  <w:marLeft w:val="0"/>
                  <w:marRight w:val="0"/>
                  <w:marTop w:val="0"/>
                  <w:marBottom w:val="0"/>
                  <w:divBdr>
                    <w:top w:val="none" w:sz="0" w:space="0" w:color="auto"/>
                    <w:left w:val="none" w:sz="0" w:space="0" w:color="auto"/>
                    <w:bottom w:val="none" w:sz="0" w:space="0" w:color="auto"/>
                    <w:right w:val="none" w:sz="0" w:space="0" w:color="auto"/>
                  </w:divBdr>
                </w:div>
                <w:div w:id="1774858227">
                  <w:marLeft w:val="0"/>
                  <w:marRight w:val="0"/>
                  <w:marTop w:val="0"/>
                  <w:marBottom w:val="0"/>
                  <w:divBdr>
                    <w:top w:val="none" w:sz="0" w:space="0" w:color="auto"/>
                    <w:left w:val="none" w:sz="0" w:space="0" w:color="auto"/>
                    <w:bottom w:val="none" w:sz="0" w:space="0" w:color="auto"/>
                    <w:right w:val="none" w:sz="0" w:space="0" w:color="auto"/>
                  </w:divBdr>
                </w:div>
                <w:div w:id="370571131">
                  <w:marLeft w:val="0"/>
                  <w:marRight w:val="0"/>
                  <w:marTop w:val="0"/>
                  <w:marBottom w:val="0"/>
                  <w:divBdr>
                    <w:top w:val="none" w:sz="0" w:space="0" w:color="auto"/>
                    <w:left w:val="none" w:sz="0" w:space="0" w:color="auto"/>
                    <w:bottom w:val="none" w:sz="0" w:space="0" w:color="auto"/>
                    <w:right w:val="none" w:sz="0" w:space="0" w:color="auto"/>
                  </w:divBdr>
                </w:div>
                <w:div w:id="1558318726">
                  <w:marLeft w:val="0"/>
                  <w:marRight w:val="0"/>
                  <w:marTop w:val="0"/>
                  <w:marBottom w:val="0"/>
                  <w:divBdr>
                    <w:top w:val="none" w:sz="0" w:space="0" w:color="auto"/>
                    <w:left w:val="none" w:sz="0" w:space="0" w:color="auto"/>
                    <w:bottom w:val="none" w:sz="0" w:space="0" w:color="auto"/>
                    <w:right w:val="none" w:sz="0" w:space="0" w:color="auto"/>
                  </w:divBdr>
                </w:div>
                <w:div w:id="863245378">
                  <w:marLeft w:val="0"/>
                  <w:marRight w:val="0"/>
                  <w:marTop w:val="0"/>
                  <w:marBottom w:val="0"/>
                  <w:divBdr>
                    <w:top w:val="none" w:sz="0" w:space="0" w:color="auto"/>
                    <w:left w:val="none" w:sz="0" w:space="0" w:color="auto"/>
                    <w:bottom w:val="none" w:sz="0" w:space="0" w:color="auto"/>
                    <w:right w:val="none" w:sz="0" w:space="0" w:color="auto"/>
                  </w:divBdr>
                </w:div>
                <w:div w:id="768702407">
                  <w:marLeft w:val="0"/>
                  <w:marRight w:val="0"/>
                  <w:marTop w:val="0"/>
                  <w:marBottom w:val="0"/>
                  <w:divBdr>
                    <w:top w:val="none" w:sz="0" w:space="0" w:color="auto"/>
                    <w:left w:val="none" w:sz="0" w:space="0" w:color="auto"/>
                    <w:bottom w:val="none" w:sz="0" w:space="0" w:color="auto"/>
                    <w:right w:val="none" w:sz="0" w:space="0" w:color="auto"/>
                  </w:divBdr>
                </w:div>
                <w:div w:id="1257205295">
                  <w:marLeft w:val="0"/>
                  <w:marRight w:val="0"/>
                  <w:marTop w:val="0"/>
                  <w:marBottom w:val="0"/>
                  <w:divBdr>
                    <w:top w:val="none" w:sz="0" w:space="0" w:color="auto"/>
                    <w:left w:val="none" w:sz="0" w:space="0" w:color="auto"/>
                    <w:bottom w:val="none" w:sz="0" w:space="0" w:color="auto"/>
                    <w:right w:val="none" w:sz="0" w:space="0" w:color="auto"/>
                  </w:divBdr>
                </w:div>
                <w:div w:id="855579984">
                  <w:marLeft w:val="0"/>
                  <w:marRight w:val="0"/>
                  <w:marTop w:val="0"/>
                  <w:marBottom w:val="0"/>
                  <w:divBdr>
                    <w:top w:val="none" w:sz="0" w:space="0" w:color="auto"/>
                    <w:left w:val="none" w:sz="0" w:space="0" w:color="auto"/>
                    <w:bottom w:val="none" w:sz="0" w:space="0" w:color="auto"/>
                    <w:right w:val="none" w:sz="0" w:space="0" w:color="auto"/>
                  </w:divBdr>
                </w:div>
                <w:div w:id="570386879">
                  <w:marLeft w:val="0"/>
                  <w:marRight w:val="0"/>
                  <w:marTop w:val="0"/>
                  <w:marBottom w:val="0"/>
                  <w:divBdr>
                    <w:top w:val="none" w:sz="0" w:space="0" w:color="auto"/>
                    <w:left w:val="none" w:sz="0" w:space="0" w:color="auto"/>
                    <w:bottom w:val="none" w:sz="0" w:space="0" w:color="auto"/>
                    <w:right w:val="none" w:sz="0" w:space="0" w:color="auto"/>
                  </w:divBdr>
                </w:div>
                <w:div w:id="1887832798">
                  <w:marLeft w:val="0"/>
                  <w:marRight w:val="0"/>
                  <w:marTop w:val="0"/>
                  <w:marBottom w:val="0"/>
                  <w:divBdr>
                    <w:top w:val="none" w:sz="0" w:space="0" w:color="auto"/>
                    <w:left w:val="none" w:sz="0" w:space="0" w:color="auto"/>
                    <w:bottom w:val="none" w:sz="0" w:space="0" w:color="auto"/>
                    <w:right w:val="none" w:sz="0" w:space="0" w:color="auto"/>
                  </w:divBdr>
                </w:div>
                <w:div w:id="56589521">
                  <w:marLeft w:val="0"/>
                  <w:marRight w:val="0"/>
                  <w:marTop w:val="0"/>
                  <w:marBottom w:val="0"/>
                  <w:divBdr>
                    <w:top w:val="none" w:sz="0" w:space="0" w:color="auto"/>
                    <w:left w:val="none" w:sz="0" w:space="0" w:color="auto"/>
                    <w:bottom w:val="none" w:sz="0" w:space="0" w:color="auto"/>
                    <w:right w:val="none" w:sz="0" w:space="0" w:color="auto"/>
                  </w:divBdr>
                </w:div>
                <w:div w:id="361975486">
                  <w:marLeft w:val="0"/>
                  <w:marRight w:val="0"/>
                  <w:marTop w:val="0"/>
                  <w:marBottom w:val="0"/>
                  <w:divBdr>
                    <w:top w:val="none" w:sz="0" w:space="0" w:color="auto"/>
                    <w:left w:val="none" w:sz="0" w:space="0" w:color="auto"/>
                    <w:bottom w:val="none" w:sz="0" w:space="0" w:color="auto"/>
                    <w:right w:val="none" w:sz="0" w:space="0" w:color="auto"/>
                  </w:divBdr>
                </w:div>
                <w:div w:id="2000619006">
                  <w:marLeft w:val="0"/>
                  <w:marRight w:val="0"/>
                  <w:marTop w:val="0"/>
                  <w:marBottom w:val="0"/>
                  <w:divBdr>
                    <w:top w:val="none" w:sz="0" w:space="0" w:color="auto"/>
                    <w:left w:val="none" w:sz="0" w:space="0" w:color="auto"/>
                    <w:bottom w:val="none" w:sz="0" w:space="0" w:color="auto"/>
                    <w:right w:val="none" w:sz="0" w:space="0" w:color="auto"/>
                  </w:divBdr>
                </w:div>
                <w:div w:id="1503206726">
                  <w:marLeft w:val="0"/>
                  <w:marRight w:val="0"/>
                  <w:marTop w:val="0"/>
                  <w:marBottom w:val="0"/>
                  <w:divBdr>
                    <w:top w:val="none" w:sz="0" w:space="0" w:color="auto"/>
                    <w:left w:val="none" w:sz="0" w:space="0" w:color="auto"/>
                    <w:bottom w:val="none" w:sz="0" w:space="0" w:color="auto"/>
                    <w:right w:val="none" w:sz="0" w:space="0" w:color="auto"/>
                  </w:divBdr>
                </w:div>
                <w:div w:id="463888583">
                  <w:marLeft w:val="0"/>
                  <w:marRight w:val="0"/>
                  <w:marTop w:val="0"/>
                  <w:marBottom w:val="0"/>
                  <w:divBdr>
                    <w:top w:val="none" w:sz="0" w:space="0" w:color="auto"/>
                    <w:left w:val="none" w:sz="0" w:space="0" w:color="auto"/>
                    <w:bottom w:val="none" w:sz="0" w:space="0" w:color="auto"/>
                    <w:right w:val="none" w:sz="0" w:space="0" w:color="auto"/>
                  </w:divBdr>
                </w:div>
                <w:div w:id="1468163024">
                  <w:marLeft w:val="0"/>
                  <w:marRight w:val="0"/>
                  <w:marTop w:val="0"/>
                  <w:marBottom w:val="0"/>
                  <w:divBdr>
                    <w:top w:val="none" w:sz="0" w:space="0" w:color="auto"/>
                    <w:left w:val="none" w:sz="0" w:space="0" w:color="auto"/>
                    <w:bottom w:val="none" w:sz="0" w:space="0" w:color="auto"/>
                    <w:right w:val="none" w:sz="0" w:space="0" w:color="auto"/>
                  </w:divBdr>
                </w:div>
                <w:div w:id="904607048">
                  <w:marLeft w:val="0"/>
                  <w:marRight w:val="0"/>
                  <w:marTop w:val="0"/>
                  <w:marBottom w:val="0"/>
                  <w:divBdr>
                    <w:top w:val="none" w:sz="0" w:space="0" w:color="auto"/>
                    <w:left w:val="none" w:sz="0" w:space="0" w:color="auto"/>
                    <w:bottom w:val="none" w:sz="0" w:space="0" w:color="auto"/>
                    <w:right w:val="none" w:sz="0" w:space="0" w:color="auto"/>
                  </w:divBdr>
                </w:div>
                <w:div w:id="351609591">
                  <w:marLeft w:val="0"/>
                  <w:marRight w:val="0"/>
                  <w:marTop w:val="0"/>
                  <w:marBottom w:val="0"/>
                  <w:divBdr>
                    <w:top w:val="none" w:sz="0" w:space="0" w:color="auto"/>
                    <w:left w:val="none" w:sz="0" w:space="0" w:color="auto"/>
                    <w:bottom w:val="none" w:sz="0" w:space="0" w:color="auto"/>
                    <w:right w:val="none" w:sz="0" w:space="0" w:color="auto"/>
                  </w:divBdr>
                </w:div>
                <w:div w:id="2043900631">
                  <w:marLeft w:val="0"/>
                  <w:marRight w:val="0"/>
                  <w:marTop w:val="0"/>
                  <w:marBottom w:val="0"/>
                  <w:divBdr>
                    <w:top w:val="none" w:sz="0" w:space="0" w:color="auto"/>
                    <w:left w:val="none" w:sz="0" w:space="0" w:color="auto"/>
                    <w:bottom w:val="none" w:sz="0" w:space="0" w:color="auto"/>
                    <w:right w:val="none" w:sz="0" w:space="0" w:color="auto"/>
                  </w:divBdr>
                </w:div>
                <w:div w:id="1319840417">
                  <w:marLeft w:val="0"/>
                  <w:marRight w:val="0"/>
                  <w:marTop w:val="0"/>
                  <w:marBottom w:val="0"/>
                  <w:divBdr>
                    <w:top w:val="none" w:sz="0" w:space="0" w:color="auto"/>
                    <w:left w:val="none" w:sz="0" w:space="0" w:color="auto"/>
                    <w:bottom w:val="none" w:sz="0" w:space="0" w:color="auto"/>
                    <w:right w:val="none" w:sz="0" w:space="0" w:color="auto"/>
                  </w:divBdr>
                </w:div>
                <w:div w:id="171575845">
                  <w:marLeft w:val="0"/>
                  <w:marRight w:val="0"/>
                  <w:marTop w:val="0"/>
                  <w:marBottom w:val="0"/>
                  <w:divBdr>
                    <w:top w:val="none" w:sz="0" w:space="0" w:color="auto"/>
                    <w:left w:val="none" w:sz="0" w:space="0" w:color="auto"/>
                    <w:bottom w:val="none" w:sz="0" w:space="0" w:color="auto"/>
                    <w:right w:val="none" w:sz="0" w:space="0" w:color="auto"/>
                  </w:divBdr>
                </w:div>
                <w:div w:id="1180316308">
                  <w:marLeft w:val="0"/>
                  <w:marRight w:val="0"/>
                  <w:marTop w:val="0"/>
                  <w:marBottom w:val="0"/>
                  <w:divBdr>
                    <w:top w:val="none" w:sz="0" w:space="0" w:color="auto"/>
                    <w:left w:val="none" w:sz="0" w:space="0" w:color="auto"/>
                    <w:bottom w:val="none" w:sz="0" w:space="0" w:color="auto"/>
                    <w:right w:val="none" w:sz="0" w:space="0" w:color="auto"/>
                  </w:divBdr>
                </w:div>
                <w:div w:id="1808008855">
                  <w:marLeft w:val="0"/>
                  <w:marRight w:val="0"/>
                  <w:marTop w:val="0"/>
                  <w:marBottom w:val="0"/>
                  <w:divBdr>
                    <w:top w:val="none" w:sz="0" w:space="0" w:color="auto"/>
                    <w:left w:val="none" w:sz="0" w:space="0" w:color="auto"/>
                    <w:bottom w:val="none" w:sz="0" w:space="0" w:color="auto"/>
                    <w:right w:val="none" w:sz="0" w:space="0" w:color="auto"/>
                  </w:divBdr>
                </w:div>
                <w:div w:id="1210268305">
                  <w:marLeft w:val="0"/>
                  <w:marRight w:val="0"/>
                  <w:marTop w:val="0"/>
                  <w:marBottom w:val="0"/>
                  <w:divBdr>
                    <w:top w:val="none" w:sz="0" w:space="0" w:color="auto"/>
                    <w:left w:val="none" w:sz="0" w:space="0" w:color="auto"/>
                    <w:bottom w:val="none" w:sz="0" w:space="0" w:color="auto"/>
                    <w:right w:val="none" w:sz="0" w:space="0" w:color="auto"/>
                  </w:divBdr>
                </w:div>
                <w:div w:id="1763913168">
                  <w:marLeft w:val="0"/>
                  <w:marRight w:val="0"/>
                  <w:marTop w:val="0"/>
                  <w:marBottom w:val="0"/>
                  <w:divBdr>
                    <w:top w:val="none" w:sz="0" w:space="0" w:color="auto"/>
                    <w:left w:val="none" w:sz="0" w:space="0" w:color="auto"/>
                    <w:bottom w:val="none" w:sz="0" w:space="0" w:color="auto"/>
                    <w:right w:val="none" w:sz="0" w:space="0" w:color="auto"/>
                  </w:divBdr>
                </w:div>
                <w:div w:id="473646320">
                  <w:marLeft w:val="0"/>
                  <w:marRight w:val="0"/>
                  <w:marTop w:val="0"/>
                  <w:marBottom w:val="0"/>
                  <w:divBdr>
                    <w:top w:val="none" w:sz="0" w:space="0" w:color="auto"/>
                    <w:left w:val="none" w:sz="0" w:space="0" w:color="auto"/>
                    <w:bottom w:val="none" w:sz="0" w:space="0" w:color="auto"/>
                    <w:right w:val="none" w:sz="0" w:space="0" w:color="auto"/>
                  </w:divBdr>
                </w:div>
                <w:div w:id="1078480330">
                  <w:marLeft w:val="0"/>
                  <w:marRight w:val="0"/>
                  <w:marTop w:val="0"/>
                  <w:marBottom w:val="0"/>
                  <w:divBdr>
                    <w:top w:val="none" w:sz="0" w:space="0" w:color="auto"/>
                    <w:left w:val="none" w:sz="0" w:space="0" w:color="auto"/>
                    <w:bottom w:val="none" w:sz="0" w:space="0" w:color="auto"/>
                    <w:right w:val="none" w:sz="0" w:space="0" w:color="auto"/>
                  </w:divBdr>
                </w:div>
                <w:div w:id="1455323183">
                  <w:marLeft w:val="0"/>
                  <w:marRight w:val="0"/>
                  <w:marTop w:val="0"/>
                  <w:marBottom w:val="0"/>
                  <w:divBdr>
                    <w:top w:val="none" w:sz="0" w:space="0" w:color="auto"/>
                    <w:left w:val="none" w:sz="0" w:space="0" w:color="auto"/>
                    <w:bottom w:val="none" w:sz="0" w:space="0" w:color="auto"/>
                    <w:right w:val="none" w:sz="0" w:space="0" w:color="auto"/>
                  </w:divBdr>
                </w:div>
                <w:div w:id="1595019679">
                  <w:marLeft w:val="0"/>
                  <w:marRight w:val="0"/>
                  <w:marTop w:val="0"/>
                  <w:marBottom w:val="0"/>
                  <w:divBdr>
                    <w:top w:val="none" w:sz="0" w:space="0" w:color="auto"/>
                    <w:left w:val="none" w:sz="0" w:space="0" w:color="auto"/>
                    <w:bottom w:val="none" w:sz="0" w:space="0" w:color="auto"/>
                    <w:right w:val="none" w:sz="0" w:space="0" w:color="auto"/>
                  </w:divBdr>
                </w:div>
                <w:div w:id="2062440850">
                  <w:marLeft w:val="0"/>
                  <w:marRight w:val="0"/>
                  <w:marTop w:val="0"/>
                  <w:marBottom w:val="0"/>
                  <w:divBdr>
                    <w:top w:val="none" w:sz="0" w:space="0" w:color="auto"/>
                    <w:left w:val="none" w:sz="0" w:space="0" w:color="auto"/>
                    <w:bottom w:val="none" w:sz="0" w:space="0" w:color="auto"/>
                    <w:right w:val="none" w:sz="0" w:space="0" w:color="auto"/>
                  </w:divBdr>
                </w:div>
                <w:div w:id="1807307820">
                  <w:marLeft w:val="0"/>
                  <w:marRight w:val="0"/>
                  <w:marTop w:val="0"/>
                  <w:marBottom w:val="0"/>
                  <w:divBdr>
                    <w:top w:val="none" w:sz="0" w:space="0" w:color="auto"/>
                    <w:left w:val="none" w:sz="0" w:space="0" w:color="auto"/>
                    <w:bottom w:val="none" w:sz="0" w:space="0" w:color="auto"/>
                    <w:right w:val="none" w:sz="0" w:space="0" w:color="auto"/>
                  </w:divBdr>
                </w:div>
                <w:div w:id="1274633403">
                  <w:marLeft w:val="0"/>
                  <w:marRight w:val="0"/>
                  <w:marTop w:val="0"/>
                  <w:marBottom w:val="0"/>
                  <w:divBdr>
                    <w:top w:val="none" w:sz="0" w:space="0" w:color="auto"/>
                    <w:left w:val="none" w:sz="0" w:space="0" w:color="auto"/>
                    <w:bottom w:val="none" w:sz="0" w:space="0" w:color="auto"/>
                    <w:right w:val="none" w:sz="0" w:space="0" w:color="auto"/>
                  </w:divBdr>
                </w:div>
                <w:div w:id="229662102">
                  <w:marLeft w:val="0"/>
                  <w:marRight w:val="0"/>
                  <w:marTop w:val="0"/>
                  <w:marBottom w:val="0"/>
                  <w:divBdr>
                    <w:top w:val="none" w:sz="0" w:space="0" w:color="auto"/>
                    <w:left w:val="none" w:sz="0" w:space="0" w:color="auto"/>
                    <w:bottom w:val="none" w:sz="0" w:space="0" w:color="auto"/>
                    <w:right w:val="none" w:sz="0" w:space="0" w:color="auto"/>
                  </w:divBdr>
                </w:div>
                <w:div w:id="1465272028">
                  <w:marLeft w:val="0"/>
                  <w:marRight w:val="0"/>
                  <w:marTop w:val="0"/>
                  <w:marBottom w:val="0"/>
                  <w:divBdr>
                    <w:top w:val="none" w:sz="0" w:space="0" w:color="auto"/>
                    <w:left w:val="none" w:sz="0" w:space="0" w:color="auto"/>
                    <w:bottom w:val="none" w:sz="0" w:space="0" w:color="auto"/>
                    <w:right w:val="none" w:sz="0" w:space="0" w:color="auto"/>
                  </w:divBdr>
                </w:div>
                <w:div w:id="353582867">
                  <w:marLeft w:val="0"/>
                  <w:marRight w:val="0"/>
                  <w:marTop w:val="0"/>
                  <w:marBottom w:val="0"/>
                  <w:divBdr>
                    <w:top w:val="none" w:sz="0" w:space="0" w:color="auto"/>
                    <w:left w:val="none" w:sz="0" w:space="0" w:color="auto"/>
                    <w:bottom w:val="none" w:sz="0" w:space="0" w:color="auto"/>
                    <w:right w:val="none" w:sz="0" w:space="0" w:color="auto"/>
                  </w:divBdr>
                </w:div>
                <w:div w:id="1456172675">
                  <w:marLeft w:val="0"/>
                  <w:marRight w:val="0"/>
                  <w:marTop w:val="0"/>
                  <w:marBottom w:val="0"/>
                  <w:divBdr>
                    <w:top w:val="none" w:sz="0" w:space="0" w:color="auto"/>
                    <w:left w:val="none" w:sz="0" w:space="0" w:color="auto"/>
                    <w:bottom w:val="none" w:sz="0" w:space="0" w:color="auto"/>
                    <w:right w:val="none" w:sz="0" w:space="0" w:color="auto"/>
                  </w:divBdr>
                </w:div>
                <w:div w:id="1172531411">
                  <w:marLeft w:val="0"/>
                  <w:marRight w:val="0"/>
                  <w:marTop w:val="0"/>
                  <w:marBottom w:val="0"/>
                  <w:divBdr>
                    <w:top w:val="none" w:sz="0" w:space="0" w:color="auto"/>
                    <w:left w:val="none" w:sz="0" w:space="0" w:color="auto"/>
                    <w:bottom w:val="none" w:sz="0" w:space="0" w:color="auto"/>
                    <w:right w:val="none" w:sz="0" w:space="0" w:color="auto"/>
                  </w:divBdr>
                </w:div>
                <w:div w:id="2079984045">
                  <w:marLeft w:val="0"/>
                  <w:marRight w:val="0"/>
                  <w:marTop w:val="0"/>
                  <w:marBottom w:val="0"/>
                  <w:divBdr>
                    <w:top w:val="none" w:sz="0" w:space="0" w:color="auto"/>
                    <w:left w:val="none" w:sz="0" w:space="0" w:color="auto"/>
                    <w:bottom w:val="none" w:sz="0" w:space="0" w:color="auto"/>
                    <w:right w:val="none" w:sz="0" w:space="0" w:color="auto"/>
                  </w:divBdr>
                </w:div>
                <w:div w:id="982126214">
                  <w:marLeft w:val="0"/>
                  <w:marRight w:val="0"/>
                  <w:marTop w:val="0"/>
                  <w:marBottom w:val="0"/>
                  <w:divBdr>
                    <w:top w:val="none" w:sz="0" w:space="0" w:color="auto"/>
                    <w:left w:val="none" w:sz="0" w:space="0" w:color="auto"/>
                    <w:bottom w:val="none" w:sz="0" w:space="0" w:color="auto"/>
                    <w:right w:val="none" w:sz="0" w:space="0" w:color="auto"/>
                  </w:divBdr>
                </w:div>
                <w:div w:id="1157649141">
                  <w:marLeft w:val="0"/>
                  <w:marRight w:val="0"/>
                  <w:marTop w:val="0"/>
                  <w:marBottom w:val="0"/>
                  <w:divBdr>
                    <w:top w:val="none" w:sz="0" w:space="0" w:color="auto"/>
                    <w:left w:val="none" w:sz="0" w:space="0" w:color="auto"/>
                    <w:bottom w:val="none" w:sz="0" w:space="0" w:color="auto"/>
                    <w:right w:val="none" w:sz="0" w:space="0" w:color="auto"/>
                  </w:divBdr>
                </w:div>
                <w:div w:id="389308250">
                  <w:marLeft w:val="0"/>
                  <w:marRight w:val="0"/>
                  <w:marTop w:val="0"/>
                  <w:marBottom w:val="0"/>
                  <w:divBdr>
                    <w:top w:val="none" w:sz="0" w:space="0" w:color="auto"/>
                    <w:left w:val="none" w:sz="0" w:space="0" w:color="auto"/>
                    <w:bottom w:val="none" w:sz="0" w:space="0" w:color="auto"/>
                    <w:right w:val="none" w:sz="0" w:space="0" w:color="auto"/>
                  </w:divBdr>
                </w:div>
                <w:div w:id="404258386">
                  <w:marLeft w:val="0"/>
                  <w:marRight w:val="0"/>
                  <w:marTop w:val="0"/>
                  <w:marBottom w:val="0"/>
                  <w:divBdr>
                    <w:top w:val="none" w:sz="0" w:space="0" w:color="auto"/>
                    <w:left w:val="none" w:sz="0" w:space="0" w:color="auto"/>
                    <w:bottom w:val="none" w:sz="0" w:space="0" w:color="auto"/>
                    <w:right w:val="none" w:sz="0" w:space="0" w:color="auto"/>
                  </w:divBdr>
                </w:div>
                <w:div w:id="1026953661">
                  <w:marLeft w:val="0"/>
                  <w:marRight w:val="0"/>
                  <w:marTop w:val="0"/>
                  <w:marBottom w:val="0"/>
                  <w:divBdr>
                    <w:top w:val="none" w:sz="0" w:space="0" w:color="auto"/>
                    <w:left w:val="none" w:sz="0" w:space="0" w:color="auto"/>
                    <w:bottom w:val="none" w:sz="0" w:space="0" w:color="auto"/>
                    <w:right w:val="none" w:sz="0" w:space="0" w:color="auto"/>
                  </w:divBdr>
                </w:div>
                <w:div w:id="13461676">
                  <w:marLeft w:val="0"/>
                  <w:marRight w:val="0"/>
                  <w:marTop w:val="0"/>
                  <w:marBottom w:val="0"/>
                  <w:divBdr>
                    <w:top w:val="none" w:sz="0" w:space="0" w:color="auto"/>
                    <w:left w:val="none" w:sz="0" w:space="0" w:color="auto"/>
                    <w:bottom w:val="none" w:sz="0" w:space="0" w:color="auto"/>
                    <w:right w:val="none" w:sz="0" w:space="0" w:color="auto"/>
                  </w:divBdr>
                </w:div>
                <w:div w:id="1220172063">
                  <w:marLeft w:val="0"/>
                  <w:marRight w:val="0"/>
                  <w:marTop w:val="0"/>
                  <w:marBottom w:val="0"/>
                  <w:divBdr>
                    <w:top w:val="none" w:sz="0" w:space="0" w:color="auto"/>
                    <w:left w:val="none" w:sz="0" w:space="0" w:color="auto"/>
                    <w:bottom w:val="none" w:sz="0" w:space="0" w:color="auto"/>
                    <w:right w:val="none" w:sz="0" w:space="0" w:color="auto"/>
                  </w:divBdr>
                </w:div>
                <w:div w:id="684481654">
                  <w:marLeft w:val="0"/>
                  <w:marRight w:val="0"/>
                  <w:marTop w:val="0"/>
                  <w:marBottom w:val="0"/>
                  <w:divBdr>
                    <w:top w:val="none" w:sz="0" w:space="0" w:color="auto"/>
                    <w:left w:val="none" w:sz="0" w:space="0" w:color="auto"/>
                    <w:bottom w:val="none" w:sz="0" w:space="0" w:color="auto"/>
                    <w:right w:val="none" w:sz="0" w:space="0" w:color="auto"/>
                  </w:divBdr>
                </w:div>
                <w:div w:id="956066509">
                  <w:marLeft w:val="0"/>
                  <w:marRight w:val="0"/>
                  <w:marTop w:val="0"/>
                  <w:marBottom w:val="0"/>
                  <w:divBdr>
                    <w:top w:val="none" w:sz="0" w:space="0" w:color="auto"/>
                    <w:left w:val="none" w:sz="0" w:space="0" w:color="auto"/>
                    <w:bottom w:val="none" w:sz="0" w:space="0" w:color="auto"/>
                    <w:right w:val="none" w:sz="0" w:space="0" w:color="auto"/>
                  </w:divBdr>
                </w:div>
                <w:div w:id="1825970244">
                  <w:marLeft w:val="0"/>
                  <w:marRight w:val="0"/>
                  <w:marTop w:val="0"/>
                  <w:marBottom w:val="0"/>
                  <w:divBdr>
                    <w:top w:val="none" w:sz="0" w:space="0" w:color="auto"/>
                    <w:left w:val="none" w:sz="0" w:space="0" w:color="auto"/>
                    <w:bottom w:val="none" w:sz="0" w:space="0" w:color="auto"/>
                    <w:right w:val="none" w:sz="0" w:space="0" w:color="auto"/>
                  </w:divBdr>
                </w:div>
                <w:div w:id="2041319891">
                  <w:marLeft w:val="0"/>
                  <w:marRight w:val="0"/>
                  <w:marTop w:val="0"/>
                  <w:marBottom w:val="0"/>
                  <w:divBdr>
                    <w:top w:val="none" w:sz="0" w:space="0" w:color="auto"/>
                    <w:left w:val="none" w:sz="0" w:space="0" w:color="auto"/>
                    <w:bottom w:val="none" w:sz="0" w:space="0" w:color="auto"/>
                    <w:right w:val="none" w:sz="0" w:space="0" w:color="auto"/>
                  </w:divBdr>
                </w:div>
                <w:div w:id="1555240148">
                  <w:marLeft w:val="0"/>
                  <w:marRight w:val="0"/>
                  <w:marTop w:val="0"/>
                  <w:marBottom w:val="0"/>
                  <w:divBdr>
                    <w:top w:val="none" w:sz="0" w:space="0" w:color="auto"/>
                    <w:left w:val="none" w:sz="0" w:space="0" w:color="auto"/>
                    <w:bottom w:val="none" w:sz="0" w:space="0" w:color="auto"/>
                    <w:right w:val="none" w:sz="0" w:space="0" w:color="auto"/>
                  </w:divBdr>
                </w:div>
                <w:div w:id="440144622">
                  <w:marLeft w:val="0"/>
                  <w:marRight w:val="0"/>
                  <w:marTop w:val="0"/>
                  <w:marBottom w:val="0"/>
                  <w:divBdr>
                    <w:top w:val="none" w:sz="0" w:space="0" w:color="auto"/>
                    <w:left w:val="none" w:sz="0" w:space="0" w:color="auto"/>
                    <w:bottom w:val="none" w:sz="0" w:space="0" w:color="auto"/>
                    <w:right w:val="none" w:sz="0" w:space="0" w:color="auto"/>
                  </w:divBdr>
                </w:div>
                <w:div w:id="1224214507">
                  <w:marLeft w:val="0"/>
                  <w:marRight w:val="0"/>
                  <w:marTop w:val="0"/>
                  <w:marBottom w:val="0"/>
                  <w:divBdr>
                    <w:top w:val="none" w:sz="0" w:space="0" w:color="auto"/>
                    <w:left w:val="none" w:sz="0" w:space="0" w:color="auto"/>
                    <w:bottom w:val="none" w:sz="0" w:space="0" w:color="auto"/>
                    <w:right w:val="none" w:sz="0" w:space="0" w:color="auto"/>
                  </w:divBdr>
                </w:div>
                <w:div w:id="1213692733">
                  <w:marLeft w:val="0"/>
                  <w:marRight w:val="0"/>
                  <w:marTop w:val="0"/>
                  <w:marBottom w:val="0"/>
                  <w:divBdr>
                    <w:top w:val="none" w:sz="0" w:space="0" w:color="auto"/>
                    <w:left w:val="none" w:sz="0" w:space="0" w:color="auto"/>
                    <w:bottom w:val="none" w:sz="0" w:space="0" w:color="auto"/>
                    <w:right w:val="none" w:sz="0" w:space="0" w:color="auto"/>
                  </w:divBdr>
                </w:div>
                <w:div w:id="13734">
                  <w:marLeft w:val="0"/>
                  <w:marRight w:val="0"/>
                  <w:marTop w:val="0"/>
                  <w:marBottom w:val="0"/>
                  <w:divBdr>
                    <w:top w:val="none" w:sz="0" w:space="0" w:color="auto"/>
                    <w:left w:val="none" w:sz="0" w:space="0" w:color="auto"/>
                    <w:bottom w:val="none" w:sz="0" w:space="0" w:color="auto"/>
                    <w:right w:val="none" w:sz="0" w:space="0" w:color="auto"/>
                  </w:divBdr>
                </w:div>
                <w:div w:id="841313800">
                  <w:marLeft w:val="0"/>
                  <w:marRight w:val="0"/>
                  <w:marTop w:val="0"/>
                  <w:marBottom w:val="0"/>
                  <w:divBdr>
                    <w:top w:val="none" w:sz="0" w:space="0" w:color="auto"/>
                    <w:left w:val="none" w:sz="0" w:space="0" w:color="auto"/>
                    <w:bottom w:val="none" w:sz="0" w:space="0" w:color="auto"/>
                    <w:right w:val="none" w:sz="0" w:space="0" w:color="auto"/>
                  </w:divBdr>
                </w:div>
                <w:div w:id="1599869879">
                  <w:marLeft w:val="0"/>
                  <w:marRight w:val="0"/>
                  <w:marTop w:val="0"/>
                  <w:marBottom w:val="0"/>
                  <w:divBdr>
                    <w:top w:val="none" w:sz="0" w:space="0" w:color="auto"/>
                    <w:left w:val="none" w:sz="0" w:space="0" w:color="auto"/>
                    <w:bottom w:val="none" w:sz="0" w:space="0" w:color="auto"/>
                    <w:right w:val="none" w:sz="0" w:space="0" w:color="auto"/>
                  </w:divBdr>
                </w:div>
                <w:div w:id="1944606260">
                  <w:marLeft w:val="0"/>
                  <w:marRight w:val="0"/>
                  <w:marTop w:val="0"/>
                  <w:marBottom w:val="0"/>
                  <w:divBdr>
                    <w:top w:val="none" w:sz="0" w:space="0" w:color="auto"/>
                    <w:left w:val="none" w:sz="0" w:space="0" w:color="auto"/>
                    <w:bottom w:val="none" w:sz="0" w:space="0" w:color="auto"/>
                    <w:right w:val="none" w:sz="0" w:space="0" w:color="auto"/>
                  </w:divBdr>
                </w:div>
                <w:div w:id="998459301">
                  <w:marLeft w:val="0"/>
                  <w:marRight w:val="0"/>
                  <w:marTop w:val="0"/>
                  <w:marBottom w:val="0"/>
                  <w:divBdr>
                    <w:top w:val="none" w:sz="0" w:space="0" w:color="auto"/>
                    <w:left w:val="none" w:sz="0" w:space="0" w:color="auto"/>
                    <w:bottom w:val="none" w:sz="0" w:space="0" w:color="auto"/>
                    <w:right w:val="none" w:sz="0" w:space="0" w:color="auto"/>
                  </w:divBdr>
                </w:div>
                <w:div w:id="824510672">
                  <w:marLeft w:val="0"/>
                  <w:marRight w:val="0"/>
                  <w:marTop w:val="0"/>
                  <w:marBottom w:val="0"/>
                  <w:divBdr>
                    <w:top w:val="none" w:sz="0" w:space="0" w:color="auto"/>
                    <w:left w:val="none" w:sz="0" w:space="0" w:color="auto"/>
                    <w:bottom w:val="none" w:sz="0" w:space="0" w:color="auto"/>
                    <w:right w:val="none" w:sz="0" w:space="0" w:color="auto"/>
                  </w:divBdr>
                </w:div>
                <w:div w:id="336883596">
                  <w:marLeft w:val="0"/>
                  <w:marRight w:val="0"/>
                  <w:marTop w:val="0"/>
                  <w:marBottom w:val="0"/>
                  <w:divBdr>
                    <w:top w:val="none" w:sz="0" w:space="0" w:color="auto"/>
                    <w:left w:val="none" w:sz="0" w:space="0" w:color="auto"/>
                    <w:bottom w:val="none" w:sz="0" w:space="0" w:color="auto"/>
                    <w:right w:val="none" w:sz="0" w:space="0" w:color="auto"/>
                  </w:divBdr>
                </w:div>
                <w:div w:id="110561307">
                  <w:marLeft w:val="0"/>
                  <w:marRight w:val="0"/>
                  <w:marTop w:val="0"/>
                  <w:marBottom w:val="0"/>
                  <w:divBdr>
                    <w:top w:val="none" w:sz="0" w:space="0" w:color="auto"/>
                    <w:left w:val="none" w:sz="0" w:space="0" w:color="auto"/>
                    <w:bottom w:val="none" w:sz="0" w:space="0" w:color="auto"/>
                    <w:right w:val="none" w:sz="0" w:space="0" w:color="auto"/>
                  </w:divBdr>
                </w:div>
                <w:div w:id="1844658627">
                  <w:marLeft w:val="0"/>
                  <w:marRight w:val="0"/>
                  <w:marTop w:val="0"/>
                  <w:marBottom w:val="0"/>
                  <w:divBdr>
                    <w:top w:val="none" w:sz="0" w:space="0" w:color="auto"/>
                    <w:left w:val="none" w:sz="0" w:space="0" w:color="auto"/>
                    <w:bottom w:val="none" w:sz="0" w:space="0" w:color="auto"/>
                    <w:right w:val="none" w:sz="0" w:space="0" w:color="auto"/>
                  </w:divBdr>
                </w:div>
                <w:div w:id="1671442653">
                  <w:marLeft w:val="0"/>
                  <w:marRight w:val="0"/>
                  <w:marTop w:val="0"/>
                  <w:marBottom w:val="0"/>
                  <w:divBdr>
                    <w:top w:val="none" w:sz="0" w:space="0" w:color="auto"/>
                    <w:left w:val="none" w:sz="0" w:space="0" w:color="auto"/>
                    <w:bottom w:val="none" w:sz="0" w:space="0" w:color="auto"/>
                    <w:right w:val="none" w:sz="0" w:space="0" w:color="auto"/>
                  </w:divBdr>
                </w:div>
                <w:div w:id="817265579">
                  <w:marLeft w:val="0"/>
                  <w:marRight w:val="0"/>
                  <w:marTop w:val="0"/>
                  <w:marBottom w:val="0"/>
                  <w:divBdr>
                    <w:top w:val="none" w:sz="0" w:space="0" w:color="auto"/>
                    <w:left w:val="none" w:sz="0" w:space="0" w:color="auto"/>
                    <w:bottom w:val="none" w:sz="0" w:space="0" w:color="auto"/>
                    <w:right w:val="none" w:sz="0" w:space="0" w:color="auto"/>
                  </w:divBdr>
                </w:div>
                <w:div w:id="2116896280">
                  <w:marLeft w:val="0"/>
                  <w:marRight w:val="0"/>
                  <w:marTop w:val="0"/>
                  <w:marBottom w:val="0"/>
                  <w:divBdr>
                    <w:top w:val="none" w:sz="0" w:space="0" w:color="auto"/>
                    <w:left w:val="none" w:sz="0" w:space="0" w:color="auto"/>
                    <w:bottom w:val="none" w:sz="0" w:space="0" w:color="auto"/>
                    <w:right w:val="none" w:sz="0" w:space="0" w:color="auto"/>
                  </w:divBdr>
                </w:div>
                <w:div w:id="759720388">
                  <w:marLeft w:val="0"/>
                  <w:marRight w:val="0"/>
                  <w:marTop w:val="0"/>
                  <w:marBottom w:val="0"/>
                  <w:divBdr>
                    <w:top w:val="none" w:sz="0" w:space="0" w:color="auto"/>
                    <w:left w:val="none" w:sz="0" w:space="0" w:color="auto"/>
                    <w:bottom w:val="none" w:sz="0" w:space="0" w:color="auto"/>
                    <w:right w:val="none" w:sz="0" w:space="0" w:color="auto"/>
                  </w:divBdr>
                </w:div>
                <w:div w:id="778455396">
                  <w:marLeft w:val="0"/>
                  <w:marRight w:val="0"/>
                  <w:marTop w:val="0"/>
                  <w:marBottom w:val="0"/>
                  <w:divBdr>
                    <w:top w:val="none" w:sz="0" w:space="0" w:color="auto"/>
                    <w:left w:val="none" w:sz="0" w:space="0" w:color="auto"/>
                    <w:bottom w:val="none" w:sz="0" w:space="0" w:color="auto"/>
                    <w:right w:val="none" w:sz="0" w:space="0" w:color="auto"/>
                  </w:divBdr>
                </w:div>
                <w:div w:id="348484665">
                  <w:marLeft w:val="0"/>
                  <w:marRight w:val="0"/>
                  <w:marTop w:val="0"/>
                  <w:marBottom w:val="0"/>
                  <w:divBdr>
                    <w:top w:val="none" w:sz="0" w:space="0" w:color="auto"/>
                    <w:left w:val="none" w:sz="0" w:space="0" w:color="auto"/>
                    <w:bottom w:val="none" w:sz="0" w:space="0" w:color="auto"/>
                    <w:right w:val="none" w:sz="0" w:space="0" w:color="auto"/>
                  </w:divBdr>
                </w:div>
                <w:div w:id="1816333051">
                  <w:marLeft w:val="0"/>
                  <w:marRight w:val="0"/>
                  <w:marTop w:val="0"/>
                  <w:marBottom w:val="0"/>
                  <w:divBdr>
                    <w:top w:val="none" w:sz="0" w:space="0" w:color="auto"/>
                    <w:left w:val="none" w:sz="0" w:space="0" w:color="auto"/>
                    <w:bottom w:val="none" w:sz="0" w:space="0" w:color="auto"/>
                    <w:right w:val="none" w:sz="0" w:space="0" w:color="auto"/>
                  </w:divBdr>
                </w:div>
                <w:div w:id="1208446144">
                  <w:marLeft w:val="0"/>
                  <w:marRight w:val="0"/>
                  <w:marTop w:val="0"/>
                  <w:marBottom w:val="0"/>
                  <w:divBdr>
                    <w:top w:val="none" w:sz="0" w:space="0" w:color="auto"/>
                    <w:left w:val="none" w:sz="0" w:space="0" w:color="auto"/>
                    <w:bottom w:val="none" w:sz="0" w:space="0" w:color="auto"/>
                    <w:right w:val="none" w:sz="0" w:space="0" w:color="auto"/>
                  </w:divBdr>
                </w:div>
                <w:div w:id="911309225">
                  <w:marLeft w:val="0"/>
                  <w:marRight w:val="0"/>
                  <w:marTop w:val="0"/>
                  <w:marBottom w:val="0"/>
                  <w:divBdr>
                    <w:top w:val="none" w:sz="0" w:space="0" w:color="auto"/>
                    <w:left w:val="none" w:sz="0" w:space="0" w:color="auto"/>
                    <w:bottom w:val="none" w:sz="0" w:space="0" w:color="auto"/>
                    <w:right w:val="none" w:sz="0" w:space="0" w:color="auto"/>
                  </w:divBdr>
                </w:div>
                <w:div w:id="1892770802">
                  <w:marLeft w:val="0"/>
                  <w:marRight w:val="0"/>
                  <w:marTop w:val="0"/>
                  <w:marBottom w:val="0"/>
                  <w:divBdr>
                    <w:top w:val="none" w:sz="0" w:space="0" w:color="auto"/>
                    <w:left w:val="none" w:sz="0" w:space="0" w:color="auto"/>
                    <w:bottom w:val="none" w:sz="0" w:space="0" w:color="auto"/>
                    <w:right w:val="none" w:sz="0" w:space="0" w:color="auto"/>
                  </w:divBdr>
                </w:div>
                <w:div w:id="1901012252">
                  <w:marLeft w:val="0"/>
                  <w:marRight w:val="0"/>
                  <w:marTop w:val="0"/>
                  <w:marBottom w:val="0"/>
                  <w:divBdr>
                    <w:top w:val="none" w:sz="0" w:space="0" w:color="auto"/>
                    <w:left w:val="none" w:sz="0" w:space="0" w:color="auto"/>
                    <w:bottom w:val="none" w:sz="0" w:space="0" w:color="auto"/>
                    <w:right w:val="none" w:sz="0" w:space="0" w:color="auto"/>
                  </w:divBdr>
                </w:div>
                <w:div w:id="992296908">
                  <w:marLeft w:val="0"/>
                  <w:marRight w:val="0"/>
                  <w:marTop w:val="0"/>
                  <w:marBottom w:val="0"/>
                  <w:divBdr>
                    <w:top w:val="none" w:sz="0" w:space="0" w:color="auto"/>
                    <w:left w:val="none" w:sz="0" w:space="0" w:color="auto"/>
                    <w:bottom w:val="none" w:sz="0" w:space="0" w:color="auto"/>
                    <w:right w:val="none" w:sz="0" w:space="0" w:color="auto"/>
                  </w:divBdr>
                </w:div>
                <w:div w:id="460194029">
                  <w:marLeft w:val="0"/>
                  <w:marRight w:val="0"/>
                  <w:marTop w:val="0"/>
                  <w:marBottom w:val="0"/>
                  <w:divBdr>
                    <w:top w:val="none" w:sz="0" w:space="0" w:color="auto"/>
                    <w:left w:val="none" w:sz="0" w:space="0" w:color="auto"/>
                    <w:bottom w:val="none" w:sz="0" w:space="0" w:color="auto"/>
                    <w:right w:val="none" w:sz="0" w:space="0" w:color="auto"/>
                  </w:divBdr>
                </w:div>
                <w:div w:id="2126540106">
                  <w:marLeft w:val="0"/>
                  <w:marRight w:val="0"/>
                  <w:marTop w:val="0"/>
                  <w:marBottom w:val="0"/>
                  <w:divBdr>
                    <w:top w:val="none" w:sz="0" w:space="0" w:color="auto"/>
                    <w:left w:val="none" w:sz="0" w:space="0" w:color="auto"/>
                    <w:bottom w:val="none" w:sz="0" w:space="0" w:color="auto"/>
                    <w:right w:val="none" w:sz="0" w:space="0" w:color="auto"/>
                  </w:divBdr>
                </w:div>
                <w:div w:id="1801994051">
                  <w:marLeft w:val="0"/>
                  <w:marRight w:val="0"/>
                  <w:marTop w:val="0"/>
                  <w:marBottom w:val="0"/>
                  <w:divBdr>
                    <w:top w:val="none" w:sz="0" w:space="0" w:color="auto"/>
                    <w:left w:val="none" w:sz="0" w:space="0" w:color="auto"/>
                    <w:bottom w:val="none" w:sz="0" w:space="0" w:color="auto"/>
                    <w:right w:val="none" w:sz="0" w:space="0" w:color="auto"/>
                  </w:divBdr>
                </w:div>
                <w:div w:id="2146703816">
                  <w:marLeft w:val="0"/>
                  <w:marRight w:val="0"/>
                  <w:marTop w:val="0"/>
                  <w:marBottom w:val="0"/>
                  <w:divBdr>
                    <w:top w:val="none" w:sz="0" w:space="0" w:color="auto"/>
                    <w:left w:val="none" w:sz="0" w:space="0" w:color="auto"/>
                    <w:bottom w:val="none" w:sz="0" w:space="0" w:color="auto"/>
                    <w:right w:val="none" w:sz="0" w:space="0" w:color="auto"/>
                  </w:divBdr>
                </w:div>
                <w:div w:id="608514424">
                  <w:marLeft w:val="0"/>
                  <w:marRight w:val="0"/>
                  <w:marTop w:val="0"/>
                  <w:marBottom w:val="0"/>
                  <w:divBdr>
                    <w:top w:val="none" w:sz="0" w:space="0" w:color="auto"/>
                    <w:left w:val="none" w:sz="0" w:space="0" w:color="auto"/>
                    <w:bottom w:val="none" w:sz="0" w:space="0" w:color="auto"/>
                    <w:right w:val="none" w:sz="0" w:space="0" w:color="auto"/>
                  </w:divBdr>
                </w:div>
                <w:div w:id="1281184884">
                  <w:marLeft w:val="0"/>
                  <w:marRight w:val="0"/>
                  <w:marTop w:val="0"/>
                  <w:marBottom w:val="0"/>
                  <w:divBdr>
                    <w:top w:val="none" w:sz="0" w:space="0" w:color="auto"/>
                    <w:left w:val="none" w:sz="0" w:space="0" w:color="auto"/>
                    <w:bottom w:val="none" w:sz="0" w:space="0" w:color="auto"/>
                    <w:right w:val="none" w:sz="0" w:space="0" w:color="auto"/>
                  </w:divBdr>
                </w:div>
                <w:div w:id="176116832">
                  <w:marLeft w:val="0"/>
                  <w:marRight w:val="0"/>
                  <w:marTop w:val="0"/>
                  <w:marBottom w:val="0"/>
                  <w:divBdr>
                    <w:top w:val="none" w:sz="0" w:space="0" w:color="auto"/>
                    <w:left w:val="none" w:sz="0" w:space="0" w:color="auto"/>
                    <w:bottom w:val="none" w:sz="0" w:space="0" w:color="auto"/>
                    <w:right w:val="none" w:sz="0" w:space="0" w:color="auto"/>
                  </w:divBdr>
                </w:div>
                <w:div w:id="102237068">
                  <w:marLeft w:val="0"/>
                  <w:marRight w:val="0"/>
                  <w:marTop w:val="0"/>
                  <w:marBottom w:val="0"/>
                  <w:divBdr>
                    <w:top w:val="none" w:sz="0" w:space="0" w:color="auto"/>
                    <w:left w:val="none" w:sz="0" w:space="0" w:color="auto"/>
                    <w:bottom w:val="none" w:sz="0" w:space="0" w:color="auto"/>
                    <w:right w:val="none" w:sz="0" w:space="0" w:color="auto"/>
                  </w:divBdr>
                </w:div>
                <w:div w:id="564410279">
                  <w:marLeft w:val="0"/>
                  <w:marRight w:val="0"/>
                  <w:marTop w:val="0"/>
                  <w:marBottom w:val="0"/>
                  <w:divBdr>
                    <w:top w:val="none" w:sz="0" w:space="0" w:color="auto"/>
                    <w:left w:val="none" w:sz="0" w:space="0" w:color="auto"/>
                    <w:bottom w:val="none" w:sz="0" w:space="0" w:color="auto"/>
                    <w:right w:val="none" w:sz="0" w:space="0" w:color="auto"/>
                  </w:divBdr>
                </w:div>
                <w:div w:id="204099703">
                  <w:marLeft w:val="0"/>
                  <w:marRight w:val="0"/>
                  <w:marTop w:val="0"/>
                  <w:marBottom w:val="0"/>
                  <w:divBdr>
                    <w:top w:val="none" w:sz="0" w:space="0" w:color="auto"/>
                    <w:left w:val="none" w:sz="0" w:space="0" w:color="auto"/>
                    <w:bottom w:val="none" w:sz="0" w:space="0" w:color="auto"/>
                    <w:right w:val="none" w:sz="0" w:space="0" w:color="auto"/>
                  </w:divBdr>
                </w:div>
                <w:div w:id="322634948">
                  <w:marLeft w:val="0"/>
                  <w:marRight w:val="0"/>
                  <w:marTop w:val="0"/>
                  <w:marBottom w:val="0"/>
                  <w:divBdr>
                    <w:top w:val="none" w:sz="0" w:space="0" w:color="auto"/>
                    <w:left w:val="none" w:sz="0" w:space="0" w:color="auto"/>
                    <w:bottom w:val="none" w:sz="0" w:space="0" w:color="auto"/>
                    <w:right w:val="none" w:sz="0" w:space="0" w:color="auto"/>
                  </w:divBdr>
                </w:div>
                <w:div w:id="1439368929">
                  <w:marLeft w:val="0"/>
                  <w:marRight w:val="0"/>
                  <w:marTop w:val="0"/>
                  <w:marBottom w:val="0"/>
                  <w:divBdr>
                    <w:top w:val="none" w:sz="0" w:space="0" w:color="auto"/>
                    <w:left w:val="none" w:sz="0" w:space="0" w:color="auto"/>
                    <w:bottom w:val="none" w:sz="0" w:space="0" w:color="auto"/>
                    <w:right w:val="none" w:sz="0" w:space="0" w:color="auto"/>
                  </w:divBdr>
                </w:div>
                <w:div w:id="1933585708">
                  <w:marLeft w:val="0"/>
                  <w:marRight w:val="0"/>
                  <w:marTop w:val="0"/>
                  <w:marBottom w:val="0"/>
                  <w:divBdr>
                    <w:top w:val="none" w:sz="0" w:space="0" w:color="auto"/>
                    <w:left w:val="none" w:sz="0" w:space="0" w:color="auto"/>
                    <w:bottom w:val="none" w:sz="0" w:space="0" w:color="auto"/>
                    <w:right w:val="none" w:sz="0" w:space="0" w:color="auto"/>
                  </w:divBdr>
                </w:div>
                <w:div w:id="2078358095">
                  <w:marLeft w:val="0"/>
                  <w:marRight w:val="0"/>
                  <w:marTop w:val="0"/>
                  <w:marBottom w:val="0"/>
                  <w:divBdr>
                    <w:top w:val="none" w:sz="0" w:space="0" w:color="auto"/>
                    <w:left w:val="none" w:sz="0" w:space="0" w:color="auto"/>
                    <w:bottom w:val="none" w:sz="0" w:space="0" w:color="auto"/>
                    <w:right w:val="none" w:sz="0" w:space="0" w:color="auto"/>
                  </w:divBdr>
                </w:div>
                <w:div w:id="247351664">
                  <w:marLeft w:val="0"/>
                  <w:marRight w:val="0"/>
                  <w:marTop w:val="0"/>
                  <w:marBottom w:val="0"/>
                  <w:divBdr>
                    <w:top w:val="none" w:sz="0" w:space="0" w:color="auto"/>
                    <w:left w:val="none" w:sz="0" w:space="0" w:color="auto"/>
                    <w:bottom w:val="none" w:sz="0" w:space="0" w:color="auto"/>
                    <w:right w:val="none" w:sz="0" w:space="0" w:color="auto"/>
                  </w:divBdr>
                </w:div>
                <w:div w:id="1918636821">
                  <w:marLeft w:val="0"/>
                  <w:marRight w:val="0"/>
                  <w:marTop w:val="0"/>
                  <w:marBottom w:val="0"/>
                  <w:divBdr>
                    <w:top w:val="none" w:sz="0" w:space="0" w:color="auto"/>
                    <w:left w:val="none" w:sz="0" w:space="0" w:color="auto"/>
                    <w:bottom w:val="none" w:sz="0" w:space="0" w:color="auto"/>
                    <w:right w:val="none" w:sz="0" w:space="0" w:color="auto"/>
                  </w:divBdr>
                </w:div>
                <w:div w:id="118492848">
                  <w:marLeft w:val="0"/>
                  <w:marRight w:val="0"/>
                  <w:marTop w:val="0"/>
                  <w:marBottom w:val="0"/>
                  <w:divBdr>
                    <w:top w:val="none" w:sz="0" w:space="0" w:color="auto"/>
                    <w:left w:val="none" w:sz="0" w:space="0" w:color="auto"/>
                    <w:bottom w:val="none" w:sz="0" w:space="0" w:color="auto"/>
                    <w:right w:val="none" w:sz="0" w:space="0" w:color="auto"/>
                  </w:divBdr>
                </w:div>
                <w:div w:id="315036826">
                  <w:marLeft w:val="0"/>
                  <w:marRight w:val="0"/>
                  <w:marTop w:val="0"/>
                  <w:marBottom w:val="0"/>
                  <w:divBdr>
                    <w:top w:val="none" w:sz="0" w:space="0" w:color="auto"/>
                    <w:left w:val="none" w:sz="0" w:space="0" w:color="auto"/>
                    <w:bottom w:val="none" w:sz="0" w:space="0" w:color="auto"/>
                    <w:right w:val="none" w:sz="0" w:space="0" w:color="auto"/>
                  </w:divBdr>
                </w:div>
                <w:div w:id="1955406331">
                  <w:marLeft w:val="0"/>
                  <w:marRight w:val="0"/>
                  <w:marTop w:val="0"/>
                  <w:marBottom w:val="0"/>
                  <w:divBdr>
                    <w:top w:val="none" w:sz="0" w:space="0" w:color="auto"/>
                    <w:left w:val="none" w:sz="0" w:space="0" w:color="auto"/>
                    <w:bottom w:val="none" w:sz="0" w:space="0" w:color="auto"/>
                    <w:right w:val="none" w:sz="0" w:space="0" w:color="auto"/>
                  </w:divBdr>
                </w:div>
                <w:div w:id="706833563">
                  <w:marLeft w:val="0"/>
                  <w:marRight w:val="0"/>
                  <w:marTop w:val="0"/>
                  <w:marBottom w:val="0"/>
                  <w:divBdr>
                    <w:top w:val="none" w:sz="0" w:space="0" w:color="auto"/>
                    <w:left w:val="none" w:sz="0" w:space="0" w:color="auto"/>
                    <w:bottom w:val="none" w:sz="0" w:space="0" w:color="auto"/>
                    <w:right w:val="none" w:sz="0" w:space="0" w:color="auto"/>
                  </w:divBdr>
                </w:div>
                <w:div w:id="797845581">
                  <w:marLeft w:val="0"/>
                  <w:marRight w:val="0"/>
                  <w:marTop w:val="0"/>
                  <w:marBottom w:val="0"/>
                  <w:divBdr>
                    <w:top w:val="none" w:sz="0" w:space="0" w:color="auto"/>
                    <w:left w:val="none" w:sz="0" w:space="0" w:color="auto"/>
                    <w:bottom w:val="none" w:sz="0" w:space="0" w:color="auto"/>
                    <w:right w:val="none" w:sz="0" w:space="0" w:color="auto"/>
                  </w:divBdr>
                </w:div>
                <w:div w:id="523638097">
                  <w:marLeft w:val="0"/>
                  <w:marRight w:val="0"/>
                  <w:marTop w:val="0"/>
                  <w:marBottom w:val="0"/>
                  <w:divBdr>
                    <w:top w:val="none" w:sz="0" w:space="0" w:color="auto"/>
                    <w:left w:val="none" w:sz="0" w:space="0" w:color="auto"/>
                    <w:bottom w:val="none" w:sz="0" w:space="0" w:color="auto"/>
                    <w:right w:val="none" w:sz="0" w:space="0" w:color="auto"/>
                  </w:divBdr>
                </w:div>
                <w:div w:id="1398020014">
                  <w:marLeft w:val="0"/>
                  <w:marRight w:val="0"/>
                  <w:marTop w:val="0"/>
                  <w:marBottom w:val="0"/>
                  <w:divBdr>
                    <w:top w:val="none" w:sz="0" w:space="0" w:color="auto"/>
                    <w:left w:val="none" w:sz="0" w:space="0" w:color="auto"/>
                    <w:bottom w:val="none" w:sz="0" w:space="0" w:color="auto"/>
                    <w:right w:val="none" w:sz="0" w:space="0" w:color="auto"/>
                  </w:divBdr>
                </w:div>
                <w:div w:id="2137943979">
                  <w:marLeft w:val="0"/>
                  <w:marRight w:val="0"/>
                  <w:marTop w:val="0"/>
                  <w:marBottom w:val="0"/>
                  <w:divBdr>
                    <w:top w:val="none" w:sz="0" w:space="0" w:color="auto"/>
                    <w:left w:val="none" w:sz="0" w:space="0" w:color="auto"/>
                    <w:bottom w:val="none" w:sz="0" w:space="0" w:color="auto"/>
                    <w:right w:val="none" w:sz="0" w:space="0" w:color="auto"/>
                  </w:divBdr>
                </w:div>
                <w:div w:id="497769699">
                  <w:marLeft w:val="0"/>
                  <w:marRight w:val="0"/>
                  <w:marTop w:val="0"/>
                  <w:marBottom w:val="0"/>
                  <w:divBdr>
                    <w:top w:val="none" w:sz="0" w:space="0" w:color="auto"/>
                    <w:left w:val="none" w:sz="0" w:space="0" w:color="auto"/>
                    <w:bottom w:val="none" w:sz="0" w:space="0" w:color="auto"/>
                    <w:right w:val="none" w:sz="0" w:space="0" w:color="auto"/>
                  </w:divBdr>
                </w:div>
                <w:div w:id="178930049">
                  <w:marLeft w:val="0"/>
                  <w:marRight w:val="0"/>
                  <w:marTop w:val="0"/>
                  <w:marBottom w:val="0"/>
                  <w:divBdr>
                    <w:top w:val="none" w:sz="0" w:space="0" w:color="auto"/>
                    <w:left w:val="none" w:sz="0" w:space="0" w:color="auto"/>
                    <w:bottom w:val="none" w:sz="0" w:space="0" w:color="auto"/>
                    <w:right w:val="none" w:sz="0" w:space="0" w:color="auto"/>
                  </w:divBdr>
                </w:div>
                <w:div w:id="231891281">
                  <w:marLeft w:val="0"/>
                  <w:marRight w:val="0"/>
                  <w:marTop w:val="0"/>
                  <w:marBottom w:val="0"/>
                  <w:divBdr>
                    <w:top w:val="none" w:sz="0" w:space="0" w:color="auto"/>
                    <w:left w:val="none" w:sz="0" w:space="0" w:color="auto"/>
                    <w:bottom w:val="none" w:sz="0" w:space="0" w:color="auto"/>
                    <w:right w:val="none" w:sz="0" w:space="0" w:color="auto"/>
                  </w:divBdr>
                </w:div>
                <w:div w:id="318729555">
                  <w:marLeft w:val="0"/>
                  <w:marRight w:val="0"/>
                  <w:marTop w:val="0"/>
                  <w:marBottom w:val="0"/>
                  <w:divBdr>
                    <w:top w:val="none" w:sz="0" w:space="0" w:color="auto"/>
                    <w:left w:val="none" w:sz="0" w:space="0" w:color="auto"/>
                    <w:bottom w:val="none" w:sz="0" w:space="0" w:color="auto"/>
                    <w:right w:val="none" w:sz="0" w:space="0" w:color="auto"/>
                  </w:divBdr>
                </w:div>
                <w:div w:id="1074932220">
                  <w:marLeft w:val="0"/>
                  <w:marRight w:val="0"/>
                  <w:marTop w:val="0"/>
                  <w:marBottom w:val="0"/>
                  <w:divBdr>
                    <w:top w:val="none" w:sz="0" w:space="0" w:color="auto"/>
                    <w:left w:val="none" w:sz="0" w:space="0" w:color="auto"/>
                    <w:bottom w:val="none" w:sz="0" w:space="0" w:color="auto"/>
                    <w:right w:val="none" w:sz="0" w:space="0" w:color="auto"/>
                  </w:divBdr>
                </w:div>
                <w:div w:id="1108164182">
                  <w:marLeft w:val="0"/>
                  <w:marRight w:val="0"/>
                  <w:marTop w:val="0"/>
                  <w:marBottom w:val="0"/>
                  <w:divBdr>
                    <w:top w:val="none" w:sz="0" w:space="0" w:color="auto"/>
                    <w:left w:val="none" w:sz="0" w:space="0" w:color="auto"/>
                    <w:bottom w:val="none" w:sz="0" w:space="0" w:color="auto"/>
                    <w:right w:val="none" w:sz="0" w:space="0" w:color="auto"/>
                  </w:divBdr>
                </w:div>
                <w:div w:id="250428449">
                  <w:marLeft w:val="0"/>
                  <w:marRight w:val="0"/>
                  <w:marTop w:val="0"/>
                  <w:marBottom w:val="0"/>
                  <w:divBdr>
                    <w:top w:val="none" w:sz="0" w:space="0" w:color="auto"/>
                    <w:left w:val="none" w:sz="0" w:space="0" w:color="auto"/>
                    <w:bottom w:val="none" w:sz="0" w:space="0" w:color="auto"/>
                    <w:right w:val="none" w:sz="0" w:space="0" w:color="auto"/>
                  </w:divBdr>
                </w:div>
                <w:div w:id="1181427923">
                  <w:marLeft w:val="0"/>
                  <w:marRight w:val="0"/>
                  <w:marTop w:val="0"/>
                  <w:marBottom w:val="0"/>
                  <w:divBdr>
                    <w:top w:val="none" w:sz="0" w:space="0" w:color="auto"/>
                    <w:left w:val="none" w:sz="0" w:space="0" w:color="auto"/>
                    <w:bottom w:val="none" w:sz="0" w:space="0" w:color="auto"/>
                    <w:right w:val="none" w:sz="0" w:space="0" w:color="auto"/>
                  </w:divBdr>
                </w:div>
                <w:div w:id="797994799">
                  <w:marLeft w:val="0"/>
                  <w:marRight w:val="0"/>
                  <w:marTop w:val="0"/>
                  <w:marBottom w:val="0"/>
                  <w:divBdr>
                    <w:top w:val="none" w:sz="0" w:space="0" w:color="auto"/>
                    <w:left w:val="none" w:sz="0" w:space="0" w:color="auto"/>
                    <w:bottom w:val="none" w:sz="0" w:space="0" w:color="auto"/>
                    <w:right w:val="none" w:sz="0" w:space="0" w:color="auto"/>
                  </w:divBdr>
                </w:div>
                <w:div w:id="2027945992">
                  <w:marLeft w:val="0"/>
                  <w:marRight w:val="0"/>
                  <w:marTop w:val="0"/>
                  <w:marBottom w:val="0"/>
                  <w:divBdr>
                    <w:top w:val="none" w:sz="0" w:space="0" w:color="auto"/>
                    <w:left w:val="none" w:sz="0" w:space="0" w:color="auto"/>
                    <w:bottom w:val="none" w:sz="0" w:space="0" w:color="auto"/>
                    <w:right w:val="none" w:sz="0" w:space="0" w:color="auto"/>
                  </w:divBdr>
                </w:div>
                <w:div w:id="677540586">
                  <w:marLeft w:val="0"/>
                  <w:marRight w:val="0"/>
                  <w:marTop w:val="0"/>
                  <w:marBottom w:val="0"/>
                  <w:divBdr>
                    <w:top w:val="none" w:sz="0" w:space="0" w:color="auto"/>
                    <w:left w:val="none" w:sz="0" w:space="0" w:color="auto"/>
                    <w:bottom w:val="none" w:sz="0" w:space="0" w:color="auto"/>
                    <w:right w:val="none" w:sz="0" w:space="0" w:color="auto"/>
                  </w:divBdr>
                </w:div>
                <w:div w:id="698504916">
                  <w:marLeft w:val="0"/>
                  <w:marRight w:val="0"/>
                  <w:marTop w:val="0"/>
                  <w:marBottom w:val="0"/>
                  <w:divBdr>
                    <w:top w:val="none" w:sz="0" w:space="0" w:color="auto"/>
                    <w:left w:val="none" w:sz="0" w:space="0" w:color="auto"/>
                    <w:bottom w:val="none" w:sz="0" w:space="0" w:color="auto"/>
                    <w:right w:val="none" w:sz="0" w:space="0" w:color="auto"/>
                  </w:divBdr>
                </w:div>
                <w:div w:id="462038366">
                  <w:marLeft w:val="0"/>
                  <w:marRight w:val="0"/>
                  <w:marTop w:val="0"/>
                  <w:marBottom w:val="0"/>
                  <w:divBdr>
                    <w:top w:val="none" w:sz="0" w:space="0" w:color="auto"/>
                    <w:left w:val="none" w:sz="0" w:space="0" w:color="auto"/>
                    <w:bottom w:val="none" w:sz="0" w:space="0" w:color="auto"/>
                    <w:right w:val="none" w:sz="0" w:space="0" w:color="auto"/>
                  </w:divBdr>
                </w:div>
                <w:div w:id="486019657">
                  <w:marLeft w:val="0"/>
                  <w:marRight w:val="0"/>
                  <w:marTop w:val="0"/>
                  <w:marBottom w:val="0"/>
                  <w:divBdr>
                    <w:top w:val="none" w:sz="0" w:space="0" w:color="auto"/>
                    <w:left w:val="none" w:sz="0" w:space="0" w:color="auto"/>
                    <w:bottom w:val="none" w:sz="0" w:space="0" w:color="auto"/>
                    <w:right w:val="none" w:sz="0" w:space="0" w:color="auto"/>
                  </w:divBdr>
                </w:div>
                <w:div w:id="429131664">
                  <w:marLeft w:val="0"/>
                  <w:marRight w:val="0"/>
                  <w:marTop w:val="0"/>
                  <w:marBottom w:val="0"/>
                  <w:divBdr>
                    <w:top w:val="none" w:sz="0" w:space="0" w:color="auto"/>
                    <w:left w:val="none" w:sz="0" w:space="0" w:color="auto"/>
                    <w:bottom w:val="none" w:sz="0" w:space="0" w:color="auto"/>
                    <w:right w:val="none" w:sz="0" w:space="0" w:color="auto"/>
                  </w:divBdr>
                </w:div>
                <w:div w:id="650016395">
                  <w:marLeft w:val="0"/>
                  <w:marRight w:val="0"/>
                  <w:marTop w:val="0"/>
                  <w:marBottom w:val="0"/>
                  <w:divBdr>
                    <w:top w:val="none" w:sz="0" w:space="0" w:color="auto"/>
                    <w:left w:val="none" w:sz="0" w:space="0" w:color="auto"/>
                    <w:bottom w:val="none" w:sz="0" w:space="0" w:color="auto"/>
                    <w:right w:val="none" w:sz="0" w:space="0" w:color="auto"/>
                  </w:divBdr>
                </w:div>
                <w:div w:id="1778064206">
                  <w:marLeft w:val="0"/>
                  <w:marRight w:val="0"/>
                  <w:marTop w:val="0"/>
                  <w:marBottom w:val="0"/>
                  <w:divBdr>
                    <w:top w:val="none" w:sz="0" w:space="0" w:color="auto"/>
                    <w:left w:val="none" w:sz="0" w:space="0" w:color="auto"/>
                    <w:bottom w:val="none" w:sz="0" w:space="0" w:color="auto"/>
                    <w:right w:val="none" w:sz="0" w:space="0" w:color="auto"/>
                  </w:divBdr>
                </w:div>
                <w:div w:id="73284054">
                  <w:marLeft w:val="0"/>
                  <w:marRight w:val="0"/>
                  <w:marTop w:val="0"/>
                  <w:marBottom w:val="0"/>
                  <w:divBdr>
                    <w:top w:val="none" w:sz="0" w:space="0" w:color="auto"/>
                    <w:left w:val="none" w:sz="0" w:space="0" w:color="auto"/>
                    <w:bottom w:val="none" w:sz="0" w:space="0" w:color="auto"/>
                    <w:right w:val="none" w:sz="0" w:space="0" w:color="auto"/>
                  </w:divBdr>
                </w:div>
                <w:div w:id="1476531283">
                  <w:marLeft w:val="0"/>
                  <w:marRight w:val="0"/>
                  <w:marTop w:val="0"/>
                  <w:marBottom w:val="0"/>
                  <w:divBdr>
                    <w:top w:val="none" w:sz="0" w:space="0" w:color="auto"/>
                    <w:left w:val="none" w:sz="0" w:space="0" w:color="auto"/>
                    <w:bottom w:val="none" w:sz="0" w:space="0" w:color="auto"/>
                    <w:right w:val="none" w:sz="0" w:space="0" w:color="auto"/>
                  </w:divBdr>
                </w:div>
                <w:div w:id="840975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717040">
      <w:bodyDiv w:val="1"/>
      <w:marLeft w:val="0"/>
      <w:marRight w:val="0"/>
      <w:marTop w:val="0"/>
      <w:marBottom w:val="0"/>
      <w:divBdr>
        <w:top w:val="none" w:sz="0" w:space="0" w:color="auto"/>
        <w:left w:val="none" w:sz="0" w:space="0" w:color="auto"/>
        <w:bottom w:val="none" w:sz="0" w:space="0" w:color="auto"/>
        <w:right w:val="none" w:sz="0" w:space="0" w:color="auto"/>
      </w:divBdr>
      <w:divsChild>
        <w:div w:id="417022690">
          <w:marLeft w:val="0"/>
          <w:marRight w:val="0"/>
          <w:marTop w:val="0"/>
          <w:marBottom w:val="0"/>
          <w:divBdr>
            <w:top w:val="none" w:sz="0" w:space="0" w:color="auto"/>
            <w:left w:val="none" w:sz="0" w:space="0" w:color="auto"/>
            <w:bottom w:val="none" w:sz="0" w:space="0" w:color="auto"/>
            <w:right w:val="none" w:sz="0" w:space="0" w:color="auto"/>
          </w:divBdr>
        </w:div>
        <w:div w:id="1805462475">
          <w:marLeft w:val="0"/>
          <w:marRight w:val="0"/>
          <w:marTop w:val="0"/>
          <w:marBottom w:val="0"/>
          <w:divBdr>
            <w:top w:val="none" w:sz="0" w:space="0" w:color="auto"/>
            <w:left w:val="none" w:sz="0" w:space="0" w:color="auto"/>
            <w:bottom w:val="none" w:sz="0" w:space="0" w:color="auto"/>
            <w:right w:val="none" w:sz="0" w:space="0" w:color="auto"/>
          </w:divBdr>
        </w:div>
      </w:divsChild>
    </w:div>
    <w:div w:id="397636128">
      <w:bodyDiv w:val="1"/>
      <w:marLeft w:val="0"/>
      <w:marRight w:val="0"/>
      <w:marTop w:val="0"/>
      <w:marBottom w:val="0"/>
      <w:divBdr>
        <w:top w:val="none" w:sz="0" w:space="0" w:color="auto"/>
        <w:left w:val="none" w:sz="0" w:space="0" w:color="auto"/>
        <w:bottom w:val="none" w:sz="0" w:space="0" w:color="auto"/>
        <w:right w:val="none" w:sz="0" w:space="0" w:color="auto"/>
      </w:divBdr>
    </w:div>
    <w:div w:id="401219291">
      <w:bodyDiv w:val="1"/>
      <w:marLeft w:val="0"/>
      <w:marRight w:val="0"/>
      <w:marTop w:val="0"/>
      <w:marBottom w:val="0"/>
      <w:divBdr>
        <w:top w:val="none" w:sz="0" w:space="0" w:color="auto"/>
        <w:left w:val="none" w:sz="0" w:space="0" w:color="auto"/>
        <w:bottom w:val="none" w:sz="0" w:space="0" w:color="auto"/>
        <w:right w:val="none" w:sz="0" w:space="0" w:color="auto"/>
      </w:divBdr>
      <w:divsChild>
        <w:div w:id="420101161">
          <w:marLeft w:val="0"/>
          <w:marRight w:val="0"/>
          <w:marTop w:val="225"/>
          <w:marBottom w:val="225"/>
          <w:divBdr>
            <w:top w:val="none" w:sz="0" w:space="0" w:color="auto"/>
            <w:left w:val="none" w:sz="0" w:space="0" w:color="auto"/>
            <w:bottom w:val="none" w:sz="0" w:space="0" w:color="auto"/>
            <w:right w:val="none" w:sz="0" w:space="0" w:color="auto"/>
          </w:divBdr>
          <w:divsChild>
            <w:div w:id="1880166251">
              <w:marLeft w:val="0"/>
              <w:marRight w:val="0"/>
              <w:marTop w:val="0"/>
              <w:marBottom w:val="0"/>
              <w:divBdr>
                <w:top w:val="none" w:sz="0" w:space="0" w:color="auto"/>
                <w:left w:val="none" w:sz="0" w:space="0" w:color="auto"/>
                <w:bottom w:val="none" w:sz="0" w:space="0" w:color="auto"/>
                <w:right w:val="none" w:sz="0" w:space="0" w:color="auto"/>
              </w:divBdr>
              <w:divsChild>
                <w:div w:id="1664550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0736590">
      <w:bodyDiv w:val="1"/>
      <w:marLeft w:val="0"/>
      <w:marRight w:val="0"/>
      <w:marTop w:val="0"/>
      <w:marBottom w:val="0"/>
      <w:divBdr>
        <w:top w:val="none" w:sz="0" w:space="0" w:color="auto"/>
        <w:left w:val="none" w:sz="0" w:space="0" w:color="auto"/>
        <w:bottom w:val="none" w:sz="0" w:space="0" w:color="auto"/>
        <w:right w:val="none" w:sz="0" w:space="0" w:color="auto"/>
      </w:divBdr>
      <w:divsChild>
        <w:div w:id="831724687">
          <w:marLeft w:val="0"/>
          <w:marRight w:val="0"/>
          <w:marTop w:val="0"/>
          <w:marBottom w:val="480"/>
          <w:divBdr>
            <w:top w:val="none" w:sz="0" w:space="0" w:color="auto"/>
            <w:left w:val="none" w:sz="0" w:space="0" w:color="auto"/>
            <w:bottom w:val="single" w:sz="12" w:space="24" w:color="EBEBEB"/>
            <w:right w:val="none" w:sz="0" w:space="0" w:color="auto"/>
          </w:divBdr>
          <w:divsChild>
            <w:div w:id="2091850808">
              <w:marLeft w:val="0"/>
              <w:marRight w:val="0"/>
              <w:marTop w:val="0"/>
              <w:marBottom w:val="0"/>
              <w:divBdr>
                <w:top w:val="none" w:sz="0" w:space="0" w:color="auto"/>
                <w:left w:val="none" w:sz="0" w:space="0" w:color="auto"/>
                <w:bottom w:val="none" w:sz="0" w:space="0" w:color="auto"/>
                <w:right w:val="none" w:sz="0" w:space="0" w:color="auto"/>
              </w:divBdr>
              <w:divsChild>
                <w:div w:id="859051162">
                  <w:marLeft w:val="0"/>
                  <w:marRight w:val="0"/>
                  <w:marTop w:val="0"/>
                  <w:marBottom w:val="0"/>
                  <w:divBdr>
                    <w:top w:val="none" w:sz="0" w:space="0" w:color="auto"/>
                    <w:left w:val="none" w:sz="0" w:space="0" w:color="auto"/>
                    <w:bottom w:val="none" w:sz="0" w:space="0" w:color="auto"/>
                    <w:right w:val="none" w:sz="0" w:space="0" w:color="auto"/>
                  </w:divBdr>
                </w:div>
                <w:div w:id="1917275855">
                  <w:marLeft w:val="0"/>
                  <w:marRight w:val="0"/>
                  <w:marTop w:val="0"/>
                  <w:marBottom w:val="0"/>
                  <w:divBdr>
                    <w:top w:val="none" w:sz="0" w:space="0" w:color="auto"/>
                    <w:left w:val="none" w:sz="0" w:space="0" w:color="auto"/>
                    <w:bottom w:val="none" w:sz="0" w:space="0" w:color="auto"/>
                    <w:right w:val="none" w:sz="0" w:space="0" w:color="auto"/>
                  </w:divBdr>
                </w:div>
                <w:div w:id="1976064556">
                  <w:marLeft w:val="0"/>
                  <w:marRight w:val="0"/>
                  <w:marTop w:val="0"/>
                  <w:marBottom w:val="0"/>
                  <w:divBdr>
                    <w:top w:val="none" w:sz="0" w:space="0" w:color="auto"/>
                    <w:left w:val="none" w:sz="0" w:space="0" w:color="auto"/>
                    <w:bottom w:val="none" w:sz="0" w:space="0" w:color="auto"/>
                    <w:right w:val="none" w:sz="0" w:space="0" w:color="auto"/>
                  </w:divBdr>
                </w:div>
                <w:div w:id="2085644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8717255">
          <w:marLeft w:val="0"/>
          <w:marRight w:val="0"/>
          <w:marTop w:val="0"/>
          <w:marBottom w:val="0"/>
          <w:divBdr>
            <w:top w:val="none" w:sz="0" w:space="0" w:color="auto"/>
            <w:left w:val="none" w:sz="0" w:space="0" w:color="auto"/>
            <w:bottom w:val="none" w:sz="0" w:space="0" w:color="auto"/>
            <w:right w:val="none" w:sz="0" w:space="0" w:color="auto"/>
          </w:divBdr>
          <w:divsChild>
            <w:div w:id="431514629">
              <w:marLeft w:val="0"/>
              <w:marRight w:val="0"/>
              <w:marTop w:val="0"/>
              <w:marBottom w:val="0"/>
              <w:divBdr>
                <w:top w:val="none" w:sz="0" w:space="0" w:color="auto"/>
                <w:left w:val="none" w:sz="0" w:space="0" w:color="auto"/>
                <w:bottom w:val="none" w:sz="0" w:space="0" w:color="auto"/>
                <w:right w:val="none" w:sz="0" w:space="0" w:color="auto"/>
              </w:divBdr>
              <w:divsChild>
                <w:div w:id="190729230">
                  <w:marLeft w:val="0"/>
                  <w:marRight w:val="0"/>
                  <w:marTop w:val="0"/>
                  <w:marBottom w:val="0"/>
                  <w:divBdr>
                    <w:top w:val="none" w:sz="0" w:space="0" w:color="auto"/>
                    <w:left w:val="none" w:sz="0" w:space="0" w:color="auto"/>
                    <w:bottom w:val="none" w:sz="0" w:space="0" w:color="auto"/>
                    <w:right w:val="none" w:sz="0" w:space="0" w:color="auto"/>
                  </w:divBdr>
                  <w:divsChild>
                    <w:div w:id="841511934">
                      <w:marLeft w:val="0"/>
                      <w:marRight w:val="0"/>
                      <w:marTop w:val="240"/>
                      <w:marBottom w:val="240"/>
                      <w:divBdr>
                        <w:top w:val="single" w:sz="12" w:space="0" w:color="EBEBEB"/>
                        <w:left w:val="none" w:sz="0" w:space="0" w:color="auto"/>
                        <w:bottom w:val="single" w:sz="12" w:space="0" w:color="EBEBEB"/>
                        <w:right w:val="none" w:sz="0" w:space="0" w:color="auto"/>
                      </w:divBdr>
                      <w:divsChild>
                        <w:div w:id="118608999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309744969">
                  <w:marLeft w:val="0"/>
                  <w:marRight w:val="0"/>
                  <w:marTop w:val="0"/>
                  <w:marBottom w:val="0"/>
                  <w:divBdr>
                    <w:top w:val="none" w:sz="0" w:space="0" w:color="auto"/>
                    <w:left w:val="none" w:sz="0" w:space="0" w:color="auto"/>
                    <w:bottom w:val="none" w:sz="0" w:space="0" w:color="auto"/>
                    <w:right w:val="none" w:sz="0" w:space="0" w:color="auto"/>
                  </w:divBdr>
                  <w:divsChild>
                    <w:div w:id="793904978">
                      <w:marLeft w:val="0"/>
                      <w:marRight w:val="0"/>
                      <w:marTop w:val="240"/>
                      <w:marBottom w:val="240"/>
                      <w:divBdr>
                        <w:top w:val="single" w:sz="12" w:space="0" w:color="EBEBEB"/>
                        <w:left w:val="none" w:sz="0" w:space="0" w:color="auto"/>
                        <w:bottom w:val="single" w:sz="12" w:space="0" w:color="EBEBEB"/>
                        <w:right w:val="none" w:sz="0" w:space="0" w:color="auto"/>
                      </w:divBdr>
                      <w:divsChild>
                        <w:div w:id="9968514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60933419">
                  <w:marLeft w:val="0"/>
                  <w:marRight w:val="0"/>
                  <w:marTop w:val="0"/>
                  <w:marBottom w:val="0"/>
                  <w:divBdr>
                    <w:top w:val="none" w:sz="0" w:space="0" w:color="auto"/>
                    <w:left w:val="none" w:sz="0" w:space="0" w:color="auto"/>
                    <w:bottom w:val="none" w:sz="0" w:space="0" w:color="auto"/>
                    <w:right w:val="none" w:sz="0" w:space="0" w:color="auto"/>
                  </w:divBdr>
                </w:div>
                <w:div w:id="635574145">
                  <w:marLeft w:val="0"/>
                  <w:marRight w:val="0"/>
                  <w:marTop w:val="0"/>
                  <w:marBottom w:val="0"/>
                  <w:divBdr>
                    <w:top w:val="none" w:sz="0" w:space="0" w:color="auto"/>
                    <w:left w:val="none" w:sz="0" w:space="0" w:color="auto"/>
                    <w:bottom w:val="none" w:sz="0" w:space="0" w:color="auto"/>
                    <w:right w:val="none" w:sz="0" w:space="0" w:color="auto"/>
                  </w:divBdr>
                </w:div>
                <w:div w:id="1958219328">
                  <w:marLeft w:val="0"/>
                  <w:marRight w:val="0"/>
                  <w:marTop w:val="0"/>
                  <w:marBottom w:val="0"/>
                  <w:divBdr>
                    <w:top w:val="none" w:sz="0" w:space="0" w:color="auto"/>
                    <w:left w:val="none" w:sz="0" w:space="0" w:color="auto"/>
                    <w:bottom w:val="none" w:sz="0" w:space="0" w:color="auto"/>
                    <w:right w:val="none" w:sz="0" w:space="0" w:color="auto"/>
                  </w:divBdr>
                  <w:divsChild>
                    <w:div w:id="1614749274">
                      <w:marLeft w:val="0"/>
                      <w:marRight w:val="0"/>
                      <w:marTop w:val="240"/>
                      <w:marBottom w:val="240"/>
                      <w:divBdr>
                        <w:top w:val="single" w:sz="12" w:space="0" w:color="EBEBEB"/>
                        <w:left w:val="none" w:sz="0" w:space="0" w:color="auto"/>
                        <w:bottom w:val="single" w:sz="12" w:space="0" w:color="EBEBEB"/>
                        <w:right w:val="none" w:sz="0" w:space="0" w:color="auto"/>
                      </w:divBdr>
                      <w:divsChild>
                        <w:div w:id="132797849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63535517">
                  <w:marLeft w:val="0"/>
                  <w:marRight w:val="0"/>
                  <w:marTop w:val="0"/>
                  <w:marBottom w:val="0"/>
                  <w:divBdr>
                    <w:top w:val="none" w:sz="0" w:space="0" w:color="auto"/>
                    <w:left w:val="none" w:sz="0" w:space="0" w:color="auto"/>
                    <w:bottom w:val="none" w:sz="0" w:space="0" w:color="auto"/>
                    <w:right w:val="none" w:sz="0" w:space="0" w:color="auto"/>
                  </w:divBdr>
                </w:div>
                <w:div w:id="298997843">
                  <w:marLeft w:val="0"/>
                  <w:marRight w:val="0"/>
                  <w:marTop w:val="0"/>
                  <w:marBottom w:val="0"/>
                  <w:divBdr>
                    <w:top w:val="none" w:sz="0" w:space="0" w:color="auto"/>
                    <w:left w:val="none" w:sz="0" w:space="0" w:color="auto"/>
                    <w:bottom w:val="none" w:sz="0" w:space="0" w:color="auto"/>
                    <w:right w:val="none" w:sz="0" w:space="0" w:color="auto"/>
                  </w:divBdr>
                  <w:divsChild>
                    <w:div w:id="258684362">
                      <w:marLeft w:val="0"/>
                      <w:marRight w:val="0"/>
                      <w:marTop w:val="240"/>
                      <w:marBottom w:val="240"/>
                      <w:divBdr>
                        <w:top w:val="single" w:sz="12" w:space="0" w:color="EBEBEB"/>
                        <w:left w:val="none" w:sz="0" w:space="0" w:color="auto"/>
                        <w:bottom w:val="single" w:sz="12" w:space="0" w:color="EBEBEB"/>
                        <w:right w:val="none" w:sz="0" w:space="0" w:color="auto"/>
                      </w:divBdr>
                      <w:divsChild>
                        <w:div w:id="169144430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20945545">
          <w:marLeft w:val="0"/>
          <w:marRight w:val="0"/>
          <w:marTop w:val="0"/>
          <w:marBottom w:val="0"/>
          <w:divBdr>
            <w:top w:val="none" w:sz="0" w:space="0" w:color="auto"/>
            <w:left w:val="none" w:sz="0" w:space="0" w:color="auto"/>
            <w:bottom w:val="none" w:sz="0" w:space="0" w:color="auto"/>
            <w:right w:val="none" w:sz="0" w:space="0" w:color="auto"/>
          </w:divBdr>
        </w:div>
        <w:div w:id="627977678">
          <w:marLeft w:val="0"/>
          <w:marRight w:val="0"/>
          <w:marTop w:val="0"/>
          <w:marBottom w:val="0"/>
          <w:divBdr>
            <w:top w:val="none" w:sz="0" w:space="0" w:color="auto"/>
            <w:left w:val="none" w:sz="0" w:space="0" w:color="auto"/>
            <w:bottom w:val="none" w:sz="0" w:space="0" w:color="auto"/>
            <w:right w:val="none" w:sz="0" w:space="0" w:color="auto"/>
          </w:divBdr>
        </w:div>
        <w:div w:id="1367412379">
          <w:marLeft w:val="0"/>
          <w:marRight w:val="0"/>
          <w:marTop w:val="0"/>
          <w:marBottom w:val="0"/>
          <w:divBdr>
            <w:top w:val="none" w:sz="0" w:space="0" w:color="auto"/>
            <w:left w:val="none" w:sz="0" w:space="0" w:color="auto"/>
            <w:bottom w:val="none" w:sz="0" w:space="0" w:color="auto"/>
            <w:right w:val="none" w:sz="0" w:space="0" w:color="auto"/>
          </w:divBdr>
        </w:div>
        <w:div w:id="1241019515">
          <w:marLeft w:val="0"/>
          <w:marRight w:val="0"/>
          <w:marTop w:val="0"/>
          <w:marBottom w:val="0"/>
          <w:divBdr>
            <w:top w:val="none" w:sz="0" w:space="0" w:color="auto"/>
            <w:left w:val="none" w:sz="0" w:space="0" w:color="auto"/>
            <w:bottom w:val="none" w:sz="0" w:space="0" w:color="auto"/>
            <w:right w:val="none" w:sz="0" w:space="0" w:color="auto"/>
          </w:divBdr>
        </w:div>
        <w:div w:id="777673740">
          <w:marLeft w:val="0"/>
          <w:marRight w:val="0"/>
          <w:marTop w:val="0"/>
          <w:marBottom w:val="0"/>
          <w:divBdr>
            <w:top w:val="none" w:sz="0" w:space="0" w:color="auto"/>
            <w:left w:val="none" w:sz="0" w:space="0" w:color="auto"/>
            <w:bottom w:val="none" w:sz="0" w:space="0" w:color="auto"/>
            <w:right w:val="none" w:sz="0" w:space="0" w:color="auto"/>
          </w:divBdr>
        </w:div>
        <w:div w:id="1729112477">
          <w:marLeft w:val="0"/>
          <w:marRight w:val="0"/>
          <w:marTop w:val="0"/>
          <w:marBottom w:val="0"/>
          <w:divBdr>
            <w:top w:val="none" w:sz="0" w:space="0" w:color="auto"/>
            <w:left w:val="none" w:sz="0" w:space="0" w:color="auto"/>
            <w:bottom w:val="none" w:sz="0" w:space="0" w:color="auto"/>
            <w:right w:val="none" w:sz="0" w:space="0" w:color="auto"/>
          </w:divBdr>
        </w:div>
        <w:div w:id="2090803988">
          <w:marLeft w:val="0"/>
          <w:marRight w:val="0"/>
          <w:marTop w:val="0"/>
          <w:marBottom w:val="0"/>
          <w:divBdr>
            <w:top w:val="none" w:sz="0" w:space="0" w:color="auto"/>
            <w:left w:val="none" w:sz="0" w:space="0" w:color="auto"/>
            <w:bottom w:val="none" w:sz="0" w:space="0" w:color="auto"/>
            <w:right w:val="none" w:sz="0" w:space="0" w:color="auto"/>
          </w:divBdr>
        </w:div>
        <w:div w:id="1279071737">
          <w:marLeft w:val="0"/>
          <w:marRight w:val="0"/>
          <w:marTop w:val="0"/>
          <w:marBottom w:val="0"/>
          <w:divBdr>
            <w:top w:val="none" w:sz="0" w:space="0" w:color="auto"/>
            <w:left w:val="none" w:sz="0" w:space="0" w:color="auto"/>
            <w:bottom w:val="none" w:sz="0" w:space="0" w:color="auto"/>
            <w:right w:val="none" w:sz="0" w:space="0" w:color="auto"/>
          </w:divBdr>
        </w:div>
        <w:div w:id="2043899693">
          <w:marLeft w:val="0"/>
          <w:marRight w:val="0"/>
          <w:marTop w:val="0"/>
          <w:marBottom w:val="0"/>
          <w:divBdr>
            <w:top w:val="none" w:sz="0" w:space="0" w:color="auto"/>
            <w:left w:val="none" w:sz="0" w:space="0" w:color="auto"/>
            <w:bottom w:val="none" w:sz="0" w:space="0" w:color="auto"/>
            <w:right w:val="none" w:sz="0" w:space="0" w:color="auto"/>
          </w:divBdr>
        </w:div>
        <w:div w:id="1161699211">
          <w:marLeft w:val="0"/>
          <w:marRight w:val="0"/>
          <w:marTop w:val="0"/>
          <w:marBottom w:val="0"/>
          <w:divBdr>
            <w:top w:val="none" w:sz="0" w:space="0" w:color="auto"/>
            <w:left w:val="none" w:sz="0" w:space="0" w:color="auto"/>
            <w:bottom w:val="none" w:sz="0" w:space="0" w:color="auto"/>
            <w:right w:val="none" w:sz="0" w:space="0" w:color="auto"/>
          </w:divBdr>
        </w:div>
        <w:div w:id="487480676">
          <w:marLeft w:val="0"/>
          <w:marRight w:val="0"/>
          <w:marTop w:val="0"/>
          <w:marBottom w:val="0"/>
          <w:divBdr>
            <w:top w:val="none" w:sz="0" w:space="0" w:color="auto"/>
            <w:left w:val="none" w:sz="0" w:space="0" w:color="auto"/>
            <w:bottom w:val="none" w:sz="0" w:space="0" w:color="auto"/>
            <w:right w:val="none" w:sz="0" w:space="0" w:color="auto"/>
          </w:divBdr>
        </w:div>
        <w:div w:id="2075733259">
          <w:marLeft w:val="0"/>
          <w:marRight w:val="0"/>
          <w:marTop w:val="0"/>
          <w:marBottom w:val="0"/>
          <w:divBdr>
            <w:top w:val="none" w:sz="0" w:space="0" w:color="auto"/>
            <w:left w:val="none" w:sz="0" w:space="0" w:color="auto"/>
            <w:bottom w:val="none" w:sz="0" w:space="0" w:color="auto"/>
            <w:right w:val="none" w:sz="0" w:space="0" w:color="auto"/>
          </w:divBdr>
        </w:div>
        <w:div w:id="205795783">
          <w:marLeft w:val="0"/>
          <w:marRight w:val="0"/>
          <w:marTop w:val="0"/>
          <w:marBottom w:val="0"/>
          <w:divBdr>
            <w:top w:val="none" w:sz="0" w:space="0" w:color="auto"/>
            <w:left w:val="none" w:sz="0" w:space="0" w:color="auto"/>
            <w:bottom w:val="none" w:sz="0" w:space="0" w:color="auto"/>
            <w:right w:val="none" w:sz="0" w:space="0" w:color="auto"/>
          </w:divBdr>
        </w:div>
        <w:div w:id="961690520">
          <w:marLeft w:val="0"/>
          <w:marRight w:val="0"/>
          <w:marTop w:val="0"/>
          <w:marBottom w:val="0"/>
          <w:divBdr>
            <w:top w:val="none" w:sz="0" w:space="0" w:color="auto"/>
            <w:left w:val="none" w:sz="0" w:space="0" w:color="auto"/>
            <w:bottom w:val="none" w:sz="0" w:space="0" w:color="auto"/>
            <w:right w:val="none" w:sz="0" w:space="0" w:color="auto"/>
          </w:divBdr>
        </w:div>
        <w:div w:id="1077093188">
          <w:marLeft w:val="0"/>
          <w:marRight w:val="0"/>
          <w:marTop w:val="0"/>
          <w:marBottom w:val="0"/>
          <w:divBdr>
            <w:top w:val="none" w:sz="0" w:space="0" w:color="auto"/>
            <w:left w:val="none" w:sz="0" w:space="0" w:color="auto"/>
            <w:bottom w:val="none" w:sz="0" w:space="0" w:color="auto"/>
            <w:right w:val="none" w:sz="0" w:space="0" w:color="auto"/>
          </w:divBdr>
        </w:div>
        <w:div w:id="1940599065">
          <w:marLeft w:val="0"/>
          <w:marRight w:val="0"/>
          <w:marTop w:val="0"/>
          <w:marBottom w:val="0"/>
          <w:divBdr>
            <w:top w:val="none" w:sz="0" w:space="0" w:color="auto"/>
            <w:left w:val="none" w:sz="0" w:space="0" w:color="auto"/>
            <w:bottom w:val="none" w:sz="0" w:space="0" w:color="auto"/>
            <w:right w:val="none" w:sz="0" w:space="0" w:color="auto"/>
          </w:divBdr>
        </w:div>
        <w:div w:id="685862662">
          <w:marLeft w:val="0"/>
          <w:marRight w:val="0"/>
          <w:marTop w:val="0"/>
          <w:marBottom w:val="0"/>
          <w:divBdr>
            <w:top w:val="none" w:sz="0" w:space="0" w:color="auto"/>
            <w:left w:val="none" w:sz="0" w:space="0" w:color="auto"/>
            <w:bottom w:val="none" w:sz="0" w:space="0" w:color="auto"/>
            <w:right w:val="none" w:sz="0" w:space="0" w:color="auto"/>
          </w:divBdr>
        </w:div>
        <w:div w:id="1852403681">
          <w:marLeft w:val="0"/>
          <w:marRight w:val="0"/>
          <w:marTop w:val="0"/>
          <w:marBottom w:val="0"/>
          <w:divBdr>
            <w:top w:val="none" w:sz="0" w:space="0" w:color="auto"/>
            <w:left w:val="none" w:sz="0" w:space="0" w:color="auto"/>
            <w:bottom w:val="none" w:sz="0" w:space="0" w:color="auto"/>
            <w:right w:val="none" w:sz="0" w:space="0" w:color="auto"/>
          </w:divBdr>
        </w:div>
        <w:div w:id="1072894340">
          <w:marLeft w:val="0"/>
          <w:marRight w:val="0"/>
          <w:marTop w:val="0"/>
          <w:marBottom w:val="0"/>
          <w:divBdr>
            <w:top w:val="none" w:sz="0" w:space="0" w:color="auto"/>
            <w:left w:val="none" w:sz="0" w:space="0" w:color="auto"/>
            <w:bottom w:val="none" w:sz="0" w:space="0" w:color="auto"/>
            <w:right w:val="none" w:sz="0" w:space="0" w:color="auto"/>
          </w:divBdr>
        </w:div>
        <w:div w:id="281035130">
          <w:marLeft w:val="0"/>
          <w:marRight w:val="0"/>
          <w:marTop w:val="0"/>
          <w:marBottom w:val="0"/>
          <w:divBdr>
            <w:top w:val="none" w:sz="0" w:space="0" w:color="auto"/>
            <w:left w:val="none" w:sz="0" w:space="0" w:color="auto"/>
            <w:bottom w:val="none" w:sz="0" w:space="0" w:color="auto"/>
            <w:right w:val="none" w:sz="0" w:space="0" w:color="auto"/>
          </w:divBdr>
        </w:div>
        <w:div w:id="1878545568">
          <w:marLeft w:val="0"/>
          <w:marRight w:val="0"/>
          <w:marTop w:val="0"/>
          <w:marBottom w:val="0"/>
          <w:divBdr>
            <w:top w:val="none" w:sz="0" w:space="0" w:color="auto"/>
            <w:left w:val="none" w:sz="0" w:space="0" w:color="auto"/>
            <w:bottom w:val="none" w:sz="0" w:space="0" w:color="auto"/>
            <w:right w:val="none" w:sz="0" w:space="0" w:color="auto"/>
          </w:divBdr>
        </w:div>
        <w:div w:id="725564611">
          <w:marLeft w:val="0"/>
          <w:marRight w:val="0"/>
          <w:marTop w:val="0"/>
          <w:marBottom w:val="0"/>
          <w:divBdr>
            <w:top w:val="none" w:sz="0" w:space="0" w:color="auto"/>
            <w:left w:val="none" w:sz="0" w:space="0" w:color="auto"/>
            <w:bottom w:val="none" w:sz="0" w:space="0" w:color="auto"/>
            <w:right w:val="none" w:sz="0" w:space="0" w:color="auto"/>
          </w:divBdr>
        </w:div>
        <w:div w:id="603615892">
          <w:marLeft w:val="0"/>
          <w:marRight w:val="0"/>
          <w:marTop w:val="0"/>
          <w:marBottom w:val="0"/>
          <w:divBdr>
            <w:top w:val="none" w:sz="0" w:space="0" w:color="auto"/>
            <w:left w:val="none" w:sz="0" w:space="0" w:color="auto"/>
            <w:bottom w:val="none" w:sz="0" w:space="0" w:color="auto"/>
            <w:right w:val="none" w:sz="0" w:space="0" w:color="auto"/>
          </w:divBdr>
        </w:div>
        <w:div w:id="1396508145">
          <w:marLeft w:val="0"/>
          <w:marRight w:val="0"/>
          <w:marTop w:val="0"/>
          <w:marBottom w:val="0"/>
          <w:divBdr>
            <w:top w:val="none" w:sz="0" w:space="0" w:color="auto"/>
            <w:left w:val="none" w:sz="0" w:space="0" w:color="auto"/>
            <w:bottom w:val="none" w:sz="0" w:space="0" w:color="auto"/>
            <w:right w:val="none" w:sz="0" w:space="0" w:color="auto"/>
          </w:divBdr>
        </w:div>
        <w:div w:id="2099017237">
          <w:marLeft w:val="0"/>
          <w:marRight w:val="0"/>
          <w:marTop w:val="0"/>
          <w:marBottom w:val="0"/>
          <w:divBdr>
            <w:top w:val="none" w:sz="0" w:space="0" w:color="auto"/>
            <w:left w:val="none" w:sz="0" w:space="0" w:color="auto"/>
            <w:bottom w:val="none" w:sz="0" w:space="0" w:color="auto"/>
            <w:right w:val="none" w:sz="0" w:space="0" w:color="auto"/>
          </w:divBdr>
        </w:div>
        <w:div w:id="1060251033">
          <w:marLeft w:val="0"/>
          <w:marRight w:val="0"/>
          <w:marTop w:val="0"/>
          <w:marBottom w:val="0"/>
          <w:divBdr>
            <w:top w:val="none" w:sz="0" w:space="0" w:color="auto"/>
            <w:left w:val="none" w:sz="0" w:space="0" w:color="auto"/>
            <w:bottom w:val="none" w:sz="0" w:space="0" w:color="auto"/>
            <w:right w:val="none" w:sz="0" w:space="0" w:color="auto"/>
          </w:divBdr>
        </w:div>
        <w:div w:id="1761489734">
          <w:marLeft w:val="0"/>
          <w:marRight w:val="0"/>
          <w:marTop w:val="0"/>
          <w:marBottom w:val="0"/>
          <w:divBdr>
            <w:top w:val="none" w:sz="0" w:space="0" w:color="auto"/>
            <w:left w:val="none" w:sz="0" w:space="0" w:color="auto"/>
            <w:bottom w:val="none" w:sz="0" w:space="0" w:color="auto"/>
            <w:right w:val="none" w:sz="0" w:space="0" w:color="auto"/>
          </w:divBdr>
        </w:div>
        <w:div w:id="271280002">
          <w:marLeft w:val="0"/>
          <w:marRight w:val="0"/>
          <w:marTop w:val="0"/>
          <w:marBottom w:val="0"/>
          <w:divBdr>
            <w:top w:val="none" w:sz="0" w:space="0" w:color="auto"/>
            <w:left w:val="none" w:sz="0" w:space="0" w:color="auto"/>
            <w:bottom w:val="none" w:sz="0" w:space="0" w:color="auto"/>
            <w:right w:val="none" w:sz="0" w:space="0" w:color="auto"/>
          </w:divBdr>
        </w:div>
        <w:div w:id="2105765227">
          <w:marLeft w:val="0"/>
          <w:marRight w:val="0"/>
          <w:marTop w:val="0"/>
          <w:marBottom w:val="0"/>
          <w:divBdr>
            <w:top w:val="none" w:sz="0" w:space="0" w:color="auto"/>
            <w:left w:val="none" w:sz="0" w:space="0" w:color="auto"/>
            <w:bottom w:val="none" w:sz="0" w:space="0" w:color="auto"/>
            <w:right w:val="none" w:sz="0" w:space="0" w:color="auto"/>
          </w:divBdr>
        </w:div>
        <w:div w:id="937107034">
          <w:marLeft w:val="0"/>
          <w:marRight w:val="0"/>
          <w:marTop w:val="0"/>
          <w:marBottom w:val="0"/>
          <w:divBdr>
            <w:top w:val="none" w:sz="0" w:space="0" w:color="auto"/>
            <w:left w:val="none" w:sz="0" w:space="0" w:color="auto"/>
            <w:bottom w:val="none" w:sz="0" w:space="0" w:color="auto"/>
            <w:right w:val="none" w:sz="0" w:space="0" w:color="auto"/>
          </w:divBdr>
        </w:div>
        <w:div w:id="2120024135">
          <w:marLeft w:val="0"/>
          <w:marRight w:val="0"/>
          <w:marTop w:val="0"/>
          <w:marBottom w:val="0"/>
          <w:divBdr>
            <w:top w:val="none" w:sz="0" w:space="0" w:color="auto"/>
            <w:left w:val="none" w:sz="0" w:space="0" w:color="auto"/>
            <w:bottom w:val="none" w:sz="0" w:space="0" w:color="auto"/>
            <w:right w:val="none" w:sz="0" w:space="0" w:color="auto"/>
          </w:divBdr>
        </w:div>
        <w:div w:id="504899609">
          <w:marLeft w:val="0"/>
          <w:marRight w:val="0"/>
          <w:marTop w:val="0"/>
          <w:marBottom w:val="0"/>
          <w:divBdr>
            <w:top w:val="none" w:sz="0" w:space="0" w:color="auto"/>
            <w:left w:val="none" w:sz="0" w:space="0" w:color="auto"/>
            <w:bottom w:val="none" w:sz="0" w:space="0" w:color="auto"/>
            <w:right w:val="none" w:sz="0" w:space="0" w:color="auto"/>
          </w:divBdr>
        </w:div>
        <w:div w:id="1461681019">
          <w:marLeft w:val="0"/>
          <w:marRight w:val="0"/>
          <w:marTop w:val="0"/>
          <w:marBottom w:val="0"/>
          <w:divBdr>
            <w:top w:val="none" w:sz="0" w:space="0" w:color="auto"/>
            <w:left w:val="none" w:sz="0" w:space="0" w:color="auto"/>
            <w:bottom w:val="none" w:sz="0" w:space="0" w:color="auto"/>
            <w:right w:val="none" w:sz="0" w:space="0" w:color="auto"/>
          </w:divBdr>
        </w:div>
        <w:div w:id="1271208821">
          <w:marLeft w:val="0"/>
          <w:marRight w:val="0"/>
          <w:marTop w:val="0"/>
          <w:marBottom w:val="0"/>
          <w:divBdr>
            <w:top w:val="none" w:sz="0" w:space="0" w:color="auto"/>
            <w:left w:val="none" w:sz="0" w:space="0" w:color="auto"/>
            <w:bottom w:val="none" w:sz="0" w:space="0" w:color="auto"/>
            <w:right w:val="none" w:sz="0" w:space="0" w:color="auto"/>
          </w:divBdr>
        </w:div>
        <w:div w:id="1693846966">
          <w:marLeft w:val="0"/>
          <w:marRight w:val="0"/>
          <w:marTop w:val="0"/>
          <w:marBottom w:val="0"/>
          <w:divBdr>
            <w:top w:val="none" w:sz="0" w:space="0" w:color="auto"/>
            <w:left w:val="none" w:sz="0" w:space="0" w:color="auto"/>
            <w:bottom w:val="none" w:sz="0" w:space="0" w:color="auto"/>
            <w:right w:val="none" w:sz="0" w:space="0" w:color="auto"/>
          </w:divBdr>
        </w:div>
        <w:div w:id="1808930747">
          <w:marLeft w:val="0"/>
          <w:marRight w:val="0"/>
          <w:marTop w:val="0"/>
          <w:marBottom w:val="0"/>
          <w:divBdr>
            <w:top w:val="none" w:sz="0" w:space="0" w:color="auto"/>
            <w:left w:val="none" w:sz="0" w:space="0" w:color="auto"/>
            <w:bottom w:val="none" w:sz="0" w:space="0" w:color="auto"/>
            <w:right w:val="none" w:sz="0" w:space="0" w:color="auto"/>
          </w:divBdr>
          <w:divsChild>
            <w:div w:id="287129007">
              <w:marLeft w:val="0"/>
              <w:marRight w:val="0"/>
              <w:marTop w:val="0"/>
              <w:marBottom w:val="0"/>
              <w:divBdr>
                <w:top w:val="none" w:sz="0" w:space="0" w:color="auto"/>
                <w:left w:val="none" w:sz="0" w:space="0" w:color="auto"/>
                <w:bottom w:val="none" w:sz="0" w:space="0" w:color="auto"/>
                <w:right w:val="none" w:sz="0" w:space="0" w:color="auto"/>
              </w:divBdr>
            </w:div>
          </w:divsChild>
        </w:div>
        <w:div w:id="24213012">
          <w:marLeft w:val="0"/>
          <w:marRight w:val="0"/>
          <w:marTop w:val="0"/>
          <w:marBottom w:val="0"/>
          <w:divBdr>
            <w:top w:val="none" w:sz="0" w:space="0" w:color="auto"/>
            <w:left w:val="none" w:sz="0" w:space="0" w:color="auto"/>
            <w:bottom w:val="none" w:sz="0" w:space="0" w:color="auto"/>
            <w:right w:val="none" w:sz="0" w:space="0" w:color="auto"/>
          </w:divBdr>
        </w:div>
        <w:div w:id="175851203">
          <w:marLeft w:val="0"/>
          <w:marRight w:val="0"/>
          <w:marTop w:val="0"/>
          <w:marBottom w:val="0"/>
          <w:divBdr>
            <w:top w:val="none" w:sz="0" w:space="0" w:color="auto"/>
            <w:left w:val="none" w:sz="0" w:space="0" w:color="auto"/>
            <w:bottom w:val="none" w:sz="0" w:space="0" w:color="auto"/>
            <w:right w:val="none" w:sz="0" w:space="0" w:color="auto"/>
          </w:divBdr>
        </w:div>
        <w:div w:id="1212110848">
          <w:marLeft w:val="0"/>
          <w:marRight w:val="0"/>
          <w:marTop w:val="0"/>
          <w:marBottom w:val="0"/>
          <w:divBdr>
            <w:top w:val="none" w:sz="0" w:space="0" w:color="auto"/>
            <w:left w:val="none" w:sz="0" w:space="0" w:color="auto"/>
            <w:bottom w:val="none" w:sz="0" w:space="0" w:color="auto"/>
            <w:right w:val="none" w:sz="0" w:space="0" w:color="auto"/>
          </w:divBdr>
          <w:divsChild>
            <w:div w:id="1146628317">
              <w:marLeft w:val="0"/>
              <w:marRight w:val="0"/>
              <w:marTop w:val="0"/>
              <w:marBottom w:val="0"/>
              <w:divBdr>
                <w:top w:val="none" w:sz="0" w:space="0" w:color="auto"/>
                <w:left w:val="none" w:sz="0" w:space="0" w:color="auto"/>
                <w:bottom w:val="none" w:sz="0" w:space="0" w:color="auto"/>
                <w:right w:val="none" w:sz="0" w:space="0" w:color="auto"/>
              </w:divBdr>
            </w:div>
          </w:divsChild>
        </w:div>
        <w:div w:id="210001016">
          <w:marLeft w:val="0"/>
          <w:marRight w:val="0"/>
          <w:marTop w:val="0"/>
          <w:marBottom w:val="0"/>
          <w:divBdr>
            <w:top w:val="none" w:sz="0" w:space="0" w:color="auto"/>
            <w:left w:val="none" w:sz="0" w:space="0" w:color="auto"/>
            <w:bottom w:val="none" w:sz="0" w:space="0" w:color="auto"/>
            <w:right w:val="none" w:sz="0" w:space="0" w:color="auto"/>
          </w:divBdr>
        </w:div>
        <w:div w:id="2032417891">
          <w:marLeft w:val="0"/>
          <w:marRight w:val="0"/>
          <w:marTop w:val="0"/>
          <w:marBottom w:val="0"/>
          <w:divBdr>
            <w:top w:val="none" w:sz="0" w:space="0" w:color="auto"/>
            <w:left w:val="none" w:sz="0" w:space="0" w:color="auto"/>
            <w:bottom w:val="none" w:sz="0" w:space="0" w:color="auto"/>
            <w:right w:val="none" w:sz="0" w:space="0" w:color="auto"/>
          </w:divBdr>
        </w:div>
        <w:div w:id="1267230153">
          <w:marLeft w:val="0"/>
          <w:marRight w:val="0"/>
          <w:marTop w:val="0"/>
          <w:marBottom w:val="0"/>
          <w:divBdr>
            <w:top w:val="none" w:sz="0" w:space="0" w:color="auto"/>
            <w:left w:val="none" w:sz="0" w:space="0" w:color="auto"/>
            <w:bottom w:val="none" w:sz="0" w:space="0" w:color="auto"/>
            <w:right w:val="none" w:sz="0" w:space="0" w:color="auto"/>
          </w:divBdr>
        </w:div>
        <w:div w:id="1899200377">
          <w:marLeft w:val="0"/>
          <w:marRight w:val="0"/>
          <w:marTop w:val="0"/>
          <w:marBottom w:val="0"/>
          <w:divBdr>
            <w:top w:val="none" w:sz="0" w:space="0" w:color="auto"/>
            <w:left w:val="none" w:sz="0" w:space="0" w:color="auto"/>
            <w:bottom w:val="none" w:sz="0" w:space="0" w:color="auto"/>
            <w:right w:val="none" w:sz="0" w:space="0" w:color="auto"/>
          </w:divBdr>
        </w:div>
        <w:div w:id="1762867477">
          <w:marLeft w:val="0"/>
          <w:marRight w:val="0"/>
          <w:marTop w:val="0"/>
          <w:marBottom w:val="0"/>
          <w:divBdr>
            <w:top w:val="none" w:sz="0" w:space="0" w:color="auto"/>
            <w:left w:val="none" w:sz="0" w:space="0" w:color="auto"/>
            <w:bottom w:val="none" w:sz="0" w:space="0" w:color="auto"/>
            <w:right w:val="none" w:sz="0" w:space="0" w:color="auto"/>
          </w:divBdr>
        </w:div>
        <w:div w:id="1737850385">
          <w:marLeft w:val="0"/>
          <w:marRight w:val="0"/>
          <w:marTop w:val="0"/>
          <w:marBottom w:val="0"/>
          <w:divBdr>
            <w:top w:val="none" w:sz="0" w:space="0" w:color="auto"/>
            <w:left w:val="none" w:sz="0" w:space="0" w:color="auto"/>
            <w:bottom w:val="none" w:sz="0" w:space="0" w:color="auto"/>
            <w:right w:val="none" w:sz="0" w:space="0" w:color="auto"/>
          </w:divBdr>
        </w:div>
        <w:div w:id="161507385">
          <w:marLeft w:val="0"/>
          <w:marRight w:val="0"/>
          <w:marTop w:val="0"/>
          <w:marBottom w:val="0"/>
          <w:divBdr>
            <w:top w:val="none" w:sz="0" w:space="0" w:color="auto"/>
            <w:left w:val="none" w:sz="0" w:space="0" w:color="auto"/>
            <w:bottom w:val="none" w:sz="0" w:space="0" w:color="auto"/>
            <w:right w:val="none" w:sz="0" w:space="0" w:color="auto"/>
          </w:divBdr>
        </w:div>
        <w:div w:id="2079403130">
          <w:marLeft w:val="0"/>
          <w:marRight w:val="0"/>
          <w:marTop w:val="0"/>
          <w:marBottom w:val="0"/>
          <w:divBdr>
            <w:top w:val="none" w:sz="0" w:space="0" w:color="auto"/>
            <w:left w:val="none" w:sz="0" w:space="0" w:color="auto"/>
            <w:bottom w:val="none" w:sz="0" w:space="0" w:color="auto"/>
            <w:right w:val="none" w:sz="0" w:space="0" w:color="auto"/>
          </w:divBdr>
        </w:div>
        <w:div w:id="176043381">
          <w:marLeft w:val="0"/>
          <w:marRight w:val="0"/>
          <w:marTop w:val="0"/>
          <w:marBottom w:val="0"/>
          <w:divBdr>
            <w:top w:val="none" w:sz="0" w:space="0" w:color="auto"/>
            <w:left w:val="none" w:sz="0" w:space="0" w:color="auto"/>
            <w:bottom w:val="none" w:sz="0" w:space="0" w:color="auto"/>
            <w:right w:val="none" w:sz="0" w:space="0" w:color="auto"/>
          </w:divBdr>
          <w:divsChild>
            <w:div w:id="1310550971">
              <w:marLeft w:val="0"/>
              <w:marRight w:val="0"/>
              <w:marTop w:val="0"/>
              <w:marBottom w:val="0"/>
              <w:divBdr>
                <w:top w:val="none" w:sz="0" w:space="0" w:color="auto"/>
                <w:left w:val="none" w:sz="0" w:space="0" w:color="auto"/>
                <w:bottom w:val="none" w:sz="0" w:space="0" w:color="auto"/>
                <w:right w:val="none" w:sz="0" w:space="0" w:color="auto"/>
              </w:divBdr>
            </w:div>
          </w:divsChild>
        </w:div>
        <w:div w:id="1794782890">
          <w:marLeft w:val="0"/>
          <w:marRight w:val="0"/>
          <w:marTop w:val="0"/>
          <w:marBottom w:val="0"/>
          <w:divBdr>
            <w:top w:val="none" w:sz="0" w:space="0" w:color="auto"/>
            <w:left w:val="none" w:sz="0" w:space="0" w:color="auto"/>
            <w:bottom w:val="none" w:sz="0" w:space="0" w:color="auto"/>
            <w:right w:val="none" w:sz="0" w:space="0" w:color="auto"/>
          </w:divBdr>
        </w:div>
        <w:div w:id="940064856">
          <w:marLeft w:val="0"/>
          <w:marRight w:val="0"/>
          <w:marTop w:val="0"/>
          <w:marBottom w:val="0"/>
          <w:divBdr>
            <w:top w:val="none" w:sz="0" w:space="0" w:color="auto"/>
            <w:left w:val="none" w:sz="0" w:space="0" w:color="auto"/>
            <w:bottom w:val="none" w:sz="0" w:space="0" w:color="auto"/>
            <w:right w:val="none" w:sz="0" w:space="0" w:color="auto"/>
          </w:divBdr>
        </w:div>
        <w:div w:id="197740209">
          <w:marLeft w:val="0"/>
          <w:marRight w:val="0"/>
          <w:marTop w:val="0"/>
          <w:marBottom w:val="0"/>
          <w:divBdr>
            <w:top w:val="none" w:sz="0" w:space="0" w:color="auto"/>
            <w:left w:val="none" w:sz="0" w:space="0" w:color="auto"/>
            <w:bottom w:val="none" w:sz="0" w:space="0" w:color="auto"/>
            <w:right w:val="none" w:sz="0" w:space="0" w:color="auto"/>
          </w:divBdr>
        </w:div>
        <w:div w:id="67727371">
          <w:marLeft w:val="0"/>
          <w:marRight w:val="0"/>
          <w:marTop w:val="0"/>
          <w:marBottom w:val="0"/>
          <w:divBdr>
            <w:top w:val="none" w:sz="0" w:space="0" w:color="auto"/>
            <w:left w:val="none" w:sz="0" w:space="0" w:color="auto"/>
            <w:bottom w:val="none" w:sz="0" w:space="0" w:color="auto"/>
            <w:right w:val="none" w:sz="0" w:space="0" w:color="auto"/>
          </w:divBdr>
        </w:div>
        <w:div w:id="2040619712">
          <w:marLeft w:val="0"/>
          <w:marRight w:val="0"/>
          <w:marTop w:val="0"/>
          <w:marBottom w:val="0"/>
          <w:divBdr>
            <w:top w:val="none" w:sz="0" w:space="0" w:color="auto"/>
            <w:left w:val="none" w:sz="0" w:space="0" w:color="auto"/>
            <w:bottom w:val="none" w:sz="0" w:space="0" w:color="auto"/>
            <w:right w:val="none" w:sz="0" w:space="0" w:color="auto"/>
          </w:divBdr>
        </w:div>
        <w:div w:id="1958825798">
          <w:marLeft w:val="0"/>
          <w:marRight w:val="0"/>
          <w:marTop w:val="0"/>
          <w:marBottom w:val="0"/>
          <w:divBdr>
            <w:top w:val="none" w:sz="0" w:space="0" w:color="auto"/>
            <w:left w:val="none" w:sz="0" w:space="0" w:color="auto"/>
            <w:bottom w:val="none" w:sz="0" w:space="0" w:color="auto"/>
            <w:right w:val="none" w:sz="0" w:space="0" w:color="auto"/>
          </w:divBdr>
        </w:div>
        <w:div w:id="1478064941">
          <w:marLeft w:val="0"/>
          <w:marRight w:val="0"/>
          <w:marTop w:val="0"/>
          <w:marBottom w:val="0"/>
          <w:divBdr>
            <w:top w:val="none" w:sz="0" w:space="0" w:color="auto"/>
            <w:left w:val="none" w:sz="0" w:space="0" w:color="auto"/>
            <w:bottom w:val="none" w:sz="0" w:space="0" w:color="auto"/>
            <w:right w:val="none" w:sz="0" w:space="0" w:color="auto"/>
          </w:divBdr>
        </w:div>
        <w:div w:id="656614477">
          <w:marLeft w:val="0"/>
          <w:marRight w:val="0"/>
          <w:marTop w:val="0"/>
          <w:marBottom w:val="0"/>
          <w:divBdr>
            <w:top w:val="none" w:sz="0" w:space="0" w:color="auto"/>
            <w:left w:val="none" w:sz="0" w:space="0" w:color="auto"/>
            <w:bottom w:val="none" w:sz="0" w:space="0" w:color="auto"/>
            <w:right w:val="none" w:sz="0" w:space="0" w:color="auto"/>
          </w:divBdr>
        </w:div>
        <w:div w:id="1012800014">
          <w:marLeft w:val="0"/>
          <w:marRight w:val="0"/>
          <w:marTop w:val="0"/>
          <w:marBottom w:val="0"/>
          <w:divBdr>
            <w:top w:val="none" w:sz="0" w:space="0" w:color="auto"/>
            <w:left w:val="none" w:sz="0" w:space="0" w:color="auto"/>
            <w:bottom w:val="none" w:sz="0" w:space="0" w:color="auto"/>
            <w:right w:val="none" w:sz="0" w:space="0" w:color="auto"/>
          </w:divBdr>
        </w:div>
        <w:div w:id="470951233">
          <w:marLeft w:val="0"/>
          <w:marRight w:val="0"/>
          <w:marTop w:val="0"/>
          <w:marBottom w:val="0"/>
          <w:divBdr>
            <w:top w:val="none" w:sz="0" w:space="0" w:color="auto"/>
            <w:left w:val="none" w:sz="0" w:space="0" w:color="auto"/>
            <w:bottom w:val="none" w:sz="0" w:space="0" w:color="auto"/>
            <w:right w:val="none" w:sz="0" w:space="0" w:color="auto"/>
          </w:divBdr>
        </w:div>
        <w:div w:id="1340962017">
          <w:marLeft w:val="0"/>
          <w:marRight w:val="0"/>
          <w:marTop w:val="0"/>
          <w:marBottom w:val="0"/>
          <w:divBdr>
            <w:top w:val="none" w:sz="0" w:space="0" w:color="auto"/>
            <w:left w:val="none" w:sz="0" w:space="0" w:color="auto"/>
            <w:bottom w:val="none" w:sz="0" w:space="0" w:color="auto"/>
            <w:right w:val="none" w:sz="0" w:space="0" w:color="auto"/>
          </w:divBdr>
        </w:div>
        <w:div w:id="266885225">
          <w:marLeft w:val="0"/>
          <w:marRight w:val="0"/>
          <w:marTop w:val="0"/>
          <w:marBottom w:val="0"/>
          <w:divBdr>
            <w:top w:val="none" w:sz="0" w:space="0" w:color="auto"/>
            <w:left w:val="none" w:sz="0" w:space="0" w:color="auto"/>
            <w:bottom w:val="none" w:sz="0" w:space="0" w:color="auto"/>
            <w:right w:val="none" w:sz="0" w:space="0" w:color="auto"/>
          </w:divBdr>
        </w:div>
        <w:div w:id="1531380822">
          <w:marLeft w:val="0"/>
          <w:marRight w:val="0"/>
          <w:marTop w:val="0"/>
          <w:marBottom w:val="0"/>
          <w:divBdr>
            <w:top w:val="none" w:sz="0" w:space="0" w:color="auto"/>
            <w:left w:val="none" w:sz="0" w:space="0" w:color="auto"/>
            <w:bottom w:val="none" w:sz="0" w:space="0" w:color="auto"/>
            <w:right w:val="none" w:sz="0" w:space="0" w:color="auto"/>
          </w:divBdr>
        </w:div>
        <w:div w:id="1455902823">
          <w:marLeft w:val="0"/>
          <w:marRight w:val="0"/>
          <w:marTop w:val="0"/>
          <w:marBottom w:val="0"/>
          <w:divBdr>
            <w:top w:val="none" w:sz="0" w:space="0" w:color="auto"/>
            <w:left w:val="none" w:sz="0" w:space="0" w:color="auto"/>
            <w:bottom w:val="none" w:sz="0" w:space="0" w:color="auto"/>
            <w:right w:val="none" w:sz="0" w:space="0" w:color="auto"/>
          </w:divBdr>
        </w:div>
        <w:div w:id="593057344">
          <w:marLeft w:val="0"/>
          <w:marRight w:val="0"/>
          <w:marTop w:val="0"/>
          <w:marBottom w:val="0"/>
          <w:divBdr>
            <w:top w:val="none" w:sz="0" w:space="0" w:color="auto"/>
            <w:left w:val="none" w:sz="0" w:space="0" w:color="auto"/>
            <w:bottom w:val="none" w:sz="0" w:space="0" w:color="auto"/>
            <w:right w:val="none" w:sz="0" w:space="0" w:color="auto"/>
          </w:divBdr>
        </w:div>
        <w:div w:id="49961642">
          <w:marLeft w:val="0"/>
          <w:marRight w:val="0"/>
          <w:marTop w:val="0"/>
          <w:marBottom w:val="0"/>
          <w:divBdr>
            <w:top w:val="none" w:sz="0" w:space="0" w:color="auto"/>
            <w:left w:val="none" w:sz="0" w:space="0" w:color="auto"/>
            <w:bottom w:val="none" w:sz="0" w:space="0" w:color="auto"/>
            <w:right w:val="none" w:sz="0" w:space="0" w:color="auto"/>
          </w:divBdr>
        </w:div>
        <w:div w:id="1084179403">
          <w:marLeft w:val="0"/>
          <w:marRight w:val="0"/>
          <w:marTop w:val="0"/>
          <w:marBottom w:val="0"/>
          <w:divBdr>
            <w:top w:val="none" w:sz="0" w:space="0" w:color="auto"/>
            <w:left w:val="none" w:sz="0" w:space="0" w:color="auto"/>
            <w:bottom w:val="none" w:sz="0" w:space="0" w:color="auto"/>
            <w:right w:val="none" w:sz="0" w:space="0" w:color="auto"/>
          </w:divBdr>
        </w:div>
        <w:div w:id="1805537163">
          <w:marLeft w:val="0"/>
          <w:marRight w:val="0"/>
          <w:marTop w:val="0"/>
          <w:marBottom w:val="0"/>
          <w:divBdr>
            <w:top w:val="none" w:sz="0" w:space="0" w:color="auto"/>
            <w:left w:val="none" w:sz="0" w:space="0" w:color="auto"/>
            <w:bottom w:val="none" w:sz="0" w:space="0" w:color="auto"/>
            <w:right w:val="none" w:sz="0" w:space="0" w:color="auto"/>
          </w:divBdr>
        </w:div>
      </w:divsChild>
    </w:div>
    <w:div w:id="470514185">
      <w:bodyDiv w:val="1"/>
      <w:marLeft w:val="0"/>
      <w:marRight w:val="0"/>
      <w:marTop w:val="0"/>
      <w:marBottom w:val="0"/>
      <w:divBdr>
        <w:top w:val="none" w:sz="0" w:space="0" w:color="auto"/>
        <w:left w:val="none" w:sz="0" w:space="0" w:color="auto"/>
        <w:bottom w:val="none" w:sz="0" w:space="0" w:color="auto"/>
        <w:right w:val="none" w:sz="0" w:space="0" w:color="auto"/>
      </w:divBdr>
    </w:div>
    <w:div w:id="486288508">
      <w:bodyDiv w:val="1"/>
      <w:marLeft w:val="0"/>
      <w:marRight w:val="0"/>
      <w:marTop w:val="0"/>
      <w:marBottom w:val="0"/>
      <w:divBdr>
        <w:top w:val="none" w:sz="0" w:space="0" w:color="auto"/>
        <w:left w:val="none" w:sz="0" w:space="0" w:color="auto"/>
        <w:bottom w:val="none" w:sz="0" w:space="0" w:color="auto"/>
        <w:right w:val="none" w:sz="0" w:space="0" w:color="auto"/>
      </w:divBdr>
    </w:div>
    <w:div w:id="504711346">
      <w:bodyDiv w:val="1"/>
      <w:marLeft w:val="0"/>
      <w:marRight w:val="0"/>
      <w:marTop w:val="0"/>
      <w:marBottom w:val="0"/>
      <w:divBdr>
        <w:top w:val="none" w:sz="0" w:space="0" w:color="auto"/>
        <w:left w:val="none" w:sz="0" w:space="0" w:color="auto"/>
        <w:bottom w:val="none" w:sz="0" w:space="0" w:color="auto"/>
        <w:right w:val="none" w:sz="0" w:space="0" w:color="auto"/>
      </w:divBdr>
      <w:divsChild>
        <w:div w:id="941188504">
          <w:marLeft w:val="0"/>
          <w:marRight w:val="0"/>
          <w:marTop w:val="0"/>
          <w:marBottom w:val="0"/>
          <w:divBdr>
            <w:top w:val="none" w:sz="0" w:space="0" w:color="auto"/>
            <w:left w:val="none" w:sz="0" w:space="0" w:color="auto"/>
            <w:bottom w:val="none" w:sz="0" w:space="0" w:color="auto"/>
            <w:right w:val="none" w:sz="0" w:space="0" w:color="auto"/>
          </w:divBdr>
        </w:div>
        <w:div w:id="8875113">
          <w:marLeft w:val="0"/>
          <w:marRight w:val="0"/>
          <w:marTop w:val="0"/>
          <w:marBottom w:val="0"/>
          <w:divBdr>
            <w:top w:val="none" w:sz="0" w:space="0" w:color="auto"/>
            <w:left w:val="none" w:sz="0" w:space="0" w:color="auto"/>
            <w:bottom w:val="none" w:sz="0" w:space="0" w:color="auto"/>
            <w:right w:val="none" w:sz="0" w:space="0" w:color="auto"/>
          </w:divBdr>
          <w:divsChild>
            <w:div w:id="732896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5949017">
      <w:bodyDiv w:val="1"/>
      <w:marLeft w:val="0"/>
      <w:marRight w:val="0"/>
      <w:marTop w:val="0"/>
      <w:marBottom w:val="0"/>
      <w:divBdr>
        <w:top w:val="none" w:sz="0" w:space="0" w:color="auto"/>
        <w:left w:val="none" w:sz="0" w:space="0" w:color="auto"/>
        <w:bottom w:val="none" w:sz="0" w:space="0" w:color="auto"/>
        <w:right w:val="none" w:sz="0" w:space="0" w:color="auto"/>
      </w:divBdr>
    </w:div>
    <w:div w:id="545603892">
      <w:bodyDiv w:val="1"/>
      <w:marLeft w:val="0"/>
      <w:marRight w:val="0"/>
      <w:marTop w:val="0"/>
      <w:marBottom w:val="0"/>
      <w:divBdr>
        <w:top w:val="none" w:sz="0" w:space="0" w:color="auto"/>
        <w:left w:val="none" w:sz="0" w:space="0" w:color="auto"/>
        <w:bottom w:val="none" w:sz="0" w:space="0" w:color="auto"/>
        <w:right w:val="none" w:sz="0" w:space="0" w:color="auto"/>
      </w:divBdr>
      <w:divsChild>
        <w:div w:id="559944586">
          <w:blockQuote w:val="1"/>
          <w:marLeft w:val="0"/>
          <w:marRight w:val="0"/>
          <w:marTop w:val="0"/>
          <w:marBottom w:val="0"/>
          <w:divBdr>
            <w:top w:val="none" w:sz="0" w:space="0" w:color="auto"/>
            <w:left w:val="none" w:sz="0" w:space="0" w:color="auto"/>
            <w:bottom w:val="none" w:sz="0" w:space="0" w:color="auto"/>
            <w:right w:val="none" w:sz="0" w:space="0" w:color="auto"/>
          </w:divBdr>
        </w:div>
        <w:div w:id="408037613">
          <w:blockQuote w:val="1"/>
          <w:marLeft w:val="0"/>
          <w:marRight w:val="0"/>
          <w:marTop w:val="0"/>
          <w:marBottom w:val="0"/>
          <w:divBdr>
            <w:top w:val="none" w:sz="0" w:space="0" w:color="auto"/>
            <w:left w:val="none" w:sz="0" w:space="0" w:color="auto"/>
            <w:bottom w:val="none" w:sz="0" w:space="0" w:color="auto"/>
            <w:right w:val="none" w:sz="0" w:space="0" w:color="auto"/>
          </w:divBdr>
        </w:div>
        <w:div w:id="286468762">
          <w:blockQuote w:val="1"/>
          <w:marLeft w:val="0"/>
          <w:marRight w:val="0"/>
          <w:marTop w:val="0"/>
          <w:marBottom w:val="0"/>
          <w:divBdr>
            <w:top w:val="none" w:sz="0" w:space="0" w:color="auto"/>
            <w:left w:val="none" w:sz="0" w:space="0" w:color="auto"/>
            <w:bottom w:val="none" w:sz="0" w:space="0" w:color="auto"/>
            <w:right w:val="none" w:sz="0" w:space="0" w:color="auto"/>
          </w:divBdr>
        </w:div>
        <w:div w:id="1753044129">
          <w:blockQuote w:val="1"/>
          <w:marLeft w:val="0"/>
          <w:marRight w:val="0"/>
          <w:marTop w:val="0"/>
          <w:marBottom w:val="0"/>
          <w:divBdr>
            <w:top w:val="none" w:sz="0" w:space="0" w:color="auto"/>
            <w:left w:val="none" w:sz="0" w:space="0" w:color="auto"/>
            <w:bottom w:val="none" w:sz="0" w:space="0" w:color="auto"/>
            <w:right w:val="none" w:sz="0" w:space="0" w:color="auto"/>
          </w:divBdr>
        </w:div>
        <w:div w:id="1158350422">
          <w:blockQuote w:val="1"/>
          <w:marLeft w:val="0"/>
          <w:marRight w:val="0"/>
          <w:marTop w:val="0"/>
          <w:marBottom w:val="0"/>
          <w:divBdr>
            <w:top w:val="none" w:sz="0" w:space="0" w:color="auto"/>
            <w:left w:val="none" w:sz="0" w:space="0" w:color="auto"/>
            <w:bottom w:val="none" w:sz="0" w:space="0" w:color="auto"/>
            <w:right w:val="none" w:sz="0" w:space="0" w:color="auto"/>
          </w:divBdr>
        </w:div>
        <w:div w:id="635570911">
          <w:blockQuote w:val="1"/>
          <w:marLeft w:val="0"/>
          <w:marRight w:val="0"/>
          <w:marTop w:val="0"/>
          <w:marBottom w:val="0"/>
          <w:divBdr>
            <w:top w:val="none" w:sz="0" w:space="0" w:color="auto"/>
            <w:left w:val="none" w:sz="0" w:space="0" w:color="auto"/>
            <w:bottom w:val="none" w:sz="0" w:space="0" w:color="auto"/>
            <w:right w:val="none" w:sz="0" w:space="0" w:color="auto"/>
          </w:divBdr>
        </w:div>
        <w:div w:id="510685052">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547495470">
      <w:bodyDiv w:val="1"/>
      <w:marLeft w:val="0"/>
      <w:marRight w:val="0"/>
      <w:marTop w:val="0"/>
      <w:marBottom w:val="0"/>
      <w:divBdr>
        <w:top w:val="none" w:sz="0" w:space="0" w:color="auto"/>
        <w:left w:val="none" w:sz="0" w:space="0" w:color="auto"/>
        <w:bottom w:val="none" w:sz="0" w:space="0" w:color="auto"/>
        <w:right w:val="none" w:sz="0" w:space="0" w:color="auto"/>
      </w:divBdr>
      <w:divsChild>
        <w:div w:id="1017150583">
          <w:marLeft w:val="0"/>
          <w:marRight w:val="0"/>
          <w:marTop w:val="0"/>
          <w:marBottom w:val="0"/>
          <w:divBdr>
            <w:top w:val="none" w:sz="0" w:space="0" w:color="auto"/>
            <w:left w:val="none" w:sz="0" w:space="0" w:color="auto"/>
            <w:bottom w:val="none" w:sz="0" w:space="0" w:color="auto"/>
            <w:right w:val="none" w:sz="0" w:space="0" w:color="auto"/>
          </w:divBdr>
        </w:div>
        <w:div w:id="253823017">
          <w:marLeft w:val="0"/>
          <w:marRight w:val="0"/>
          <w:marTop w:val="0"/>
          <w:marBottom w:val="0"/>
          <w:divBdr>
            <w:top w:val="none" w:sz="0" w:space="0" w:color="auto"/>
            <w:left w:val="none" w:sz="0" w:space="0" w:color="auto"/>
            <w:bottom w:val="none" w:sz="0" w:space="0" w:color="auto"/>
            <w:right w:val="none" w:sz="0" w:space="0" w:color="auto"/>
          </w:divBdr>
        </w:div>
        <w:div w:id="152185810">
          <w:marLeft w:val="0"/>
          <w:marRight w:val="0"/>
          <w:marTop w:val="0"/>
          <w:marBottom w:val="0"/>
          <w:divBdr>
            <w:top w:val="none" w:sz="0" w:space="0" w:color="auto"/>
            <w:left w:val="none" w:sz="0" w:space="0" w:color="auto"/>
            <w:bottom w:val="none" w:sz="0" w:space="0" w:color="auto"/>
            <w:right w:val="none" w:sz="0" w:space="0" w:color="auto"/>
          </w:divBdr>
        </w:div>
        <w:div w:id="438985158">
          <w:marLeft w:val="0"/>
          <w:marRight w:val="0"/>
          <w:marTop w:val="0"/>
          <w:marBottom w:val="0"/>
          <w:divBdr>
            <w:top w:val="none" w:sz="0" w:space="0" w:color="auto"/>
            <w:left w:val="none" w:sz="0" w:space="0" w:color="auto"/>
            <w:bottom w:val="none" w:sz="0" w:space="0" w:color="auto"/>
            <w:right w:val="none" w:sz="0" w:space="0" w:color="auto"/>
          </w:divBdr>
        </w:div>
      </w:divsChild>
    </w:div>
    <w:div w:id="551964381">
      <w:bodyDiv w:val="1"/>
      <w:marLeft w:val="0"/>
      <w:marRight w:val="0"/>
      <w:marTop w:val="0"/>
      <w:marBottom w:val="0"/>
      <w:divBdr>
        <w:top w:val="none" w:sz="0" w:space="0" w:color="auto"/>
        <w:left w:val="none" w:sz="0" w:space="0" w:color="auto"/>
        <w:bottom w:val="none" w:sz="0" w:space="0" w:color="auto"/>
        <w:right w:val="none" w:sz="0" w:space="0" w:color="auto"/>
      </w:divBdr>
      <w:divsChild>
        <w:div w:id="1904488944">
          <w:marLeft w:val="0"/>
          <w:marRight w:val="0"/>
          <w:marTop w:val="0"/>
          <w:marBottom w:val="0"/>
          <w:divBdr>
            <w:top w:val="none" w:sz="0" w:space="0" w:color="auto"/>
            <w:left w:val="none" w:sz="0" w:space="0" w:color="auto"/>
            <w:bottom w:val="single" w:sz="6" w:space="12" w:color="DDDDDD"/>
            <w:right w:val="none" w:sz="0" w:space="0" w:color="auto"/>
          </w:divBdr>
          <w:divsChild>
            <w:div w:id="1198353605">
              <w:marLeft w:val="0"/>
              <w:marRight w:val="0"/>
              <w:marTop w:val="0"/>
              <w:marBottom w:val="0"/>
              <w:divBdr>
                <w:top w:val="none" w:sz="0" w:space="0" w:color="auto"/>
                <w:left w:val="none" w:sz="0" w:space="0" w:color="auto"/>
                <w:bottom w:val="none" w:sz="0" w:space="0" w:color="auto"/>
                <w:right w:val="none" w:sz="0" w:space="0" w:color="auto"/>
              </w:divBdr>
              <w:divsChild>
                <w:div w:id="23137816">
                  <w:marLeft w:val="0"/>
                  <w:marRight w:val="0"/>
                  <w:marTop w:val="0"/>
                  <w:marBottom w:val="0"/>
                  <w:divBdr>
                    <w:top w:val="none" w:sz="0" w:space="0" w:color="auto"/>
                    <w:left w:val="none" w:sz="0" w:space="0" w:color="auto"/>
                    <w:bottom w:val="none" w:sz="0" w:space="0" w:color="auto"/>
                    <w:right w:val="none" w:sz="0" w:space="0" w:color="auto"/>
                  </w:divBdr>
                  <w:divsChild>
                    <w:div w:id="1583294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4322791">
          <w:marLeft w:val="0"/>
          <w:marRight w:val="0"/>
          <w:marTop w:val="0"/>
          <w:marBottom w:val="0"/>
          <w:divBdr>
            <w:top w:val="none" w:sz="0" w:space="0" w:color="auto"/>
            <w:left w:val="none" w:sz="0" w:space="0" w:color="auto"/>
            <w:bottom w:val="single" w:sz="6" w:space="12" w:color="DDDDDD"/>
            <w:right w:val="none" w:sz="0" w:space="0" w:color="auto"/>
          </w:divBdr>
          <w:divsChild>
            <w:div w:id="1916931148">
              <w:marLeft w:val="0"/>
              <w:marRight w:val="0"/>
              <w:marTop w:val="0"/>
              <w:marBottom w:val="0"/>
              <w:divBdr>
                <w:top w:val="none" w:sz="0" w:space="0" w:color="auto"/>
                <w:left w:val="none" w:sz="0" w:space="0" w:color="auto"/>
                <w:bottom w:val="none" w:sz="0" w:space="0" w:color="auto"/>
                <w:right w:val="none" w:sz="0" w:space="0" w:color="auto"/>
              </w:divBdr>
              <w:divsChild>
                <w:div w:id="36972556">
                  <w:marLeft w:val="0"/>
                  <w:marRight w:val="0"/>
                  <w:marTop w:val="0"/>
                  <w:marBottom w:val="0"/>
                  <w:divBdr>
                    <w:top w:val="none" w:sz="0" w:space="0" w:color="auto"/>
                    <w:left w:val="none" w:sz="0" w:space="0" w:color="auto"/>
                    <w:bottom w:val="none" w:sz="0" w:space="0" w:color="auto"/>
                    <w:right w:val="none" w:sz="0" w:space="0" w:color="auto"/>
                  </w:divBdr>
                  <w:divsChild>
                    <w:div w:id="1241603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6299223">
          <w:marLeft w:val="0"/>
          <w:marRight w:val="0"/>
          <w:marTop w:val="0"/>
          <w:marBottom w:val="0"/>
          <w:divBdr>
            <w:top w:val="none" w:sz="0" w:space="0" w:color="auto"/>
            <w:left w:val="none" w:sz="0" w:space="0" w:color="auto"/>
            <w:bottom w:val="single" w:sz="6" w:space="12" w:color="DDDDDD"/>
            <w:right w:val="none" w:sz="0" w:space="0" w:color="auto"/>
          </w:divBdr>
          <w:divsChild>
            <w:div w:id="2087803723">
              <w:marLeft w:val="0"/>
              <w:marRight w:val="0"/>
              <w:marTop w:val="0"/>
              <w:marBottom w:val="0"/>
              <w:divBdr>
                <w:top w:val="none" w:sz="0" w:space="0" w:color="auto"/>
                <w:left w:val="none" w:sz="0" w:space="0" w:color="auto"/>
                <w:bottom w:val="none" w:sz="0" w:space="0" w:color="auto"/>
                <w:right w:val="none" w:sz="0" w:space="0" w:color="auto"/>
              </w:divBdr>
              <w:divsChild>
                <w:div w:id="282158227">
                  <w:marLeft w:val="0"/>
                  <w:marRight w:val="0"/>
                  <w:marTop w:val="0"/>
                  <w:marBottom w:val="0"/>
                  <w:divBdr>
                    <w:top w:val="none" w:sz="0" w:space="0" w:color="auto"/>
                    <w:left w:val="none" w:sz="0" w:space="0" w:color="auto"/>
                    <w:bottom w:val="none" w:sz="0" w:space="0" w:color="auto"/>
                    <w:right w:val="none" w:sz="0" w:space="0" w:color="auto"/>
                  </w:divBdr>
                  <w:divsChild>
                    <w:div w:id="34991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7019376">
          <w:marLeft w:val="0"/>
          <w:marRight w:val="0"/>
          <w:marTop w:val="0"/>
          <w:marBottom w:val="0"/>
          <w:divBdr>
            <w:top w:val="none" w:sz="0" w:space="0" w:color="auto"/>
            <w:left w:val="none" w:sz="0" w:space="0" w:color="auto"/>
            <w:bottom w:val="single" w:sz="6" w:space="12" w:color="DDDDDD"/>
            <w:right w:val="none" w:sz="0" w:space="0" w:color="auto"/>
          </w:divBdr>
          <w:divsChild>
            <w:div w:id="1329601054">
              <w:marLeft w:val="0"/>
              <w:marRight w:val="0"/>
              <w:marTop w:val="0"/>
              <w:marBottom w:val="0"/>
              <w:divBdr>
                <w:top w:val="none" w:sz="0" w:space="0" w:color="auto"/>
                <w:left w:val="none" w:sz="0" w:space="0" w:color="auto"/>
                <w:bottom w:val="none" w:sz="0" w:space="0" w:color="auto"/>
                <w:right w:val="none" w:sz="0" w:space="0" w:color="auto"/>
              </w:divBdr>
              <w:divsChild>
                <w:div w:id="699860374">
                  <w:marLeft w:val="0"/>
                  <w:marRight w:val="0"/>
                  <w:marTop w:val="0"/>
                  <w:marBottom w:val="0"/>
                  <w:divBdr>
                    <w:top w:val="none" w:sz="0" w:space="0" w:color="auto"/>
                    <w:left w:val="none" w:sz="0" w:space="0" w:color="auto"/>
                    <w:bottom w:val="none" w:sz="0" w:space="0" w:color="auto"/>
                    <w:right w:val="none" w:sz="0" w:space="0" w:color="auto"/>
                  </w:divBdr>
                  <w:divsChild>
                    <w:div w:id="851144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9769203">
          <w:marLeft w:val="0"/>
          <w:marRight w:val="0"/>
          <w:marTop w:val="0"/>
          <w:marBottom w:val="0"/>
          <w:divBdr>
            <w:top w:val="none" w:sz="0" w:space="0" w:color="auto"/>
            <w:left w:val="none" w:sz="0" w:space="0" w:color="auto"/>
            <w:bottom w:val="single" w:sz="6" w:space="12" w:color="DDDDDD"/>
            <w:right w:val="none" w:sz="0" w:space="0" w:color="auto"/>
          </w:divBdr>
          <w:divsChild>
            <w:div w:id="2122456574">
              <w:marLeft w:val="0"/>
              <w:marRight w:val="0"/>
              <w:marTop w:val="0"/>
              <w:marBottom w:val="0"/>
              <w:divBdr>
                <w:top w:val="none" w:sz="0" w:space="0" w:color="auto"/>
                <w:left w:val="none" w:sz="0" w:space="0" w:color="auto"/>
                <w:bottom w:val="none" w:sz="0" w:space="0" w:color="auto"/>
                <w:right w:val="none" w:sz="0" w:space="0" w:color="auto"/>
              </w:divBdr>
              <w:divsChild>
                <w:div w:id="1518273136">
                  <w:marLeft w:val="0"/>
                  <w:marRight w:val="0"/>
                  <w:marTop w:val="0"/>
                  <w:marBottom w:val="0"/>
                  <w:divBdr>
                    <w:top w:val="none" w:sz="0" w:space="0" w:color="auto"/>
                    <w:left w:val="none" w:sz="0" w:space="0" w:color="auto"/>
                    <w:bottom w:val="none" w:sz="0" w:space="0" w:color="auto"/>
                    <w:right w:val="none" w:sz="0" w:space="0" w:color="auto"/>
                  </w:divBdr>
                  <w:divsChild>
                    <w:div w:id="581571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991001">
          <w:marLeft w:val="0"/>
          <w:marRight w:val="0"/>
          <w:marTop w:val="0"/>
          <w:marBottom w:val="0"/>
          <w:divBdr>
            <w:top w:val="none" w:sz="0" w:space="0" w:color="auto"/>
            <w:left w:val="none" w:sz="0" w:space="0" w:color="auto"/>
            <w:bottom w:val="single" w:sz="6" w:space="12" w:color="DDDDDD"/>
            <w:right w:val="none" w:sz="0" w:space="0" w:color="auto"/>
          </w:divBdr>
          <w:divsChild>
            <w:div w:id="1480728885">
              <w:marLeft w:val="0"/>
              <w:marRight w:val="0"/>
              <w:marTop w:val="0"/>
              <w:marBottom w:val="0"/>
              <w:divBdr>
                <w:top w:val="none" w:sz="0" w:space="0" w:color="auto"/>
                <w:left w:val="none" w:sz="0" w:space="0" w:color="auto"/>
                <w:bottom w:val="none" w:sz="0" w:space="0" w:color="auto"/>
                <w:right w:val="none" w:sz="0" w:space="0" w:color="auto"/>
              </w:divBdr>
              <w:divsChild>
                <w:div w:id="1956672793">
                  <w:marLeft w:val="0"/>
                  <w:marRight w:val="0"/>
                  <w:marTop w:val="0"/>
                  <w:marBottom w:val="0"/>
                  <w:divBdr>
                    <w:top w:val="none" w:sz="0" w:space="0" w:color="auto"/>
                    <w:left w:val="none" w:sz="0" w:space="0" w:color="auto"/>
                    <w:bottom w:val="none" w:sz="0" w:space="0" w:color="auto"/>
                    <w:right w:val="none" w:sz="0" w:space="0" w:color="auto"/>
                  </w:divBdr>
                  <w:divsChild>
                    <w:div w:id="2073111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7635058">
          <w:marLeft w:val="0"/>
          <w:marRight w:val="0"/>
          <w:marTop w:val="0"/>
          <w:marBottom w:val="0"/>
          <w:divBdr>
            <w:top w:val="none" w:sz="0" w:space="0" w:color="auto"/>
            <w:left w:val="none" w:sz="0" w:space="0" w:color="auto"/>
            <w:bottom w:val="single" w:sz="6" w:space="12" w:color="DDDDDD"/>
            <w:right w:val="none" w:sz="0" w:space="0" w:color="auto"/>
          </w:divBdr>
          <w:divsChild>
            <w:div w:id="1842113468">
              <w:marLeft w:val="0"/>
              <w:marRight w:val="0"/>
              <w:marTop w:val="0"/>
              <w:marBottom w:val="0"/>
              <w:divBdr>
                <w:top w:val="none" w:sz="0" w:space="0" w:color="auto"/>
                <w:left w:val="none" w:sz="0" w:space="0" w:color="auto"/>
                <w:bottom w:val="none" w:sz="0" w:space="0" w:color="auto"/>
                <w:right w:val="none" w:sz="0" w:space="0" w:color="auto"/>
              </w:divBdr>
              <w:divsChild>
                <w:div w:id="1384216774">
                  <w:marLeft w:val="0"/>
                  <w:marRight w:val="0"/>
                  <w:marTop w:val="0"/>
                  <w:marBottom w:val="0"/>
                  <w:divBdr>
                    <w:top w:val="none" w:sz="0" w:space="0" w:color="auto"/>
                    <w:left w:val="none" w:sz="0" w:space="0" w:color="auto"/>
                    <w:bottom w:val="none" w:sz="0" w:space="0" w:color="auto"/>
                    <w:right w:val="none" w:sz="0" w:space="0" w:color="auto"/>
                  </w:divBdr>
                  <w:divsChild>
                    <w:div w:id="328607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6814693">
          <w:marLeft w:val="0"/>
          <w:marRight w:val="0"/>
          <w:marTop w:val="0"/>
          <w:marBottom w:val="0"/>
          <w:divBdr>
            <w:top w:val="none" w:sz="0" w:space="0" w:color="auto"/>
            <w:left w:val="none" w:sz="0" w:space="0" w:color="auto"/>
            <w:bottom w:val="single" w:sz="6" w:space="12" w:color="DDDDDD"/>
            <w:right w:val="none" w:sz="0" w:space="0" w:color="auto"/>
          </w:divBdr>
          <w:divsChild>
            <w:div w:id="1075586929">
              <w:marLeft w:val="0"/>
              <w:marRight w:val="0"/>
              <w:marTop w:val="0"/>
              <w:marBottom w:val="0"/>
              <w:divBdr>
                <w:top w:val="none" w:sz="0" w:space="0" w:color="auto"/>
                <w:left w:val="none" w:sz="0" w:space="0" w:color="auto"/>
                <w:bottom w:val="none" w:sz="0" w:space="0" w:color="auto"/>
                <w:right w:val="none" w:sz="0" w:space="0" w:color="auto"/>
              </w:divBdr>
              <w:divsChild>
                <w:div w:id="1159806725">
                  <w:marLeft w:val="0"/>
                  <w:marRight w:val="0"/>
                  <w:marTop w:val="0"/>
                  <w:marBottom w:val="0"/>
                  <w:divBdr>
                    <w:top w:val="none" w:sz="0" w:space="0" w:color="auto"/>
                    <w:left w:val="none" w:sz="0" w:space="0" w:color="auto"/>
                    <w:bottom w:val="none" w:sz="0" w:space="0" w:color="auto"/>
                    <w:right w:val="none" w:sz="0" w:space="0" w:color="auto"/>
                  </w:divBdr>
                  <w:divsChild>
                    <w:div w:id="193662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3996748">
          <w:marLeft w:val="0"/>
          <w:marRight w:val="0"/>
          <w:marTop w:val="0"/>
          <w:marBottom w:val="0"/>
          <w:divBdr>
            <w:top w:val="none" w:sz="0" w:space="0" w:color="auto"/>
            <w:left w:val="none" w:sz="0" w:space="0" w:color="auto"/>
            <w:bottom w:val="single" w:sz="6" w:space="12" w:color="DDDDDD"/>
            <w:right w:val="none" w:sz="0" w:space="0" w:color="auto"/>
          </w:divBdr>
          <w:divsChild>
            <w:div w:id="880020865">
              <w:marLeft w:val="0"/>
              <w:marRight w:val="0"/>
              <w:marTop w:val="0"/>
              <w:marBottom w:val="0"/>
              <w:divBdr>
                <w:top w:val="none" w:sz="0" w:space="0" w:color="auto"/>
                <w:left w:val="none" w:sz="0" w:space="0" w:color="auto"/>
                <w:bottom w:val="none" w:sz="0" w:space="0" w:color="auto"/>
                <w:right w:val="none" w:sz="0" w:space="0" w:color="auto"/>
              </w:divBdr>
              <w:divsChild>
                <w:div w:id="2030450570">
                  <w:marLeft w:val="0"/>
                  <w:marRight w:val="0"/>
                  <w:marTop w:val="0"/>
                  <w:marBottom w:val="0"/>
                  <w:divBdr>
                    <w:top w:val="none" w:sz="0" w:space="0" w:color="auto"/>
                    <w:left w:val="none" w:sz="0" w:space="0" w:color="auto"/>
                    <w:bottom w:val="none" w:sz="0" w:space="0" w:color="auto"/>
                    <w:right w:val="none" w:sz="0" w:space="0" w:color="auto"/>
                  </w:divBdr>
                  <w:divsChild>
                    <w:div w:id="1656564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4504175">
          <w:marLeft w:val="0"/>
          <w:marRight w:val="0"/>
          <w:marTop w:val="0"/>
          <w:marBottom w:val="0"/>
          <w:divBdr>
            <w:top w:val="none" w:sz="0" w:space="0" w:color="auto"/>
            <w:left w:val="none" w:sz="0" w:space="0" w:color="auto"/>
            <w:bottom w:val="single" w:sz="6" w:space="12" w:color="DDDDDD"/>
            <w:right w:val="none" w:sz="0" w:space="0" w:color="auto"/>
          </w:divBdr>
          <w:divsChild>
            <w:div w:id="1180697586">
              <w:marLeft w:val="0"/>
              <w:marRight w:val="0"/>
              <w:marTop w:val="0"/>
              <w:marBottom w:val="0"/>
              <w:divBdr>
                <w:top w:val="none" w:sz="0" w:space="0" w:color="auto"/>
                <w:left w:val="none" w:sz="0" w:space="0" w:color="auto"/>
                <w:bottom w:val="none" w:sz="0" w:space="0" w:color="auto"/>
                <w:right w:val="none" w:sz="0" w:space="0" w:color="auto"/>
              </w:divBdr>
              <w:divsChild>
                <w:div w:id="96952812">
                  <w:marLeft w:val="0"/>
                  <w:marRight w:val="0"/>
                  <w:marTop w:val="0"/>
                  <w:marBottom w:val="0"/>
                  <w:divBdr>
                    <w:top w:val="none" w:sz="0" w:space="0" w:color="auto"/>
                    <w:left w:val="none" w:sz="0" w:space="0" w:color="auto"/>
                    <w:bottom w:val="none" w:sz="0" w:space="0" w:color="auto"/>
                    <w:right w:val="none" w:sz="0" w:space="0" w:color="auto"/>
                  </w:divBdr>
                  <w:divsChild>
                    <w:div w:id="1666787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1623984">
          <w:marLeft w:val="0"/>
          <w:marRight w:val="0"/>
          <w:marTop w:val="0"/>
          <w:marBottom w:val="0"/>
          <w:divBdr>
            <w:top w:val="none" w:sz="0" w:space="0" w:color="auto"/>
            <w:left w:val="none" w:sz="0" w:space="0" w:color="auto"/>
            <w:bottom w:val="single" w:sz="6" w:space="12" w:color="DDDDDD"/>
            <w:right w:val="none" w:sz="0" w:space="0" w:color="auto"/>
          </w:divBdr>
          <w:divsChild>
            <w:div w:id="1040982350">
              <w:marLeft w:val="0"/>
              <w:marRight w:val="0"/>
              <w:marTop w:val="0"/>
              <w:marBottom w:val="0"/>
              <w:divBdr>
                <w:top w:val="none" w:sz="0" w:space="0" w:color="auto"/>
                <w:left w:val="none" w:sz="0" w:space="0" w:color="auto"/>
                <w:bottom w:val="none" w:sz="0" w:space="0" w:color="auto"/>
                <w:right w:val="none" w:sz="0" w:space="0" w:color="auto"/>
              </w:divBdr>
              <w:divsChild>
                <w:div w:id="1224098082">
                  <w:marLeft w:val="0"/>
                  <w:marRight w:val="0"/>
                  <w:marTop w:val="0"/>
                  <w:marBottom w:val="0"/>
                  <w:divBdr>
                    <w:top w:val="none" w:sz="0" w:space="0" w:color="auto"/>
                    <w:left w:val="none" w:sz="0" w:space="0" w:color="auto"/>
                    <w:bottom w:val="none" w:sz="0" w:space="0" w:color="auto"/>
                    <w:right w:val="none" w:sz="0" w:space="0" w:color="auto"/>
                  </w:divBdr>
                  <w:divsChild>
                    <w:div w:id="982271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8733847">
          <w:marLeft w:val="0"/>
          <w:marRight w:val="0"/>
          <w:marTop w:val="0"/>
          <w:marBottom w:val="0"/>
          <w:divBdr>
            <w:top w:val="none" w:sz="0" w:space="0" w:color="auto"/>
            <w:left w:val="none" w:sz="0" w:space="0" w:color="auto"/>
            <w:bottom w:val="none" w:sz="0" w:space="0" w:color="auto"/>
            <w:right w:val="none" w:sz="0" w:space="0" w:color="auto"/>
          </w:divBdr>
          <w:divsChild>
            <w:div w:id="648173858">
              <w:marLeft w:val="0"/>
              <w:marRight w:val="0"/>
              <w:marTop w:val="0"/>
              <w:marBottom w:val="0"/>
              <w:divBdr>
                <w:top w:val="none" w:sz="0" w:space="0" w:color="auto"/>
                <w:left w:val="none" w:sz="0" w:space="0" w:color="auto"/>
                <w:bottom w:val="none" w:sz="0" w:space="0" w:color="auto"/>
                <w:right w:val="none" w:sz="0" w:space="0" w:color="auto"/>
              </w:divBdr>
              <w:divsChild>
                <w:div w:id="405344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2298596">
      <w:bodyDiv w:val="1"/>
      <w:marLeft w:val="0"/>
      <w:marRight w:val="0"/>
      <w:marTop w:val="0"/>
      <w:marBottom w:val="0"/>
      <w:divBdr>
        <w:top w:val="none" w:sz="0" w:space="0" w:color="auto"/>
        <w:left w:val="none" w:sz="0" w:space="0" w:color="auto"/>
        <w:bottom w:val="none" w:sz="0" w:space="0" w:color="auto"/>
        <w:right w:val="none" w:sz="0" w:space="0" w:color="auto"/>
      </w:divBdr>
      <w:divsChild>
        <w:div w:id="239217775">
          <w:marLeft w:val="0"/>
          <w:marRight w:val="0"/>
          <w:marTop w:val="150"/>
          <w:marBottom w:val="0"/>
          <w:divBdr>
            <w:top w:val="single" w:sz="6" w:space="0" w:color="E8E7E4"/>
            <w:left w:val="none" w:sz="0" w:space="0" w:color="auto"/>
            <w:bottom w:val="none" w:sz="0" w:space="0" w:color="auto"/>
            <w:right w:val="none" w:sz="0" w:space="0" w:color="auto"/>
          </w:divBdr>
          <w:divsChild>
            <w:div w:id="2054377086">
              <w:marLeft w:val="0"/>
              <w:marRight w:val="0"/>
              <w:marTop w:val="0"/>
              <w:marBottom w:val="960"/>
              <w:divBdr>
                <w:top w:val="none" w:sz="0" w:space="0" w:color="auto"/>
                <w:left w:val="none" w:sz="0" w:space="0" w:color="auto"/>
                <w:bottom w:val="none" w:sz="0" w:space="0" w:color="auto"/>
                <w:right w:val="none" w:sz="0" w:space="0" w:color="auto"/>
              </w:divBdr>
            </w:div>
            <w:div w:id="483008561">
              <w:marLeft w:val="0"/>
              <w:marRight w:val="0"/>
              <w:marTop w:val="240"/>
              <w:marBottom w:val="0"/>
              <w:divBdr>
                <w:top w:val="none" w:sz="0" w:space="0" w:color="auto"/>
                <w:left w:val="none" w:sz="0" w:space="0" w:color="auto"/>
                <w:bottom w:val="none" w:sz="0" w:space="0" w:color="auto"/>
                <w:right w:val="none" w:sz="0" w:space="0" w:color="auto"/>
              </w:divBdr>
              <w:divsChild>
                <w:div w:id="1629239167">
                  <w:marLeft w:val="0"/>
                  <w:marRight w:val="0"/>
                  <w:marTop w:val="0"/>
                  <w:marBottom w:val="144"/>
                  <w:divBdr>
                    <w:top w:val="none" w:sz="0" w:space="0" w:color="auto"/>
                    <w:left w:val="none" w:sz="0" w:space="0" w:color="auto"/>
                    <w:bottom w:val="none" w:sz="0" w:space="0" w:color="auto"/>
                    <w:right w:val="none" w:sz="0" w:space="0" w:color="auto"/>
                  </w:divBdr>
                  <w:divsChild>
                    <w:div w:id="1511984800">
                      <w:marLeft w:val="0"/>
                      <w:marRight w:val="0"/>
                      <w:marTop w:val="0"/>
                      <w:marBottom w:val="0"/>
                      <w:divBdr>
                        <w:top w:val="none" w:sz="0" w:space="0" w:color="auto"/>
                        <w:left w:val="none" w:sz="0" w:space="0" w:color="auto"/>
                        <w:bottom w:val="none" w:sz="0" w:space="0" w:color="auto"/>
                        <w:right w:val="none" w:sz="0" w:space="0" w:color="auto"/>
                      </w:divBdr>
                    </w:div>
                    <w:div w:id="196550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7438982">
          <w:marLeft w:val="0"/>
          <w:marRight w:val="0"/>
          <w:marTop w:val="240"/>
          <w:marBottom w:val="240"/>
          <w:divBdr>
            <w:top w:val="single" w:sz="6" w:space="12" w:color="E8E7E4"/>
            <w:left w:val="none" w:sz="0" w:space="0" w:color="auto"/>
            <w:bottom w:val="none" w:sz="0" w:space="0" w:color="auto"/>
            <w:right w:val="none" w:sz="0" w:space="0" w:color="auto"/>
          </w:divBdr>
          <w:divsChild>
            <w:div w:id="566263707">
              <w:marLeft w:val="0"/>
              <w:marRight w:val="0"/>
              <w:marTop w:val="0"/>
              <w:marBottom w:val="0"/>
              <w:divBdr>
                <w:top w:val="none" w:sz="0" w:space="0" w:color="auto"/>
                <w:left w:val="none" w:sz="0" w:space="0" w:color="auto"/>
                <w:bottom w:val="none" w:sz="0" w:space="0" w:color="auto"/>
                <w:right w:val="none" w:sz="0" w:space="0" w:color="auto"/>
              </w:divBdr>
              <w:divsChild>
                <w:div w:id="1175077473">
                  <w:marLeft w:val="0"/>
                  <w:marRight w:val="0"/>
                  <w:marTop w:val="240"/>
                  <w:marBottom w:val="0"/>
                  <w:divBdr>
                    <w:top w:val="none" w:sz="0" w:space="0" w:color="auto"/>
                    <w:left w:val="none" w:sz="0" w:space="0" w:color="auto"/>
                    <w:bottom w:val="none" w:sz="0" w:space="0" w:color="auto"/>
                    <w:right w:val="none" w:sz="0" w:space="0" w:color="auto"/>
                  </w:divBdr>
                </w:div>
              </w:divsChild>
            </w:div>
            <w:div w:id="842089034">
              <w:marLeft w:val="0"/>
              <w:marRight w:val="0"/>
              <w:marTop w:val="0"/>
              <w:marBottom w:val="0"/>
              <w:divBdr>
                <w:top w:val="none" w:sz="0" w:space="0" w:color="auto"/>
                <w:left w:val="none" w:sz="0" w:space="0" w:color="auto"/>
                <w:bottom w:val="none" w:sz="0" w:space="0" w:color="auto"/>
                <w:right w:val="none" w:sz="0" w:space="0" w:color="auto"/>
              </w:divBdr>
              <w:divsChild>
                <w:div w:id="103575187">
                  <w:marLeft w:val="0"/>
                  <w:marRight w:val="0"/>
                  <w:marTop w:val="0"/>
                  <w:marBottom w:val="0"/>
                  <w:divBdr>
                    <w:top w:val="none" w:sz="0" w:space="0" w:color="auto"/>
                    <w:left w:val="none" w:sz="0" w:space="0" w:color="auto"/>
                    <w:bottom w:val="none" w:sz="0" w:space="0" w:color="auto"/>
                    <w:right w:val="none" w:sz="0" w:space="0" w:color="auto"/>
                  </w:divBdr>
                </w:div>
                <w:div w:id="496847605">
                  <w:marLeft w:val="0"/>
                  <w:marRight w:val="0"/>
                  <w:marTop w:val="0"/>
                  <w:marBottom w:val="0"/>
                  <w:divBdr>
                    <w:top w:val="none" w:sz="0" w:space="0" w:color="auto"/>
                    <w:left w:val="none" w:sz="0" w:space="0" w:color="auto"/>
                    <w:bottom w:val="none" w:sz="0" w:space="0" w:color="auto"/>
                    <w:right w:val="none" w:sz="0" w:space="0" w:color="auto"/>
                  </w:divBdr>
                </w:div>
                <w:div w:id="1204171217">
                  <w:marLeft w:val="0"/>
                  <w:marRight w:val="0"/>
                  <w:marTop w:val="0"/>
                  <w:marBottom w:val="0"/>
                  <w:divBdr>
                    <w:top w:val="none" w:sz="0" w:space="0" w:color="auto"/>
                    <w:left w:val="none" w:sz="0" w:space="0" w:color="auto"/>
                    <w:bottom w:val="none" w:sz="0" w:space="0" w:color="auto"/>
                    <w:right w:val="none" w:sz="0" w:space="0" w:color="auto"/>
                  </w:divBdr>
                </w:div>
                <w:div w:id="638805079">
                  <w:marLeft w:val="0"/>
                  <w:marRight w:val="0"/>
                  <w:marTop w:val="0"/>
                  <w:marBottom w:val="0"/>
                  <w:divBdr>
                    <w:top w:val="none" w:sz="0" w:space="0" w:color="auto"/>
                    <w:left w:val="none" w:sz="0" w:space="0" w:color="auto"/>
                    <w:bottom w:val="none" w:sz="0" w:space="0" w:color="auto"/>
                    <w:right w:val="none" w:sz="0" w:space="0" w:color="auto"/>
                  </w:divBdr>
                </w:div>
                <w:div w:id="1951400935">
                  <w:marLeft w:val="0"/>
                  <w:marRight w:val="0"/>
                  <w:marTop w:val="0"/>
                  <w:marBottom w:val="0"/>
                  <w:divBdr>
                    <w:top w:val="none" w:sz="0" w:space="0" w:color="auto"/>
                    <w:left w:val="none" w:sz="0" w:space="0" w:color="auto"/>
                    <w:bottom w:val="none" w:sz="0" w:space="0" w:color="auto"/>
                    <w:right w:val="none" w:sz="0" w:space="0" w:color="auto"/>
                  </w:divBdr>
                </w:div>
                <w:div w:id="900678605">
                  <w:marLeft w:val="0"/>
                  <w:marRight w:val="0"/>
                  <w:marTop w:val="0"/>
                  <w:marBottom w:val="0"/>
                  <w:divBdr>
                    <w:top w:val="none" w:sz="0" w:space="0" w:color="auto"/>
                    <w:left w:val="none" w:sz="0" w:space="0" w:color="auto"/>
                    <w:bottom w:val="none" w:sz="0" w:space="0" w:color="auto"/>
                    <w:right w:val="none" w:sz="0" w:space="0" w:color="auto"/>
                  </w:divBdr>
                </w:div>
                <w:div w:id="718474818">
                  <w:marLeft w:val="0"/>
                  <w:marRight w:val="0"/>
                  <w:marTop w:val="0"/>
                  <w:marBottom w:val="0"/>
                  <w:divBdr>
                    <w:top w:val="none" w:sz="0" w:space="0" w:color="auto"/>
                    <w:left w:val="none" w:sz="0" w:space="0" w:color="auto"/>
                    <w:bottom w:val="none" w:sz="0" w:space="0" w:color="auto"/>
                    <w:right w:val="none" w:sz="0" w:space="0" w:color="auto"/>
                  </w:divBdr>
                </w:div>
                <w:div w:id="273219818">
                  <w:marLeft w:val="0"/>
                  <w:marRight w:val="0"/>
                  <w:marTop w:val="0"/>
                  <w:marBottom w:val="0"/>
                  <w:divBdr>
                    <w:top w:val="none" w:sz="0" w:space="0" w:color="auto"/>
                    <w:left w:val="none" w:sz="0" w:space="0" w:color="auto"/>
                    <w:bottom w:val="none" w:sz="0" w:space="0" w:color="auto"/>
                    <w:right w:val="none" w:sz="0" w:space="0" w:color="auto"/>
                  </w:divBdr>
                </w:div>
                <w:div w:id="122113724">
                  <w:marLeft w:val="0"/>
                  <w:marRight w:val="0"/>
                  <w:marTop w:val="0"/>
                  <w:marBottom w:val="0"/>
                  <w:divBdr>
                    <w:top w:val="none" w:sz="0" w:space="0" w:color="auto"/>
                    <w:left w:val="none" w:sz="0" w:space="0" w:color="auto"/>
                    <w:bottom w:val="none" w:sz="0" w:space="0" w:color="auto"/>
                    <w:right w:val="none" w:sz="0" w:space="0" w:color="auto"/>
                  </w:divBdr>
                </w:div>
                <w:div w:id="405306018">
                  <w:marLeft w:val="0"/>
                  <w:marRight w:val="0"/>
                  <w:marTop w:val="0"/>
                  <w:marBottom w:val="0"/>
                  <w:divBdr>
                    <w:top w:val="none" w:sz="0" w:space="0" w:color="auto"/>
                    <w:left w:val="none" w:sz="0" w:space="0" w:color="auto"/>
                    <w:bottom w:val="none" w:sz="0" w:space="0" w:color="auto"/>
                    <w:right w:val="none" w:sz="0" w:space="0" w:color="auto"/>
                  </w:divBdr>
                </w:div>
                <w:div w:id="984241355">
                  <w:marLeft w:val="0"/>
                  <w:marRight w:val="0"/>
                  <w:marTop w:val="0"/>
                  <w:marBottom w:val="0"/>
                  <w:divBdr>
                    <w:top w:val="none" w:sz="0" w:space="0" w:color="auto"/>
                    <w:left w:val="none" w:sz="0" w:space="0" w:color="auto"/>
                    <w:bottom w:val="none" w:sz="0" w:space="0" w:color="auto"/>
                    <w:right w:val="none" w:sz="0" w:space="0" w:color="auto"/>
                  </w:divBdr>
                </w:div>
                <w:div w:id="404033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7230396">
      <w:bodyDiv w:val="1"/>
      <w:marLeft w:val="0"/>
      <w:marRight w:val="0"/>
      <w:marTop w:val="0"/>
      <w:marBottom w:val="0"/>
      <w:divBdr>
        <w:top w:val="none" w:sz="0" w:space="0" w:color="auto"/>
        <w:left w:val="none" w:sz="0" w:space="0" w:color="auto"/>
        <w:bottom w:val="none" w:sz="0" w:space="0" w:color="auto"/>
        <w:right w:val="none" w:sz="0" w:space="0" w:color="auto"/>
      </w:divBdr>
      <w:divsChild>
        <w:div w:id="693656803">
          <w:marLeft w:val="0"/>
          <w:marRight w:val="0"/>
          <w:marTop w:val="0"/>
          <w:marBottom w:val="0"/>
          <w:divBdr>
            <w:top w:val="none" w:sz="0" w:space="0" w:color="auto"/>
            <w:left w:val="none" w:sz="0" w:space="0" w:color="auto"/>
            <w:bottom w:val="none" w:sz="0" w:space="0" w:color="auto"/>
            <w:right w:val="none" w:sz="0" w:space="0" w:color="auto"/>
          </w:divBdr>
          <w:divsChild>
            <w:div w:id="240022127">
              <w:marLeft w:val="0"/>
              <w:marRight w:val="0"/>
              <w:marTop w:val="0"/>
              <w:marBottom w:val="0"/>
              <w:divBdr>
                <w:top w:val="none" w:sz="0" w:space="0" w:color="auto"/>
                <w:left w:val="none" w:sz="0" w:space="0" w:color="auto"/>
                <w:bottom w:val="none" w:sz="0" w:space="0" w:color="auto"/>
                <w:right w:val="none" w:sz="0" w:space="0" w:color="auto"/>
              </w:divBdr>
            </w:div>
            <w:div w:id="1677997561">
              <w:marLeft w:val="0"/>
              <w:marRight w:val="0"/>
              <w:marTop w:val="0"/>
              <w:marBottom w:val="0"/>
              <w:divBdr>
                <w:top w:val="none" w:sz="0" w:space="0" w:color="auto"/>
                <w:left w:val="none" w:sz="0" w:space="0" w:color="auto"/>
                <w:bottom w:val="none" w:sz="0" w:space="0" w:color="auto"/>
                <w:right w:val="none" w:sz="0" w:space="0" w:color="auto"/>
              </w:divBdr>
              <w:divsChild>
                <w:div w:id="641276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603370">
          <w:marLeft w:val="0"/>
          <w:marRight w:val="0"/>
          <w:marTop w:val="0"/>
          <w:marBottom w:val="0"/>
          <w:divBdr>
            <w:top w:val="none" w:sz="0" w:space="0" w:color="auto"/>
            <w:left w:val="none" w:sz="0" w:space="0" w:color="auto"/>
            <w:bottom w:val="none" w:sz="0" w:space="0" w:color="auto"/>
            <w:right w:val="none" w:sz="0" w:space="0" w:color="auto"/>
          </w:divBdr>
          <w:divsChild>
            <w:div w:id="370426552">
              <w:marLeft w:val="0"/>
              <w:marRight w:val="0"/>
              <w:marTop w:val="0"/>
              <w:marBottom w:val="0"/>
              <w:divBdr>
                <w:top w:val="none" w:sz="0" w:space="0" w:color="auto"/>
                <w:left w:val="none" w:sz="0" w:space="0" w:color="auto"/>
                <w:bottom w:val="none" w:sz="0" w:space="0" w:color="auto"/>
                <w:right w:val="none" w:sz="0" w:space="0" w:color="auto"/>
              </w:divBdr>
            </w:div>
            <w:div w:id="1667051764">
              <w:marLeft w:val="0"/>
              <w:marRight w:val="0"/>
              <w:marTop w:val="0"/>
              <w:marBottom w:val="0"/>
              <w:divBdr>
                <w:top w:val="none" w:sz="0" w:space="0" w:color="auto"/>
                <w:left w:val="none" w:sz="0" w:space="0" w:color="auto"/>
                <w:bottom w:val="none" w:sz="0" w:space="0" w:color="auto"/>
                <w:right w:val="none" w:sz="0" w:space="0" w:color="auto"/>
              </w:divBdr>
              <w:divsChild>
                <w:div w:id="6621216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3929353">
          <w:marLeft w:val="0"/>
          <w:marRight w:val="0"/>
          <w:marTop w:val="0"/>
          <w:marBottom w:val="0"/>
          <w:divBdr>
            <w:top w:val="none" w:sz="0" w:space="0" w:color="auto"/>
            <w:left w:val="none" w:sz="0" w:space="0" w:color="auto"/>
            <w:bottom w:val="none" w:sz="0" w:space="0" w:color="auto"/>
            <w:right w:val="none" w:sz="0" w:space="0" w:color="auto"/>
          </w:divBdr>
          <w:divsChild>
            <w:div w:id="1463881647">
              <w:marLeft w:val="0"/>
              <w:marRight w:val="0"/>
              <w:marTop w:val="0"/>
              <w:marBottom w:val="0"/>
              <w:divBdr>
                <w:top w:val="none" w:sz="0" w:space="0" w:color="auto"/>
                <w:left w:val="none" w:sz="0" w:space="0" w:color="auto"/>
                <w:bottom w:val="none" w:sz="0" w:space="0" w:color="auto"/>
                <w:right w:val="none" w:sz="0" w:space="0" w:color="auto"/>
              </w:divBdr>
            </w:div>
            <w:div w:id="1149513485">
              <w:marLeft w:val="0"/>
              <w:marRight w:val="0"/>
              <w:marTop w:val="0"/>
              <w:marBottom w:val="0"/>
              <w:divBdr>
                <w:top w:val="none" w:sz="0" w:space="0" w:color="auto"/>
                <w:left w:val="none" w:sz="0" w:space="0" w:color="auto"/>
                <w:bottom w:val="none" w:sz="0" w:space="0" w:color="auto"/>
                <w:right w:val="none" w:sz="0" w:space="0" w:color="auto"/>
              </w:divBdr>
              <w:divsChild>
                <w:div w:id="934173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924094">
          <w:marLeft w:val="0"/>
          <w:marRight w:val="0"/>
          <w:marTop w:val="0"/>
          <w:marBottom w:val="0"/>
          <w:divBdr>
            <w:top w:val="none" w:sz="0" w:space="0" w:color="auto"/>
            <w:left w:val="none" w:sz="0" w:space="0" w:color="auto"/>
            <w:bottom w:val="none" w:sz="0" w:space="0" w:color="auto"/>
            <w:right w:val="none" w:sz="0" w:space="0" w:color="auto"/>
          </w:divBdr>
          <w:divsChild>
            <w:div w:id="365447420">
              <w:marLeft w:val="0"/>
              <w:marRight w:val="0"/>
              <w:marTop w:val="0"/>
              <w:marBottom w:val="0"/>
              <w:divBdr>
                <w:top w:val="none" w:sz="0" w:space="0" w:color="auto"/>
                <w:left w:val="none" w:sz="0" w:space="0" w:color="auto"/>
                <w:bottom w:val="none" w:sz="0" w:space="0" w:color="auto"/>
                <w:right w:val="none" w:sz="0" w:space="0" w:color="auto"/>
              </w:divBdr>
            </w:div>
            <w:div w:id="1445923707">
              <w:marLeft w:val="0"/>
              <w:marRight w:val="0"/>
              <w:marTop w:val="0"/>
              <w:marBottom w:val="0"/>
              <w:divBdr>
                <w:top w:val="none" w:sz="0" w:space="0" w:color="auto"/>
                <w:left w:val="none" w:sz="0" w:space="0" w:color="auto"/>
                <w:bottom w:val="none" w:sz="0" w:space="0" w:color="auto"/>
                <w:right w:val="none" w:sz="0" w:space="0" w:color="auto"/>
              </w:divBdr>
              <w:divsChild>
                <w:div w:id="192497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2858672">
      <w:bodyDiv w:val="1"/>
      <w:marLeft w:val="0"/>
      <w:marRight w:val="0"/>
      <w:marTop w:val="0"/>
      <w:marBottom w:val="0"/>
      <w:divBdr>
        <w:top w:val="none" w:sz="0" w:space="0" w:color="auto"/>
        <w:left w:val="none" w:sz="0" w:space="0" w:color="auto"/>
        <w:bottom w:val="none" w:sz="0" w:space="0" w:color="auto"/>
        <w:right w:val="none" w:sz="0" w:space="0" w:color="auto"/>
      </w:divBdr>
    </w:div>
    <w:div w:id="611327847">
      <w:bodyDiv w:val="1"/>
      <w:marLeft w:val="0"/>
      <w:marRight w:val="0"/>
      <w:marTop w:val="0"/>
      <w:marBottom w:val="0"/>
      <w:divBdr>
        <w:top w:val="none" w:sz="0" w:space="0" w:color="auto"/>
        <w:left w:val="none" w:sz="0" w:space="0" w:color="auto"/>
        <w:bottom w:val="none" w:sz="0" w:space="0" w:color="auto"/>
        <w:right w:val="none" w:sz="0" w:space="0" w:color="auto"/>
      </w:divBdr>
      <w:divsChild>
        <w:div w:id="1633099679">
          <w:marLeft w:val="0"/>
          <w:marRight w:val="0"/>
          <w:marTop w:val="0"/>
          <w:marBottom w:val="0"/>
          <w:divBdr>
            <w:top w:val="none" w:sz="0" w:space="0" w:color="auto"/>
            <w:left w:val="none" w:sz="0" w:space="0" w:color="auto"/>
            <w:bottom w:val="none" w:sz="0" w:space="0" w:color="auto"/>
            <w:right w:val="none" w:sz="0" w:space="0" w:color="auto"/>
          </w:divBdr>
          <w:divsChild>
            <w:div w:id="1332683250">
              <w:marLeft w:val="0"/>
              <w:marRight w:val="0"/>
              <w:marTop w:val="0"/>
              <w:marBottom w:val="0"/>
              <w:divBdr>
                <w:top w:val="none" w:sz="0" w:space="0" w:color="auto"/>
                <w:left w:val="none" w:sz="0" w:space="0" w:color="auto"/>
                <w:bottom w:val="none" w:sz="0" w:space="0" w:color="auto"/>
                <w:right w:val="none" w:sz="0" w:space="0" w:color="auto"/>
              </w:divBdr>
            </w:div>
          </w:divsChild>
        </w:div>
        <w:div w:id="1107117720">
          <w:marLeft w:val="0"/>
          <w:marRight w:val="0"/>
          <w:marTop w:val="0"/>
          <w:marBottom w:val="0"/>
          <w:divBdr>
            <w:top w:val="none" w:sz="0" w:space="0" w:color="auto"/>
            <w:left w:val="none" w:sz="0" w:space="0" w:color="auto"/>
            <w:bottom w:val="none" w:sz="0" w:space="0" w:color="auto"/>
            <w:right w:val="none" w:sz="0" w:space="0" w:color="auto"/>
          </w:divBdr>
          <w:divsChild>
            <w:div w:id="903564779">
              <w:marLeft w:val="0"/>
              <w:marRight w:val="0"/>
              <w:marTop w:val="0"/>
              <w:marBottom w:val="0"/>
              <w:divBdr>
                <w:top w:val="none" w:sz="0" w:space="0" w:color="auto"/>
                <w:left w:val="none" w:sz="0" w:space="0" w:color="auto"/>
                <w:bottom w:val="none" w:sz="0" w:space="0" w:color="auto"/>
                <w:right w:val="none" w:sz="0" w:space="0" w:color="auto"/>
              </w:divBdr>
            </w:div>
          </w:divsChild>
        </w:div>
        <w:div w:id="1342397466">
          <w:marLeft w:val="0"/>
          <w:marRight w:val="0"/>
          <w:marTop w:val="0"/>
          <w:marBottom w:val="0"/>
          <w:divBdr>
            <w:top w:val="none" w:sz="0" w:space="0" w:color="auto"/>
            <w:left w:val="none" w:sz="0" w:space="0" w:color="auto"/>
            <w:bottom w:val="none" w:sz="0" w:space="0" w:color="auto"/>
            <w:right w:val="none" w:sz="0" w:space="0" w:color="auto"/>
          </w:divBdr>
        </w:div>
        <w:div w:id="1975213765">
          <w:marLeft w:val="0"/>
          <w:marRight w:val="0"/>
          <w:marTop w:val="0"/>
          <w:marBottom w:val="0"/>
          <w:divBdr>
            <w:top w:val="none" w:sz="0" w:space="0" w:color="auto"/>
            <w:left w:val="none" w:sz="0" w:space="0" w:color="auto"/>
            <w:bottom w:val="none" w:sz="0" w:space="0" w:color="auto"/>
            <w:right w:val="none" w:sz="0" w:space="0" w:color="auto"/>
          </w:divBdr>
        </w:div>
        <w:div w:id="1104351199">
          <w:marLeft w:val="0"/>
          <w:marRight w:val="0"/>
          <w:marTop w:val="0"/>
          <w:marBottom w:val="0"/>
          <w:divBdr>
            <w:top w:val="none" w:sz="0" w:space="0" w:color="auto"/>
            <w:left w:val="none" w:sz="0" w:space="0" w:color="auto"/>
            <w:bottom w:val="none" w:sz="0" w:space="0" w:color="auto"/>
            <w:right w:val="none" w:sz="0" w:space="0" w:color="auto"/>
          </w:divBdr>
        </w:div>
        <w:div w:id="218589389">
          <w:marLeft w:val="0"/>
          <w:marRight w:val="0"/>
          <w:marTop w:val="0"/>
          <w:marBottom w:val="0"/>
          <w:divBdr>
            <w:top w:val="none" w:sz="0" w:space="0" w:color="auto"/>
            <w:left w:val="none" w:sz="0" w:space="0" w:color="auto"/>
            <w:bottom w:val="none" w:sz="0" w:space="0" w:color="auto"/>
            <w:right w:val="none" w:sz="0" w:space="0" w:color="auto"/>
          </w:divBdr>
          <w:divsChild>
            <w:div w:id="1926186693">
              <w:marLeft w:val="0"/>
              <w:marRight w:val="0"/>
              <w:marTop w:val="0"/>
              <w:marBottom w:val="0"/>
              <w:divBdr>
                <w:top w:val="none" w:sz="0" w:space="0" w:color="auto"/>
                <w:left w:val="none" w:sz="0" w:space="0" w:color="auto"/>
                <w:bottom w:val="none" w:sz="0" w:space="0" w:color="auto"/>
                <w:right w:val="none" w:sz="0" w:space="0" w:color="auto"/>
              </w:divBdr>
            </w:div>
          </w:divsChild>
        </w:div>
        <w:div w:id="605699130">
          <w:marLeft w:val="0"/>
          <w:marRight w:val="0"/>
          <w:marTop w:val="0"/>
          <w:marBottom w:val="0"/>
          <w:divBdr>
            <w:top w:val="none" w:sz="0" w:space="0" w:color="auto"/>
            <w:left w:val="none" w:sz="0" w:space="0" w:color="auto"/>
            <w:bottom w:val="none" w:sz="0" w:space="0" w:color="auto"/>
            <w:right w:val="none" w:sz="0" w:space="0" w:color="auto"/>
          </w:divBdr>
        </w:div>
        <w:div w:id="269318820">
          <w:marLeft w:val="0"/>
          <w:marRight w:val="0"/>
          <w:marTop w:val="0"/>
          <w:marBottom w:val="0"/>
          <w:divBdr>
            <w:top w:val="none" w:sz="0" w:space="0" w:color="auto"/>
            <w:left w:val="none" w:sz="0" w:space="0" w:color="auto"/>
            <w:bottom w:val="none" w:sz="0" w:space="0" w:color="auto"/>
            <w:right w:val="none" w:sz="0" w:space="0" w:color="auto"/>
          </w:divBdr>
        </w:div>
        <w:div w:id="1457681957">
          <w:marLeft w:val="0"/>
          <w:marRight w:val="0"/>
          <w:marTop w:val="0"/>
          <w:marBottom w:val="0"/>
          <w:divBdr>
            <w:top w:val="none" w:sz="0" w:space="0" w:color="auto"/>
            <w:left w:val="none" w:sz="0" w:space="0" w:color="auto"/>
            <w:bottom w:val="none" w:sz="0" w:space="0" w:color="auto"/>
            <w:right w:val="none" w:sz="0" w:space="0" w:color="auto"/>
          </w:divBdr>
          <w:divsChild>
            <w:div w:id="152380040">
              <w:marLeft w:val="0"/>
              <w:marRight w:val="0"/>
              <w:marTop w:val="0"/>
              <w:marBottom w:val="0"/>
              <w:divBdr>
                <w:top w:val="none" w:sz="0" w:space="0" w:color="auto"/>
                <w:left w:val="none" w:sz="0" w:space="0" w:color="auto"/>
                <w:bottom w:val="none" w:sz="0" w:space="0" w:color="auto"/>
                <w:right w:val="none" w:sz="0" w:space="0" w:color="auto"/>
              </w:divBdr>
            </w:div>
          </w:divsChild>
        </w:div>
        <w:div w:id="410196709">
          <w:marLeft w:val="0"/>
          <w:marRight w:val="0"/>
          <w:marTop w:val="0"/>
          <w:marBottom w:val="0"/>
          <w:divBdr>
            <w:top w:val="none" w:sz="0" w:space="0" w:color="auto"/>
            <w:left w:val="none" w:sz="0" w:space="0" w:color="auto"/>
            <w:bottom w:val="none" w:sz="0" w:space="0" w:color="auto"/>
            <w:right w:val="none" w:sz="0" w:space="0" w:color="auto"/>
          </w:divBdr>
        </w:div>
        <w:div w:id="1314335178">
          <w:marLeft w:val="0"/>
          <w:marRight w:val="0"/>
          <w:marTop w:val="0"/>
          <w:marBottom w:val="0"/>
          <w:divBdr>
            <w:top w:val="none" w:sz="0" w:space="0" w:color="auto"/>
            <w:left w:val="none" w:sz="0" w:space="0" w:color="auto"/>
            <w:bottom w:val="none" w:sz="0" w:space="0" w:color="auto"/>
            <w:right w:val="none" w:sz="0" w:space="0" w:color="auto"/>
          </w:divBdr>
        </w:div>
        <w:div w:id="1678075117">
          <w:marLeft w:val="0"/>
          <w:marRight w:val="0"/>
          <w:marTop w:val="0"/>
          <w:marBottom w:val="0"/>
          <w:divBdr>
            <w:top w:val="none" w:sz="0" w:space="0" w:color="auto"/>
            <w:left w:val="none" w:sz="0" w:space="0" w:color="auto"/>
            <w:bottom w:val="none" w:sz="0" w:space="0" w:color="auto"/>
            <w:right w:val="none" w:sz="0" w:space="0" w:color="auto"/>
          </w:divBdr>
          <w:divsChild>
            <w:div w:id="1257708985">
              <w:marLeft w:val="0"/>
              <w:marRight w:val="0"/>
              <w:marTop w:val="0"/>
              <w:marBottom w:val="0"/>
              <w:divBdr>
                <w:top w:val="none" w:sz="0" w:space="0" w:color="auto"/>
                <w:left w:val="none" w:sz="0" w:space="0" w:color="auto"/>
                <w:bottom w:val="none" w:sz="0" w:space="0" w:color="auto"/>
                <w:right w:val="none" w:sz="0" w:space="0" w:color="auto"/>
              </w:divBdr>
            </w:div>
          </w:divsChild>
        </w:div>
        <w:div w:id="2001226615">
          <w:marLeft w:val="0"/>
          <w:marRight w:val="0"/>
          <w:marTop w:val="0"/>
          <w:marBottom w:val="0"/>
          <w:divBdr>
            <w:top w:val="none" w:sz="0" w:space="0" w:color="auto"/>
            <w:left w:val="none" w:sz="0" w:space="0" w:color="auto"/>
            <w:bottom w:val="none" w:sz="0" w:space="0" w:color="auto"/>
            <w:right w:val="none" w:sz="0" w:space="0" w:color="auto"/>
          </w:divBdr>
        </w:div>
        <w:div w:id="753741858">
          <w:marLeft w:val="0"/>
          <w:marRight w:val="0"/>
          <w:marTop w:val="0"/>
          <w:marBottom w:val="0"/>
          <w:divBdr>
            <w:top w:val="none" w:sz="0" w:space="0" w:color="auto"/>
            <w:left w:val="none" w:sz="0" w:space="0" w:color="auto"/>
            <w:bottom w:val="none" w:sz="0" w:space="0" w:color="auto"/>
            <w:right w:val="none" w:sz="0" w:space="0" w:color="auto"/>
          </w:divBdr>
        </w:div>
        <w:div w:id="359353263">
          <w:marLeft w:val="0"/>
          <w:marRight w:val="0"/>
          <w:marTop w:val="0"/>
          <w:marBottom w:val="0"/>
          <w:divBdr>
            <w:top w:val="none" w:sz="0" w:space="0" w:color="auto"/>
            <w:left w:val="none" w:sz="0" w:space="0" w:color="auto"/>
            <w:bottom w:val="none" w:sz="0" w:space="0" w:color="auto"/>
            <w:right w:val="none" w:sz="0" w:space="0" w:color="auto"/>
          </w:divBdr>
          <w:divsChild>
            <w:div w:id="236130235">
              <w:marLeft w:val="0"/>
              <w:marRight w:val="0"/>
              <w:marTop w:val="0"/>
              <w:marBottom w:val="0"/>
              <w:divBdr>
                <w:top w:val="none" w:sz="0" w:space="0" w:color="auto"/>
                <w:left w:val="none" w:sz="0" w:space="0" w:color="auto"/>
                <w:bottom w:val="none" w:sz="0" w:space="0" w:color="auto"/>
                <w:right w:val="none" w:sz="0" w:space="0" w:color="auto"/>
              </w:divBdr>
            </w:div>
          </w:divsChild>
        </w:div>
        <w:div w:id="566301613">
          <w:marLeft w:val="0"/>
          <w:marRight w:val="0"/>
          <w:marTop w:val="0"/>
          <w:marBottom w:val="0"/>
          <w:divBdr>
            <w:top w:val="none" w:sz="0" w:space="0" w:color="auto"/>
            <w:left w:val="none" w:sz="0" w:space="0" w:color="auto"/>
            <w:bottom w:val="none" w:sz="0" w:space="0" w:color="auto"/>
            <w:right w:val="none" w:sz="0" w:space="0" w:color="auto"/>
          </w:divBdr>
        </w:div>
        <w:div w:id="1371415176">
          <w:marLeft w:val="0"/>
          <w:marRight w:val="0"/>
          <w:marTop w:val="0"/>
          <w:marBottom w:val="0"/>
          <w:divBdr>
            <w:top w:val="none" w:sz="0" w:space="0" w:color="auto"/>
            <w:left w:val="none" w:sz="0" w:space="0" w:color="auto"/>
            <w:bottom w:val="none" w:sz="0" w:space="0" w:color="auto"/>
            <w:right w:val="none" w:sz="0" w:space="0" w:color="auto"/>
          </w:divBdr>
        </w:div>
        <w:div w:id="1570850380">
          <w:marLeft w:val="0"/>
          <w:marRight w:val="0"/>
          <w:marTop w:val="0"/>
          <w:marBottom w:val="0"/>
          <w:divBdr>
            <w:top w:val="none" w:sz="0" w:space="0" w:color="auto"/>
            <w:left w:val="none" w:sz="0" w:space="0" w:color="auto"/>
            <w:bottom w:val="none" w:sz="0" w:space="0" w:color="auto"/>
            <w:right w:val="none" w:sz="0" w:space="0" w:color="auto"/>
          </w:divBdr>
          <w:divsChild>
            <w:div w:id="1409692458">
              <w:marLeft w:val="0"/>
              <w:marRight w:val="0"/>
              <w:marTop w:val="0"/>
              <w:marBottom w:val="0"/>
              <w:divBdr>
                <w:top w:val="none" w:sz="0" w:space="0" w:color="auto"/>
                <w:left w:val="none" w:sz="0" w:space="0" w:color="auto"/>
                <w:bottom w:val="none" w:sz="0" w:space="0" w:color="auto"/>
                <w:right w:val="none" w:sz="0" w:space="0" w:color="auto"/>
              </w:divBdr>
            </w:div>
          </w:divsChild>
        </w:div>
        <w:div w:id="2015691815">
          <w:marLeft w:val="0"/>
          <w:marRight w:val="0"/>
          <w:marTop w:val="0"/>
          <w:marBottom w:val="0"/>
          <w:divBdr>
            <w:top w:val="none" w:sz="0" w:space="0" w:color="auto"/>
            <w:left w:val="none" w:sz="0" w:space="0" w:color="auto"/>
            <w:bottom w:val="none" w:sz="0" w:space="0" w:color="auto"/>
            <w:right w:val="none" w:sz="0" w:space="0" w:color="auto"/>
          </w:divBdr>
        </w:div>
        <w:div w:id="1282880331">
          <w:marLeft w:val="0"/>
          <w:marRight w:val="0"/>
          <w:marTop w:val="0"/>
          <w:marBottom w:val="0"/>
          <w:divBdr>
            <w:top w:val="none" w:sz="0" w:space="0" w:color="auto"/>
            <w:left w:val="none" w:sz="0" w:space="0" w:color="auto"/>
            <w:bottom w:val="none" w:sz="0" w:space="0" w:color="auto"/>
            <w:right w:val="none" w:sz="0" w:space="0" w:color="auto"/>
          </w:divBdr>
        </w:div>
        <w:div w:id="1582832014">
          <w:marLeft w:val="0"/>
          <w:marRight w:val="0"/>
          <w:marTop w:val="0"/>
          <w:marBottom w:val="0"/>
          <w:divBdr>
            <w:top w:val="none" w:sz="0" w:space="0" w:color="auto"/>
            <w:left w:val="none" w:sz="0" w:space="0" w:color="auto"/>
            <w:bottom w:val="none" w:sz="0" w:space="0" w:color="auto"/>
            <w:right w:val="none" w:sz="0" w:space="0" w:color="auto"/>
          </w:divBdr>
          <w:divsChild>
            <w:div w:id="1727219763">
              <w:marLeft w:val="0"/>
              <w:marRight w:val="0"/>
              <w:marTop w:val="0"/>
              <w:marBottom w:val="0"/>
              <w:divBdr>
                <w:top w:val="none" w:sz="0" w:space="0" w:color="auto"/>
                <w:left w:val="none" w:sz="0" w:space="0" w:color="auto"/>
                <w:bottom w:val="none" w:sz="0" w:space="0" w:color="auto"/>
                <w:right w:val="none" w:sz="0" w:space="0" w:color="auto"/>
              </w:divBdr>
            </w:div>
          </w:divsChild>
        </w:div>
        <w:div w:id="1712487717">
          <w:marLeft w:val="0"/>
          <w:marRight w:val="0"/>
          <w:marTop w:val="0"/>
          <w:marBottom w:val="0"/>
          <w:divBdr>
            <w:top w:val="none" w:sz="0" w:space="0" w:color="auto"/>
            <w:left w:val="none" w:sz="0" w:space="0" w:color="auto"/>
            <w:bottom w:val="none" w:sz="0" w:space="0" w:color="auto"/>
            <w:right w:val="none" w:sz="0" w:space="0" w:color="auto"/>
          </w:divBdr>
        </w:div>
        <w:div w:id="359091927">
          <w:marLeft w:val="0"/>
          <w:marRight w:val="0"/>
          <w:marTop w:val="0"/>
          <w:marBottom w:val="0"/>
          <w:divBdr>
            <w:top w:val="none" w:sz="0" w:space="0" w:color="auto"/>
            <w:left w:val="none" w:sz="0" w:space="0" w:color="auto"/>
            <w:bottom w:val="none" w:sz="0" w:space="0" w:color="auto"/>
            <w:right w:val="none" w:sz="0" w:space="0" w:color="auto"/>
          </w:divBdr>
        </w:div>
        <w:div w:id="405807970">
          <w:marLeft w:val="0"/>
          <w:marRight w:val="0"/>
          <w:marTop w:val="0"/>
          <w:marBottom w:val="0"/>
          <w:divBdr>
            <w:top w:val="none" w:sz="0" w:space="0" w:color="auto"/>
            <w:left w:val="none" w:sz="0" w:space="0" w:color="auto"/>
            <w:bottom w:val="none" w:sz="0" w:space="0" w:color="auto"/>
            <w:right w:val="none" w:sz="0" w:space="0" w:color="auto"/>
          </w:divBdr>
          <w:divsChild>
            <w:div w:id="1070693946">
              <w:marLeft w:val="0"/>
              <w:marRight w:val="0"/>
              <w:marTop w:val="0"/>
              <w:marBottom w:val="0"/>
              <w:divBdr>
                <w:top w:val="none" w:sz="0" w:space="0" w:color="auto"/>
                <w:left w:val="none" w:sz="0" w:space="0" w:color="auto"/>
                <w:bottom w:val="none" w:sz="0" w:space="0" w:color="auto"/>
                <w:right w:val="none" w:sz="0" w:space="0" w:color="auto"/>
              </w:divBdr>
            </w:div>
          </w:divsChild>
        </w:div>
        <w:div w:id="1935240327">
          <w:marLeft w:val="0"/>
          <w:marRight w:val="0"/>
          <w:marTop w:val="0"/>
          <w:marBottom w:val="0"/>
          <w:divBdr>
            <w:top w:val="none" w:sz="0" w:space="0" w:color="auto"/>
            <w:left w:val="none" w:sz="0" w:space="0" w:color="auto"/>
            <w:bottom w:val="none" w:sz="0" w:space="0" w:color="auto"/>
            <w:right w:val="none" w:sz="0" w:space="0" w:color="auto"/>
          </w:divBdr>
        </w:div>
        <w:div w:id="616722436">
          <w:marLeft w:val="0"/>
          <w:marRight w:val="0"/>
          <w:marTop w:val="0"/>
          <w:marBottom w:val="0"/>
          <w:divBdr>
            <w:top w:val="none" w:sz="0" w:space="0" w:color="auto"/>
            <w:left w:val="none" w:sz="0" w:space="0" w:color="auto"/>
            <w:bottom w:val="none" w:sz="0" w:space="0" w:color="auto"/>
            <w:right w:val="none" w:sz="0" w:space="0" w:color="auto"/>
          </w:divBdr>
        </w:div>
        <w:div w:id="1659504099">
          <w:marLeft w:val="0"/>
          <w:marRight w:val="0"/>
          <w:marTop w:val="0"/>
          <w:marBottom w:val="0"/>
          <w:divBdr>
            <w:top w:val="none" w:sz="0" w:space="0" w:color="auto"/>
            <w:left w:val="none" w:sz="0" w:space="0" w:color="auto"/>
            <w:bottom w:val="none" w:sz="0" w:space="0" w:color="auto"/>
            <w:right w:val="none" w:sz="0" w:space="0" w:color="auto"/>
          </w:divBdr>
          <w:divsChild>
            <w:div w:id="1664238606">
              <w:marLeft w:val="0"/>
              <w:marRight w:val="0"/>
              <w:marTop w:val="0"/>
              <w:marBottom w:val="0"/>
              <w:divBdr>
                <w:top w:val="none" w:sz="0" w:space="0" w:color="auto"/>
                <w:left w:val="none" w:sz="0" w:space="0" w:color="auto"/>
                <w:bottom w:val="none" w:sz="0" w:space="0" w:color="auto"/>
                <w:right w:val="none" w:sz="0" w:space="0" w:color="auto"/>
              </w:divBdr>
            </w:div>
          </w:divsChild>
        </w:div>
        <w:div w:id="1580016349">
          <w:marLeft w:val="0"/>
          <w:marRight w:val="0"/>
          <w:marTop w:val="0"/>
          <w:marBottom w:val="0"/>
          <w:divBdr>
            <w:top w:val="none" w:sz="0" w:space="0" w:color="auto"/>
            <w:left w:val="none" w:sz="0" w:space="0" w:color="auto"/>
            <w:bottom w:val="none" w:sz="0" w:space="0" w:color="auto"/>
            <w:right w:val="none" w:sz="0" w:space="0" w:color="auto"/>
          </w:divBdr>
        </w:div>
        <w:div w:id="2111656692">
          <w:marLeft w:val="0"/>
          <w:marRight w:val="0"/>
          <w:marTop w:val="0"/>
          <w:marBottom w:val="0"/>
          <w:divBdr>
            <w:top w:val="none" w:sz="0" w:space="0" w:color="auto"/>
            <w:left w:val="none" w:sz="0" w:space="0" w:color="auto"/>
            <w:bottom w:val="none" w:sz="0" w:space="0" w:color="auto"/>
            <w:right w:val="none" w:sz="0" w:space="0" w:color="auto"/>
          </w:divBdr>
        </w:div>
        <w:div w:id="1306621447">
          <w:marLeft w:val="0"/>
          <w:marRight w:val="0"/>
          <w:marTop w:val="0"/>
          <w:marBottom w:val="0"/>
          <w:divBdr>
            <w:top w:val="none" w:sz="0" w:space="0" w:color="auto"/>
            <w:left w:val="none" w:sz="0" w:space="0" w:color="auto"/>
            <w:bottom w:val="none" w:sz="0" w:space="0" w:color="auto"/>
            <w:right w:val="none" w:sz="0" w:space="0" w:color="auto"/>
          </w:divBdr>
          <w:divsChild>
            <w:div w:id="1875917760">
              <w:marLeft w:val="0"/>
              <w:marRight w:val="0"/>
              <w:marTop w:val="0"/>
              <w:marBottom w:val="0"/>
              <w:divBdr>
                <w:top w:val="none" w:sz="0" w:space="0" w:color="auto"/>
                <w:left w:val="none" w:sz="0" w:space="0" w:color="auto"/>
                <w:bottom w:val="none" w:sz="0" w:space="0" w:color="auto"/>
                <w:right w:val="none" w:sz="0" w:space="0" w:color="auto"/>
              </w:divBdr>
            </w:div>
          </w:divsChild>
        </w:div>
        <w:div w:id="674454147">
          <w:marLeft w:val="0"/>
          <w:marRight w:val="0"/>
          <w:marTop w:val="0"/>
          <w:marBottom w:val="0"/>
          <w:divBdr>
            <w:top w:val="none" w:sz="0" w:space="0" w:color="auto"/>
            <w:left w:val="none" w:sz="0" w:space="0" w:color="auto"/>
            <w:bottom w:val="none" w:sz="0" w:space="0" w:color="auto"/>
            <w:right w:val="none" w:sz="0" w:space="0" w:color="auto"/>
          </w:divBdr>
        </w:div>
        <w:div w:id="1803958546">
          <w:marLeft w:val="0"/>
          <w:marRight w:val="0"/>
          <w:marTop w:val="0"/>
          <w:marBottom w:val="0"/>
          <w:divBdr>
            <w:top w:val="none" w:sz="0" w:space="0" w:color="auto"/>
            <w:left w:val="none" w:sz="0" w:space="0" w:color="auto"/>
            <w:bottom w:val="none" w:sz="0" w:space="0" w:color="auto"/>
            <w:right w:val="none" w:sz="0" w:space="0" w:color="auto"/>
          </w:divBdr>
        </w:div>
        <w:div w:id="2000498937">
          <w:marLeft w:val="0"/>
          <w:marRight w:val="0"/>
          <w:marTop w:val="0"/>
          <w:marBottom w:val="0"/>
          <w:divBdr>
            <w:top w:val="none" w:sz="0" w:space="0" w:color="auto"/>
            <w:left w:val="none" w:sz="0" w:space="0" w:color="auto"/>
            <w:bottom w:val="none" w:sz="0" w:space="0" w:color="auto"/>
            <w:right w:val="none" w:sz="0" w:space="0" w:color="auto"/>
          </w:divBdr>
          <w:divsChild>
            <w:div w:id="2144037395">
              <w:marLeft w:val="0"/>
              <w:marRight w:val="0"/>
              <w:marTop w:val="0"/>
              <w:marBottom w:val="0"/>
              <w:divBdr>
                <w:top w:val="none" w:sz="0" w:space="0" w:color="auto"/>
                <w:left w:val="none" w:sz="0" w:space="0" w:color="auto"/>
                <w:bottom w:val="none" w:sz="0" w:space="0" w:color="auto"/>
                <w:right w:val="none" w:sz="0" w:space="0" w:color="auto"/>
              </w:divBdr>
            </w:div>
          </w:divsChild>
        </w:div>
        <w:div w:id="1726098802">
          <w:marLeft w:val="0"/>
          <w:marRight w:val="0"/>
          <w:marTop w:val="0"/>
          <w:marBottom w:val="0"/>
          <w:divBdr>
            <w:top w:val="none" w:sz="0" w:space="0" w:color="auto"/>
            <w:left w:val="none" w:sz="0" w:space="0" w:color="auto"/>
            <w:bottom w:val="none" w:sz="0" w:space="0" w:color="auto"/>
            <w:right w:val="none" w:sz="0" w:space="0" w:color="auto"/>
          </w:divBdr>
        </w:div>
        <w:div w:id="346517842">
          <w:marLeft w:val="0"/>
          <w:marRight w:val="0"/>
          <w:marTop w:val="0"/>
          <w:marBottom w:val="0"/>
          <w:divBdr>
            <w:top w:val="none" w:sz="0" w:space="0" w:color="auto"/>
            <w:left w:val="none" w:sz="0" w:space="0" w:color="auto"/>
            <w:bottom w:val="none" w:sz="0" w:space="0" w:color="auto"/>
            <w:right w:val="none" w:sz="0" w:space="0" w:color="auto"/>
          </w:divBdr>
        </w:div>
        <w:div w:id="1456827347">
          <w:marLeft w:val="0"/>
          <w:marRight w:val="0"/>
          <w:marTop w:val="0"/>
          <w:marBottom w:val="0"/>
          <w:divBdr>
            <w:top w:val="none" w:sz="0" w:space="0" w:color="auto"/>
            <w:left w:val="none" w:sz="0" w:space="0" w:color="auto"/>
            <w:bottom w:val="none" w:sz="0" w:space="0" w:color="auto"/>
            <w:right w:val="none" w:sz="0" w:space="0" w:color="auto"/>
          </w:divBdr>
          <w:divsChild>
            <w:div w:id="1968001335">
              <w:marLeft w:val="0"/>
              <w:marRight w:val="0"/>
              <w:marTop w:val="0"/>
              <w:marBottom w:val="0"/>
              <w:divBdr>
                <w:top w:val="none" w:sz="0" w:space="0" w:color="auto"/>
                <w:left w:val="none" w:sz="0" w:space="0" w:color="auto"/>
                <w:bottom w:val="none" w:sz="0" w:space="0" w:color="auto"/>
                <w:right w:val="none" w:sz="0" w:space="0" w:color="auto"/>
              </w:divBdr>
            </w:div>
          </w:divsChild>
        </w:div>
        <w:div w:id="629750296">
          <w:marLeft w:val="0"/>
          <w:marRight w:val="0"/>
          <w:marTop w:val="0"/>
          <w:marBottom w:val="0"/>
          <w:divBdr>
            <w:top w:val="none" w:sz="0" w:space="0" w:color="auto"/>
            <w:left w:val="none" w:sz="0" w:space="0" w:color="auto"/>
            <w:bottom w:val="none" w:sz="0" w:space="0" w:color="auto"/>
            <w:right w:val="none" w:sz="0" w:space="0" w:color="auto"/>
          </w:divBdr>
        </w:div>
        <w:div w:id="1007442355">
          <w:marLeft w:val="0"/>
          <w:marRight w:val="0"/>
          <w:marTop w:val="0"/>
          <w:marBottom w:val="0"/>
          <w:divBdr>
            <w:top w:val="none" w:sz="0" w:space="0" w:color="auto"/>
            <w:left w:val="none" w:sz="0" w:space="0" w:color="auto"/>
            <w:bottom w:val="none" w:sz="0" w:space="0" w:color="auto"/>
            <w:right w:val="none" w:sz="0" w:space="0" w:color="auto"/>
          </w:divBdr>
        </w:div>
        <w:div w:id="1298411421">
          <w:marLeft w:val="0"/>
          <w:marRight w:val="0"/>
          <w:marTop w:val="0"/>
          <w:marBottom w:val="0"/>
          <w:divBdr>
            <w:top w:val="none" w:sz="0" w:space="0" w:color="auto"/>
            <w:left w:val="none" w:sz="0" w:space="0" w:color="auto"/>
            <w:bottom w:val="none" w:sz="0" w:space="0" w:color="auto"/>
            <w:right w:val="none" w:sz="0" w:space="0" w:color="auto"/>
          </w:divBdr>
          <w:divsChild>
            <w:div w:id="975794416">
              <w:marLeft w:val="0"/>
              <w:marRight w:val="0"/>
              <w:marTop w:val="0"/>
              <w:marBottom w:val="0"/>
              <w:divBdr>
                <w:top w:val="none" w:sz="0" w:space="0" w:color="auto"/>
                <w:left w:val="none" w:sz="0" w:space="0" w:color="auto"/>
                <w:bottom w:val="none" w:sz="0" w:space="0" w:color="auto"/>
                <w:right w:val="none" w:sz="0" w:space="0" w:color="auto"/>
              </w:divBdr>
            </w:div>
          </w:divsChild>
        </w:div>
        <w:div w:id="804355307">
          <w:marLeft w:val="0"/>
          <w:marRight w:val="0"/>
          <w:marTop w:val="0"/>
          <w:marBottom w:val="0"/>
          <w:divBdr>
            <w:top w:val="none" w:sz="0" w:space="0" w:color="auto"/>
            <w:left w:val="none" w:sz="0" w:space="0" w:color="auto"/>
            <w:bottom w:val="none" w:sz="0" w:space="0" w:color="auto"/>
            <w:right w:val="none" w:sz="0" w:space="0" w:color="auto"/>
          </w:divBdr>
        </w:div>
        <w:div w:id="2005543975">
          <w:marLeft w:val="0"/>
          <w:marRight w:val="0"/>
          <w:marTop w:val="0"/>
          <w:marBottom w:val="0"/>
          <w:divBdr>
            <w:top w:val="none" w:sz="0" w:space="0" w:color="auto"/>
            <w:left w:val="none" w:sz="0" w:space="0" w:color="auto"/>
            <w:bottom w:val="none" w:sz="0" w:space="0" w:color="auto"/>
            <w:right w:val="none" w:sz="0" w:space="0" w:color="auto"/>
          </w:divBdr>
        </w:div>
        <w:div w:id="736244989">
          <w:marLeft w:val="0"/>
          <w:marRight w:val="0"/>
          <w:marTop w:val="0"/>
          <w:marBottom w:val="0"/>
          <w:divBdr>
            <w:top w:val="none" w:sz="0" w:space="0" w:color="auto"/>
            <w:left w:val="none" w:sz="0" w:space="0" w:color="auto"/>
            <w:bottom w:val="none" w:sz="0" w:space="0" w:color="auto"/>
            <w:right w:val="none" w:sz="0" w:space="0" w:color="auto"/>
          </w:divBdr>
          <w:divsChild>
            <w:div w:id="1569726367">
              <w:marLeft w:val="0"/>
              <w:marRight w:val="0"/>
              <w:marTop w:val="0"/>
              <w:marBottom w:val="0"/>
              <w:divBdr>
                <w:top w:val="none" w:sz="0" w:space="0" w:color="auto"/>
                <w:left w:val="none" w:sz="0" w:space="0" w:color="auto"/>
                <w:bottom w:val="none" w:sz="0" w:space="0" w:color="auto"/>
                <w:right w:val="none" w:sz="0" w:space="0" w:color="auto"/>
              </w:divBdr>
            </w:div>
          </w:divsChild>
        </w:div>
        <w:div w:id="1520504212">
          <w:marLeft w:val="0"/>
          <w:marRight w:val="0"/>
          <w:marTop w:val="0"/>
          <w:marBottom w:val="0"/>
          <w:divBdr>
            <w:top w:val="none" w:sz="0" w:space="0" w:color="auto"/>
            <w:left w:val="none" w:sz="0" w:space="0" w:color="auto"/>
            <w:bottom w:val="none" w:sz="0" w:space="0" w:color="auto"/>
            <w:right w:val="none" w:sz="0" w:space="0" w:color="auto"/>
          </w:divBdr>
        </w:div>
        <w:div w:id="2080210002">
          <w:marLeft w:val="0"/>
          <w:marRight w:val="0"/>
          <w:marTop w:val="0"/>
          <w:marBottom w:val="0"/>
          <w:divBdr>
            <w:top w:val="none" w:sz="0" w:space="0" w:color="auto"/>
            <w:left w:val="none" w:sz="0" w:space="0" w:color="auto"/>
            <w:bottom w:val="none" w:sz="0" w:space="0" w:color="auto"/>
            <w:right w:val="none" w:sz="0" w:space="0" w:color="auto"/>
          </w:divBdr>
        </w:div>
        <w:div w:id="2081244605">
          <w:marLeft w:val="0"/>
          <w:marRight w:val="0"/>
          <w:marTop w:val="0"/>
          <w:marBottom w:val="0"/>
          <w:divBdr>
            <w:top w:val="none" w:sz="0" w:space="0" w:color="auto"/>
            <w:left w:val="none" w:sz="0" w:space="0" w:color="auto"/>
            <w:bottom w:val="none" w:sz="0" w:space="0" w:color="auto"/>
            <w:right w:val="none" w:sz="0" w:space="0" w:color="auto"/>
          </w:divBdr>
        </w:div>
        <w:div w:id="318505095">
          <w:marLeft w:val="0"/>
          <w:marRight w:val="0"/>
          <w:marTop w:val="0"/>
          <w:marBottom w:val="0"/>
          <w:divBdr>
            <w:top w:val="none" w:sz="0" w:space="0" w:color="auto"/>
            <w:left w:val="none" w:sz="0" w:space="0" w:color="auto"/>
            <w:bottom w:val="none" w:sz="0" w:space="0" w:color="auto"/>
            <w:right w:val="none" w:sz="0" w:space="0" w:color="auto"/>
          </w:divBdr>
        </w:div>
        <w:div w:id="1420057083">
          <w:marLeft w:val="0"/>
          <w:marRight w:val="0"/>
          <w:marTop w:val="0"/>
          <w:marBottom w:val="0"/>
          <w:divBdr>
            <w:top w:val="none" w:sz="0" w:space="0" w:color="auto"/>
            <w:left w:val="none" w:sz="0" w:space="0" w:color="auto"/>
            <w:bottom w:val="none" w:sz="0" w:space="0" w:color="auto"/>
            <w:right w:val="none" w:sz="0" w:space="0" w:color="auto"/>
          </w:divBdr>
          <w:divsChild>
            <w:div w:id="878471034">
              <w:marLeft w:val="0"/>
              <w:marRight w:val="0"/>
              <w:marTop w:val="0"/>
              <w:marBottom w:val="0"/>
              <w:divBdr>
                <w:top w:val="none" w:sz="0" w:space="0" w:color="auto"/>
                <w:left w:val="none" w:sz="0" w:space="0" w:color="auto"/>
                <w:bottom w:val="none" w:sz="0" w:space="0" w:color="auto"/>
                <w:right w:val="none" w:sz="0" w:space="0" w:color="auto"/>
              </w:divBdr>
            </w:div>
          </w:divsChild>
        </w:div>
        <w:div w:id="178660393">
          <w:marLeft w:val="0"/>
          <w:marRight w:val="0"/>
          <w:marTop w:val="0"/>
          <w:marBottom w:val="0"/>
          <w:divBdr>
            <w:top w:val="none" w:sz="0" w:space="0" w:color="auto"/>
            <w:left w:val="none" w:sz="0" w:space="0" w:color="auto"/>
            <w:bottom w:val="none" w:sz="0" w:space="0" w:color="auto"/>
            <w:right w:val="none" w:sz="0" w:space="0" w:color="auto"/>
          </w:divBdr>
        </w:div>
        <w:div w:id="1514882186">
          <w:marLeft w:val="0"/>
          <w:marRight w:val="0"/>
          <w:marTop w:val="0"/>
          <w:marBottom w:val="0"/>
          <w:divBdr>
            <w:top w:val="none" w:sz="0" w:space="0" w:color="auto"/>
            <w:left w:val="none" w:sz="0" w:space="0" w:color="auto"/>
            <w:bottom w:val="none" w:sz="0" w:space="0" w:color="auto"/>
            <w:right w:val="none" w:sz="0" w:space="0" w:color="auto"/>
          </w:divBdr>
        </w:div>
        <w:div w:id="382677554">
          <w:marLeft w:val="0"/>
          <w:marRight w:val="0"/>
          <w:marTop w:val="0"/>
          <w:marBottom w:val="0"/>
          <w:divBdr>
            <w:top w:val="none" w:sz="0" w:space="0" w:color="auto"/>
            <w:left w:val="none" w:sz="0" w:space="0" w:color="auto"/>
            <w:bottom w:val="none" w:sz="0" w:space="0" w:color="auto"/>
            <w:right w:val="none" w:sz="0" w:space="0" w:color="auto"/>
          </w:divBdr>
          <w:divsChild>
            <w:div w:id="113714082">
              <w:marLeft w:val="0"/>
              <w:marRight w:val="0"/>
              <w:marTop w:val="0"/>
              <w:marBottom w:val="0"/>
              <w:divBdr>
                <w:top w:val="none" w:sz="0" w:space="0" w:color="auto"/>
                <w:left w:val="none" w:sz="0" w:space="0" w:color="auto"/>
                <w:bottom w:val="none" w:sz="0" w:space="0" w:color="auto"/>
                <w:right w:val="none" w:sz="0" w:space="0" w:color="auto"/>
              </w:divBdr>
            </w:div>
          </w:divsChild>
        </w:div>
        <w:div w:id="1352222413">
          <w:marLeft w:val="0"/>
          <w:marRight w:val="0"/>
          <w:marTop w:val="0"/>
          <w:marBottom w:val="0"/>
          <w:divBdr>
            <w:top w:val="none" w:sz="0" w:space="0" w:color="auto"/>
            <w:left w:val="none" w:sz="0" w:space="0" w:color="auto"/>
            <w:bottom w:val="none" w:sz="0" w:space="0" w:color="auto"/>
            <w:right w:val="none" w:sz="0" w:space="0" w:color="auto"/>
          </w:divBdr>
        </w:div>
        <w:div w:id="1437598710">
          <w:marLeft w:val="0"/>
          <w:marRight w:val="0"/>
          <w:marTop w:val="0"/>
          <w:marBottom w:val="0"/>
          <w:divBdr>
            <w:top w:val="none" w:sz="0" w:space="0" w:color="auto"/>
            <w:left w:val="none" w:sz="0" w:space="0" w:color="auto"/>
            <w:bottom w:val="none" w:sz="0" w:space="0" w:color="auto"/>
            <w:right w:val="none" w:sz="0" w:space="0" w:color="auto"/>
          </w:divBdr>
        </w:div>
        <w:div w:id="558172021">
          <w:marLeft w:val="0"/>
          <w:marRight w:val="0"/>
          <w:marTop w:val="0"/>
          <w:marBottom w:val="0"/>
          <w:divBdr>
            <w:top w:val="none" w:sz="0" w:space="0" w:color="auto"/>
            <w:left w:val="none" w:sz="0" w:space="0" w:color="auto"/>
            <w:bottom w:val="none" w:sz="0" w:space="0" w:color="auto"/>
            <w:right w:val="none" w:sz="0" w:space="0" w:color="auto"/>
          </w:divBdr>
          <w:divsChild>
            <w:div w:id="1908418023">
              <w:marLeft w:val="0"/>
              <w:marRight w:val="0"/>
              <w:marTop w:val="0"/>
              <w:marBottom w:val="0"/>
              <w:divBdr>
                <w:top w:val="none" w:sz="0" w:space="0" w:color="auto"/>
                <w:left w:val="none" w:sz="0" w:space="0" w:color="auto"/>
                <w:bottom w:val="none" w:sz="0" w:space="0" w:color="auto"/>
                <w:right w:val="none" w:sz="0" w:space="0" w:color="auto"/>
              </w:divBdr>
            </w:div>
          </w:divsChild>
        </w:div>
        <w:div w:id="658382730">
          <w:marLeft w:val="0"/>
          <w:marRight w:val="0"/>
          <w:marTop w:val="0"/>
          <w:marBottom w:val="0"/>
          <w:divBdr>
            <w:top w:val="none" w:sz="0" w:space="0" w:color="auto"/>
            <w:left w:val="none" w:sz="0" w:space="0" w:color="auto"/>
            <w:bottom w:val="none" w:sz="0" w:space="0" w:color="auto"/>
            <w:right w:val="none" w:sz="0" w:space="0" w:color="auto"/>
          </w:divBdr>
        </w:div>
        <w:div w:id="1870992768">
          <w:marLeft w:val="0"/>
          <w:marRight w:val="0"/>
          <w:marTop w:val="0"/>
          <w:marBottom w:val="0"/>
          <w:divBdr>
            <w:top w:val="none" w:sz="0" w:space="0" w:color="auto"/>
            <w:left w:val="none" w:sz="0" w:space="0" w:color="auto"/>
            <w:bottom w:val="none" w:sz="0" w:space="0" w:color="auto"/>
            <w:right w:val="none" w:sz="0" w:space="0" w:color="auto"/>
          </w:divBdr>
        </w:div>
        <w:div w:id="1181436719">
          <w:marLeft w:val="0"/>
          <w:marRight w:val="0"/>
          <w:marTop w:val="0"/>
          <w:marBottom w:val="0"/>
          <w:divBdr>
            <w:top w:val="none" w:sz="0" w:space="0" w:color="auto"/>
            <w:left w:val="none" w:sz="0" w:space="0" w:color="auto"/>
            <w:bottom w:val="none" w:sz="0" w:space="0" w:color="auto"/>
            <w:right w:val="none" w:sz="0" w:space="0" w:color="auto"/>
          </w:divBdr>
          <w:divsChild>
            <w:div w:id="1398936359">
              <w:marLeft w:val="0"/>
              <w:marRight w:val="0"/>
              <w:marTop w:val="0"/>
              <w:marBottom w:val="0"/>
              <w:divBdr>
                <w:top w:val="none" w:sz="0" w:space="0" w:color="auto"/>
                <w:left w:val="none" w:sz="0" w:space="0" w:color="auto"/>
                <w:bottom w:val="none" w:sz="0" w:space="0" w:color="auto"/>
                <w:right w:val="none" w:sz="0" w:space="0" w:color="auto"/>
              </w:divBdr>
            </w:div>
          </w:divsChild>
        </w:div>
        <w:div w:id="1926185997">
          <w:marLeft w:val="0"/>
          <w:marRight w:val="0"/>
          <w:marTop w:val="0"/>
          <w:marBottom w:val="0"/>
          <w:divBdr>
            <w:top w:val="none" w:sz="0" w:space="0" w:color="auto"/>
            <w:left w:val="none" w:sz="0" w:space="0" w:color="auto"/>
            <w:bottom w:val="none" w:sz="0" w:space="0" w:color="auto"/>
            <w:right w:val="none" w:sz="0" w:space="0" w:color="auto"/>
          </w:divBdr>
        </w:div>
        <w:div w:id="1007441817">
          <w:marLeft w:val="0"/>
          <w:marRight w:val="0"/>
          <w:marTop w:val="0"/>
          <w:marBottom w:val="0"/>
          <w:divBdr>
            <w:top w:val="none" w:sz="0" w:space="0" w:color="auto"/>
            <w:left w:val="none" w:sz="0" w:space="0" w:color="auto"/>
            <w:bottom w:val="none" w:sz="0" w:space="0" w:color="auto"/>
            <w:right w:val="none" w:sz="0" w:space="0" w:color="auto"/>
          </w:divBdr>
        </w:div>
        <w:div w:id="1955862961">
          <w:marLeft w:val="0"/>
          <w:marRight w:val="0"/>
          <w:marTop w:val="0"/>
          <w:marBottom w:val="0"/>
          <w:divBdr>
            <w:top w:val="none" w:sz="0" w:space="0" w:color="auto"/>
            <w:left w:val="none" w:sz="0" w:space="0" w:color="auto"/>
            <w:bottom w:val="none" w:sz="0" w:space="0" w:color="auto"/>
            <w:right w:val="none" w:sz="0" w:space="0" w:color="auto"/>
          </w:divBdr>
          <w:divsChild>
            <w:div w:id="465198019">
              <w:marLeft w:val="0"/>
              <w:marRight w:val="0"/>
              <w:marTop w:val="0"/>
              <w:marBottom w:val="0"/>
              <w:divBdr>
                <w:top w:val="none" w:sz="0" w:space="0" w:color="auto"/>
                <w:left w:val="none" w:sz="0" w:space="0" w:color="auto"/>
                <w:bottom w:val="none" w:sz="0" w:space="0" w:color="auto"/>
                <w:right w:val="none" w:sz="0" w:space="0" w:color="auto"/>
              </w:divBdr>
            </w:div>
          </w:divsChild>
        </w:div>
        <w:div w:id="453132230">
          <w:marLeft w:val="0"/>
          <w:marRight w:val="0"/>
          <w:marTop w:val="0"/>
          <w:marBottom w:val="0"/>
          <w:divBdr>
            <w:top w:val="none" w:sz="0" w:space="0" w:color="auto"/>
            <w:left w:val="none" w:sz="0" w:space="0" w:color="auto"/>
            <w:bottom w:val="none" w:sz="0" w:space="0" w:color="auto"/>
            <w:right w:val="none" w:sz="0" w:space="0" w:color="auto"/>
          </w:divBdr>
        </w:div>
        <w:div w:id="495414217">
          <w:marLeft w:val="0"/>
          <w:marRight w:val="0"/>
          <w:marTop w:val="0"/>
          <w:marBottom w:val="0"/>
          <w:divBdr>
            <w:top w:val="none" w:sz="0" w:space="0" w:color="auto"/>
            <w:left w:val="none" w:sz="0" w:space="0" w:color="auto"/>
            <w:bottom w:val="none" w:sz="0" w:space="0" w:color="auto"/>
            <w:right w:val="none" w:sz="0" w:space="0" w:color="auto"/>
          </w:divBdr>
        </w:div>
        <w:div w:id="299311447">
          <w:marLeft w:val="0"/>
          <w:marRight w:val="0"/>
          <w:marTop w:val="0"/>
          <w:marBottom w:val="0"/>
          <w:divBdr>
            <w:top w:val="none" w:sz="0" w:space="0" w:color="auto"/>
            <w:left w:val="none" w:sz="0" w:space="0" w:color="auto"/>
            <w:bottom w:val="none" w:sz="0" w:space="0" w:color="auto"/>
            <w:right w:val="none" w:sz="0" w:space="0" w:color="auto"/>
          </w:divBdr>
          <w:divsChild>
            <w:div w:id="912786659">
              <w:marLeft w:val="0"/>
              <w:marRight w:val="0"/>
              <w:marTop w:val="0"/>
              <w:marBottom w:val="0"/>
              <w:divBdr>
                <w:top w:val="none" w:sz="0" w:space="0" w:color="auto"/>
                <w:left w:val="none" w:sz="0" w:space="0" w:color="auto"/>
                <w:bottom w:val="none" w:sz="0" w:space="0" w:color="auto"/>
                <w:right w:val="none" w:sz="0" w:space="0" w:color="auto"/>
              </w:divBdr>
            </w:div>
          </w:divsChild>
        </w:div>
        <w:div w:id="369577496">
          <w:marLeft w:val="0"/>
          <w:marRight w:val="0"/>
          <w:marTop w:val="0"/>
          <w:marBottom w:val="0"/>
          <w:divBdr>
            <w:top w:val="none" w:sz="0" w:space="0" w:color="auto"/>
            <w:left w:val="none" w:sz="0" w:space="0" w:color="auto"/>
            <w:bottom w:val="none" w:sz="0" w:space="0" w:color="auto"/>
            <w:right w:val="none" w:sz="0" w:space="0" w:color="auto"/>
          </w:divBdr>
        </w:div>
        <w:div w:id="134181548">
          <w:marLeft w:val="0"/>
          <w:marRight w:val="0"/>
          <w:marTop w:val="0"/>
          <w:marBottom w:val="0"/>
          <w:divBdr>
            <w:top w:val="none" w:sz="0" w:space="0" w:color="auto"/>
            <w:left w:val="none" w:sz="0" w:space="0" w:color="auto"/>
            <w:bottom w:val="none" w:sz="0" w:space="0" w:color="auto"/>
            <w:right w:val="none" w:sz="0" w:space="0" w:color="auto"/>
          </w:divBdr>
        </w:div>
        <w:div w:id="1586918108">
          <w:marLeft w:val="0"/>
          <w:marRight w:val="0"/>
          <w:marTop w:val="0"/>
          <w:marBottom w:val="0"/>
          <w:divBdr>
            <w:top w:val="none" w:sz="0" w:space="0" w:color="auto"/>
            <w:left w:val="none" w:sz="0" w:space="0" w:color="auto"/>
            <w:bottom w:val="none" w:sz="0" w:space="0" w:color="auto"/>
            <w:right w:val="none" w:sz="0" w:space="0" w:color="auto"/>
          </w:divBdr>
          <w:divsChild>
            <w:div w:id="1814635021">
              <w:marLeft w:val="0"/>
              <w:marRight w:val="0"/>
              <w:marTop w:val="0"/>
              <w:marBottom w:val="0"/>
              <w:divBdr>
                <w:top w:val="none" w:sz="0" w:space="0" w:color="auto"/>
                <w:left w:val="none" w:sz="0" w:space="0" w:color="auto"/>
                <w:bottom w:val="none" w:sz="0" w:space="0" w:color="auto"/>
                <w:right w:val="none" w:sz="0" w:space="0" w:color="auto"/>
              </w:divBdr>
            </w:div>
          </w:divsChild>
        </w:div>
        <w:div w:id="377239672">
          <w:marLeft w:val="0"/>
          <w:marRight w:val="0"/>
          <w:marTop w:val="0"/>
          <w:marBottom w:val="0"/>
          <w:divBdr>
            <w:top w:val="none" w:sz="0" w:space="0" w:color="auto"/>
            <w:left w:val="none" w:sz="0" w:space="0" w:color="auto"/>
            <w:bottom w:val="none" w:sz="0" w:space="0" w:color="auto"/>
            <w:right w:val="none" w:sz="0" w:space="0" w:color="auto"/>
          </w:divBdr>
        </w:div>
        <w:div w:id="2127235812">
          <w:marLeft w:val="0"/>
          <w:marRight w:val="0"/>
          <w:marTop w:val="0"/>
          <w:marBottom w:val="0"/>
          <w:divBdr>
            <w:top w:val="none" w:sz="0" w:space="0" w:color="auto"/>
            <w:left w:val="none" w:sz="0" w:space="0" w:color="auto"/>
            <w:bottom w:val="none" w:sz="0" w:space="0" w:color="auto"/>
            <w:right w:val="none" w:sz="0" w:space="0" w:color="auto"/>
          </w:divBdr>
        </w:div>
        <w:div w:id="917713815">
          <w:marLeft w:val="0"/>
          <w:marRight w:val="0"/>
          <w:marTop w:val="0"/>
          <w:marBottom w:val="0"/>
          <w:divBdr>
            <w:top w:val="none" w:sz="0" w:space="0" w:color="auto"/>
            <w:left w:val="none" w:sz="0" w:space="0" w:color="auto"/>
            <w:bottom w:val="none" w:sz="0" w:space="0" w:color="auto"/>
            <w:right w:val="none" w:sz="0" w:space="0" w:color="auto"/>
          </w:divBdr>
          <w:divsChild>
            <w:div w:id="1375693773">
              <w:marLeft w:val="0"/>
              <w:marRight w:val="0"/>
              <w:marTop w:val="0"/>
              <w:marBottom w:val="0"/>
              <w:divBdr>
                <w:top w:val="none" w:sz="0" w:space="0" w:color="auto"/>
                <w:left w:val="none" w:sz="0" w:space="0" w:color="auto"/>
                <w:bottom w:val="none" w:sz="0" w:space="0" w:color="auto"/>
                <w:right w:val="none" w:sz="0" w:space="0" w:color="auto"/>
              </w:divBdr>
            </w:div>
          </w:divsChild>
        </w:div>
        <w:div w:id="1120222759">
          <w:marLeft w:val="0"/>
          <w:marRight w:val="0"/>
          <w:marTop w:val="0"/>
          <w:marBottom w:val="0"/>
          <w:divBdr>
            <w:top w:val="none" w:sz="0" w:space="0" w:color="auto"/>
            <w:left w:val="none" w:sz="0" w:space="0" w:color="auto"/>
            <w:bottom w:val="none" w:sz="0" w:space="0" w:color="auto"/>
            <w:right w:val="none" w:sz="0" w:space="0" w:color="auto"/>
          </w:divBdr>
        </w:div>
        <w:div w:id="1904289373">
          <w:marLeft w:val="0"/>
          <w:marRight w:val="0"/>
          <w:marTop w:val="0"/>
          <w:marBottom w:val="0"/>
          <w:divBdr>
            <w:top w:val="none" w:sz="0" w:space="0" w:color="auto"/>
            <w:left w:val="none" w:sz="0" w:space="0" w:color="auto"/>
            <w:bottom w:val="none" w:sz="0" w:space="0" w:color="auto"/>
            <w:right w:val="none" w:sz="0" w:space="0" w:color="auto"/>
          </w:divBdr>
        </w:div>
        <w:div w:id="542795448">
          <w:marLeft w:val="0"/>
          <w:marRight w:val="0"/>
          <w:marTop w:val="0"/>
          <w:marBottom w:val="0"/>
          <w:divBdr>
            <w:top w:val="none" w:sz="0" w:space="0" w:color="auto"/>
            <w:left w:val="none" w:sz="0" w:space="0" w:color="auto"/>
            <w:bottom w:val="none" w:sz="0" w:space="0" w:color="auto"/>
            <w:right w:val="none" w:sz="0" w:space="0" w:color="auto"/>
          </w:divBdr>
          <w:divsChild>
            <w:div w:id="1306199321">
              <w:marLeft w:val="0"/>
              <w:marRight w:val="0"/>
              <w:marTop w:val="0"/>
              <w:marBottom w:val="0"/>
              <w:divBdr>
                <w:top w:val="none" w:sz="0" w:space="0" w:color="auto"/>
                <w:left w:val="none" w:sz="0" w:space="0" w:color="auto"/>
                <w:bottom w:val="none" w:sz="0" w:space="0" w:color="auto"/>
                <w:right w:val="none" w:sz="0" w:space="0" w:color="auto"/>
              </w:divBdr>
            </w:div>
          </w:divsChild>
        </w:div>
        <w:div w:id="1485242907">
          <w:marLeft w:val="0"/>
          <w:marRight w:val="0"/>
          <w:marTop w:val="0"/>
          <w:marBottom w:val="0"/>
          <w:divBdr>
            <w:top w:val="none" w:sz="0" w:space="0" w:color="auto"/>
            <w:left w:val="none" w:sz="0" w:space="0" w:color="auto"/>
            <w:bottom w:val="none" w:sz="0" w:space="0" w:color="auto"/>
            <w:right w:val="none" w:sz="0" w:space="0" w:color="auto"/>
          </w:divBdr>
        </w:div>
        <w:div w:id="1610309055">
          <w:marLeft w:val="0"/>
          <w:marRight w:val="0"/>
          <w:marTop w:val="0"/>
          <w:marBottom w:val="0"/>
          <w:divBdr>
            <w:top w:val="none" w:sz="0" w:space="0" w:color="auto"/>
            <w:left w:val="none" w:sz="0" w:space="0" w:color="auto"/>
            <w:bottom w:val="none" w:sz="0" w:space="0" w:color="auto"/>
            <w:right w:val="none" w:sz="0" w:space="0" w:color="auto"/>
          </w:divBdr>
        </w:div>
        <w:div w:id="382216734">
          <w:marLeft w:val="0"/>
          <w:marRight w:val="0"/>
          <w:marTop w:val="0"/>
          <w:marBottom w:val="0"/>
          <w:divBdr>
            <w:top w:val="none" w:sz="0" w:space="0" w:color="auto"/>
            <w:left w:val="none" w:sz="0" w:space="0" w:color="auto"/>
            <w:bottom w:val="none" w:sz="0" w:space="0" w:color="auto"/>
            <w:right w:val="none" w:sz="0" w:space="0" w:color="auto"/>
          </w:divBdr>
          <w:divsChild>
            <w:div w:id="320931180">
              <w:marLeft w:val="0"/>
              <w:marRight w:val="0"/>
              <w:marTop w:val="0"/>
              <w:marBottom w:val="0"/>
              <w:divBdr>
                <w:top w:val="none" w:sz="0" w:space="0" w:color="auto"/>
                <w:left w:val="none" w:sz="0" w:space="0" w:color="auto"/>
                <w:bottom w:val="none" w:sz="0" w:space="0" w:color="auto"/>
                <w:right w:val="none" w:sz="0" w:space="0" w:color="auto"/>
              </w:divBdr>
            </w:div>
          </w:divsChild>
        </w:div>
        <w:div w:id="1357393223">
          <w:marLeft w:val="0"/>
          <w:marRight w:val="0"/>
          <w:marTop w:val="0"/>
          <w:marBottom w:val="0"/>
          <w:divBdr>
            <w:top w:val="none" w:sz="0" w:space="0" w:color="auto"/>
            <w:left w:val="none" w:sz="0" w:space="0" w:color="auto"/>
            <w:bottom w:val="none" w:sz="0" w:space="0" w:color="auto"/>
            <w:right w:val="none" w:sz="0" w:space="0" w:color="auto"/>
          </w:divBdr>
        </w:div>
        <w:div w:id="457722921">
          <w:marLeft w:val="0"/>
          <w:marRight w:val="0"/>
          <w:marTop w:val="0"/>
          <w:marBottom w:val="0"/>
          <w:divBdr>
            <w:top w:val="none" w:sz="0" w:space="0" w:color="auto"/>
            <w:left w:val="none" w:sz="0" w:space="0" w:color="auto"/>
            <w:bottom w:val="none" w:sz="0" w:space="0" w:color="auto"/>
            <w:right w:val="none" w:sz="0" w:space="0" w:color="auto"/>
          </w:divBdr>
        </w:div>
        <w:div w:id="2141653485">
          <w:marLeft w:val="0"/>
          <w:marRight w:val="0"/>
          <w:marTop w:val="0"/>
          <w:marBottom w:val="0"/>
          <w:divBdr>
            <w:top w:val="none" w:sz="0" w:space="0" w:color="auto"/>
            <w:left w:val="none" w:sz="0" w:space="0" w:color="auto"/>
            <w:bottom w:val="none" w:sz="0" w:space="0" w:color="auto"/>
            <w:right w:val="none" w:sz="0" w:space="0" w:color="auto"/>
          </w:divBdr>
          <w:divsChild>
            <w:div w:id="1725519588">
              <w:marLeft w:val="0"/>
              <w:marRight w:val="0"/>
              <w:marTop w:val="0"/>
              <w:marBottom w:val="0"/>
              <w:divBdr>
                <w:top w:val="none" w:sz="0" w:space="0" w:color="auto"/>
                <w:left w:val="none" w:sz="0" w:space="0" w:color="auto"/>
                <w:bottom w:val="none" w:sz="0" w:space="0" w:color="auto"/>
                <w:right w:val="none" w:sz="0" w:space="0" w:color="auto"/>
              </w:divBdr>
            </w:div>
          </w:divsChild>
        </w:div>
        <w:div w:id="1133907426">
          <w:marLeft w:val="0"/>
          <w:marRight w:val="0"/>
          <w:marTop w:val="0"/>
          <w:marBottom w:val="0"/>
          <w:divBdr>
            <w:top w:val="none" w:sz="0" w:space="0" w:color="auto"/>
            <w:left w:val="none" w:sz="0" w:space="0" w:color="auto"/>
            <w:bottom w:val="none" w:sz="0" w:space="0" w:color="auto"/>
            <w:right w:val="none" w:sz="0" w:space="0" w:color="auto"/>
          </w:divBdr>
        </w:div>
        <w:div w:id="686834135">
          <w:marLeft w:val="0"/>
          <w:marRight w:val="0"/>
          <w:marTop w:val="0"/>
          <w:marBottom w:val="0"/>
          <w:divBdr>
            <w:top w:val="none" w:sz="0" w:space="0" w:color="auto"/>
            <w:left w:val="none" w:sz="0" w:space="0" w:color="auto"/>
            <w:bottom w:val="none" w:sz="0" w:space="0" w:color="auto"/>
            <w:right w:val="none" w:sz="0" w:space="0" w:color="auto"/>
          </w:divBdr>
        </w:div>
        <w:div w:id="1162351546">
          <w:marLeft w:val="0"/>
          <w:marRight w:val="0"/>
          <w:marTop w:val="0"/>
          <w:marBottom w:val="0"/>
          <w:divBdr>
            <w:top w:val="none" w:sz="0" w:space="0" w:color="auto"/>
            <w:left w:val="none" w:sz="0" w:space="0" w:color="auto"/>
            <w:bottom w:val="none" w:sz="0" w:space="0" w:color="auto"/>
            <w:right w:val="none" w:sz="0" w:space="0" w:color="auto"/>
          </w:divBdr>
          <w:divsChild>
            <w:div w:id="1852067250">
              <w:marLeft w:val="0"/>
              <w:marRight w:val="0"/>
              <w:marTop w:val="0"/>
              <w:marBottom w:val="0"/>
              <w:divBdr>
                <w:top w:val="none" w:sz="0" w:space="0" w:color="auto"/>
                <w:left w:val="none" w:sz="0" w:space="0" w:color="auto"/>
                <w:bottom w:val="none" w:sz="0" w:space="0" w:color="auto"/>
                <w:right w:val="none" w:sz="0" w:space="0" w:color="auto"/>
              </w:divBdr>
            </w:div>
          </w:divsChild>
        </w:div>
        <w:div w:id="1377899510">
          <w:marLeft w:val="0"/>
          <w:marRight w:val="0"/>
          <w:marTop w:val="0"/>
          <w:marBottom w:val="0"/>
          <w:divBdr>
            <w:top w:val="none" w:sz="0" w:space="0" w:color="auto"/>
            <w:left w:val="none" w:sz="0" w:space="0" w:color="auto"/>
            <w:bottom w:val="none" w:sz="0" w:space="0" w:color="auto"/>
            <w:right w:val="none" w:sz="0" w:space="0" w:color="auto"/>
          </w:divBdr>
        </w:div>
        <w:div w:id="1548880523">
          <w:marLeft w:val="0"/>
          <w:marRight w:val="0"/>
          <w:marTop w:val="0"/>
          <w:marBottom w:val="0"/>
          <w:divBdr>
            <w:top w:val="none" w:sz="0" w:space="0" w:color="auto"/>
            <w:left w:val="none" w:sz="0" w:space="0" w:color="auto"/>
            <w:bottom w:val="none" w:sz="0" w:space="0" w:color="auto"/>
            <w:right w:val="none" w:sz="0" w:space="0" w:color="auto"/>
          </w:divBdr>
        </w:div>
        <w:div w:id="1727028298">
          <w:marLeft w:val="0"/>
          <w:marRight w:val="0"/>
          <w:marTop w:val="0"/>
          <w:marBottom w:val="0"/>
          <w:divBdr>
            <w:top w:val="none" w:sz="0" w:space="0" w:color="auto"/>
            <w:left w:val="none" w:sz="0" w:space="0" w:color="auto"/>
            <w:bottom w:val="none" w:sz="0" w:space="0" w:color="auto"/>
            <w:right w:val="none" w:sz="0" w:space="0" w:color="auto"/>
          </w:divBdr>
          <w:divsChild>
            <w:div w:id="1946962732">
              <w:marLeft w:val="0"/>
              <w:marRight w:val="0"/>
              <w:marTop w:val="0"/>
              <w:marBottom w:val="0"/>
              <w:divBdr>
                <w:top w:val="none" w:sz="0" w:space="0" w:color="auto"/>
                <w:left w:val="none" w:sz="0" w:space="0" w:color="auto"/>
                <w:bottom w:val="none" w:sz="0" w:space="0" w:color="auto"/>
                <w:right w:val="none" w:sz="0" w:space="0" w:color="auto"/>
              </w:divBdr>
            </w:div>
          </w:divsChild>
        </w:div>
        <w:div w:id="800653965">
          <w:marLeft w:val="0"/>
          <w:marRight w:val="0"/>
          <w:marTop w:val="0"/>
          <w:marBottom w:val="0"/>
          <w:divBdr>
            <w:top w:val="none" w:sz="0" w:space="0" w:color="auto"/>
            <w:left w:val="none" w:sz="0" w:space="0" w:color="auto"/>
            <w:bottom w:val="none" w:sz="0" w:space="0" w:color="auto"/>
            <w:right w:val="none" w:sz="0" w:space="0" w:color="auto"/>
          </w:divBdr>
        </w:div>
        <w:div w:id="1953514203">
          <w:marLeft w:val="0"/>
          <w:marRight w:val="0"/>
          <w:marTop w:val="0"/>
          <w:marBottom w:val="0"/>
          <w:divBdr>
            <w:top w:val="none" w:sz="0" w:space="0" w:color="auto"/>
            <w:left w:val="none" w:sz="0" w:space="0" w:color="auto"/>
            <w:bottom w:val="none" w:sz="0" w:space="0" w:color="auto"/>
            <w:right w:val="none" w:sz="0" w:space="0" w:color="auto"/>
          </w:divBdr>
        </w:div>
        <w:div w:id="1098333774">
          <w:marLeft w:val="0"/>
          <w:marRight w:val="0"/>
          <w:marTop w:val="0"/>
          <w:marBottom w:val="0"/>
          <w:divBdr>
            <w:top w:val="none" w:sz="0" w:space="0" w:color="auto"/>
            <w:left w:val="none" w:sz="0" w:space="0" w:color="auto"/>
            <w:bottom w:val="none" w:sz="0" w:space="0" w:color="auto"/>
            <w:right w:val="none" w:sz="0" w:space="0" w:color="auto"/>
          </w:divBdr>
          <w:divsChild>
            <w:div w:id="1509712120">
              <w:marLeft w:val="0"/>
              <w:marRight w:val="0"/>
              <w:marTop w:val="0"/>
              <w:marBottom w:val="0"/>
              <w:divBdr>
                <w:top w:val="none" w:sz="0" w:space="0" w:color="auto"/>
                <w:left w:val="none" w:sz="0" w:space="0" w:color="auto"/>
                <w:bottom w:val="none" w:sz="0" w:space="0" w:color="auto"/>
                <w:right w:val="none" w:sz="0" w:space="0" w:color="auto"/>
              </w:divBdr>
            </w:div>
          </w:divsChild>
        </w:div>
        <w:div w:id="1649289205">
          <w:marLeft w:val="0"/>
          <w:marRight w:val="0"/>
          <w:marTop w:val="0"/>
          <w:marBottom w:val="0"/>
          <w:divBdr>
            <w:top w:val="none" w:sz="0" w:space="0" w:color="auto"/>
            <w:left w:val="none" w:sz="0" w:space="0" w:color="auto"/>
            <w:bottom w:val="none" w:sz="0" w:space="0" w:color="auto"/>
            <w:right w:val="none" w:sz="0" w:space="0" w:color="auto"/>
          </w:divBdr>
        </w:div>
        <w:div w:id="1829058765">
          <w:marLeft w:val="0"/>
          <w:marRight w:val="0"/>
          <w:marTop w:val="0"/>
          <w:marBottom w:val="0"/>
          <w:divBdr>
            <w:top w:val="none" w:sz="0" w:space="0" w:color="auto"/>
            <w:left w:val="none" w:sz="0" w:space="0" w:color="auto"/>
            <w:bottom w:val="none" w:sz="0" w:space="0" w:color="auto"/>
            <w:right w:val="none" w:sz="0" w:space="0" w:color="auto"/>
          </w:divBdr>
        </w:div>
        <w:div w:id="698629823">
          <w:marLeft w:val="0"/>
          <w:marRight w:val="0"/>
          <w:marTop w:val="0"/>
          <w:marBottom w:val="0"/>
          <w:divBdr>
            <w:top w:val="none" w:sz="0" w:space="0" w:color="auto"/>
            <w:left w:val="none" w:sz="0" w:space="0" w:color="auto"/>
            <w:bottom w:val="none" w:sz="0" w:space="0" w:color="auto"/>
            <w:right w:val="none" w:sz="0" w:space="0" w:color="auto"/>
          </w:divBdr>
          <w:divsChild>
            <w:div w:id="551430418">
              <w:marLeft w:val="0"/>
              <w:marRight w:val="0"/>
              <w:marTop w:val="0"/>
              <w:marBottom w:val="0"/>
              <w:divBdr>
                <w:top w:val="none" w:sz="0" w:space="0" w:color="auto"/>
                <w:left w:val="none" w:sz="0" w:space="0" w:color="auto"/>
                <w:bottom w:val="none" w:sz="0" w:space="0" w:color="auto"/>
                <w:right w:val="none" w:sz="0" w:space="0" w:color="auto"/>
              </w:divBdr>
            </w:div>
          </w:divsChild>
        </w:div>
        <w:div w:id="1195801647">
          <w:marLeft w:val="0"/>
          <w:marRight w:val="0"/>
          <w:marTop w:val="0"/>
          <w:marBottom w:val="0"/>
          <w:divBdr>
            <w:top w:val="none" w:sz="0" w:space="0" w:color="auto"/>
            <w:left w:val="none" w:sz="0" w:space="0" w:color="auto"/>
            <w:bottom w:val="none" w:sz="0" w:space="0" w:color="auto"/>
            <w:right w:val="none" w:sz="0" w:space="0" w:color="auto"/>
          </w:divBdr>
        </w:div>
        <w:div w:id="847138359">
          <w:marLeft w:val="0"/>
          <w:marRight w:val="0"/>
          <w:marTop w:val="0"/>
          <w:marBottom w:val="0"/>
          <w:divBdr>
            <w:top w:val="none" w:sz="0" w:space="0" w:color="auto"/>
            <w:left w:val="none" w:sz="0" w:space="0" w:color="auto"/>
            <w:bottom w:val="none" w:sz="0" w:space="0" w:color="auto"/>
            <w:right w:val="none" w:sz="0" w:space="0" w:color="auto"/>
          </w:divBdr>
        </w:div>
        <w:div w:id="461770156">
          <w:marLeft w:val="0"/>
          <w:marRight w:val="0"/>
          <w:marTop w:val="0"/>
          <w:marBottom w:val="0"/>
          <w:divBdr>
            <w:top w:val="none" w:sz="0" w:space="0" w:color="auto"/>
            <w:left w:val="none" w:sz="0" w:space="0" w:color="auto"/>
            <w:bottom w:val="none" w:sz="0" w:space="0" w:color="auto"/>
            <w:right w:val="none" w:sz="0" w:space="0" w:color="auto"/>
          </w:divBdr>
          <w:divsChild>
            <w:div w:id="1012536996">
              <w:marLeft w:val="0"/>
              <w:marRight w:val="0"/>
              <w:marTop w:val="0"/>
              <w:marBottom w:val="0"/>
              <w:divBdr>
                <w:top w:val="none" w:sz="0" w:space="0" w:color="auto"/>
                <w:left w:val="none" w:sz="0" w:space="0" w:color="auto"/>
                <w:bottom w:val="none" w:sz="0" w:space="0" w:color="auto"/>
                <w:right w:val="none" w:sz="0" w:space="0" w:color="auto"/>
              </w:divBdr>
            </w:div>
          </w:divsChild>
        </w:div>
        <w:div w:id="251553220">
          <w:marLeft w:val="0"/>
          <w:marRight w:val="0"/>
          <w:marTop w:val="0"/>
          <w:marBottom w:val="0"/>
          <w:divBdr>
            <w:top w:val="none" w:sz="0" w:space="0" w:color="auto"/>
            <w:left w:val="none" w:sz="0" w:space="0" w:color="auto"/>
            <w:bottom w:val="none" w:sz="0" w:space="0" w:color="auto"/>
            <w:right w:val="none" w:sz="0" w:space="0" w:color="auto"/>
          </w:divBdr>
        </w:div>
        <w:div w:id="1153256973">
          <w:marLeft w:val="0"/>
          <w:marRight w:val="0"/>
          <w:marTop w:val="0"/>
          <w:marBottom w:val="0"/>
          <w:divBdr>
            <w:top w:val="none" w:sz="0" w:space="0" w:color="auto"/>
            <w:left w:val="none" w:sz="0" w:space="0" w:color="auto"/>
            <w:bottom w:val="none" w:sz="0" w:space="0" w:color="auto"/>
            <w:right w:val="none" w:sz="0" w:space="0" w:color="auto"/>
          </w:divBdr>
        </w:div>
        <w:div w:id="670330046">
          <w:marLeft w:val="0"/>
          <w:marRight w:val="0"/>
          <w:marTop w:val="0"/>
          <w:marBottom w:val="0"/>
          <w:divBdr>
            <w:top w:val="none" w:sz="0" w:space="0" w:color="auto"/>
            <w:left w:val="none" w:sz="0" w:space="0" w:color="auto"/>
            <w:bottom w:val="none" w:sz="0" w:space="0" w:color="auto"/>
            <w:right w:val="none" w:sz="0" w:space="0" w:color="auto"/>
          </w:divBdr>
          <w:divsChild>
            <w:div w:id="1898782576">
              <w:marLeft w:val="0"/>
              <w:marRight w:val="0"/>
              <w:marTop w:val="0"/>
              <w:marBottom w:val="0"/>
              <w:divBdr>
                <w:top w:val="none" w:sz="0" w:space="0" w:color="auto"/>
                <w:left w:val="none" w:sz="0" w:space="0" w:color="auto"/>
                <w:bottom w:val="none" w:sz="0" w:space="0" w:color="auto"/>
                <w:right w:val="none" w:sz="0" w:space="0" w:color="auto"/>
              </w:divBdr>
            </w:div>
          </w:divsChild>
        </w:div>
        <w:div w:id="1559778358">
          <w:marLeft w:val="0"/>
          <w:marRight w:val="0"/>
          <w:marTop w:val="0"/>
          <w:marBottom w:val="0"/>
          <w:divBdr>
            <w:top w:val="none" w:sz="0" w:space="0" w:color="auto"/>
            <w:left w:val="none" w:sz="0" w:space="0" w:color="auto"/>
            <w:bottom w:val="none" w:sz="0" w:space="0" w:color="auto"/>
            <w:right w:val="none" w:sz="0" w:space="0" w:color="auto"/>
          </w:divBdr>
        </w:div>
        <w:div w:id="772357419">
          <w:marLeft w:val="0"/>
          <w:marRight w:val="0"/>
          <w:marTop w:val="0"/>
          <w:marBottom w:val="0"/>
          <w:divBdr>
            <w:top w:val="none" w:sz="0" w:space="0" w:color="auto"/>
            <w:left w:val="none" w:sz="0" w:space="0" w:color="auto"/>
            <w:bottom w:val="none" w:sz="0" w:space="0" w:color="auto"/>
            <w:right w:val="none" w:sz="0" w:space="0" w:color="auto"/>
          </w:divBdr>
        </w:div>
        <w:div w:id="26030393">
          <w:marLeft w:val="0"/>
          <w:marRight w:val="0"/>
          <w:marTop w:val="0"/>
          <w:marBottom w:val="0"/>
          <w:divBdr>
            <w:top w:val="none" w:sz="0" w:space="0" w:color="auto"/>
            <w:left w:val="none" w:sz="0" w:space="0" w:color="auto"/>
            <w:bottom w:val="none" w:sz="0" w:space="0" w:color="auto"/>
            <w:right w:val="none" w:sz="0" w:space="0" w:color="auto"/>
          </w:divBdr>
          <w:divsChild>
            <w:div w:id="636301936">
              <w:marLeft w:val="0"/>
              <w:marRight w:val="0"/>
              <w:marTop w:val="0"/>
              <w:marBottom w:val="0"/>
              <w:divBdr>
                <w:top w:val="none" w:sz="0" w:space="0" w:color="auto"/>
                <w:left w:val="none" w:sz="0" w:space="0" w:color="auto"/>
                <w:bottom w:val="none" w:sz="0" w:space="0" w:color="auto"/>
                <w:right w:val="none" w:sz="0" w:space="0" w:color="auto"/>
              </w:divBdr>
            </w:div>
          </w:divsChild>
        </w:div>
        <w:div w:id="1613632606">
          <w:marLeft w:val="0"/>
          <w:marRight w:val="0"/>
          <w:marTop w:val="0"/>
          <w:marBottom w:val="0"/>
          <w:divBdr>
            <w:top w:val="none" w:sz="0" w:space="0" w:color="auto"/>
            <w:left w:val="none" w:sz="0" w:space="0" w:color="auto"/>
            <w:bottom w:val="none" w:sz="0" w:space="0" w:color="auto"/>
            <w:right w:val="none" w:sz="0" w:space="0" w:color="auto"/>
          </w:divBdr>
        </w:div>
        <w:div w:id="1805193964">
          <w:marLeft w:val="0"/>
          <w:marRight w:val="0"/>
          <w:marTop w:val="0"/>
          <w:marBottom w:val="0"/>
          <w:divBdr>
            <w:top w:val="none" w:sz="0" w:space="0" w:color="auto"/>
            <w:left w:val="none" w:sz="0" w:space="0" w:color="auto"/>
            <w:bottom w:val="none" w:sz="0" w:space="0" w:color="auto"/>
            <w:right w:val="none" w:sz="0" w:space="0" w:color="auto"/>
          </w:divBdr>
        </w:div>
        <w:div w:id="251664933">
          <w:marLeft w:val="0"/>
          <w:marRight w:val="0"/>
          <w:marTop w:val="0"/>
          <w:marBottom w:val="0"/>
          <w:divBdr>
            <w:top w:val="none" w:sz="0" w:space="0" w:color="auto"/>
            <w:left w:val="none" w:sz="0" w:space="0" w:color="auto"/>
            <w:bottom w:val="none" w:sz="0" w:space="0" w:color="auto"/>
            <w:right w:val="none" w:sz="0" w:space="0" w:color="auto"/>
          </w:divBdr>
          <w:divsChild>
            <w:div w:id="70389731">
              <w:marLeft w:val="0"/>
              <w:marRight w:val="0"/>
              <w:marTop w:val="0"/>
              <w:marBottom w:val="0"/>
              <w:divBdr>
                <w:top w:val="none" w:sz="0" w:space="0" w:color="auto"/>
                <w:left w:val="none" w:sz="0" w:space="0" w:color="auto"/>
                <w:bottom w:val="none" w:sz="0" w:space="0" w:color="auto"/>
                <w:right w:val="none" w:sz="0" w:space="0" w:color="auto"/>
              </w:divBdr>
            </w:div>
          </w:divsChild>
        </w:div>
        <w:div w:id="227226628">
          <w:marLeft w:val="0"/>
          <w:marRight w:val="0"/>
          <w:marTop w:val="0"/>
          <w:marBottom w:val="0"/>
          <w:divBdr>
            <w:top w:val="none" w:sz="0" w:space="0" w:color="auto"/>
            <w:left w:val="none" w:sz="0" w:space="0" w:color="auto"/>
            <w:bottom w:val="none" w:sz="0" w:space="0" w:color="auto"/>
            <w:right w:val="none" w:sz="0" w:space="0" w:color="auto"/>
          </w:divBdr>
        </w:div>
        <w:div w:id="450826094">
          <w:marLeft w:val="0"/>
          <w:marRight w:val="0"/>
          <w:marTop w:val="0"/>
          <w:marBottom w:val="0"/>
          <w:divBdr>
            <w:top w:val="none" w:sz="0" w:space="0" w:color="auto"/>
            <w:left w:val="none" w:sz="0" w:space="0" w:color="auto"/>
            <w:bottom w:val="none" w:sz="0" w:space="0" w:color="auto"/>
            <w:right w:val="none" w:sz="0" w:space="0" w:color="auto"/>
          </w:divBdr>
        </w:div>
        <w:div w:id="677733641">
          <w:marLeft w:val="0"/>
          <w:marRight w:val="0"/>
          <w:marTop w:val="0"/>
          <w:marBottom w:val="0"/>
          <w:divBdr>
            <w:top w:val="none" w:sz="0" w:space="0" w:color="auto"/>
            <w:left w:val="none" w:sz="0" w:space="0" w:color="auto"/>
            <w:bottom w:val="none" w:sz="0" w:space="0" w:color="auto"/>
            <w:right w:val="none" w:sz="0" w:space="0" w:color="auto"/>
          </w:divBdr>
          <w:divsChild>
            <w:div w:id="1902517965">
              <w:marLeft w:val="0"/>
              <w:marRight w:val="0"/>
              <w:marTop w:val="0"/>
              <w:marBottom w:val="0"/>
              <w:divBdr>
                <w:top w:val="none" w:sz="0" w:space="0" w:color="auto"/>
                <w:left w:val="none" w:sz="0" w:space="0" w:color="auto"/>
                <w:bottom w:val="none" w:sz="0" w:space="0" w:color="auto"/>
                <w:right w:val="none" w:sz="0" w:space="0" w:color="auto"/>
              </w:divBdr>
            </w:div>
          </w:divsChild>
        </w:div>
        <w:div w:id="1072969868">
          <w:marLeft w:val="0"/>
          <w:marRight w:val="0"/>
          <w:marTop w:val="0"/>
          <w:marBottom w:val="0"/>
          <w:divBdr>
            <w:top w:val="none" w:sz="0" w:space="0" w:color="auto"/>
            <w:left w:val="none" w:sz="0" w:space="0" w:color="auto"/>
            <w:bottom w:val="none" w:sz="0" w:space="0" w:color="auto"/>
            <w:right w:val="none" w:sz="0" w:space="0" w:color="auto"/>
          </w:divBdr>
        </w:div>
        <w:div w:id="1614633771">
          <w:marLeft w:val="0"/>
          <w:marRight w:val="0"/>
          <w:marTop w:val="0"/>
          <w:marBottom w:val="0"/>
          <w:divBdr>
            <w:top w:val="none" w:sz="0" w:space="0" w:color="auto"/>
            <w:left w:val="none" w:sz="0" w:space="0" w:color="auto"/>
            <w:bottom w:val="none" w:sz="0" w:space="0" w:color="auto"/>
            <w:right w:val="none" w:sz="0" w:space="0" w:color="auto"/>
          </w:divBdr>
        </w:div>
        <w:div w:id="899631473">
          <w:marLeft w:val="0"/>
          <w:marRight w:val="0"/>
          <w:marTop w:val="0"/>
          <w:marBottom w:val="0"/>
          <w:divBdr>
            <w:top w:val="none" w:sz="0" w:space="0" w:color="auto"/>
            <w:left w:val="none" w:sz="0" w:space="0" w:color="auto"/>
            <w:bottom w:val="none" w:sz="0" w:space="0" w:color="auto"/>
            <w:right w:val="none" w:sz="0" w:space="0" w:color="auto"/>
          </w:divBdr>
          <w:divsChild>
            <w:div w:id="720980525">
              <w:marLeft w:val="0"/>
              <w:marRight w:val="0"/>
              <w:marTop w:val="0"/>
              <w:marBottom w:val="0"/>
              <w:divBdr>
                <w:top w:val="none" w:sz="0" w:space="0" w:color="auto"/>
                <w:left w:val="none" w:sz="0" w:space="0" w:color="auto"/>
                <w:bottom w:val="none" w:sz="0" w:space="0" w:color="auto"/>
                <w:right w:val="none" w:sz="0" w:space="0" w:color="auto"/>
              </w:divBdr>
            </w:div>
          </w:divsChild>
        </w:div>
        <w:div w:id="386492241">
          <w:marLeft w:val="0"/>
          <w:marRight w:val="0"/>
          <w:marTop w:val="0"/>
          <w:marBottom w:val="0"/>
          <w:divBdr>
            <w:top w:val="none" w:sz="0" w:space="0" w:color="auto"/>
            <w:left w:val="none" w:sz="0" w:space="0" w:color="auto"/>
            <w:bottom w:val="none" w:sz="0" w:space="0" w:color="auto"/>
            <w:right w:val="none" w:sz="0" w:space="0" w:color="auto"/>
          </w:divBdr>
        </w:div>
        <w:div w:id="1202130171">
          <w:marLeft w:val="0"/>
          <w:marRight w:val="0"/>
          <w:marTop w:val="0"/>
          <w:marBottom w:val="0"/>
          <w:divBdr>
            <w:top w:val="none" w:sz="0" w:space="0" w:color="auto"/>
            <w:left w:val="none" w:sz="0" w:space="0" w:color="auto"/>
            <w:bottom w:val="none" w:sz="0" w:space="0" w:color="auto"/>
            <w:right w:val="none" w:sz="0" w:space="0" w:color="auto"/>
          </w:divBdr>
        </w:div>
        <w:div w:id="1405101610">
          <w:marLeft w:val="0"/>
          <w:marRight w:val="0"/>
          <w:marTop w:val="0"/>
          <w:marBottom w:val="0"/>
          <w:divBdr>
            <w:top w:val="none" w:sz="0" w:space="0" w:color="auto"/>
            <w:left w:val="none" w:sz="0" w:space="0" w:color="auto"/>
            <w:bottom w:val="none" w:sz="0" w:space="0" w:color="auto"/>
            <w:right w:val="none" w:sz="0" w:space="0" w:color="auto"/>
          </w:divBdr>
          <w:divsChild>
            <w:div w:id="2067029151">
              <w:marLeft w:val="0"/>
              <w:marRight w:val="0"/>
              <w:marTop w:val="0"/>
              <w:marBottom w:val="0"/>
              <w:divBdr>
                <w:top w:val="none" w:sz="0" w:space="0" w:color="auto"/>
                <w:left w:val="none" w:sz="0" w:space="0" w:color="auto"/>
                <w:bottom w:val="none" w:sz="0" w:space="0" w:color="auto"/>
                <w:right w:val="none" w:sz="0" w:space="0" w:color="auto"/>
              </w:divBdr>
            </w:div>
          </w:divsChild>
        </w:div>
        <w:div w:id="778649768">
          <w:marLeft w:val="0"/>
          <w:marRight w:val="0"/>
          <w:marTop w:val="0"/>
          <w:marBottom w:val="0"/>
          <w:divBdr>
            <w:top w:val="none" w:sz="0" w:space="0" w:color="auto"/>
            <w:left w:val="none" w:sz="0" w:space="0" w:color="auto"/>
            <w:bottom w:val="none" w:sz="0" w:space="0" w:color="auto"/>
            <w:right w:val="none" w:sz="0" w:space="0" w:color="auto"/>
          </w:divBdr>
        </w:div>
        <w:div w:id="329018025">
          <w:marLeft w:val="0"/>
          <w:marRight w:val="0"/>
          <w:marTop w:val="0"/>
          <w:marBottom w:val="0"/>
          <w:divBdr>
            <w:top w:val="none" w:sz="0" w:space="0" w:color="auto"/>
            <w:left w:val="none" w:sz="0" w:space="0" w:color="auto"/>
            <w:bottom w:val="none" w:sz="0" w:space="0" w:color="auto"/>
            <w:right w:val="none" w:sz="0" w:space="0" w:color="auto"/>
          </w:divBdr>
        </w:div>
        <w:div w:id="22101045">
          <w:marLeft w:val="0"/>
          <w:marRight w:val="0"/>
          <w:marTop w:val="0"/>
          <w:marBottom w:val="0"/>
          <w:divBdr>
            <w:top w:val="none" w:sz="0" w:space="0" w:color="auto"/>
            <w:left w:val="none" w:sz="0" w:space="0" w:color="auto"/>
            <w:bottom w:val="none" w:sz="0" w:space="0" w:color="auto"/>
            <w:right w:val="none" w:sz="0" w:space="0" w:color="auto"/>
          </w:divBdr>
          <w:divsChild>
            <w:div w:id="2107538227">
              <w:marLeft w:val="0"/>
              <w:marRight w:val="0"/>
              <w:marTop w:val="0"/>
              <w:marBottom w:val="0"/>
              <w:divBdr>
                <w:top w:val="none" w:sz="0" w:space="0" w:color="auto"/>
                <w:left w:val="none" w:sz="0" w:space="0" w:color="auto"/>
                <w:bottom w:val="none" w:sz="0" w:space="0" w:color="auto"/>
                <w:right w:val="none" w:sz="0" w:space="0" w:color="auto"/>
              </w:divBdr>
            </w:div>
          </w:divsChild>
        </w:div>
        <w:div w:id="1186167395">
          <w:marLeft w:val="0"/>
          <w:marRight w:val="0"/>
          <w:marTop w:val="0"/>
          <w:marBottom w:val="0"/>
          <w:divBdr>
            <w:top w:val="none" w:sz="0" w:space="0" w:color="auto"/>
            <w:left w:val="none" w:sz="0" w:space="0" w:color="auto"/>
            <w:bottom w:val="none" w:sz="0" w:space="0" w:color="auto"/>
            <w:right w:val="none" w:sz="0" w:space="0" w:color="auto"/>
          </w:divBdr>
        </w:div>
        <w:div w:id="1433161285">
          <w:marLeft w:val="0"/>
          <w:marRight w:val="0"/>
          <w:marTop w:val="0"/>
          <w:marBottom w:val="0"/>
          <w:divBdr>
            <w:top w:val="none" w:sz="0" w:space="0" w:color="auto"/>
            <w:left w:val="none" w:sz="0" w:space="0" w:color="auto"/>
            <w:bottom w:val="none" w:sz="0" w:space="0" w:color="auto"/>
            <w:right w:val="none" w:sz="0" w:space="0" w:color="auto"/>
          </w:divBdr>
        </w:div>
        <w:div w:id="1211067148">
          <w:marLeft w:val="0"/>
          <w:marRight w:val="0"/>
          <w:marTop w:val="0"/>
          <w:marBottom w:val="0"/>
          <w:divBdr>
            <w:top w:val="none" w:sz="0" w:space="0" w:color="auto"/>
            <w:left w:val="none" w:sz="0" w:space="0" w:color="auto"/>
            <w:bottom w:val="none" w:sz="0" w:space="0" w:color="auto"/>
            <w:right w:val="none" w:sz="0" w:space="0" w:color="auto"/>
          </w:divBdr>
          <w:divsChild>
            <w:div w:id="1466780499">
              <w:marLeft w:val="0"/>
              <w:marRight w:val="0"/>
              <w:marTop w:val="0"/>
              <w:marBottom w:val="0"/>
              <w:divBdr>
                <w:top w:val="none" w:sz="0" w:space="0" w:color="auto"/>
                <w:left w:val="none" w:sz="0" w:space="0" w:color="auto"/>
                <w:bottom w:val="none" w:sz="0" w:space="0" w:color="auto"/>
                <w:right w:val="none" w:sz="0" w:space="0" w:color="auto"/>
              </w:divBdr>
            </w:div>
          </w:divsChild>
        </w:div>
        <w:div w:id="1680737247">
          <w:marLeft w:val="0"/>
          <w:marRight w:val="0"/>
          <w:marTop w:val="0"/>
          <w:marBottom w:val="0"/>
          <w:divBdr>
            <w:top w:val="none" w:sz="0" w:space="0" w:color="auto"/>
            <w:left w:val="none" w:sz="0" w:space="0" w:color="auto"/>
            <w:bottom w:val="none" w:sz="0" w:space="0" w:color="auto"/>
            <w:right w:val="none" w:sz="0" w:space="0" w:color="auto"/>
          </w:divBdr>
        </w:div>
        <w:div w:id="174266023">
          <w:marLeft w:val="0"/>
          <w:marRight w:val="0"/>
          <w:marTop w:val="0"/>
          <w:marBottom w:val="0"/>
          <w:divBdr>
            <w:top w:val="none" w:sz="0" w:space="0" w:color="auto"/>
            <w:left w:val="none" w:sz="0" w:space="0" w:color="auto"/>
            <w:bottom w:val="none" w:sz="0" w:space="0" w:color="auto"/>
            <w:right w:val="none" w:sz="0" w:space="0" w:color="auto"/>
          </w:divBdr>
        </w:div>
        <w:div w:id="158544184">
          <w:marLeft w:val="0"/>
          <w:marRight w:val="0"/>
          <w:marTop w:val="0"/>
          <w:marBottom w:val="0"/>
          <w:divBdr>
            <w:top w:val="none" w:sz="0" w:space="0" w:color="auto"/>
            <w:left w:val="none" w:sz="0" w:space="0" w:color="auto"/>
            <w:bottom w:val="none" w:sz="0" w:space="0" w:color="auto"/>
            <w:right w:val="none" w:sz="0" w:space="0" w:color="auto"/>
          </w:divBdr>
          <w:divsChild>
            <w:div w:id="569384218">
              <w:marLeft w:val="0"/>
              <w:marRight w:val="0"/>
              <w:marTop w:val="0"/>
              <w:marBottom w:val="0"/>
              <w:divBdr>
                <w:top w:val="none" w:sz="0" w:space="0" w:color="auto"/>
                <w:left w:val="none" w:sz="0" w:space="0" w:color="auto"/>
                <w:bottom w:val="none" w:sz="0" w:space="0" w:color="auto"/>
                <w:right w:val="none" w:sz="0" w:space="0" w:color="auto"/>
              </w:divBdr>
            </w:div>
          </w:divsChild>
        </w:div>
        <w:div w:id="951789288">
          <w:marLeft w:val="0"/>
          <w:marRight w:val="0"/>
          <w:marTop w:val="0"/>
          <w:marBottom w:val="0"/>
          <w:divBdr>
            <w:top w:val="none" w:sz="0" w:space="0" w:color="auto"/>
            <w:left w:val="none" w:sz="0" w:space="0" w:color="auto"/>
            <w:bottom w:val="none" w:sz="0" w:space="0" w:color="auto"/>
            <w:right w:val="none" w:sz="0" w:space="0" w:color="auto"/>
          </w:divBdr>
        </w:div>
        <w:div w:id="813447629">
          <w:marLeft w:val="0"/>
          <w:marRight w:val="0"/>
          <w:marTop w:val="0"/>
          <w:marBottom w:val="0"/>
          <w:divBdr>
            <w:top w:val="none" w:sz="0" w:space="0" w:color="auto"/>
            <w:left w:val="none" w:sz="0" w:space="0" w:color="auto"/>
            <w:bottom w:val="none" w:sz="0" w:space="0" w:color="auto"/>
            <w:right w:val="none" w:sz="0" w:space="0" w:color="auto"/>
          </w:divBdr>
        </w:div>
        <w:div w:id="697699134">
          <w:marLeft w:val="0"/>
          <w:marRight w:val="0"/>
          <w:marTop w:val="0"/>
          <w:marBottom w:val="0"/>
          <w:divBdr>
            <w:top w:val="none" w:sz="0" w:space="0" w:color="auto"/>
            <w:left w:val="none" w:sz="0" w:space="0" w:color="auto"/>
            <w:bottom w:val="none" w:sz="0" w:space="0" w:color="auto"/>
            <w:right w:val="none" w:sz="0" w:space="0" w:color="auto"/>
          </w:divBdr>
          <w:divsChild>
            <w:div w:id="273757035">
              <w:marLeft w:val="0"/>
              <w:marRight w:val="0"/>
              <w:marTop w:val="0"/>
              <w:marBottom w:val="0"/>
              <w:divBdr>
                <w:top w:val="none" w:sz="0" w:space="0" w:color="auto"/>
                <w:left w:val="none" w:sz="0" w:space="0" w:color="auto"/>
                <w:bottom w:val="none" w:sz="0" w:space="0" w:color="auto"/>
                <w:right w:val="none" w:sz="0" w:space="0" w:color="auto"/>
              </w:divBdr>
            </w:div>
          </w:divsChild>
        </w:div>
        <w:div w:id="1221987737">
          <w:marLeft w:val="0"/>
          <w:marRight w:val="0"/>
          <w:marTop w:val="0"/>
          <w:marBottom w:val="0"/>
          <w:divBdr>
            <w:top w:val="none" w:sz="0" w:space="0" w:color="auto"/>
            <w:left w:val="none" w:sz="0" w:space="0" w:color="auto"/>
            <w:bottom w:val="none" w:sz="0" w:space="0" w:color="auto"/>
            <w:right w:val="none" w:sz="0" w:space="0" w:color="auto"/>
          </w:divBdr>
        </w:div>
        <w:div w:id="602342443">
          <w:marLeft w:val="0"/>
          <w:marRight w:val="0"/>
          <w:marTop w:val="0"/>
          <w:marBottom w:val="0"/>
          <w:divBdr>
            <w:top w:val="none" w:sz="0" w:space="0" w:color="auto"/>
            <w:left w:val="none" w:sz="0" w:space="0" w:color="auto"/>
            <w:bottom w:val="none" w:sz="0" w:space="0" w:color="auto"/>
            <w:right w:val="none" w:sz="0" w:space="0" w:color="auto"/>
          </w:divBdr>
        </w:div>
        <w:div w:id="446512794">
          <w:marLeft w:val="0"/>
          <w:marRight w:val="0"/>
          <w:marTop w:val="0"/>
          <w:marBottom w:val="0"/>
          <w:divBdr>
            <w:top w:val="none" w:sz="0" w:space="0" w:color="auto"/>
            <w:left w:val="none" w:sz="0" w:space="0" w:color="auto"/>
            <w:bottom w:val="none" w:sz="0" w:space="0" w:color="auto"/>
            <w:right w:val="none" w:sz="0" w:space="0" w:color="auto"/>
          </w:divBdr>
          <w:divsChild>
            <w:div w:id="2081096868">
              <w:marLeft w:val="0"/>
              <w:marRight w:val="0"/>
              <w:marTop w:val="0"/>
              <w:marBottom w:val="0"/>
              <w:divBdr>
                <w:top w:val="none" w:sz="0" w:space="0" w:color="auto"/>
                <w:left w:val="none" w:sz="0" w:space="0" w:color="auto"/>
                <w:bottom w:val="none" w:sz="0" w:space="0" w:color="auto"/>
                <w:right w:val="none" w:sz="0" w:space="0" w:color="auto"/>
              </w:divBdr>
            </w:div>
          </w:divsChild>
        </w:div>
        <w:div w:id="1173834808">
          <w:marLeft w:val="0"/>
          <w:marRight w:val="0"/>
          <w:marTop w:val="0"/>
          <w:marBottom w:val="0"/>
          <w:divBdr>
            <w:top w:val="none" w:sz="0" w:space="0" w:color="auto"/>
            <w:left w:val="none" w:sz="0" w:space="0" w:color="auto"/>
            <w:bottom w:val="none" w:sz="0" w:space="0" w:color="auto"/>
            <w:right w:val="none" w:sz="0" w:space="0" w:color="auto"/>
          </w:divBdr>
        </w:div>
        <w:div w:id="691077852">
          <w:marLeft w:val="0"/>
          <w:marRight w:val="0"/>
          <w:marTop w:val="0"/>
          <w:marBottom w:val="0"/>
          <w:divBdr>
            <w:top w:val="none" w:sz="0" w:space="0" w:color="auto"/>
            <w:left w:val="none" w:sz="0" w:space="0" w:color="auto"/>
            <w:bottom w:val="none" w:sz="0" w:space="0" w:color="auto"/>
            <w:right w:val="none" w:sz="0" w:space="0" w:color="auto"/>
          </w:divBdr>
        </w:div>
        <w:div w:id="407465765">
          <w:marLeft w:val="0"/>
          <w:marRight w:val="0"/>
          <w:marTop w:val="0"/>
          <w:marBottom w:val="0"/>
          <w:divBdr>
            <w:top w:val="none" w:sz="0" w:space="0" w:color="auto"/>
            <w:left w:val="none" w:sz="0" w:space="0" w:color="auto"/>
            <w:bottom w:val="none" w:sz="0" w:space="0" w:color="auto"/>
            <w:right w:val="none" w:sz="0" w:space="0" w:color="auto"/>
          </w:divBdr>
          <w:divsChild>
            <w:div w:id="1267225153">
              <w:marLeft w:val="0"/>
              <w:marRight w:val="0"/>
              <w:marTop w:val="0"/>
              <w:marBottom w:val="0"/>
              <w:divBdr>
                <w:top w:val="none" w:sz="0" w:space="0" w:color="auto"/>
                <w:left w:val="none" w:sz="0" w:space="0" w:color="auto"/>
                <w:bottom w:val="none" w:sz="0" w:space="0" w:color="auto"/>
                <w:right w:val="none" w:sz="0" w:space="0" w:color="auto"/>
              </w:divBdr>
            </w:div>
          </w:divsChild>
        </w:div>
        <w:div w:id="49769058">
          <w:marLeft w:val="0"/>
          <w:marRight w:val="0"/>
          <w:marTop w:val="0"/>
          <w:marBottom w:val="0"/>
          <w:divBdr>
            <w:top w:val="none" w:sz="0" w:space="0" w:color="auto"/>
            <w:left w:val="none" w:sz="0" w:space="0" w:color="auto"/>
            <w:bottom w:val="none" w:sz="0" w:space="0" w:color="auto"/>
            <w:right w:val="none" w:sz="0" w:space="0" w:color="auto"/>
          </w:divBdr>
        </w:div>
        <w:div w:id="1708917512">
          <w:marLeft w:val="0"/>
          <w:marRight w:val="0"/>
          <w:marTop w:val="0"/>
          <w:marBottom w:val="0"/>
          <w:divBdr>
            <w:top w:val="none" w:sz="0" w:space="0" w:color="auto"/>
            <w:left w:val="none" w:sz="0" w:space="0" w:color="auto"/>
            <w:bottom w:val="none" w:sz="0" w:space="0" w:color="auto"/>
            <w:right w:val="none" w:sz="0" w:space="0" w:color="auto"/>
          </w:divBdr>
        </w:div>
        <w:div w:id="1225411627">
          <w:marLeft w:val="0"/>
          <w:marRight w:val="0"/>
          <w:marTop w:val="0"/>
          <w:marBottom w:val="0"/>
          <w:divBdr>
            <w:top w:val="none" w:sz="0" w:space="0" w:color="auto"/>
            <w:left w:val="none" w:sz="0" w:space="0" w:color="auto"/>
            <w:bottom w:val="none" w:sz="0" w:space="0" w:color="auto"/>
            <w:right w:val="none" w:sz="0" w:space="0" w:color="auto"/>
          </w:divBdr>
          <w:divsChild>
            <w:div w:id="1142193483">
              <w:marLeft w:val="0"/>
              <w:marRight w:val="0"/>
              <w:marTop w:val="0"/>
              <w:marBottom w:val="0"/>
              <w:divBdr>
                <w:top w:val="none" w:sz="0" w:space="0" w:color="auto"/>
                <w:left w:val="none" w:sz="0" w:space="0" w:color="auto"/>
                <w:bottom w:val="none" w:sz="0" w:space="0" w:color="auto"/>
                <w:right w:val="none" w:sz="0" w:space="0" w:color="auto"/>
              </w:divBdr>
            </w:div>
          </w:divsChild>
        </w:div>
        <w:div w:id="723404563">
          <w:marLeft w:val="0"/>
          <w:marRight w:val="0"/>
          <w:marTop w:val="0"/>
          <w:marBottom w:val="0"/>
          <w:divBdr>
            <w:top w:val="none" w:sz="0" w:space="0" w:color="auto"/>
            <w:left w:val="none" w:sz="0" w:space="0" w:color="auto"/>
            <w:bottom w:val="none" w:sz="0" w:space="0" w:color="auto"/>
            <w:right w:val="none" w:sz="0" w:space="0" w:color="auto"/>
          </w:divBdr>
        </w:div>
        <w:div w:id="817578750">
          <w:marLeft w:val="0"/>
          <w:marRight w:val="0"/>
          <w:marTop w:val="0"/>
          <w:marBottom w:val="0"/>
          <w:divBdr>
            <w:top w:val="none" w:sz="0" w:space="0" w:color="auto"/>
            <w:left w:val="none" w:sz="0" w:space="0" w:color="auto"/>
            <w:bottom w:val="none" w:sz="0" w:space="0" w:color="auto"/>
            <w:right w:val="none" w:sz="0" w:space="0" w:color="auto"/>
          </w:divBdr>
        </w:div>
        <w:div w:id="1051686710">
          <w:marLeft w:val="0"/>
          <w:marRight w:val="0"/>
          <w:marTop w:val="0"/>
          <w:marBottom w:val="0"/>
          <w:divBdr>
            <w:top w:val="none" w:sz="0" w:space="0" w:color="auto"/>
            <w:left w:val="none" w:sz="0" w:space="0" w:color="auto"/>
            <w:bottom w:val="none" w:sz="0" w:space="0" w:color="auto"/>
            <w:right w:val="none" w:sz="0" w:space="0" w:color="auto"/>
          </w:divBdr>
          <w:divsChild>
            <w:div w:id="360329181">
              <w:marLeft w:val="0"/>
              <w:marRight w:val="0"/>
              <w:marTop w:val="0"/>
              <w:marBottom w:val="0"/>
              <w:divBdr>
                <w:top w:val="none" w:sz="0" w:space="0" w:color="auto"/>
                <w:left w:val="none" w:sz="0" w:space="0" w:color="auto"/>
                <w:bottom w:val="none" w:sz="0" w:space="0" w:color="auto"/>
                <w:right w:val="none" w:sz="0" w:space="0" w:color="auto"/>
              </w:divBdr>
            </w:div>
          </w:divsChild>
        </w:div>
        <w:div w:id="1875534038">
          <w:marLeft w:val="0"/>
          <w:marRight w:val="0"/>
          <w:marTop w:val="0"/>
          <w:marBottom w:val="0"/>
          <w:divBdr>
            <w:top w:val="none" w:sz="0" w:space="0" w:color="auto"/>
            <w:left w:val="none" w:sz="0" w:space="0" w:color="auto"/>
            <w:bottom w:val="none" w:sz="0" w:space="0" w:color="auto"/>
            <w:right w:val="none" w:sz="0" w:space="0" w:color="auto"/>
          </w:divBdr>
        </w:div>
        <w:div w:id="523710663">
          <w:marLeft w:val="0"/>
          <w:marRight w:val="0"/>
          <w:marTop w:val="0"/>
          <w:marBottom w:val="0"/>
          <w:divBdr>
            <w:top w:val="none" w:sz="0" w:space="0" w:color="auto"/>
            <w:left w:val="none" w:sz="0" w:space="0" w:color="auto"/>
            <w:bottom w:val="none" w:sz="0" w:space="0" w:color="auto"/>
            <w:right w:val="none" w:sz="0" w:space="0" w:color="auto"/>
          </w:divBdr>
        </w:div>
        <w:div w:id="316153379">
          <w:marLeft w:val="0"/>
          <w:marRight w:val="0"/>
          <w:marTop w:val="0"/>
          <w:marBottom w:val="0"/>
          <w:divBdr>
            <w:top w:val="none" w:sz="0" w:space="0" w:color="auto"/>
            <w:left w:val="none" w:sz="0" w:space="0" w:color="auto"/>
            <w:bottom w:val="none" w:sz="0" w:space="0" w:color="auto"/>
            <w:right w:val="none" w:sz="0" w:space="0" w:color="auto"/>
          </w:divBdr>
          <w:divsChild>
            <w:div w:id="1170636739">
              <w:marLeft w:val="0"/>
              <w:marRight w:val="0"/>
              <w:marTop w:val="0"/>
              <w:marBottom w:val="0"/>
              <w:divBdr>
                <w:top w:val="none" w:sz="0" w:space="0" w:color="auto"/>
                <w:left w:val="none" w:sz="0" w:space="0" w:color="auto"/>
                <w:bottom w:val="none" w:sz="0" w:space="0" w:color="auto"/>
                <w:right w:val="none" w:sz="0" w:space="0" w:color="auto"/>
              </w:divBdr>
            </w:div>
          </w:divsChild>
        </w:div>
        <w:div w:id="1194073740">
          <w:marLeft w:val="0"/>
          <w:marRight w:val="0"/>
          <w:marTop w:val="0"/>
          <w:marBottom w:val="0"/>
          <w:divBdr>
            <w:top w:val="none" w:sz="0" w:space="0" w:color="auto"/>
            <w:left w:val="none" w:sz="0" w:space="0" w:color="auto"/>
            <w:bottom w:val="none" w:sz="0" w:space="0" w:color="auto"/>
            <w:right w:val="none" w:sz="0" w:space="0" w:color="auto"/>
          </w:divBdr>
        </w:div>
        <w:div w:id="1942376927">
          <w:marLeft w:val="0"/>
          <w:marRight w:val="0"/>
          <w:marTop w:val="0"/>
          <w:marBottom w:val="0"/>
          <w:divBdr>
            <w:top w:val="none" w:sz="0" w:space="0" w:color="auto"/>
            <w:left w:val="none" w:sz="0" w:space="0" w:color="auto"/>
            <w:bottom w:val="none" w:sz="0" w:space="0" w:color="auto"/>
            <w:right w:val="none" w:sz="0" w:space="0" w:color="auto"/>
          </w:divBdr>
        </w:div>
        <w:div w:id="1725522485">
          <w:marLeft w:val="0"/>
          <w:marRight w:val="0"/>
          <w:marTop w:val="0"/>
          <w:marBottom w:val="0"/>
          <w:divBdr>
            <w:top w:val="none" w:sz="0" w:space="0" w:color="auto"/>
            <w:left w:val="none" w:sz="0" w:space="0" w:color="auto"/>
            <w:bottom w:val="none" w:sz="0" w:space="0" w:color="auto"/>
            <w:right w:val="none" w:sz="0" w:space="0" w:color="auto"/>
          </w:divBdr>
        </w:div>
        <w:div w:id="993602949">
          <w:marLeft w:val="0"/>
          <w:marRight w:val="0"/>
          <w:marTop w:val="0"/>
          <w:marBottom w:val="0"/>
          <w:divBdr>
            <w:top w:val="none" w:sz="0" w:space="0" w:color="auto"/>
            <w:left w:val="none" w:sz="0" w:space="0" w:color="auto"/>
            <w:bottom w:val="none" w:sz="0" w:space="0" w:color="auto"/>
            <w:right w:val="none" w:sz="0" w:space="0" w:color="auto"/>
          </w:divBdr>
          <w:divsChild>
            <w:div w:id="607934452">
              <w:marLeft w:val="0"/>
              <w:marRight w:val="0"/>
              <w:marTop w:val="0"/>
              <w:marBottom w:val="0"/>
              <w:divBdr>
                <w:top w:val="none" w:sz="0" w:space="0" w:color="auto"/>
                <w:left w:val="none" w:sz="0" w:space="0" w:color="auto"/>
                <w:bottom w:val="none" w:sz="0" w:space="0" w:color="auto"/>
                <w:right w:val="none" w:sz="0" w:space="0" w:color="auto"/>
              </w:divBdr>
            </w:div>
          </w:divsChild>
        </w:div>
        <w:div w:id="1663849701">
          <w:marLeft w:val="0"/>
          <w:marRight w:val="0"/>
          <w:marTop w:val="0"/>
          <w:marBottom w:val="0"/>
          <w:divBdr>
            <w:top w:val="none" w:sz="0" w:space="0" w:color="auto"/>
            <w:left w:val="none" w:sz="0" w:space="0" w:color="auto"/>
            <w:bottom w:val="none" w:sz="0" w:space="0" w:color="auto"/>
            <w:right w:val="none" w:sz="0" w:space="0" w:color="auto"/>
          </w:divBdr>
        </w:div>
        <w:div w:id="1805542368">
          <w:marLeft w:val="0"/>
          <w:marRight w:val="0"/>
          <w:marTop w:val="0"/>
          <w:marBottom w:val="0"/>
          <w:divBdr>
            <w:top w:val="none" w:sz="0" w:space="0" w:color="auto"/>
            <w:left w:val="none" w:sz="0" w:space="0" w:color="auto"/>
            <w:bottom w:val="none" w:sz="0" w:space="0" w:color="auto"/>
            <w:right w:val="none" w:sz="0" w:space="0" w:color="auto"/>
          </w:divBdr>
        </w:div>
        <w:div w:id="594823782">
          <w:marLeft w:val="0"/>
          <w:marRight w:val="0"/>
          <w:marTop w:val="0"/>
          <w:marBottom w:val="0"/>
          <w:divBdr>
            <w:top w:val="none" w:sz="0" w:space="0" w:color="auto"/>
            <w:left w:val="none" w:sz="0" w:space="0" w:color="auto"/>
            <w:bottom w:val="none" w:sz="0" w:space="0" w:color="auto"/>
            <w:right w:val="none" w:sz="0" w:space="0" w:color="auto"/>
          </w:divBdr>
          <w:divsChild>
            <w:div w:id="576785473">
              <w:marLeft w:val="0"/>
              <w:marRight w:val="0"/>
              <w:marTop w:val="0"/>
              <w:marBottom w:val="0"/>
              <w:divBdr>
                <w:top w:val="none" w:sz="0" w:space="0" w:color="auto"/>
                <w:left w:val="none" w:sz="0" w:space="0" w:color="auto"/>
                <w:bottom w:val="none" w:sz="0" w:space="0" w:color="auto"/>
                <w:right w:val="none" w:sz="0" w:space="0" w:color="auto"/>
              </w:divBdr>
            </w:div>
          </w:divsChild>
        </w:div>
        <w:div w:id="1239906507">
          <w:marLeft w:val="0"/>
          <w:marRight w:val="0"/>
          <w:marTop w:val="0"/>
          <w:marBottom w:val="0"/>
          <w:divBdr>
            <w:top w:val="none" w:sz="0" w:space="0" w:color="auto"/>
            <w:left w:val="none" w:sz="0" w:space="0" w:color="auto"/>
            <w:bottom w:val="none" w:sz="0" w:space="0" w:color="auto"/>
            <w:right w:val="none" w:sz="0" w:space="0" w:color="auto"/>
          </w:divBdr>
        </w:div>
        <w:div w:id="1030759320">
          <w:marLeft w:val="0"/>
          <w:marRight w:val="0"/>
          <w:marTop w:val="0"/>
          <w:marBottom w:val="0"/>
          <w:divBdr>
            <w:top w:val="none" w:sz="0" w:space="0" w:color="auto"/>
            <w:left w:val="none" w:sz="0" w:space="0" w:color="auto"/>
            <w:bottom w:val="none" w:sz="0" w:space="0" w:color="auto"/>
            <w:right w:val="none" w:sz="0" w:space="0" w:color="auto"/>
          </w:divBdr>
        </w:div>
        <w:div w:id="1620798761">
          <w:marLeft w:val="0"/>
          <w:marRight w:val="0"/>
          <w:marTop w:val="0"/>
          <w:marBottom w:val="0"/>
          <w:divBdr>
            <w:top w:val="none" w:sz="0" w:space="0" w:color="auto"/>
            <w:left w:val="none" w:sz="0" w:space="0" w:color="auto"/>
            <w:bottom w:val="none" w:sz="0" w:space="0" w:color="auto"/>
            <w:right w:val="none" w:sz="0" w:space="0" w:color="auto"/>
          </w:divBdr>
          <w:divsChild>
            <w:div w:id="506091906">
              <w:marLeft w:val="0"/>
              <w:marRight w:val="0"/>
              <w:marTop w:val="0"/>
              <w:marBottom w:val="0"/>
              <w:divBdr>
                <w:top w:val="none" w:sz="0" w:space="0" w:color="auto"/>
                <w:left w:val="none" w:sz="0" w:space="0" w:color="auto"/>
                <w:bottom w:val="none" w:sz="0" w:space="0" w:color="auto"/>
                <w:right w:val="none" w:sz="0" w:space="0" w:color="auto"/>
              </w:divBdr>
            </w:div>
          </w:divsChild>
        </w:div>
        <w:div w:id="1908294593">
          <w:marLeft w:val="0"/>
          <w:marRight w:val="0"/>
          <w:marTop w:val="0"/>
          <w:marBottom w:val="0"/>
          <w:divBdr>
            <w:top w:val="none" w:sz="0" w:space="0" w:color="auto"/>
            <w:left w:val="none" w:sz="0" w:space="0" w:color="auto"/>
            <w:bottom w:val="none" w:sz="0" w:space="0" w:color="auto"/>
            <w:right w:val="none" w:sz="0" w:space="0" w:color="auto"/>
          </w:divBdr>
        </w:div>
        <w:div w:id="1778795565">
          <w:marLeft w:val="0"/>
          <w:marRight w:val="0"/>
          <w:marTop w:val="0"/>
          <w:marBottom w:val="0"/>
          <w:divBdr>
            <w:top w:val="none" w:sz="0" w:space="0" w:color="auto"/>
            <w:left w:val="none" w:sz="0" w:space="0" w:color="auto"/>
            <w:bottom w:val="none" w:sz="0" w:space="0" w:color="auto"/>
            <w:right w:val="none" w:sz="0" w:space="0" w:color="auto"/>
          </w:divBdr>
        </w:div>
        <w:div w:id="269313594">
          <w:marLeft w:val="0"/>
          <w:marRight w:val="0"/>
          <w:marTop w:val="0"/>
          <w:marBottom w:val="0"/>
          <w:divBdr>
            <w:top w:val="none" w:sz="0" w:space="0" w:color="auto"/>
            <w:left w:val="none" w:sz="0" w:space="0" w:color="auto"/>
            <w:bottom w:val="none" w:sz="0" w:space="0" w:color="auto"/>
            <w:right w:val="none" w:sz="0" w:space="0" w:color="auto"/>
          </w:divBdr>
        </w:div>
        <w:div w:id="236979273">
          <w:marLeft w:val="0"/>
          <w:marRight w:val="0"/>
          <w:marTop w:val="0"/>
          <w:marBottom w:val="0"/>
          <w:divBdr>
            <w:top w:val="none" w:sz="0" w:space="0" w:color="auto"/>
            <w:left w:val="none" w:sz="0" w:space="0" w:color="auto"/>
            <w:bottom w:val="none" w:sz="0" w:space="0" w:color="auto"/>
            <w:right w:val="none" w:sz="0" w:space="0" w:color="auto"/>
          </w:divBdr>
          <w:divsChild>
            <w:div w:id="1854106832">
              <w:marLeft w:val="0"/>
              <w:marRight w:val="0"/>
              <w:marTop w:val="0"/>
              <w:marBottom w:val="0"/>
              <w:divBdr>
                <w:top w:val="none" w:sz="0" w:space="0" w:color="auto"/>
                <w:left w:val="none" w:sz="0" w:space="0" w:color="auto"/>
                <w:bottom w:val="none" w:sz="0" w:space="0" w:color="auto"/>
                <w:right w:val="none" w:sz="0" w:space="0" w:color="auto"/>
              </w:divBdr>
            </w:div>
          </w:divsChild>
        </w:div>
        <w:div w:id="1665669983">
          <w:marLeft w:val="0"/>
          <w:marRight w:val="0"/>
          <w:marTop w:val="0"/>
          <w:marBottom w:val="0"/>
          <w:divBdr>
            <w:top w:val="none" w:sz="0" w:space="0" w:color="auto"/>
            <w:left w:val="none" w:sz="0" w:space="0" w:color="auto"/>
            <w:bottom w:val="none" w:sz="0" w:space="0" w:color="auto"/>
            <w:right w:val="none" w:sz="0" w:space="0" w:color="auto"/>
          </w:divBdr>
        </w:div>
        <w:div w:id="681784258">
          <w:marLeft w:val="0"/>
          <w:marRight w:val="0"/>
          <w:marTop w:val="0"/>
          <w:marBottom w:val="0"/>
          <w:divBdr>
            <w:top w:val="none" w:sz="0" w:space="0" w:color="auto"/>
            <w:left w:val="none" w:sz="0" w:space="0" w:color="auto"/>
            <w:bottom w:val="none" w:sz="0" w:space="0" w:color="auto"/>
            <w:right w:val="none" w:sz="0" w:space="0" w:color="auto"/>
          </w:divBdr>
        </w:div>
        <w:div w:id="16391449">
          <w:marLeft w:val="0"/>
          <w:marRight w:val="0"/>
          <w:marTop w:val="0"/>
          <w:marBottom w:val="0"/>
          <w:divBdr>
            <w:top w:val="none" w:sz="0" w:space="0" w:color="auto"/>
            <w:left w:val="none" w:sz="0" w:space="0" w:color="auto"/>
            <w:bottom w:val="none" w:sz="0" w:space="0" w:color="auto"/>
            <w:right w:val="none" w:sz="0" w:space="0" w:color="auto"/>
          </w:divBdr>
          <w:divsChild>
            <w:div w:id="808863158">
              <w:marLeft w:val="0"/>
              <w:marRight w:val="0"/>
              <w:marTop w:val="0"/>
              <w:marBottom w:val="0"/>
              <w:divBdr>
                <w:top w:val="none" w:sz="0" w:space="0" w:color="auto"/>
                <w:left w:val="none" w:sz="0" w:space="0" w:color="auto"/>
                <w:bottom w:val="none" w:sz="0" w:space="0" w:color="auto"/>
                <w:right w:val="none" w:sz="0" w:space="0" w:color="auto"/>
              </w:divBdr>
            </w:div>
          </w:divsChild>
        </w:div>
        <w:div w:id="1492259540">
          <w:marLeft w:val="0"/>
          <w:marRight w:val="0"/>
          <w:marTop w:val="0"/>
          <w:marBottom w:val="0"/>
          <w:divBdr>
            <w:top w:val="none" w:sz="0" w:space="0" w:color="auto"/>
            <w:left w:val="none" w:sz="0" w:space="0" w:color="auto"/>
            <w:bottom w:val="none" w:sz="0" w:space="0" w:color="auto"/>
            <w:right w:val="none" w:sz="0" w:space="0" w:color="auto"/>
          </w:divBdr>
        </w:div>
        <w:div w:id="1769934365">
          <w:marLeft w:val="0"/>
          <w:marRight w:val="0"/>
          <w:marTop w:val="0"/>
          <w:marBottom w:val="0"/>
          <w:divBdr>
            <w:top w:val="none" w:sz="0" w:space="0" w:color="auto"/>
            <w:left w:val="none" w:sz="0" w:space="0" w:color="auto"/>
            <w:bottom w:val="none" w:sz="0" w:space="0" w:color="auto"/>
            <w:right w:val="none" w:sz="0" w:space="0" w:color="auto"/>
          </w:divBdr>
        </w:div>
        <w:div w:id="1352222154">
          <w:marLeft w:val="0"/>
          <w:marRight w:val="0"/>
          <w:marTop w:val="0"/>
          <w:marBottom w:val="0"/>
          <w:divBdr>
            <w:top w:val="none" w:sz="0" w:space="0" w:color="auto"/>
            <w:left w:val="none" w:sz="0" w:space="0" w:color="auto"/>
            <w:bottom w:val="none" w:sz="0" w:space="0" w:color="auto"/>
            <w:right w:val="none" w:sz="0" w:space="0" w:color="auto"/>
          </w:divBdr>
          <w:divsChild>
            <w:div w:id="1881672540">
              <w:marLeft w:val="0"/>
              <w:marRight w:val="0"/>
              <w:marTop w:val="0"/>
              <w:marBottom w:val="0"/>
              <w:divBdr>
                <w:top w:val="none" w:sz="0" w:space="0" w:color="auto"/>
                <w:left w:val="none" w:sz="0" w:space="0" w:color="auto"/>
                <w:bottom w:val="none" w:sz="0" w:space="0" w:color="auto"/>
                <w:right w:val="none" w:sz="0" w:space="0" w:color="auto"/>
              </w:divBdr>
            </w:div>
          </w:divsChild>
        </w:div>
        <w:div w:id="1800490419">
          <w:marLeft w:val="0"/>
          <w:marRight w:val="0"/>
          <w:marTop w:val="0"/>
          <w:marBottom w:val="0"/>
          <w:divBdr>
            <w:top w:val="none" w:sz="0" w:space="0" w:color="auto"/>
            <w:left w:val="none" w:sz="0" w:space="0" w:color="auto"/>
            <w:bottom w:val="none" w:sz="0" w:space="0" w:color="auto"/>
            <w:right w:val="none" w:sz="0" w:space="0" w:color="auto"/>
          </w:divBdr>
        </w:div>
        <w:div w:id="1955820854">
          <w:marLeft w:val="0"/>
          <w:marRight w:val="0"/>
          <w:marTop w:val="0"/>
          <w:marBottom w:val="0"/>
          <w:divBdr>
            <w:top w:val="none" w:sz="0" w:space="0" w:color="auto"/>
            <w:left w:val="none" w:sz="0" w:space="0" w:color="auto"/>
            <w:bottom w:val="none" w:sz="0" w:space="0" w:color="auto"/>
            <w:right w:val="none" w:sz="0" w:space="0" w:color="auto"/>
          </w:divBdr>
        </w:div>
        <w:div w:id="1095055944">
          <w:marLeft w:val="0"/>
          <w:marRight w:val="0"/>
          <w:marTop w:val="0"/>
          <w:marBottom w:val="0"/>
          <w:divBdr>
            <w:top w:val="none" w:sz="0" w:space="0" w:color="auto"/>
            <w:left w:val="none" w:sz="0" w:space="0" w:color="auto"/>
            <w:bottom w:val="none" w:sz="0" w:space="0" w:color="auto"/>
            <w:right w:val="none" w:sz="0" w:space="0" w:color="auto"/>
          </w:divBdr>
          <w:divsChild>
            <w:div w:id="1314261254">
              <w:marLeft w:val="0"/>
              <w:marRight w:val="0"/>
              <w:marTop w:val="0"/>
              <w:marBottom w:val="0"/>
              <w:divBdr>
                <w:top w:val="none" w:sz="0" w:space="0" w:color="auto"/>
                <w:left w:val="none" w:sz="0" w:space="0" w:color="auto"/>
                <w:bottom w:val="none" w:sz="0" w:space="0" w:color="auto"/>
                <w:right w:val="none" w:sz="0" w:space="0" w:color="auto"/>
              </w:divBdr>
            </w:div>
          </w:divsChild>
        </w:div>
        <w:div w:id="1877615417">
          <w:marLeft w:val="0"/>
          <w:marRight w:val="0"/>
          <w:marTop w:val="0"/>
          <w:marBottom w:val="0"/>
          <w:divBdr>
            <w:top w:val="none" w:sz="0" w:space="0" w:color="auto"/>
            <w:left w:val="none" w:sz="0" w:space="0" w:color="auto"/>
            <w:bottom w:val="none" w:sz="0" w:space="0" w:color="auto"/>
            <w:right w:val="none" w:sz="0" w:space="0" w:color="auto"/>
          </w:divBdr>
        </w:div>
        <w:div w:id="1101947136">
          <w:marLeft w:val="0"/>
          <w:marRight w:val="0"/>
          <w:marTop w:val="0"/>
          <w:marBottom w:val="0"/>
          <w:divBdr>
            <w:top w:val="none" w:sz="0" w:space="0" w:color="auto"/>
            <w:left w:val="none" w:sz="0" w:space="0" w:color="auto"/>
            <w:bottom w:val="none" w:sz="0" w:space="0" w:color="auto"/>
            <w:right w:val="none" w:sz="0" w:space="0" w:color="auto"/>
          </w:divBdr>
        </w:div>
        <w:div w:id="864714323">
          <w:marLeft w:val="0"/>
          <w:marRight w:val="0"/>
          <w:marTop w:val="0"/>
          <w:marBottom w:val="0"/>
          <w:divBdr>
            <w:top w:val="none" w:sz="0" w:space="0" w:color="auto"/>
            <w:left w:val="none" w:sz="0" w:space="0" w:color="auto"/>
            <w:bottom w:val="none" w:sz="0" w:space="0" w:color="auto"/>
            <w:right w:val="none" w:sz="0" w:space="0" w:color="auto"/>
          </w:divBdr>
          <w:divsChild>
            <w:div w:id="1949773608">
              <w:marLeft w:val="0"/>
              <w:marRight w:val="0"/>
              <w:marTop w:val="0"/>
              <w:marBottom w:val="0"/>
              <w:divBdr>
                <w:top w:val="none" w:sz="0" w:space="0" w:color="auto"/>
                <w:left w:val="none" w:sz="0" w:space="0" w:color="auto"/>
                <w:bottom w:val="none" w:sz="0" w:space="0" w:color="auto"/>
                <w:right w:val="none" w:sz="0" w:space="0" w:color="auto"/>
              </w:divBdr>
            </w:div>
          </w:divsChild>
        </w:div>
        <w:div w:id="1709404452">
          <w:marLeft w:val="0"/>
          <w:marRight w:val="0"/>
          <w:marTop w:val="0"/>
          <w:marBottom w:val="0"/>
          <w:divBdr>
            <w:top w:val="none" w:sz="0" w:space="0" w:color="auto"/>
            <w:left w:val="none" w:sz="0" w:space="0" w:color="auto"/>
            <w:bottom w:val="none" w:sz="0" w:space="0" w:color="auto"/>
            <w:right w:val="none" w:sz="0" w:space="0" w:color="auto"/>
          </w:divBdr>
        </w:div>
        <w:div w:id="702947353">
          <w:marLeft w:val="0"/>
          <w:marRight w:val="0"/>
          <w:marTop w:val="0"/>
          <w:marBottom w:val="0"/>
          <w:divBdr>
            <w:top w:val="none" w:sz="0" w:space="0" w:color="auto"/>
            <w:left w:val="none" w:sz="0" w:space="0" w:color="auto"/>
            <w:bottom w:val="none" w:sz="0" w:space="0" w:color="auto"/>
            <w:right w:val="none" w:sz="0" w:space="0" w:color="auto"/>
          </w:divBdr>
        </w:div>
        <w:div w:id="563567699">
          <w:marLeft w:val="0"/>
          <w:marRight w:val="0"/>
          <w:marTop w:val="0"/>
          <w:marBottom w:val="0"/>
          <w:divBdr>
            <w:top w:val="none" w:sz="0" w:space="0" w:color="auto"/>
            <w:left w:val="none" w:sz="0" w:space="0" w:color="auto"/>
            <w:bottom w:val="none" w:sz="0" w:space="0" w:color="auto"/>
            <w:right w:val="none" w:sz="0" w:space="0" w:color="auto"/>
          </w:divBdr>
          <w:divsChild>
            <w:div w:id="1862742534">
              <w:marLeft w:val="0"/>
              <w:marRight w:val="0"/>
              <w:marTop w:val="0"/>
              <w:marBottom w:val="0"/>
              <w:divBdr>
                <w:top w:val="none" w:sz="0" w:space="0" w:color="auto"/>
                <w:left w:val="none" w:sz="0" w:space="0" w:color="auto"/>
                <w:bottom w:val="none" w:sz="0" w:space="0" w:color="auto"/>
                <w:right w:val="none" w:sz="0" w:space="0" w:color="auto"/>
              </w:divBdr>
            </w:div>
          </w:divsChild>
        </w:div>
        <w:div w:id="2016422713">
          <w:marLeft w:val="0"/>
          <w:marRight w:val="0"/>
          <w:marTop w:val="0"/>
          <w:marBottom w:val="0"/>
          <w:divBdr>
            <w:top w:val="none" w:sz="0" w:space="0" w:color="auto"/>
            <w:left w:val="none" w:sz="0" w:space="0" w:color="auto"/>
            <w:bottom w:val="none" w:sz="0" w:space="0" w:color="auto"/>
            <w:right w:val="none" w:sz="0" w:space="0" w:color="auto"/>
          </w:divBdr>
        </w:div>
        <w:div w:id="818691164">
          <w:marLeft w:val="0"/>
          <w:marRight w:val="0"/>
          <w:marTop w:val="0"/>
          <w:marBottom w:val="0"/>
          <w:divBdr>
            <w:top w:val="none" w:sz="0" w:space="0" w:color="auto"/>
            <w:left w:val="none" w:sz="0" w:space="0" w:color="auto"/>
            <w:bottom w:val="none" w:sz="0" w:space="0" w:color="auto"/>
            <w:right w:val="none" w:sz="0" w:space="0" w:color="auto"/>
          </w:divBdr>
        </w:div>
        <w:div w:id="863833512">
          <w:marLeft w:val="0"/>
          <w:marRight w:val="0"/>
          <w:marTop w:val="0"/>
          <w:marBottom w:val="0"/>
          <w:divBdr>
            <w:top w:val="none" w:sz="0" w:space="0" w:color="auto"/>
            <w:left w:val="none" w:sz="0" w:space="0" w:color="auto"/>
            <w:bottom w:val="none" w:sz="0" w:space="0" w:color="auto"/>
            <w:right w:val="none" w:sz="0" w:space="0" w:color="auto"/>
          </w:divBdr>
          <w:divsChild>
            <w:div w:id="520556770">
              <w:marLeft w:val="0"/>
              <w:marRight w:val="0"/>
              <w:marTop w:val="0"/>
              <w:marBottom w:val="0"/>
              <w:divBdr>
                <w:top w:val="none" w:sz="0" w:space="0" w:color="auto"/>
                <w:left w:val="none" w:sz="0" w:space="0" w:color="auto"/>
                <w:bottom w:val="none" w:sz="0" w:space="0" w:color="auto"/>
                <w:right w:val="none" w:sz="0" w:space="0" w:color="auto"/>
              </w:divBdr>
            </w:div>
          </w:divsChild>
        </w:div>
        <w:div w:id="2046247649">
          <w:marLeft w:val="0"/>
          <w:marRight w:val="0"/>
          <w:marTop w:val="0"/>
          <w:marBottom w:val="0"/>
          <w:divBdr>
            <w:top w:val="none" w:sz="0" w:space="0" w:color="auto"/>
            <w:left w:val="none" w:sz="0" w:space="0" w:color="auto"/>
            <w:bottom w:val="none" w:sz="0" w:space="0" w:color="auto"/>
            <w:right w:val="none" w:sz="0" w:space="0" w:color="auto"/>
          </w:divBdr>
        </w:div>
        <w:div w:id="1293049730">
          <w:marLeft w:val="0"/>
          <w:marRight w:val="0"/>
          <w:marTop w:val="0"/>
          <w:marBottom w:val="0"/>
          <w:divBdr>
            <w:top w:val="none" w:sz="0" w:space="0" w:color="auto"/>
            <w:left w:val="none" w:sz="0" w:space="0" w:color="auto"/>
            <w:bottom w:val="none" w:sz="0" w:space="0" w:color="auto"/>
            <w:right w:val="none" w:sz="0" w:space="0" w:color="auto"/>
          </w:divBdr>
        </w:div>
        <w:div w:id="1006834236">
          <w:marLeft w:val="0"/>
          <w:marRight w:val="0"/>
          <w:marTop w:val="0"/>
          <w:marBottom w:val="0"/>
          <w:divBdr>
            <w:top w:val="none" w:sz="0" w:space="0" w:color="auto"/>
            <w:left w:val="none" w:sz="0" w:space="0" w:color="auto"/>
            <w:bottom w:val="none" w:sz="0" w:space="0" w:color="auto"/>
            <w:right w:val="none" w:sz="0" w:space="0" w:color="auto"/>
          </w:divBdr>
          <w:divsChild>
            <w:div w:id="887424215">
              <w:marLeft w:val="0"/>
              <w:marRight w:val="0"/>
              <w:marTop w:val="0"/>
              <w:marBottom w:val="0"/>
              <w:divBdr>
                <w:top w:val="none" w:sz="0" w:space="0" w:color="auto"/>
                <w:left w:val="none" w:sz="0" w:space="0" w:color="auto"/>
                <w:bottom w:val="none" w:sz="0" w:space="0" w:color="auto"/>
                <w:right w:val="none" w:sz="0" w:space="0" w:color="auto"/>
              </w:divBdr>
            </w:div>
          </w:divsChild>
        </w:div>
        <w:div w:id="168764717">
          <w:marLeft w:val="0"/>
          <w:marRight w:val="0"/>
          <w:marTop w:val="0"/>
          <w:marBottom w:val="0"/>
          <w:divBdr>
            <w:top w:val="none" w:sz="0" w:space="0" w:color="auto"/>
            <w:left w:val="none" w:sz="0" w:space="0" w:color="auto"/>
            <w:bottom w:val="none" w:sz="0" w:space="0" w:color="auto"/>
            <w:right w:val="none" w:sz="0" w:space="0" w:color="auto"/>
          </w:divBdr>
        </w:div>
        <w:div w:id="1054543399">
          <w:marLeft w:val="0"/>
          <w:marRight w:val="0"/>
          <w:marTop w:val="0"/>
          <w:marBottom w:val="0"/>
          <w:divBdr>
            <w:top w:val="none" w:sz="0" w:space="0" w:color="auto"/>
            <w:left w:val="none" w:sz="0" w:space="0" w:color="auto"/>
            <w:bottom w:val="none" w:sz="0" w:space="0" w:color="auto"/>
            <w:right w:val="none" w:sz="0" w:space="0" w:color="auto"/>
          </w:divBdr>
        </w:div>
        <w:div w:id="1734309443">
          <w:marLeft w:val="0"/>
          <w:marRight w:val="0"/>
          <w:marTop w:val="0"/>
          <w:marBottom w:val="0"/>
          <w:divBdr>
            <w:top w:val="none" w:sz="0" w:space="0" w:color="auto"/>
            <w:left w:val="none" w:sz="0" w:space="0" w:color="auto"/>
            <w:bottom w:val="none" w:sz="0" w:space="0" w:color="auto"/>
            <w:right w:val="none" w:sz="0" w:space="0" w:color="auto"/>
          </w:divBdr>
          <w:divsChild>
            <w:div w:id="1780755962">
              <w:marLeft w:val="0"/>
              <w:marRight w:val="0"/>
              <w:marTop w:val="0"/>
              <w:marBottom w:val="0"/>
              <w:divBdr>
                <w:top w:val="none" w:sz="0" w:space="0" w:color="auto"/>
                <w:left w:val="none" w:sz="0" w:space="0" w:color="auto"/>
                <w:bottom w:val="none" w:sz="0" w:space="0" w:color="auto"/>
                <w:right w:val="none" w:sz="0" w:space="0" w:color="auto"/>
              </w:divBdr>
            </w:div>
          </w:divsChild>
        </w:div>
        <w:div w:id="557975886">
          <w:marLeft w:val="0"/>
          <w:marRight w:val="0"/>
          <w:marTop w:val="0"/>
          <w:marBottom w:val="0"/>
          <w:divBdr>
            <w:top w:val="none" w:sz="0" w:space="0" w:color="auto"/>
            <w:left w:val="none" w:sz="0" w:space="0" w:color="auto"/>
            <w:bottom w:val="none" w:sz="0" w:space="0" w:color="auto"/>
            <w:right w:val="none" w:sz="0" w:space="0" w:color="auto"/>
          </w:divBdr>
        </w:div>
        <w:div w:id="149832252">
          <w:marLeft w:val="0"/>
          <w:marRight w:val="0"/>
          <w:marTop w:val="0"/>
          <w:marBottom w:val="0"/>
          <w:divBdr>
            <w:top w:val="none" w:sz="0" w:space="0" w:color="auto"/>
            <w:left w:val="none" w:sz="0" w:space="0" w:color="auto"/>
            <w:bottom w:val="none" w:sz="0" w:space="0" w:color="auto"/>
            <w:right w:val="none" w:sz="0" w:space="0" w:color="auto"/>
          </w:divBdr>
        </w:div>
        <w:div w:id="426341659">
          <w:marLeft w:val="0"/>
          <w:marRight w:val="0"/>
          <w:marTop w:val="0"/>
          <w:marBottom w:val="0"/>
          <w:divBdr>
            <w:top w:val="none" w:sz="0" w:space="0" w:color="auto"/>
            <w:left w:val="none" w:sz="0" w:space="0" w:color="auto"/>
            <w:bottom w:val="none" w:sz="0" w:space="0" w:color="auto"/>
            <w:right w:val="none" w:sz="0" w:space="0" w:color="auto"/>
          </w:divBdr>
          <w:divsChild>
            <w:div w:id="625501368">
              <w:marLeft w:val="0"/>
              <w:marRight w:val="0"/>
              <w:marTop w:val="0"/>
              <w:marBottom w:val="0"/>
              <w:divBdr>
                <w:top w:val="none" w:sz="0" w:space="0" w:color="auto"/>
                <w:left w:val="none" w:sz="0" w:space="0" w:color="auto"/>
                <w:bottom w:val="none" w:sz="0" w:space="0" w:color="auto"/>
                <w:right w:val="none" w:sz="0" w:space="0" w:color="auto"/>
              </w:divBdr>
            </w:div>
          </w:divsChild>
        </w:div>
        <w:div w:id="729962969">
          <w:marLeft w:val="0"/>
          <w:marRight w:val="0"/>
          <w:marTop w:val="0"/>
          <w:marBottom w:val="0"/>
          <w:divBdr>
            <w:top w:val="none" w:sz="0" w:space="0" w:color="auto"/>
            <w:left w:val="none" w:sz="0" w:space="0" w:color="auto"/>
            <w:bottom w:val="none" w:sz="0" w:space="0" w:color="auto"/>
            <w:right w:val="none" w:sz="0" w:space="0" w:color="auto"/>
          </w:divBdr>
        </w:div>
        <w:div w:id="1969554590">
          <w:marLeft w:val="0"/>
          <w:marRight w:val="0"/>
          <w:marTop w:val="0"/>
          <w:marBottom w:val="0"/>
          <w:divBdr>
            <w:top w:val="none" w:sz="0" w:space="0" w:color="auto"/>
            <w:left w:val="none" w:sz="0" w:space="0" w:color="auto"/>
            <w:bottom w:val="none" w:sz="0" w:space="0" w:color="auto"/>
            <w:right w:val="none" w:sz="0" w:space="0" w:color="auto"/>
          </w:divBdr>
        </w:div>
        <w:div w:id="1960531355">
          <w:marLeft w:val="0"/>
          <w:marRight w:val="0"/>
          <w:marTop w:val="0"/>
          <w:marBottom w:val="0"/>
          <w:divBdr>
            <w:top w:val="none" w:sz="0" w:space="0" w:color="auto"/>
            <w:left w:val="none" w:sz="0" w:space="0" w:color="auto"/>
            <w:bottom w:val="none" w:sz="0" w:space="0" w:color="auto"/>
            <w:right w:val="none" w:sz="0" w:space="0" w:color="auto"/>
          </w:divBdr>
          <w:divsChild>
            <w:div w:id="1006902877">
              <w:marLeft w:val="0"/>
              <w:marRight w:val="0"/>
              <w:marTop w:val="0"/>
              <w:marBottom w:val="0"/>
              <w:divBdr>
                <w:top w:val="none" w:sz="0" w:space="0" w:color="auto"/>
                <w:left w:val="none" w:sz="0" w:space="0" w:color="auto"/>
                <w:bottom w:val="none" w:sz="0" w:space="0" w:color="auto"/>
                <w:right w:val="none" w:sz="0" w:space="0" w:color="auto"/>
              </w:divBdr>
            </w:div>
          </w:divsChild>
        </w:div>
        <w:div w:id="1207644389">
          <w:marLeft w:val="0"/>
          <w:marRight w:val="0"/>
          <w:marTop w:val="0"/>
          <w:marBottom w:val="0"/>
          <w:divBdr>
            <w:top w:val="none" w:sz="0" w:space="0" w:color="auto"/>
            <w:left w:val="none" w:sz="0" w:space="0" w:color="auto"/>
            <w:bottom w:val="none" w:sz="0" w:space="0" w:color="auto"/>
            <w:right w:val="none" w:sz="0" w:space="0" w:color="auto"/>
          </w:divBdr>
        </w:div>
        <w:div w:id="1607811017">
          <w:marLeft w:val="0"/>
          <w:marRight w:val="0"/>
          <w:marTop w:val="0"/>
          <w:marBottom w:val="0"/>
          <w:divBdr>
            <w:top w:val="none" w:sz="0" w:space="0" w:color="auto"/>
            <w:left w:val="none" w:sz="0" w:space="0" w:color="auto"/>
            <w:bottom w:val="none" w:sz="0" w:space="0" w:color="auto"/>
            <w:right w:val="none" w:sz="0" w:space="0" w:color="auto"/>
          </w:divBdr>
        </w:div>
        <w:div w:id="2106998968">
          <w:marLeft w:val="0"/>
          <w:marRight w:val="0"/>
          <w:marTop w:val="0"/>
          <w:marBottom w:val="0"/>
          <w:divBdr>
            <w:top w:val="none" w:sz="0" w:space="0" w:color="auto"/>
            <w:left w:val="none" w:sz="0" w:space="0" w:color="auto"/>
            <w:bottom w:val="none" w:sz="0" w:space="0" w:color="auto"/>
            <w:right w:val="none" w:sz="0" w:space="0" w:color="auto"/>
          </w:divBdr>
          <w:divsChild>
            <w:div w:id="634217959">
              <w:marLeft w:val="0"/>
              <w:marRight w:val="0"/>
              <w:marTop w:val="0"/>
              <w:marBottom w:val="0"/>
              <w:divBdr>
                <w:top w:val="none" w:sz="0" w:space="0" w:color="auto"/>
                <w:left w:val="none" w:sz="0" w:space="0" w:color="auto"/>
                <w:bottom w:val="none" w:sz="0" w:space="0" w:color="auto"/>
                <w:right w:val="none" w:sz="0" w:space="0" w:color="auto"/>
              </w:divBdr>
            </w:div>
          </w:divsChild>
        </w:div>
        <w:div w:id="2124954133">
          <w:marLeft w:val="0"/>
          <w:marRight w:val="0"/>
          <w:marTop w:val="0"/>
          <w:marBottom w:val="0"/>
          <w:divBdr>
            <w:top w:val="none" w:sz="0" w:space="0" w:color="auto"/>
            <w:left w:val="none" w:sz="0" w:space="0" w:color="auto"/>
            <w:bottom w:val="none" w:sz="0" w:space="0" w:color="auto"/>
            <w:right w:val="none" w:sz="0" w:space="0" w:color="auto"/>
          </w:divBdr>
        </w:div>
        <w:div w:id="1314604751">
          <w:marLeft w:val="0"/>
          <w:marRight w:val="0"/>
          <w:marTop w:val="0"/>
          <w:marBottom w:val="0"/>
          <w:divBdr>
            <w:top w:val="none" w:sz="0" w:space="0" w:color="auto"/>
            <w:left w:val="none" w:sz="0" w:space="0" w:color="auto"/>
            <w:bottom w:val="none" w:sz="0" w:space="0" w:color="auto"/>
            <w:right w:val="none" w:sz="0" w:space="0" w:color="auto"/>
          </w:divBdr>
        </w:div>
        <w:div w:id="244652416">
          <w:marLeft w:val="0"/>
          <w:marRight w:val="0"/>
          <w:marTop w:val="0"/>
          <w:marBottom w:val="0"/>
          <w:divBdr>
            <w:top w:val="none" w:sz="0" w:space="0" w:color="auto"/>
            <w:left w:val="none" w:sz="0" w:space="0" w:color="auto"/>
            <w:bottom w:val="none" w:sz="0" w:space="0" w:color="auto"/>
            <w:right w:val="none" w:sz="0" w:space="0" w:color="auto"/>
          </w:divBdr>
        </w:div>
        <w:div w:id="196554507">
          <w:marLeft w:val="0"/>
          <w:marRight w:val="0"/>
          <w:marTop w:val="0"/>
          <w:marBottom w:val="0"/>
          <w:divBdr>
            <w:top w:val="none" w:sz="0" w:space="0" w:color="auto"/>
            <w:left w:val="none" w:sz="0" w:space="0" w:color="auto"/>
            <w:bottom w:val="none" w:sz="0" w:space="0" w:color="auto"/>
            <w:right w:val="none" w:sz="0" w:space="0" w:color="auto"/>
          </w:divBdr>
          <w:divsChild>
            <w:div w:id="1418357831">
              <w:marLeft w:val="0"/>
              <w:marRight w:val="0"/>
              <w:marTop w:val="0"/>
              <w:marBottom w:val="0"/>
              <w:divBdr>
                <w:top w:val="none" w:sz="0" w:space="0" w:color="auto"/>
                <w:left w:val="none" w:sz="0" w:space="0" w:color="auto"/>
                <w:bottom w:val="none" w:sz="0" w:space="0" w:color="auto"/>
                <w:right w:val="none" w:sz="0" w:space="0" w:color="auto"/>
              </w:divBdr>
            </w:div>
          </w:divsChild>
        </w:div>
        <w:div w:id="1066878136">
          <w:marLeft w:val="0"/>
          <w:marRight w:val="0"/>
          <w:marTop w:val="0"/>
          <w:marBottom w:val="0"/>
          <w:divBdr>
            <w:top w:val="none" w:sz="0" w:space="0" w:color="auto"/>
            <w:left w:val="none" w:sz="0" w:space="0" w:color="auto"/>
            <w:bottom w:val="none" w:sz="0" w:space="0" w:color="auto"/>
            <w:right w:val="none" w:sz="0" w:space="0" w:color="auto"/>
          </w:divBdr>
        </w:div>
        <w:div w:id="1850942580">
          <w:marLeft w:val="0"/>
          <w:marRight w:val="0"/>
          <w:marTop w:val="0"/>
          <w:marBottom w:val="0"/>
          <w:divBdr>
            <w:top w:val="none" w:sz="0" w:space="0" w:color="auto"/>
            <w:left w:val="none" w:sz="0" w:space="0" w:color="auto"/>
            <w:bottom w:val="none" w:sz="0" w:space="0" w:color="auto"/>
            <w:right w:val="none" w:sz="0" w:space="0" w:color="auto"/>
          </w:divBdr>
        </w:div>
        <w:div w:id="367610652">
          <w:marLeft w:val="0"/>
          <w:marRight w:val="0"/>
          <w:marTop w:val="0"/>
          <w:marBottom w:val="0"/>
          <w:divBdr>
            <w:top w:val="none" w:sz="0" w:space="0" w:color="auto"/>
            <w:left w:val="none" w:sz="0" w:space="0" w:color="auto"/>
            <w:bottom w:val="none" w:sz="0" w:space="0" w:color="auto"/>
            <w:right w:val="none" w:sz="0" w:space="0" w:color="auto"/>
          </w:divBdr>
          <w:divsChild>
            <w:div w:id="310865985">
              <w:marLeft w:val="0"/>
              <w:marRight w:val="0"/>
              <w:marTop w:val="0"/>
              <w:marBottom w:val="0"/>
              <w:divBdr>
                <w:top w:val="none" w:sz="0" w:space="0" w:color="auto"/>
                <w:left w:val="none" w:sz="0" w:space="0" w:color="auto"/>
                <w:bottom w:val="none" w:sz="0" w:space="0" w:color="auto"/>
                <w:right w:val="none" w:sz="0" w:space="0" w:color="auto"/>
              </w:divBdr>
            </w:div>
          </w:divsChild>
        </w:div>
        <w:div w:id="2111004026">
          <w:marLeft w:val="0"/>
          <w:marRight w:val="0"/>
          <w:marTop w:val="0"/>
          <w:marBottom w:val="0"/>
          <w:divBdr>
            <w:top w:val="none" w:sz="0" w:space="0" w:color="auto"/>
            <w:left w:val="none" w:sz="0" w:space="0" w:color="auto"/>
            <w:bottom w:val="none" w:sz="0" w:space="0" w:color="auto"/>
            <w:right w:val="none" w:sz="0" w:space="0" w:color="auto"/>
          </w:divBdr>
        </w:div>
        <w:div w:id="1138452797">
          <w:marLeft w:val="0"/>
          <w:marRight w:val="0"/>
          <w:marTop w:val="0"/>
          <w:marBottom w:val="0"/>
          <w:divBdr>
            <w:top w:val="none" w:sz="0" w:space="0" w:color="auto"/>
            <w:left w:val="none" w:sz="0" w:space="0" w:color="auto"/>
            <w:bottom w:val="none" w:sz="0" w:space="0" w:color="auto"/>
            <w:right w:val="none" w:sz="0" w:space="0" w:color="auto"/>
          </w:divBdr>
        </w:div>
        <w:div w:id="1093628531">
          <w:marLeft w:val="0"/>
          <w:marRight w:val="0"/>
          <w:marTop w:val="0"/>
          <w:marBottom w:val="0"/>
          <w:divBdr>
            <w:top w:val="none" w:sz="0" w:space="0" w:color="auto"/>
            <w:left w:val="none" w:sz="0" w:space="0" w:color="auto"/>
            <w:bottom w:val="none" w:sz="0" w:space="0" w:color="auto"/>
            <w:right w:val="none" w:sz="0" w:space="0" w:color="auto"/>
          </w:divBdr>
          <w:divsChild>
            <w:div w:id="1994018773">
              <w:marLeft w:val="0"/>
              <w:marRight w:val="0"/>
              <w:marTop w:val="0"/>
              <w:marBottom w:val="0"/>
              <w:divBdr>
                <w:top w:val="none" w:sz="0" w:space="0" w:color="auto"/>
                <w:left w:val="none" w:sz="0" w:space="0" w:color="auto"/>
                <w:bottom w:val="none" w:sz="0" w:space="0" w:color="auto"/>
                <w:right w:val="none" w:sz="0" w:space="0" w:color="auto"/>
              </w:divBdr>
            </w:div>
          </w:divsChild>
        </w:div>
        <w:div w:id="1655865259">
          <w:marLeft w:val="0"/>
          <w:marRight w:val="0"/>
          <w:marTop w:val="0"/>
          <w:marBottom w:val="0"/>
          <w:divBdr>
            <w:top w:val="none" w:sz="0" w:space="0" w:color="auto"/>
            <w:left w:val="none" w:sz="0" w:space="0" w:color="auto"/>
            <w:bottom w:val="none" w:sz="0" w:space="0" w:color="auto"/>
            <w:right w:val="none" w:sz="0" w:space="0" w:color="auto"/>
          </w:divBdr>
        </w:div>
        <w:div w:id="1667513409">
          <w:marLeft w:val="0"/>
          <w:marRight w:val="0"/>
          <w:marTop w:val="0"/>
          <w:marBottom w:val="0"/>
          <w:divBdr>
            <w:top w:val="none" w:sz="0" w:space="0" w:color="auto"/>
            <w:left w:val="none" w:sz="0" w:space="0" w:color="auto"/>
            <w:bottom w:val="none" w:sz="0" w:space="0" w:color="auto"/>
            <w:right w:val="none" w:sz="0" w:space="0" w:color="auto"/>
          </w:divBdr>
        </w:div>
      </w:divsChild>
    </w:div>
    <w:div w:id="622273793">
      <w:bodyDiv w:val="1"/>
      <w:marLeft w:val="0"/>
      <w:marRight w:val="0"/>
      <w:marTop w:val="0"/>
      <w:marBottom w:val="0"/>
      <w:divBdr>
        <w:top w:val="none" w:sz="0" w:space="0" w:color="auto"/>
        <w:left w:val="none" w:sz="0" w:space="0" w:color="auto"/>
        <w:bottom w:val="none" w:sz="0" w:space="0" w:color="auto"/>
        <w:right w:val="none" w:sz="0" w:space="0" w:color="auto"/>
      </w:divBdr>
      <w:divsChild>
        <w:div w:id="376663738">
          <w:marLeft w:val="0"/>
          <w:marRight w:val="0"/>
          <w:marTop w:val="150"/>
          <w:marBottom w:val="0"/>
          <w:divBdr>
            <w:top w:val="none" w:sz="0" w:space="0" w:color="auto"/>
            <w:left w:val="none" w:sz="0" w:space="0" w:color="auto"/>
            <w:bottom w:val="none" w:sz="0" w:space="0" w:color="auto"/>
            <w:right w:val="none" w:sz="0" w:space="0" w:color="auto"/>
          </w:divBdr>
          <w:divsChild>
            <w:div w:id="1730302048">
              <w:marLeft w:val="0"/>
              <w:marRight w:val="0"/>
              <w:marTop w:val="0"/>
              <w:marBottom w:val="0"/>
              <w:divBdr>
                <w:top w:val="none" w:sz="0" w:space="0" w:color="auto"/>
                <w:left w:val="none" w:sz="0" w:space="0" w:color="auto"/>
                <w:bottom w:val="none" w:sz="0" w:space="0" w:color="auto"/>
                <w:right w:val="none" w:sz="0" w:space="0" w:color="auto"/>
              </w:divBdr>
            </w:div>
            <w:div w:id="481585236">
              <w:marLeft w:val="0"/>
              <w:marRight w:val="0"/>
              <w:marTop w:val="0"/>
              <w:marBottom w:val="0"/>
              <w:divBdr>
                <w:top w:val="none" w:sz="0" w:space="0" w:color="auto"/>
                <w:left w:val="none" w:sz="0" w:space="0" w:color="auto"/>
                <w:bottom w:val="none" w:sz="0" w:space="0" w:color="auto"/>
                <w:right w:val="none" w:sz="0" w:space="0" w:color="auto"/>
              </w:divBdr>
            </w:div>
          </w:divsChild>
        </w:div>
        <w:div w:id="784663045">
          <w:marLeft w:val="0"/>
          <w:marRight w:val="0"/>
          <w:marTop w:val="0"/>
          <w:marBottom w:val="0"/>
          <w:divBdr>
            <w:top w:val="none" w:sz="0" w:space="0" w:color="auto"/>
            <w:left w:val="none" w:sz="0" w:space="0" w:color="auto"/>
            <w:bottom w:val="none" w:sz="0" w:space="0" w:color="auto"/>
            <w:right w:val="none" w:sz="0" w:space="0" w:color="auto"/>
          </w:divBdr>
          <w:divsChild>
            <w:div w:id="1982299763">
              <w:marLeft w:val="0"/>
              <w:marRight w:val="0"/>
              <w:marTop w:val="0"/>
              <w:marBottom w:val="0"/>
              <w:divBdr>
                <w:top w:val="none" w:sz="0" w:space="0" w:color="auto"/>
                <w:left w:val="none" w:sz="0" w:space="0" w:color="auto"/>
                <w:bottom w:val="none" w:sz="0" w:space="0" w:color="auto"/>
                <w:right w:val="none" w:sz="0" w:space="0" w:color="auto"/>
              </w:divBdr>
              <w:divsChild>
                <w:div w:id="1220940427">
                  <w:marLeft w:val="0"/>
                  <w:marRight w:val="0"/>
                  <w:marTop w:val="0"/>
                  <w:marBottom w:val="0"/>
                  <w:divBdr>
                    <w:top w:val="none" w:sz="0" w:space="0" w:color="auto"/>
                    <w:left w:val="none" w:sz="0" w:space="0" w:color="auto"/>
                    <w:bottom w:val="none" w:sz="0" w:space="0" w:color="auto"/>
                    <w:right w:val="none" w:sz="0" w:space="0" w:color="auto"/>
                  </w:divBdr>
                  <w:divsChild>
                    <w:div w:id="104468200">
                      <w:marLeft w:val="0"/>
                      <w:marRight w:val="0"/>
                      <w:marTop w:val="0"/>
                      <w:marBottom w:val="0"/>
                      <w:divBdr>
                        <w:top w:val="none" w:sz="0" w:space="0" w:color="auto"/>
                        <w:left w:val="none" w:sz="0" w:space="0" w:color="auto"/>
                        <w:bottom w:val="none" w:sz="0" w:space="0" w:color="auto"/>
                        <w:right w:val="none" w:sz="0" w:space="0" w:color="auto"/>
                      </w:divBdr>
                    </w:div>
                    <w:div w:id="2015183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5250547">
          <w:marLeft w:val="0"/>
          <w:marRight w:val="0"/>
          <w:marTop w:val="390"/>
          <w:marBottom w:val="0"/>
          <w:divBdr>
            <w:top w:val="none" w:sz="0" w:space="0" w:color="auto"/>
            <w:left w:val="none" w:sz="0" w:space="0" w:color="auto"/>
            <w:bottom w:val="none" w:sz="0" w:space="0" w:color="auto"/>
            <w:right w:val="none" w:sz="0" w:space="0" w:color="auto"/>
          </w:divBdr>
          <w:divsChild>
            <w:div w:id="133838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2709155">
      <w:bodyDiv w:val="1"/>
      <w:marLeft w:val="0"/>
      <w:marRight w:val="0"/>
      <w:marTop w:val="0"/>
      <w:marBottom w:val="0"/>
      <w:divBdr>
        <w:top w:val="none" w:sz="0" w:space="0" w:color="auto"/>
        <w:left w:val="none" w:sz="0" w:space="0" w:color="auto"/>
        <w:bottom w:val="none" w:sz="0" w:space="0" w:color="auto"/>
        <w:right w:val="none" w:sz="0" w:space="0" w:color="auto"/>
      </w:divBdr>
    </w:div>
    <w:div w:id="643513253">
      <w:bodyDiv w:val="1"/>
      <w:marLeft w:val="0"/>
      <w:marRight w:val="0"/>
      <w:marTop w:val="0"/>
      <w:marBottom w:val="0"/>
      <w:divBdr>
        <w:top w:val="none" w:sz="0" w:space="0" w:color="auto"/>
        <w:left w:val="none" w:sz="0" w:space="0" w:color="auto"/>
        <w:bottom w:val="none" w:sz="0" w:space="0" w:color="auto"/>
        <w:right w:val="none" w:sz="0" w:space="0" w:color="auto"/>
      </w:divBdr>
    </w:div>
    <w:div w:id="646204785">
      <w:bodyDiv w:val="1"/>
      <w:marLeft w:val="0"/>
      <w:marRight w:val="0"/>
      <w:marTop w:val="0"/>
      <w:marBottom w:val="0"/>
      <w:divBdr>
        <w:top w:val="none" w:sz="0" w:space="0" w:color="auto"/>
        <w:left w:val="none" w:sz="0" w:space="0" w:color="auto"/>
        <w:bottom w:val="none" w:sz="0" w:space="0" w:color="auto"/>
        <w:right w:val="none" w:sz="0" w:space="0" w:color="auto"/>
      </w:divBdr>
      <w:divsChild>
        <w:div w:id="1207058939">
          <w:marLeft w:val="0"/>
          <w:marRight w:val="0"/>
          <w:marTop w:val="0"/>
          <w:marBottom w:val="120"/>
          <w:divBdr>
            <w:top w:val="none" w:sz="0" w:space="0" w:color="auto"/>
            <w:left w:val="none" w:sz="0" w:space="0" w:color="auto"/>
            <w:bottom w:val="none" w:sz="0" w:space="0" w:color="auto"/>
            <w:right w:val="none" w:sz="0" w:space="0" w:color="auto"/>
          </w:divBdr>
          <w:divsChild>
            <w:div w:id="386732973">
              <w:marLeft w:val="0"/>
              <w:marRight w:val="0"/>
              <w:marTop w:val="0"/>
              <w:marBottom w:val="0"/>
              <w:divBdr>
                <w:top w:val="none" w:sz="0" w:space="0" w:color="auto"/>
                <w:left w:val="none" w:sz="0" w:space="0" w:color="auto"/>
                <w:bottom w:val="none" w:sz="0" w:space="0" w:color="auto"/>
                <w:right w:val="none" w:sz="0" w:space="0" w:color="auto"/>
              </w:divBdr>
              <w:divsChild>
                <w:div w:id="10883187">
                  <w:marLeft w:val="0"/>
                  <w:marRight w:val="0"/>
                  <w:marTop w:val="0"/>
                  <w:marBottom w:val="0"/>
                  <w:divBdr>
                    <w:top w:val="none" w:sz="0" w:space="0" w:color="auto"/>
                    <w:left w:val="none" w:sz="0" w:space="0" w:color="auto"/>
                    <w:bottom w:val="none" w:sz="0" w:space="0" w:color="auto"/>
                    <w:right w:val="none" w:sz="0" w:space="0" w:color="auto"/>
                  </w:divBdr>
                  <w:divsChild>
                    <w:div w:id="2005087482">
                      <w:marLeft w:val="0"/>
                      <w:marRight w:val="0"/>
                      <w:marTop w:val="0"/>
                      <w:marBottom w:val="330"/>
                      <w:divBdr>
                        <w:top w:val="none" w:sz="0" w:space="0" w:color="auto"/>
                        <w:left w:val="none" w:sz="0" w:space="0" w:color="auto"/>
                        <w:bottom w:val="none" w:sz="0" w:space="0" w:color="auto"/>
                        <w:right w:val="none" w:sz="0" w:space="0" w:color="auto"/>
                      </w:divBdr>
                    </w:div>
                  </w:divsChild>
                </w:div>
                <w:div w:id="99766345">
                  <w:marLeft w:val="-45"/>
                  <w:marRight w:val="0"/>
                  <w:marTop w:val="0"/>
                  <w:marBottom w:val="75"/>
                  <w:divBdr>
                    <w:top w:val="none" w:sz="0" w:space="0" w:color="auto"/>
                    <w:left w:val="none" w:sz="0" w:space="0" w:color="auto"/>
                    <w:bottom w:val="none" w:sz="0" w:space="0" w:color="auto"/>
                    <w:right w:val="none" w:sz="0" w:space="0" w:color="auto"/>
                  </w:divBdr>
                </w:div>
              </w:divsChild>
            </w:div>
            <w:div w:id="1797403573">
              <w:marLeft w:val="0"/>
              <w:marRight w:val="0"/>
              <w:marTop w:val="0"/>
              <w:marBottom w:val="0"/>
              <w:divBdr>
                <w:top w:val="none" w:sz="0" w:space="0" w:color="auto"/>
                <w:left w:val="none" w:sz="0" w:space="0" w:color="auto"/>
                <w:bottom w:val="single" w:sz="6" w:space="0" w:color="000000"/>
                <w:right w:val="none" w:sz="0" w:space="0" w:color="auto"/>
              </w:divBdr>
              <w:divsChild>
                <w:div w:id="359279344">
                  <w:marLeft w:val="0"/>
                  <w:marRight w:val="0"/>
                  <w:marTop w:val="0"/>
                  <w:marBottom w:val="0"/>
                  <w:divBdr>
                    <w:top w:val="none" w:sz="0" w:space="0" w:color="auto"/>
                    <w:left w:val="none" w:sz="0" w:space="0" w:color="auto"/>
                    <w:bottom w:val="none" w:sz="0" w:space="0" w:color="auto"/>
                    <w:right w:val="none" w:sz="0" w:space="0" w:color="auto"/>
                  </w:divBdr>
                  <w:divsChild>
                    <w:div w:id="1121415620">
                      <w:marLeft w:val="0"/>
                      <w:marRight w:val="0"/>
                      <w:marTop w:val="0"/>
                      <w:marBottom w:val="0"/>
                      <w:divBdr>
                        <w:top w:val="none" w:sz="0" w:space="0" w:color="auto"/>
                        <w:left w:val="none" w:sz="0" w:space="0" w:color="auto"/>
                        <w:bottom w:val="none" w:sz="0" w:space="0" w:color="auto"/>
                        <w:right w:val="none" w:sz="0" w:space="0" w:color="auto"/>
                      </w:divBdr>
                      <w:divsChild>
                        <w:div w:id="1681544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6393133">
                  <w:marLeft w:val="0"/>
                  <w:marRight w:val="0"/>
                  <w:marTop w:val="0"/>
                  <w:marBottom w:val="0"/>
                  <w:divBdr>
                    <w:top w:val="none" w:sz="0" w:space="0" w:color="auto"/>
                    <w:left w:val="none" w:sz="0" w:space="0" w:color="auto"/>
                    <w:bottom w:val="none" w:sz="0" w:space="0" w:color="auto"/>
                    <w:right w:val="none" w:sz="0" w:space="0" w:color="auto"/>
                  </w:divBdr>
                  <w:divsChild>
                    <w:div w:id="2120952010">
                      <w:marLeft w:val="0"/>
                      <w:marRight w:val="0"/>
                      <w:marTop w:val="0"/>
                      <w:marBottom w:val="0"/>
                      <w:divBdr>
                        <w:top w:val="none" w:sz="0" w:space="0" w:color="auto"/>
                        <w:left w:val="none" w:sz="0" w:space="0" w:color="auto"/>
                        <w:bottom w:val="none" w:sz="0" w:space="0" w:color="auto"/>
                        <w:right w:val="none" w:sz="0" w:space="0" w:color="auto"/>
                      </w:divBdr>
                      <w:divsChild>
                        <w:div w:id="1299457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2224281">
          <w:marLeft w:val="0"/>
          <w:marRight w:val="0"/>
          <w:marTop w:val="0"/>
          <w:marBottom w:val="0"/>
          <w:divBdr>
            <w:top w:val="none" w:sz="0" w:space="0" w:color="auto"/>
            <w:left w:val="none" w:sz="0" w:space="0" w:color="auto"/>
            <w:bottom w:val="none" w:sz="0" w:space="0" w:color="auto"/>
            <w:right w:val="none" w:sz="0" w:space="0" w:color="auto"/>
          </w:divBdr>
        </w:div>
        <w:div w:id="1668097669">
          <w:marLeft w:val="0"/>
          <w:marRight w:val="0"/>
          <w:marTop w:val="0"/>
          <w:marBottom w:val="0"/>
          <w:divBdr>
            <w:top w:val="none" w:sz="0" w:space="0" w:color="auto"/>
            <w:left w:val="none" w:sz="0" w:space="0" w:color="auto"/>
            <w:bottom w:val="none" w:sz="0" w:space="0" w:color="auto"/>
            <w:right w:val="none" w:sz="0" w:space="0" w:color="auto"/>
          </w:divBdr>
          <w:divsChild>
            <w:div w:id="1324427703">
              <w:marLeft w:val="0"/>
              <w:marRight w:val="0"/>
              <w:marTop w:val="0"/>
              <w:marBottom w:val="120"/>
              <w:divBdr>
                <w:top w:val="none" w:sz="0" w:space="0" w:color="auto"/>
                <w:left w:val="none" w:sz="0" w:space="0" w:color="auto"/>
                <w:bottom w:val="none" w:sz="0" w:space="0" w:color="auto"/>
                <w:right w:val="none" w:sz="0" w:space="0" w:color="auto"/>
              </w:divBdr>
              <w:divsChild>
                <w:div w:id="1716660068">
                  <w:marLeft w:val="0"/>
                  <w:marRight w:val="0"/>
                  <w:marTop w:val="0"/>
                  <w:marBottom w:val="0"/>
                  <w:divBdr>
                    <w:top w:val="none" w:sz="0" w:space="0" w:color="auto"/>
                    <w:left w:val="none" w:sz="0" w:space="0" w:color="auto"/>
                    <w:bottom w:val="none" w:sz="0" w:space="0" w:color="auto"/>
                    <w:right w:val="none" w:sz="0" w:space="0" w:color="auto"/>
                  </w:divBdr>
                </w:div>
                <w:div w:id="1043752186">
                  <w:marLeft w:val="0"/>
                  <w:marRight w:val="0"/>
                  <w:marTop w:val="0"/>
                  <w:marBottom w:val="0"/>
                  <w:divBdr>
                    <w:top w:val="none" w:sz="0" w:space="0" w:color="auto"/>
                    <w:left w:val="none" w:sz="0" w:space="0" w:color="auto"/>
                    <w:bottom w:val="none" w:sz="0" w:space="0" w:color="auto"/>
                    <w:right w:val="none" w:sz="0" w:space="0" w:color="auto"/>
                  </w:divBdr>
                </w:div>
                <w:div w:id="1954510528">
                  <w:marLeft w:val="0"/>
                  <w:marRight w:val="0"/>
                  <w:marTop w:val="0"/>
                  <w:marBottom w:val="0"/>
                  <w:divBdr>
                    <w:top w:val="none" w:sz="0" w:space="0" w:color="auto"/>
                    <w:left w:val="none" w:sz="0" w:space="0" w:color="auto"/>
                    <w:bottom w:val="none" w:sz="0" w:space="0" w:color="auto"/>
                    <w:right w:val="none" w:sz="0" w:space="0" w:color="auto"/>
                  </w:divBdr>
                </w:div>
                <w:div w:id="1196121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8940911">
          <w:marLeft w:val="0"/>
          <w:marRight w:val="0"/>
          <w:marTop w:val="0"/>
          <w:marBottom w:val="0"/>
          <w:divBdr>
            <w:top w:val="none" w:sz="0" w:space="0" w:color="auto"/>
            <w:left w:val="none" w:sz="0" w:space="0" w:color="auto"/>
            <w:bottom w:val="none" w:sz="0" w:space="0" w:color="auto"/>
            <w:right w:val="none" w:sz="0" w:space="0" w:color="auto"/>
          </w:divBdr>
          <w:divsChild>
            <w:div w:id="399137317">
              <w:marLeft w:val="0"/>
              <w:marRight w:val="0"/>
              <w:marTop w:val="0"/>
              <w:marBottom w:val="0"/>
              <w:divBdr>
                <w:top w:val="none" w:sz="0" w:space="0" w:color="auto"/>
                <w:left w:val="none" w:sz="0" w:space="0" w:color="auto"/>
                <w:bottom w:val="none" w:sz="0" w:space="0" w:color="auto"/>
                <w:right w:val="none" w:sz="0" w:space="0" w:color="auto"/>
              </w:divBdr>
              <w:divsChild>
                <w:div w:id="731777390">
                  <w:marLeft w:val="0"/>
                  <w:marRight w:val="0"/>
                  <w:marTop w:val="0"/>
                  <w:marBottom w:val="0"/>
                  <w:divBdr>
                    <w:top w:val="none" w:sz="0" w:space="0" w:color="auto"/>
                    <w:left w:val="none" w:sz="0" w:space="0" w:color="auto"/>
                    <w:bottom w:val="none" w:sz="0" w:space="0" w:color="auto"/>
                    <w:right w:val="none" w:sz="0" w:space="0" w:color="auto"/>
                  </w:divBdr>
                </w:div>
                <w:div w:id="2077975319">
                  <w:marLeft w:val="0"/>
                  <w:marRight w:val="0"/>
                  <w:marTop w:val="0"/>
                  <w:marBottom w:val="0"/>
                  <w:divBdr>
                    <w:top w:val="none" w:sz="0" w:space="0" w:color="auto"/>
                    <w:left w:val="none" w:sz="0" w:space="0" w:color="auto"/>
                    <w:bottom w:val="none" w:sz="0" w:space="0" w:color="auto"/>
                    <w:right w:val="none" w:sz="0" w:space="0" w:color="auto"/>
                  </w:divBdr>
                  <w:divsChild>
                    <w:div w:id="1591697268">
                      <w:marLeft w:val="0"/>
                      <w:marRight w:val="0"/>
                      <w:marTop w:val="240"/>
                      <w:marBottom w:val="240"/>
                      <w:divBdr>
                        <w:top w:val="single" w:sz="12" w:space="0" w:color="EBEBEB"/>
                        <w:left w:val="none" w:sz="0" w:space="0" w:color="auto"/>
                        <w:bottom w:val="single" w:sz="12" w:space="0" w:color="EBEBEB"/>
                        <w:right w:val="none" w:sz="0" w:space="0" w:color="auto"/>
                      </w:divBdr>
                      <w:divsChild>
                        <w:div w:id="18232248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919752422">
                  <w:marLeft w:val="0"/>
                  <w:marRight w:val="0"/>
                  <w:marTop w:val="0"/>
                  <w:marBottom w:val="0"/>
                  <w:divBdr>
                    <w:top w:val="none" w:sz="0" w:space="0" w:color="auto"/>
                    <w:left w:val="none" w:sz="0" w:space="0" w:color="auto"/>
                    <w:bottom w:val="none" w:sz="0" w:space="0" w:color="auto"/>
                    <w:right w:val="none" w:sz="0" w:space="0" w:color="auto"/>
                  </w:divBdr>
                  <w:divsChild>
                    <w:div w:id="1706103352">
                      <w:marLeft w:val="0"/>
                      <w:marRight w:val="0"/>
                      <w:marTop w:val="240"/>
                      <w:marBottom w:val="240"/>
                      <w:divBdr>
                        <w:top w:val="single" w:sz="12" w:space="0" w:color="EBEBEB"/>
                        <w:left w:val="none" w:sz="0" w:space="0" w:color="auto"/>
                        <w:bottom w:val="single" w:sz="12" w:space="0" w:color="EBEBEB"/>
                        <w:right w:val="none" w:sz="0" w:space="0" w:color="auto"/>
                      </w:divBdr>
                      <w:divsChild>
                        <w:div w:id="156730150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334142106">
                  <w:marLeft w:val="0"/>
                  <w:marRight w:val="0"/>
                  <w:marTop w:val="0"/>
                  <w:marBottom w:val="0"/>
                  <w:divBdr>
                    <w:top w:val="none" w:sz="0" w:space="0" w:color="auto"/>
                    <w:left w:val="none" w:sz="0" w:space="0" w:color="auto"/>
                    <w:bottom w:val="none" w:sz="0" w:space="0" w:color="auto"/>
                    <w:right w:val="none" w:sz="0" w:space="0" w:color="auto"/>
                  </w:divBdr>
                  <w:divsChild>
                    <w:div w:id="2103908906">
                      <w:marLeft w:val="0"/>
                      <w:marRight w:val="0"/>
                      <w:marTop w:val="240"/>
                      <w:marBottom w:val="240"/>
                      <w:divBdr>
                        <w:top w:val="single" w:sz="12" w:space="0" w:color="EBEBEB"/>
                        <w:left w:val="none" w:sz="0" w:space="0" w:color="auto"/>
                        <w:bottom w:val="single" w:sz="12" w:space="0" w:color="EBEBEB"/>
                        <w:right w:val="none" w:sz="0" w:space="0" w:color="auto"/>
                      </w:divBdr>
                      <w:divsChild>
                        <w:div w:id="61113014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720200078">
          <w:marLeft w:val="0"/>
          <w:marRight w:val="0"/>
          <w:marTop w:val="0"/>
          <w:marBottom w:val="120"/>
          <w:divBdr>
            <w:top w:val="none" w:sz="0" w:space="0" w:color="auto"/>
            <w:left w:val="none" w:sz="0" w:space="0" w:color="auto"/>
            <w:bottom w:val="none" w:sz="0" w:space="0" w:color="auto"/>
            <w:right w:val="none" w:sz="0" w:space="0" w:color="auto"/>
          </w:divBdr>
          <w:divsChild>
            <w:div w:id="562983553">
              <w:marLeft w:val="0"/>
              <w:marRight w:val="0"/>
              <w:marTop w:val="0"/>
              <w:marBottom w:val="240"/>
              <w:divBdr>
                <w:top w:val="none" w:sz="0" w:space="0" w:color="auto"/>
                <w:left w:val="none" w:sz="0" w:space="0" w:color="auto"/>
                <w:bottom w:val="none" w:sz="0" w:space="0" w:color="auto"/>
                <w:right w:val="none" w:sz="0" w:space="0" w:color="auto"/>
              </w:divBdr>
              <w:divsChild>
                <w:div w:id="877931287">
                  <w:marLeft w:val="0"/>
                  <w:marRight w:val="0"/>
                  <w:marTop w:val="0"/>
                  <w:marBottom w:val="0"/>
                  <w:divBdr>
                    <w:top w:val="none" w:sz="0" w:space="0" w:color="auto"/>
                    <w:left w:val="none" w:sz="0" w:space="0" w:color="auto"/>
                    <w:bottom w:val="none" w:sz="0" w:space="0" w:color="auto"/>
                    <w:right w:val="none" w:sz="0" w:space="0" w:color="auto"/>
                  </w:divBdr>
                  <w:divsChild>
                    <w:div w:id="1897355902">
                      <w:marLeft w:val="480"/>
                      <w:marRight w:val="0"/>
                      <w:marTop w:val="0"/>
                      <w:marBottom w:val="0"/>
                      <w:divBdr>
                        <w:top w:val="none" w:sz="0" w:space="0" w:color="auto"/>
                        <w:left w:val="none" w:sz="0" w:space="0" w:color="auto"/>
                        <w:bottom w:val="none" w:sz="0" w:space="0" w:color="auto"/>
                        <w:right w:val="none" w:sz="0" w:space="0" w:color="auto"/>
                      </w:divBdr>
                      <w:divsChild>
                        <w:div w:id="1091045942">
                          <w:marLeft w:val="0"/>
                          <w:marRight w:val="0"/>
                          <w:marTop w:val="0"/>
                          <w:marBottom w:val="0"/>
                          <w:divBdr>
                            <w:top w:val="none" w:sz="0" w:space="0" w:color="auto"/>
                            <w:left w:val="none" w:sz="0" w:space="0" w:color="auto"/>
                            <w:bottom w:val="none" w:sz="0" w:space="0" w:color="auto"/>
                            <w:right w:val="none" w:sz="0" w:space="0" w:color="auto"/>
                          </w:divBdr>
                        </w:div>
                        <w:div w:id="1601528320">
                          <w:marLeft w:val="0"/>
                          <w:marRight w:val="0"/>
                          <w:marTop w:val="0"/>
                          <w:marBottom w:val="0"/>
                          <w:divBdr>
                            <w:top w:val="none" w:sz="0" w:space="0" w:color="auto"/>
                            <w:left w:val="none" w:sz="0" w:space="0" w:color="auto"/>
                            <w:bottom w:val="none" w:sz="0" w:space="0" w:color="auto"/>
                            <w:right w:val="none" w:sz="0" w:space="0" w:color="auto"/>
                          </w:divBdr>
                          <w:divsChild>
                            <w:div w:id="1149665218">
                              <w:marLeft w:val="0"/>
                              <w:marRight w:val="0"/>
                              <w:marTop w:val="0"/>
                              <w:marBottom w:val="0"/>
                              <w:divBdr>
                                <w:top w:val="none" w:sz="0" w:space="0" w:color="auto"/>
                                <w:left w:val="none" w:sz="0" w:space="0" w:color="auto"/>
                                <w:bottom w:val="none" w:sz="0" w:space="0" w:color="auto"/>
                                <w:right w:val="none" w:sz="0" w:space="0" w:color="auto"/>
                              </w:divBdr>
                              <w:divsChild>
                                <w:div w:id="1148859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9416515">
                          <w:marLeft w:val="0"/>
                          <w:marRight w:val="0"/>
                          <w:marTop w:val="0"/>
                          <w:marBottom w:val="0"/>
                          <w:divBdr>
                            <w:top w:val="none" w:sz="0" w:space="0" w:color="auto"/>
                            <w:left w:val="none" w:sz="0" w:space="0" w:color="auto"/>
                            <w:bottom w:val="none" w:sz="0" w:space="0" w:color="auto"/>
                            <w:right w:val="none" w:sz="0" w:space="0" w:color="auto"/>
                          </w:divBdr>
                          <w:divsChild>
                            <w:div w:id="2029789337">
                              <w:marLeft w:val="0"/>
                              <w:marRight w:val="0"/>
                              <w:marTop w:val="0"/>
                              <w:marBottom w:val="0"/>
                              <w:divBdr>
                                <w:top w:val="none" w:sz="0" w:space="0" w:color="auto"/>
                                <w:left w:val="none" w:sz="0" w:space="0" w:color="auto"/>
                                <w:bottom w:val="none" w:sz="0" w:space="0" w:color="auto"/>
                                <w:right w:val="none" w:sz="0" w:space="0" w:color="auto"/>
                              </w:divBdr>
                              <w:divsChild>
                                <w:div w:id="847909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8830345">
                          <w:marLeft w:val="0"/>
                          <w:marRight w:val="0"/>
                          <w:marTop w:val="0"/>
                          <w:marBottom w:val="0"/>
                          <w:divBdr>
                            <w:top w:val="none" w:sz="0" w:space="0" w:color="auto"/>
                            <w:left w:val="none" w:sz="0" w:space="0" w:color="auto"/>
                            <w:bottom w:val="none" w:sz="0" w:space="0" w:color="auto"/>
                            <w:right w:val="none" w:sz="0" w:space="0" w:color="auto"/>
                          </w:divBdr>
                          <w:divsChild>
                            <w:div w:id="1710646894">
                              <w:marLeft w:val="0"/>
                              <w:marRight w:val="0"/>
                              <w:marTop w:val="0"/>
                              <w:marBottom w:val="0"/>
                              <w:divBdr>
                                <w:top w:val="none" w:sz="0" w:space="0" w:color="auto"/>
                                <w:left w:val="none" w:sz="0" w:space="0" w:color="auto"/>
                                <w:bottom w:val="none" w:sz="0" w:space="0" w:color="auto"/>
                                <w:right w:val="none" w:sz="0" w:space="0" w:color="auto"/>
                              </w:divBdr>
                            </w:div>
                            <w:div w:id="808740301">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550997597">
          <w:marLeft w:val="0"/>
          <w:marRight w:val="0"/>
          <w:marTop w:val="0"/>
          <w:marBottom w:val="0"/>
          <w:divBdr>
            <w:top w:val="none" w:sz="0" w:space="0" w:color="auto"/>
            <w:left w:val="none" w:sz="0" w:space="0" w:color="auto"/>
            <w:bottom w:val="none" w:sz="0" w:space="0" w:color="auto"/>
            <w:right w:val="none" w:sz="0" w:space="0" w:color="auto"/>
          </w:divBdr>
          <w:divsChild>
            <w:div w:id="1955558320">
              <w:marLeft w:val="0"/>
              <w:marRight w:val="0"/>
              <w:marTop w:val="0"/>
              <w:marBottom w:val="0"/>
              <w:divBdr>
                <w:top w:val="none" w:sz="0" w:space="0" w:color="auto"/>
                <w:left w:val="none" w:sz="0" w:space="0" w:color="auto"/>
                <w:bottom w:val="none" w:sz="0" w:space="0" w:color="auto"/>
                <w:right w:val="none" w:sz="0" w:space="0" w:color="auto"/>
              </w:divBdr>
            </w:div>
          </w:divsChild>
        </w:div>
        <w:div w:id="48849928">
          <w:marLeft w:val="0"/>
          <w:marRight w:val="0"/>
          <w:marTop w:val="0"/>
          <w:marBottom w:val="0"/>
          <w:divBdr>
            <w:top w:val="none" w:sz="0" w:space="0" w:color="auto"/>
            <w:left w:val="none" w:sz="0" w:space="0" w:color="auto"/>
            <w:bottom w:val="none" w:sz="0" w:space="0" w:color="auto"/>
            <w:right w:val="none" w:sz="0" w:space="0" w:color="auto"/>
          </w:divBdr>
        </w:div>
        <w:div w:id="929507715">
          <w:marLeft w:val="0"/>
          <w:marRight w:val="0"/>
          <w:marTop w:val="0"/>
          <w:marBottom w:val="0"/>
          <w:divBdr>
            <w:top w:val="none" w:sz="0" w:space="0" w:color="auto"/>
            <w:left w:val="none" w:sz="0" w:space="0" w:color="auto"/>
            <w:bottom w:val="none" w:sz="0" w:space="0" w:color="auto"/>
            <w:right w:val="none" w:sz="0" w:space="0" w:color="auto"/>
          </w:divBdr>
        </w:div>
        <w:div w:id="1566528605">
          <w:marLeft w:val="0"/>
          <w:marRight w:val="0"/>
          <w:marTop w:val="0"/>
          <w:marBottom w:val="0"/>
          <w:divBdr>
            <w:top w:val="none" w:sz="0" w:space="0" w:color="auto"/>
            <w:left w:val="none" w:sz="0" w:space="0" w:color="auto"/>
            <w:bottom w:val="none" w:sz="0" w:space="0" w:color="auto"/>
            <w:right w:val="none" w:sz="0" w:space="0" w:color="auto"/>
          </w:divBdr>
          <w:divsChild>
            <w:div w:id="237402650">
              <w:marLeft w:val="0"/>
              <w:marRight w:val="0"/>
              <w:marTop w:val="0"/>
              <w:marBottom w:val="0"/>
              <w:divBdr>
                <w:top w:val="none" w:sz="0" w:space="0" w:color="auto"/>
                <w:left w:val="none" w:sz="0" w:space="0" w:color="auto"/>
                <w:bottom w:val="none" w:sz="0" w:space="0" w:color="auto"/>
                <w:right w:val="none" w:sz="0" w:space="0" w:color="auto"/>
              </w:divBdr>
            </w:div>
          </w:divsChild>
        </w:div>
        <w:div w:id="159855896">
          <w:marLeft w:val="0"/>
          <w:marRight w:val="0"/>
          <w:marTop w:val="0"/>
          <w:marBottom w:val="0"/>
          <w:divBdr>
            <w:top w:val="none" w:sz="0" w:space="0" w:color="auto"/>
            <w:left w:val="none" w:sz="0" w:space="0" w:color="auto"/>
            <w:bottom w:val="none" w:sz="0" w:space="0" w:color="auto"/>
            <w:right w:val="none" w:sz="0" w:space="0" w:color="auto"/>
          </w:divBdr>
        </w:div>
        <w:div w:id="1924102007">
          <w:marLeft w:val="0"/>
          <w:marRight w:val="0"/>
          <w:marTop w:val="0"/>
          <w:marBottom w:val="0"/>
          <w:divBdr>
            <w:top w:val="none" w:sz="0" w:space="0" w:color="auto"/>
            <w:left w:val="none" w:sz="0" w:space="0" w:color="auto"/>
            <w:bottom w:val="none" w:sz="0" w:space="0" w:color="auto"/>
            <w:right w:val="none" w:sz="0" w:space="0" w:color="auto"/>
          </w:divBdr>
        </w:div>
        <w:div w:id="366562348">
          <w:marLeft w:val="0"/>
          <w:marRight w:val="0"/>
          <w:marTop w:val="0"/>
          <w:marBottom w:val="0"/>
          <w:divBdr>
            <w:top w:val="none" w:sz="0" w:space="0" w:color="auto"/>
            <w:left w:val="none" w:sz="0" w:space="0" w:color="auto"/>
            <w:bottom w:val="none" w:sz="0" w:space="0" w:color="auto"/>
            <w:right w:val="none" w:sz="0" w:space="0" w:color="auto"/>
          </w:divBdr>
          <w:divsChild>
            <w:div w:id="959143836">
              <w:marLeft w:val="0"/>
              <w:marRight w:val="0"/>
              <w:marTop w:val="0"/>
              <w:marBottom w:val="0"/>
              <w:divBdr>
                <w:top w:val="none" w:sz="0" w:space="0" w:color="auto"/>
                <w:left w:val="none" w:sz="0" w:space="0" w:color="auto"/>
                <w:bottom w:val="none" w:sz="0" w:space="0" w:color="auto"/>
                <w:right w:val="none" w:sz="0" w:space="0" w:color="auto"/>
              </w:divBdr>
            </w:div>
          </w:divsChild>
        </w:div>
        <w:div w:id="1704163520">
          <w:marLeft w:val="0"/>
          <w:marRight w:val="0"/>
          <w:marTop w:val="0"/>
          <w:marBottom w:val="0"/>
          <w:divBdr>
            <w:top w:val="none" w:sz="0" w:space="0" w:color="auto"/>
            <w:left w:val="none" w:sz="0" w:space="0" w:color="auto"/>
            <w:bottom w:val="none" w:sz="0" w:space="0" w:color="auto"/>
            <w:right w:val="none" w:sz="0" w:space="0" w:color="auto"/>
          </w:divBdr>
        </w:div>
        <w:div w:id="2069650958">
          <w:marLeft w:val="0"/>
          <w:marRight w:val="0"/>
          <w:marTop w:val="0"/>
          <w:marBottom w:val="0"/>
          <w:divBdr>
            <w:top w:val="none" w:sz="0" w:space="0" w:color="auto"/>
            <w:left w:val="none" w:sz="0" w:space="0" w:color="auto"/>
            <w:bottom w:val="none" w:sz="0" w:space="0" w:color="auto"/>
            <w:right w:val="none" w:sz="0" w:space="0" w:color="auto"/>
          </w:divBdr>
        </w:div>
        <w:div w:id="1901819605">
          <w:marLeft w:val="0"/>
          <w:marRight w:val="0"/>
          <w:marTop w:val="0"/>
          <w:marBottom w:val="0"/>
          <w:divBdr>
            <w:top w:val="none" w:sz="0" w:space="0" w:color="auto"/>
            <w:left w:val="none" w:sz="0" w:space="0" w:color="auto"/>
            <w:bottom w:val="none" w:sz="0" w:space="0" w:color="auto"/>
            <w:right w:val="none" w:sz="0" w:space="0" w:color="auto"/>
          </w:divBdr>
        </w:div>
        <w:div w:id="2127313123">
          <w:marLeft w:val="0"/>
          <w:marRight w:val="0"/>
          <w:marTop w:val="0"/>
          <w:marBottom w:val="0"/>
          <w:divBdr>
            <w:top w:val="none" w:sz="0" w:space="0" w:color="auto"/>
            <w:left w:val="none" w:sz="0" w:space="0" w:color="auto"/>
            <w:bottom w:val="none" w:sz="0" w:space="0" w:color="auto"/>
            <w:right w:val="none" w:sz="0" w:space="0" w:color="auto"/>
          </w:divBdr>
          <w:divsChild>
            <w:div w:id="71315342">
              <w:marLeft w:val="0"/>
              <w:marRight w:val="0"/>
              <w:marTop w:val="0"/>
              <w:marBottom w:val="0"/>
              <w:divBdr>
                <w:top w:val="none" w:sz="0" w:space="0" w:color="auto"/>
                <w:left w:val="none" w:sz="0" w:space="0" w:color="auto"/>
                <w:bottom w:val="none" w:sz="0" w:space="0" w:color="auto"/>
                <w:right w:val="none" w:sz="0" w:space="0" w:color="auto"/>
              </w:divBdr>
            </w:div>
          </w:divsChild>
        </w:div>
        <w:div w:id="2096320202">
          <w:marLeft w:val="0"/>
          <w:marRight w:val="0"/>
          <w:marTop w:val="0"/>
          <w:marBottom w:val="0"/>
          <w:divBdr>
            <w:top w:val="none" w:sz="0" w:space="0" w:color="auto"/>
            <w:left w:val="none" w:sz="0" w:space="0" w:color="auto"/>
            <w:bottom w:val="none" w:sz="0" w:space="0" w:color="auto"/>
            <w:right w:val="none" w:sz="0" w:space="0" w:color="auto"/>
          </w:divBdr>
        </w:div>
        <w:div w:id="744762246">
          <w:marLeft w:val="0"/>
          <w:marRight w:val="0"/>
          <w:marTop w:val="0"/>
          <w:marBottom w:val="0"/>
          <w:divBdr>
            <w:top w:val="none" w:sz="0" w:space="0" w:color="auto"/>
            <w:left w:val="none" w:sz="0" w:space="0" w:color="auto"/>
            <w:bottom w:val="none" w:sz="0" w:space="0" w:color="auto"/>
            <w:right w:val="none" w:sz="0" w:space="0" w:color="auto"/>
          </w:divBdr>
        </w:div>
        <w:div w:id="859507971">
          <w:marLeft w:val="0"/>
          <w:marRight w:val="0"/>
          <w:marTop w:val="0"/>
          <w:marBottom w:val="0"/>
          <w:divBdr>
            <w:top w:val="none" w:sz="0" w:space="0" w:color="auto"/>
            <w:left w:val="none" w:sz="0" w:space="0" w:color="auto"/>
            <w:bottom w:val="none" w:sz="0" w:space="0" w:color="auto"/>
            <w:right w:val="none" w:sz="0" w:space="0" w:color="auto"/>
          </w:divBdr>
          <w:divsChild>
            <w:div w:id="1038047743">
              <w:marLeft w:val="0"/>
              <w:marRight w:val="0"/>
              <w:marTop w:val="0"/>
              <w:marBottom w:val="0"/>
              <w:divBdr>
                <w:top w:val="none" w:sz="0" w:space="0" w:color="auto"/>
                <w:left w:val="none" w:sz="0" w:space="0" w:color="auto"/>
                <w:bottom w:val="none" w:sz="0" w:space="0" w:color="auto"/>
                <w:right w:val="none" w:sz="0" w:space="0" w:color="auto"/>
              </w:divBdr>
            </w:div>
          </w:divsChild>
        </w:div>
        <w:div w:id="912544204">
          <w:marLeft w:val="0"/>
          <w:marRight w:val="0"/>
          <w:marTop w:val="0"/>
          <w:marBottom w:val="0"/>
          <w:divBdr>
            <w:top w:val="none" w:sz="0" w:space="0" w:color="auto"/>
            <w:left w:val="none" w:sz="0" w:space="0" w:color="auto"/>
            <w:bottom w:val="none" w:sz="0" w:space="0" w:color="auto"/>
            <w:right w:val="none" w:sz="0" w:space="0" w:color="auto"/>
          </w:divBdr>
        </w:div>
        <w:div w:id="536821566">
          <w:marLeft w:val="0"/>
          <w:marRight w:val="0"/>
          <w:marTop w:val="0"/>
          <w:marBottom w:val="0"/>
          <w:divBdr>
            <w:top w:val="none" w:sz="0" w:space="0" w:color="auto"/>
            <w:left w:val="none" w:sz="0" w:space="0" w:color="auto"/>
            <w:bottom w:val="none" w:sz="0" w:space="0" w:color="auto"/>
            <w:right w:val="none" w:sz="0" w:space="0" w:color="auto"/>
          </w:divBdr>
        </w:div>
        <w:div w:id="1606690169">
          <w:marLeft w:val="0"/>
          <w:marRight w:val="0"/>
          <w:marTop w:val="0"/>
          <w:marBottom w:val="0"/>
          <w:divBdr>
            <w:top w:val="none" w:sz="0" w:space="0" w:color="auto"/>
            <w:left w:val="none" w:sz="0" w:space="0" w:color="auto"/>
            <w:bottom w:val="none" w:sz="0" w:space="0" w:color="auto"/>
            <w:right w:val="none" w:sz="0" w:space="0" w:color="auto"/>
          </w:divBdr>
          <w:divsChild>
            <w:div w:id="935282866">
              <w:marLeft w:val="0"/>
              <w:marRight w:val="0"/>
              <w:marTop w:val="0"/>
              <w:marBottom w:val="0"/>
              <w:divBdr>
                <w:top w:val="none" w:sz="0" w:space="0" w:color="auto"/>
                <w:left w:val="none" w:sz="0" w:space="0" w:color="auto"/>
                <w:bottom w:val="none" w:sz="0" w:space="0" w:color="auto"/>
                <w:right w:val="none" w:sz="0" w:space="0" w:color="auto"/>
              </w:divBdr>
            </w:div>
          </w:divsChild>
        </w:div>
        <w:div w:id="799038132">
          <w:marLeft w:val="0"/>
          <w:marRight w:val="0"/>
          <w:marTop w:val="0"/>
          <w:marBottom w:val="0"/>
          <w:divBdr>
            <w:top w:val="none" w:sz="0" w:space="0" w:color="auto"/>
            <w:left w:val="none" w:sz="0" w:space="0" w:color="auto"/>
            <w:bottom w:val="none" w:sz="0" w:space="0" w:color="auto"/>
            <w:right w:val="none" w:sz="0" w:space="0" w:color="auto"/>
          </w:divBdr>
        </w:div>
        <w:div w:id="1521239676">
          <w:marLeft w:val="0"/>
          <w:marRight w:val="0"/>
          <w:marTop w:val="0"/>
          <w:marBottom w:val="0"/>
          <w:divBdr>
            <w:top w:val="none" w:sz="0" w:space="0" w:color="auto"/>
            <w:left w:val="none" w:sz="0" w:space="0" w:color="auto"/>
            <w:bottom w:val="none" w:sz="0" w:space="0" w:color="auto"/>
            <w:right w:val="none" w:sz="0" w:space="0" w:color="auto"/>
          </w:divBdr>
        </w:div>
        <w:div w:id="434714677">
          <w:marLeft w:val="0"/>
          <w:marRight w:val="0"/>
          <w:marTop w:val="0"/>
          <w:marBottom w:val="0"/>
          <w:divBdr>
            <w:top w:val="none" w:sz="0" w:space="0" w:color="auto"/>
            <w:left w:val="none" w:sz="0" w:space="0" w:color="auto"/>
            <w:bottom w:val="none" w:sz="0" w:space="0" w:color="auto"/>
            <w:right w:val="none" w:sz="0" w:space="0" w:color="auto"/>
          </w:divBdr>
        </w:div>
        <w:div w:id="1097558066">
          <w:marLeft w:val="0"/>
          <w:marRight w:val="0"/>
          <w:marTop w:val="0"/>
          <w:marBottom w:val="0"/>
          <w:divBdr>
            <w:top w:val="none" w:sz="0" w:space="0" w:color="auto"/>
            <w:left w:val="none" w:sz="0" w:space="0" w:color="auto"/>
            <w:bottom w:val="none" w:sz="0" w:space="0" w:color="auto"/>
            <w:right w:val="none" w:sz="0" w:space="0" w:color="auto"/>
          </w:divBdr>
          <w:divsChild>
            <w:div w:id="1555460359">
              <w:marLeft w:val="0"/>
              <w:marRight w:val="0"/>
              <w:marTop w:val="0"/>
              <w:marBottom w:val="0"/>
              <w:divBdr>
                <w:top w:val="none" w:sz="0" w:space="0" w:color="auto"/>
                <w:left w:val="none" w:sz="0" w:space="0" w:color="auto"/>
                <w:bottom w:val="none" w:sz="0" w:space="0" w:color="auto"/>
                <w:right w:val="none" w:sz="0" w:space="0" w:color="auto"/>
              </w:divBdr>
            </w:div>
          </w:divsChild>
        </w:div>
        <w:div w:id="1729766086">
          <w:marLeft w:val="0"/>
          <w:marRight w:val="0"/>
          <w:marTop w:val="0"/>
          <w:marBottom w:val="0"/>
          <w:divBdr>
            <w:top w:val="none" w:sz="0" w:space="0" w:color="auto"/>
            <w:left w:val="none" w:sz="0" w:space="0" w:color="auto"/>
            <w:bottom w:val="none" w:sz="0" w:space="0" w:color="auto"/>
            <w:right w:val="none" w:sz="0" w:space="0" w:color="auto"/>
          </w:divBdr>
        </w:div>
        <w:div w:id="505638161">
          <w:marLeft w:val="0"/>
          <w:marRight w:val="0"/>
          <w:marTop w:val="0"/>
          <w:marBottom w:val="0"/>
          <w:divBdr>
            <w:top w:val="none" w:sz="0" w:space="0" w:color="auto"/>
            <w:left w:val="none" w:sz="0" w:space="0" w:color="auto"/>
            <w:bottom w:val="none" w:sz="0" w:space="0" w:color="auto"/>
            <w:right w:val="none" w:sz="0" w:space="0" w:color="auto"/>
          </w:divBdr>
        </w:div>
        <w:div w:id="1259295981">
          <w:marLeft w:val="0"/>
          <w:marRight w:val="0"/>
          <w:marTop w:val="0"/>
          <w:marBottom w:val="0"/>
          <w:divBdr>
            <w:top w:val="none" w:sz="0" w:space="0" w:color="auto"/>
            <w:left w:val="none" w:sz="0" w:space="0" w:color="auto"/>
            <w:bottom w:val="none" w:sz="0" w:space="0" w:color="auto"/>
            <w:right w:val="none" w:sz="0" w:space="0" w:color="auto"/>
          </w:divBdr>
          <w:divsChild>
            <w:div w:id="1543663709">
              <w:marLeft w:val="0"/>
              <w:marRight w:val="0"/>
              <w:marTop w:val="0"/>
              <w:marBottom w:val="0"/>
              <w:divBdr>
                <w:top w:val="none" w:sz="0" w:space="0" w:color="auto"/>
                <w:left w:val="none" w:sz="0" w:space="0" w:color="auto"/>
                <w:bottom w:val="none" w:sz="0" w:space="0" w:color="auto"/>
                <w:right w:val="none" w:sz="0" w:space="0" w:color="auto"/>
              </w:divBdr>
            </w:div>
          </w:divsChild>
        </w:div>
        <w:div w:id="593711035">
          <w:marLeft w:val="0"/>
          <w:marRight w:val="0"/>
          <w:marTop w:val="0"/>
          <w:marBottom w:val="0"/>
          <w:divBdr>
            <w:top w:val="none" w:sz="0" w:space="0" w:color="auto"/>
            <w:left w:val="none" w:sz="0" w:space="0" w:color="auto"/>
            <w:bottom w:val="none" w:sz="0" w:space="0" w:color="auto"/>
            <w:right w:val="none" w:sz="0" w:space="0" w:color="auto"/>
          </w:divBdr>
        </w:div>
        <w:div w:id="1515413269">
          <w:marLeft w:val="0"/>
          <w:marRight w:val="0"/>
          <w:marTop w:val="0"/>
          <w:marBottom w:val="0"/>
          <w:divBdr>
            <w:top w:val="none" w:sz="0" w:space="0" w:color="auto"/>
            <w:left w:val="none" w:sz="0" w:space="0" w:color="auto"/>
            <w:bottom w:val="none" w:sz="0" w:space="0" w:color="auto"/>
            <w:right w:val="none" w:sz="0" w:space="0" w:color="auto"/>
          </w:divBdr>
        </w:div>
        <w:div w:id="176385825">
          <w:marLeft w:val="0"/>
          <w:marRight w:val="0"/>
          <w:marTop w:val="0"/>
          <w:marBottom w:val="0"/>
          <w:divBdr>
            <w:top w:val="none" w:sz="0" w:space="0" w:color="auto"/>
            <w:left w:val="none" w:sz="0" w:space="0" w:color="auto"/>
            <w:bottom w:val="none" w:sz="0" w:space="0" w:color="auto"/>
            <w:right w:val="none" w:sz="0" w:space="0" w:color="auto"/>
          </w:divBdr>
          <w:divsChild>
            <w:div w:id="1246918411">
              <w:marLeft w:val="0"/>
              <w:marRight w:val="0"/>
              <w:marTop w:val="0"/>
              <w:marBottom w:val="0"/>
              <w:divBdr>
                <w:top w:val="none" w:sz="0" w:space="0" w:color="auto"/>
                <w:left w:val="none" w:sz="0" w:space="0" w:color="auto"/>
                <w:bottom w:val="none" w:sz="0" w:space="0" w:color="auto"/>
                <w:right w:val="none" w:sz="0" w:space="0" w:color="auto"/>
              </w:divBdr>
            </w:div>
          </w:divsChild>
        </w:div>
        <w:div w:id="1859198297">
          <w:marLeft w:val="0"/>
          <w:marRight w:val="0"/>
          <w:marTop w:val="0"/>
          <w:marBottom w:val="0"/>
          <w:divBdr>
            <w:top w:val="none" w:sz="0" w:space="0" w:color="auto"/>
            <w:left w:val="none" w:sz="0" w:space="0" w:color="auto"/>
            <w:bottom w:val="none" w:sz="0" w:space="0" w:color="auto"/>
            <w:right w:val="none" w:sz="0" w:space="0" w:color="auto"/>
          </w:divBdr>
        </w:div>
        <w:div w:id="16466567">
          <w:marLeft w:val="0"/>
          <w:marRight w:val="0"/>
          <w:marTop w:val="0"/>
          <w:marBottom w:val="0"/>
          <w:divBdr>
            <w:top w:val="none" w:sz="0" w:space="0" w:color="auto"/>
            <w:left w:val="none" w:sz="0" w:space="0" w:color="auto"/>
            <w:bottom w:val="none" w:sz="0" w:space="0" w:color="auto"/>
            <w:right w:val="none" w:sz="0" w:space="0" w:color="auto"/>
          </w:divBdr>
        </w:div>
        <w:div w:id="92551336">
          <w:marLeft w:val="0"/>
          <w:marRight w:val="0"/>
          <w:marTop w:val="0"/>
          <w:marBottom w:val="0"/>
          <w:divBdr>
            <w:top w:val="none" w:sz="0" w:space="0" w:color="auto"/>
            <w:left w:val="none" w:sz="0" w:space="0" w:color="auto"/>
            <w:bottom w:val="none" w:sz="0" w:space="0" w:color="auto"/>
            <w:right w:val="none" w:sz="0" w:space="0" w:color="auto"/>
          </w:divBdr>
          <w:divsChild>
            <w:div w:id="1307472337">
              <w:marLeft w:val="0"/>
              <w:marRight w:val="0"/>
              <w:marTop w:val="0"/>
              <w:marBottom w:val="0"/>
              <w:divBdr>
                <w:top w:val="none" w:sz="0" w:space="0" w:color="auto"/>
                <w:left w:val="none" w:sz="0" w:space="0" w:color="auto"/>
                <w:bottom w:val="none" w:sz="0" w:space="0" w:color="auto"/>
                <w:right w:val="none" w:sz="0" w:space="0" w:color="auto"/>
              </w:divBdr>
            </w:div>
          </w:divsChild>
        </w:div>
        <w:div w:id="337732568">
          <w:marLeft w:val="0"/>
          <w:marRight w:val="0"/>
          <w:marTop w:val="0"/>
          <w:marBottom w:val="0"/>
          <w:divBdr>
            <w:top w:val="none" w:sz="0" w:space="0" w:color="auto"/>
            <w:left w:val="none" w:sz="0" w:space="0" w:color="auto"/>
            <w:bottom w:val="none" w:sz="0" w:space="0" w:color="auto"/>
            <w:right w:val="none" w:sz="0" w:space="0" w:color="auto"/>
          </w:divBdr>
        </w:div>
        <w:div w:id="1847478942">
          <w:marLeft w:val="0"/>
          <w:marRight w:val="0"/>
          <w:marTop w:val="0"/>
          <w:marBottom w:val="0"/>
          <w:divBdr>
            <w:top w:val="none" w:sz="0" w:space="0" w:color="auto"/>
            <w:left w:val="none" w:sz="0" w:space="0" w:color="auto"/>
            <w:bottom w:val="none" w:sz="0" w:space="0" w:color="auto"/>
            <w:right w:val="none" w:sz="0" w:space="0" w:color="auto"/>
          </w:divBdr>
        </w:div>
        <w:div w:id="753478565">
          <w:marLeft w:val="0"/>
          <w:marRight w:val="0"/>
          <w:marTop w:val="0"/>
          <w:marBottom w:val="0"/>
          <w:divBdr>
            <w:top w:val="none" w:sz="0" w:space="0" w:color="auto"/>
            <w:left w:val="none" w:sz="0" w:space="0" w:color="auto"/>
            <w:bottom w:val="none" w:sz="0" w:space="0" w:color="auto"/>
            <w:right w:val="none" w:sz="0" w:space="0" w:color="auto"/>
          </w:divBdr>
          <w:divsChild>
            <w:div w:id="606275482">
              <w:marLeft w:val="0"/>
              <w:marRight w:val="0"/>
              <w:marTop w:val="0"/>
              <w:marBottom w:val="0"/>
              <w:divBdr>
                <w:top w:val="none" w:sz="0" w:space="0" w:color="auto"/>
                <w:left w:val="none" w:sz="0" w:space="0" w:color="auto"/>
                <w:bottom w:val="none" w:sz="0" w:space="0" w:color="auto"/>
                <w:right w:val="none" w:sz="0" w:space="0" w:color="auto"/>
              </w:divBdr>
            </w:div>
          </w:divsChild>
        </w:div>
        <w:div w:id="1662734107">
          <w:marLeft w:val="0"/>
          <w:marRight w:val="0"/>
          <w:marTop w:val="0"/>
          <w:marBottom w:val="0"/>
          <w:divBdr>
            <w:top w:val="none" w:sz="0" w:space="0" w:color="auto"/>
            <w:left w:val="none" w:sz="0" w:space="0" w:color="auto"/>
            <w:bottom w:val="none" w:sz="0" w:space="0" w:color="auto"/>
            <w:right w:val="none" w:sz="0" w:space="0" w:color="auto"/>
          </w:divBdr>
        </w:div>
        <w:div w:id="1748844421">
          <w:marLeft w:val="0"/>
          <w:marRight w:val="0"/>
          <w:marTop w:val="0"/>
          <w:marBottom w:val="0"/>
          <w:divBdr>
            <w:top w:val="none" w:sz="0" w:space="0" w:color="auto"/>
            <w:left w:val="none" w:sz="0" w:space="0" w:color="auto"/>
            <w:bottom w:val="none" w:sz="0" w:space="0" w:color="auto"/>
            <w:right w:val="none" w:sz="0" w:space="0" w:color="auto"/>
          </w:divBdr>
        </w:div>
        <w:div w:id="1887987383">
          <w:marLeft w:val="0"/>
          <w:marRight w:val="0"/>
          <w:marTop w:val="0"/>
          <w:marBottom w:val="0"/>
          <w:divBdr>
            <w:top w:val="none" w:sz="0" w:space="0" w:color="auto"/>
            <w:left w:val="none" w:sz="0" w:space="0" w:color="auto"/>
            <w:bottom w:val="none" w:sz="0" w:space="0" w:color="auto"/>
            <w:right w:val="none" w:sz="0" w:space="0" w:color="auto"/>
          </w:divBdr>
          <w:divsChild>
            <w:div w:id="1779909599">
              <w:marLeft w:val="0"/>
              <w:marRight w:val="0"/>
              <w:marTop w:val="0"/>
              <w:marBottom w:val="0"/>
              <w:divBdr>
                <w:top w:val="none" w:sz="0" w:space="0" w:color="auto"/>
                <w:left w:val="none" w:sz="0" w:space="0" w:color="auto"/>
                <w:bottom w:val="none" w:sz="0" w:space="0" w:color="auto"/>
                <w:right w:val="none" w:sz="0" w:space="0" w:color="auto"/>
              </w:divBdr>
            </w:div>
          </w:divsChild>
        </w:div>
        <w:div w:id="606470381">
          <w:marLeft w:val="0"/>
          <w:marRight w:val="0"/>
          <w:marTop w:val="0"/>
          <w:marBottom w:val="0"/>
          <w:divBdr>
            <w:top w:val="none" w:sz="0" w:space="0" w:color="auto"/>
            <w:left w:val="none" w:sz="0" w:space="0" w:color="auto"/>
            <w:bottom w:val="none" w:sz="0" w:space="0" w:color="auto"/>
            <w:right w:val="none" w:sz="0" w:space="0" w:color="auto"/>
          </w:divBdr>
        </w:div>
        <w:div w:id="519701582">
          <w:marLeft w:val="0"/>
          <w:marRight w:val="0"/>
          <w:marTop w:val="0"/>
          <w:marBottom w:val="0"/>
          <w:divBdr>
            <w:top w:val="none" w:sz="0" w:space="0" w:color="auto"/>
            <w:left w:val="none" w:sz="0" w:space="0" w:color="auto"/>
            <w:bottom w:val="none" w:sz="0" w:space="0" w:color="auto"/>
            <w:right w:val="none" w:sz="0" w:space="0" w:color="auto"/>
          </w:divBdr>
        </w:div>
        <w:div w:id="1065419702">
          <w:marLeft w:val="0"/>
          <w:marRight w:val="0"/>
          <w:marTop w:val="0"/>
          <w:marBottom w:val="0"/>
          <w:divBdr>
            <w:top w:val="none" w:sz="0" w:space="0" w:color="auto"/>
            <w:left w:val="none" w:sz="0" w:space="0" w:color="auto"/>
            <w:bottom w:val="none" w:sz="0" w:space="0" w:color="auto"/>
            <w:right w:val="none" w:sz="0" w:space="0" w:color="auto"/>
          </w:divBdr>
          <w:divsChild>
            <w:div w:id="579026066">
              <w:marLeft w:val="0"/>
              <w:marRight w:val="0"/>
              <w:marTop w:val="0"/>
              <w:marBottom w:val="0"/>
              <w:divBdr>
                <w:top w:val="none" w:sz="0" w:space="0" w:color="auto"/>
                <w:left w:val="none" w:sz="0" w:space="0" w:color="auto"/>
                <w:bottom w:val="none" w:sz="0" w:space="0" w:color="auto"/>
                <w:right w:val="none" w:sz="0" w:space="0" w:color="auto"/>
              </w:divBdr>
            </w:div>
          </w:divsChild>
        </w:div>
        <w:div w:id="1834447133">
          <w:marLeft w:val="0"/>
          <w:marRight w:val="0"/>
          <w:marTop w:val="0"/>
          <w:marBottom w:val="0"/>
          <w:divBdr>
            <w:top w:val="none" w:sz="0" w:space="0" w:color="auto"/>
            <w:left w:val="none" w:sz="0" w:space="0" w:color="auto"/>
            <w:bottom w:val="none" w:sz="0" w:space="0" w:color="auto"/>
            <w:right w:val="none" w:sz="0" w:space="0" w:color="auto"/>
          </w:divBdr>
        </w:div>
        <w:div w:id="175078526">
          <w:marLeft w:val="0"/>
          <w:marRight w:val="0"/>
          <w:marTop w:val="0"/>
          <w:marBottom w:val="0"/>
          <w:divBdr>
            <w:top w:val="none" w:sz="0" w:space="0" w:color="auto"/>
            <w:left w:val="none" w:sz="0" w:space="0" w:color="auto"/>
            <w:bottom w:val="none" w:sz="0" w:space="0" w:color="auto"/>
            <w:right w:val="none" w:sz="0" w:space="0" w:color="auto"/>
          </w:divBdr>
        </w:div>
        <w:div w:id="380326056">
          <w:marLeft w:val="0"/>
          <w:marRight w:val="0"/>
          <w:marTop w:val="0"/>
          <w:marBottom w:val="0"/>
          <w:divBdr>
            <w:top w:val="none" w:sz="0" w:space="0" w:color="auto"/>
            <w:left w:val="none" w:sz="0" w:space="0" w:color="auto"/>
            <w:bottom w:val="none" w:sz="0" w:space="0" w:color="auto"/>
            <w:right w:val="none" w:sz="0" w:space="0" w:color="auto"/>
          </w:divBdr>
          <w:divsChild>
            <w:div w:id="192423409">
              <w:marLeft w:val="0"/>
              <w:marRight w:val="0"/>
              <w:marTop w:val="0"/>
              <w:marBottom w:val="0"/>
              <w:divBdr>
                <w:top w:val="none" w:sz="0" w:space="0" w:color="auto"/>
                <w:left w:val="none" w:sz="0" w:space="0" w:color="auto"/>
                <w:bottom w:val="none" w:sz="0" w:space="0" w:color="auto"/>
                <w:right w:val="none" w:sz="0" w:space="0" w:color="auto"/>
              </w:divBdr>
            </w:div>
          </w:divsChild>
        </w:div>
        <w:div w:id="1529566912">
          <w:marLeft w:val="0"/>
          <w:marRight w:val="0"/>
          <w:marTop w:val="0"/>
          <w:marBottom w:val="0"/>
          <w:divBdr>
            <w:top w:val="none" w:sz="0" w:space="0" w:color="auto"/>
            <w:left w:val="none" w:sz="0" w:space="0" w:color="auto"/>
            <w:bottom w:val="none" w:sz="0" w:space="0" w:color="auto"/>
            <w:right w:val="none" w:sz="0" w:space="0" w:color="auto"/>
          </w:divBdr>
        </w:div>
        <w:div w:id="383912690">
          <w:marLeft w:val="0"/>
          <w:marRight w:val="0"/>
          <w:marTop w:val="0"/>
          <w:marBottom w:val="0"/>
          <w:divBdr>
            <w:top w:val="none" w:sz="0" w:space="0" w:color="auto"/>
            <w:left w:val="none" w:sz="0" w:space="0" w:color="auto"/>
            <w:bottom w:val="none" w:sz="0" w:space="0" w:color="auto"/>
            <w:right w:val="none" w:sz="0" w:space="0" w:color="auto"/>
          </w:divBdr>
        </w:div>
        <w:div w:id="1619533528">
          <w:marLeft w:val="0"/>
          <w:marRight w:val="0"/>
          <w:marTop w:val="0"/>
          <w:marBottom w:val="0"/>
          <w:divBdr>
            <w:top w:val="none" w:sz="0" w:space="0" w:color="auto"/>
            <w:left w:val="none" w:sz="0" w:space="0" w:color="auto"/>
            <w:bottom w:val="none" w:sz="0" w:space="0" w:color="auto"/>
            <w:right w:val="none" w:sz="0" w:space="0" w:color="auto"/>
          </w:divBdr>
          <w:divsChild>
            <w:div w:id="1803186390">
              <w:marLeft w:val="0"/>
              <w:marRight w:val="0"/>
              <w:marTop w:val="0"/>
              <w:marBottom w:val="0"/>
              <w:divBdr>
                <w:top w:val="none" w:sz="0" w:space="0" w:color="auto"/>
                <w:left w:val="none" w:sz="0" w:space="0" w:color="auto"/>
                <w:bottom w:val="none" w:sz="0" w:space="0" w:color="auto"/>
                <w:right w:val="none" w:sz="0" w:space="0" w:color="auto"/>
              </w:divBdr>
            </w:div>
          </w:divsChild>
        </w:div>
        <w:div w:id="1183477417">
          <w:marLeft w:val="0"/>
          <w:marRight w:val="0"/>
          <w:marTop w:val="0"/>
          <w:marBottom w:val="0"/>
          <w:divBdr>
            <w:top w:val="none" w:sz="0" w:space="0" w:color="auto"/>
            <w:left w:val="none" w:sz="0" w:space="0" w:color="auto"/>
            <w:bottom w:val="none" w:sz="0" w:space="0" w:color="auto"/>
            <w:right w:val="none" w:sz="0" w:space="0" w:color="auto"/>
          </w:divBdr>
        </w:div>
        <w:div w:id="1995327434">
          <w:marLeft w:val="0"/>
          <w:marRight w:val="0"/>
          <w:marTop w:val="0"/>
          <w:marBottom w:val="0"/>
          <w:divBdr>
            <w:top w:val="none" w:sz="0" w:space="0" w:color="auto"/>
            <w:left w:val="none" w:sz="0" w:space="0" w:color="auto"/>
            <w:bottom w:val="none" w:sz="0" w:space="0" w:color="auto"/>
            <w:right w:val="none" w:sz="0" w:space="0" w:color="auto"/>
          </w:divBdr>
        </w:div>
        <w:div w:id="1984309321">
          <w:marLeft w:val="0"/>
          <w:marRight w:val="0"/>
          <w:marTop w:val="0"/>
          <w:marBottom w:val="0"/>
          <w:divBdr>
            <w:top w:val="none" w:sz="0" w:space="0" w:color="auto"/>
            <w:left w:val="none" w:sz="0" w:space="0" w:color="auto"/>
            <w:bottom w:val="none" w:sz="0" w:space="0" w:color="auto"/>
            <w:right w:val="none" w:sz="0" w:space="0" w:color="auto"/>
          </w:divBdr>
          <w:divsChild>
            <w:div w:id="693847341">
              <w:marLeft w:val="0"/>
              <w:marRight w:val="0"/>
              <w:marTop w:val="0"/>
              <w:marBottom w:val="0"/>
              <w:divBdr>
                <w:top w:val="none" w:sz="0" w:space="0" w:color="auto"/>
                <w:left w:val="none" w:sz="0" w:space="0" w:color="auto"/>
                <w:bottom w:val="none" w:sz="0" w:space="0" w:color="auto"/>
                <w:right w:val="none" w:sz="0" w:space="0" w:color="auto"/>
              </w:divBdr>
            </w:div>
          </w:divsChild>
        </w:div>
        <w:div w:id="390346082">
          <w:marLeft w:val="0"/>
          <w:marRight w:val="0"/>
          <w:marTop w:val="0"/>
          <w:marBottom w:val="0"/>
          <w:divBdr>
            <w:top w:val="none" w:sz="0" w:space="0" w:color="auto"/>
            <w:left w:val="none" w:sz="0" w:space="0" w:color="auto"/>
            <w:bottom w:val="none" w:sz="0" w:space="0" w:color="auto"/>
            <w:right w:val="none" w:sz="0" w:space="0" w:color="auto"/>
          </w:divBdr>
        </w:div>
        <w:div w:id="2126149859">
          <w:marLeft w:val="0"/>
          <w:marRight w:val="0"/>
          <w:marTop w:val="0"/>
          <w:marBottom w:val="0"/>
          <w:divBdr>
            <w:top w:val="none" w:sz="0" w:space="0" w:color="auto"/>
            <w:left w:val="none" w:sz="0" w:space="0" w:color="auto"/>
            <w:bottom w:val="none" w:sz="0" w:space="0" w:color="auto"/>
            <w:right w:val="none" w:sz="0" w:space="0" w:color="auto"/>
          </w:divBdr>
        </w:div>
        <w:div w:id="510728236">
          <w:marLeft w:val="0"/>
          <w:marRight w:val="0"/>
          <w:marTop w:val="0"/>
          <w:marBottom w:val="0"/>
          <w:divBdr>
            <w:top w:val="none" w:sz="0" w:space="0" w:color="auto"/>
            <w:left w:val="none" w:sz="0" w:space="0" w:color="auto"/>
            <w:bottom w:val="none" w:sz="0" w:space="0" w:color="auto"/>
            <w:right w:val="none" w:sz="0" w:space="0" w:color="auto"/>
          </w:divBdr>
          <w:divsChild>
            <w:div w:id="1349600625">
              <w:marLeft w:val="0"/>
              <w:marRight w:val="0"/>
              <w:marTop w:val="0"/>
              <w:marBottom w:val="0"/>
              <w:divBdr>
                <w:top w:val="none" w:sz="0" w:space="0" w:color="auto"/>
                <w:left w:val="none" w:sz="0" w:space="0" w:color="auto"/>
                <w:bottom w:val="none" w:sz="0" w:space="0" w:color="auto"/>
                <w:right w:val="none" w:sz="0" w:space="0" w:color="auto"/>
              </w:divBdr>
            </w:div>
          </w:divsChild>
        </w:div>
        <w:div w:id="1286736088">
          <w:marLeft w:val="0"/>
          <w:marRight w:val="0"/>
          <w:marTop w:val="0"/>
          <w:marBottom w:val="0"/>
          <w:divBdr>
            <w:top w:val="none" w:sz="0" w:space="0" w:color="auto"/>
            <w:left w:val="none" w:sz="0" w:space="0" w:color="auto"/>
            <w:bottom w:val="none" w:sz="0" w:space="0" w:color="auto"/>
            <w:right w:val="none" w:sz="0" w:space="0" w:color="auto"/>
          </w:divBdr>
        </w:div>
        <w:div w:id="1393499010">
          <w:marLeft w:val="0"/>
          <w:marRight w:val="0"/>
          <w:marTop w:val="0"/>
          <w:marBottom w:val="0"/>
          <w:divBdr>
            <w:top w:val="none" w:sz="0" w:space="0" w:color="auto"/>
            <w:left w:val="none" w:sz="0" w:space="0" w:color="auto"/>
            <w:bottom w:val="none" w:sz="0" w:space="0" w:color="auto"/>
            <w:right w:val="none" w:sz="0" w:space="0" w:color="auto"/>
          </w:divBdr>
        </w:div>
        <w:div w:id="1281571195">
          <w:marLeft w:val="0"/>
          <w:marRight w:val="0"/>
          <w:marTop w:val="0"/>
          <w:marBottom w:val="0"/>
          <w:divBdr>
            <w:top w:val="none" w:sz="0" w:space="0" w:color="auto"/>
            <w:left w:val="none" w:sz="0" w:space="0" w:color="auto"/>
            <w:bottom w:val="none" w:sz="0" w:space="0" w:color="auto"/>
            <w:right w:val="none" w:sz="0" w:space="0" w:color="auto"/>
          </w:divBdr>
          <w:divsChild>
            <w:div w:id="1507595774">
              <w:marLeft w:val="0"/>
              <w:marRight w:val="0"/>
              <w:marTop w:val="0"/>
              <w:marBottom w:val="0"/>
              <w:divBdr>
                <w:top w:val="none" w:sz="0" w:space="0" w:color="auto"/>
                <w:left w:val="none" w:sz="0" w:space="0" w:color="auto"/>
                <w:bottom w:val="none" w:sz="0" w:space="0" w:color="auto"/>
                <w:right w:val="none" w:sz="0" w:space="0" w:color="auto"/>
              </w:divBdr>
            </w:div>
          </w:divsChild>
        </w:div>
        <w:div w:id="1130628931">
          <w:marLeft w:val="0"/>
          <w:marRight w:val="0"/>
          <w:marTop w:val="0"/>
          <w:marBottom w:val="0"/>
          <w:divBdr>
            <w:top w:val="none" w:sz="0" w:space="0" w:color="auto"/>
            <w:left w:val="none" w:sz="0" w:space="0" w:color="auto"/>
            <w:bottom w:val="none" w:sz="0" w:space="0" w:color="auto"/>
            <w:right w:val="none" w:sz="0" w:space="0" w:color="auto"/>
          </w:divBdr>
        </w:div>
        <w:div w:id="800195365">
          <w:marLeft w:val="0"/>
          <w:marRight w:val="0"/>
          <w:marTop w:val="0"/>
          <w:marBottom w:val="0"/>
          <w:divBdr>
            <w:top w:val="none" w:sz="0" w:space="0" w:color="auto"/>
            <w:left w:val="none" w:sz="0" w:space="0" w:color="auto"/>
            <w:bottom w:val="none" w:sz="0" w:space="0" w:color="auto"/>
            <w:right w:val="none" w:sz="0" w:space="0" w:color="auto"/>
          </w:divBdr>
        </w:div>
        <w:div w:id="1437562239">
          <w:marLeft w:val="0"/>
          <w:marRight w:val="0"/>
          <w:marTop w:val="0"/>
          <w:marBottom w:val="0"/>
          <w:divBdr>
            <w:top w:val="none" w:sz="0" w:space="0" w:color="auto"/>
            <w:left w:val="none" w:sz="0" w:space="0" w:color="auto"/>
            <w:bottom w:val="none" w:sz="0" w:space="0" w:color="auto"/>
            <w:right w:val="none" w:sz="0" w:space="0" w:color="auto"/>
          </w:divBdr>
          <w:divsChild>
            <w:div w:id="803889775">
              <w:marLeft w:val="0"/>
              <w:marRight w:val="0"/>
              <w:marTop w:val="0"/>
              <w:marBottom w:val="0"/>
              <w:divBdr>
                <w:top w:val="none" w:sz="0" w:space="0" w:color="auto"/>
                <w:left w:val="none" w:sz="0" w:space="0" w:color="auto"/>
                <w:bottom w:val="none" w:sz="0" w:space="0" w:color="auto"/>
                <w:right w:val="none" w:sz="0" w:space="0" w:color="auto"/>
              </w:divBdr>
            </w:div>
          </w:divsChild>
        </w:div>
        <w:div w:id="1151018823">
          <w:marLeft w:val="0"/>
          <w:marRight w:val="0"/>
          <w:marTop w:val="0"/>
          <w:marBottom w:val="0"/>
          <w:divBdr>
            <w:top w:val="none" w:sz="0" w:space="0" w:color="auto"/>
            <w:left w:val="none" w:sz="0" w:space="0" w:color="auto"/>
            <w:bottom w:val="none" w:sz="0" w:space="0" w:color="auto"/>
            <w:right w:val="none" w:sz="0" w:space="0" w:color="auto"/>
          </w:divBdr>
        </w:div>
        <w:div w:id="1603226712">
          <w:marLeft w:val="0"/>
          <w:marRight w:val="0"/>
          <w:marTop w:val="0"/>
          <w:marBottom w:val="0"/>
          <w:divBdr>
            <w:top w:val="none" w:sz="0" w:space="0" w:color="auto"/>
            <w:left w:val="none" w:sz="0" w:space="0" w:color="auto"/>
            <w:bottom w:val="none" w:sz="0" w:space="0" w:color="auto"/>
            <w:right w:val="none" w:sz="0" w:space="0" w:color="auto"/>
          </w:divBdr>
        </w:div>
        <w:div w:id="2096514663">
          <w:marLeft w:val="0"/>
          <w:marRight w:val="0"/>
          <w:marTop w:val="0"/>
          <w:marBottom w:val="0"/>
          <w:divBdr>
            <w:top w:val="none" w:sz="0" w:space="0" w:color="auto"/>
            <w:left w:val="none" w:sz="0" w:space="0" w:color="auto"/>
            <w:bottom w:val="none" w:sz="0" w:space="0" w:color="auto"/>
            <w:right w:val="none" w:sz="0" w:space="0" w:color="auto"/>
          </w:divBdr>
          <w:divsChild>
            <w:div w:id="1656715589">
              <w:marLeft w:val="0"/>
              <w:marRight w:val="0"/>
              <w:marTop w:val="0"/>
              <w:marBottom w:val="0"/>
              <w:divBdr>
                <w:top w:val="none" w:sz="0" w:space="0" w:color="auto"/>
                <w:left w:val="none" w:sz="0" w:space="0" w:color="auto"/>
                <w:bottom w:val="none" w:sz="0" w:space="0" w:color="auto"/>
                <w:right w:val="none" w:sz="0" w:space="0" w:color="auto"/>
              </w:divBdr>
            </w:div>
          </w:divsChild>
        </w:div>
        <w:div w:id="2023623270">
          <w:marLeft w:val="0"/>
          <w:marRight w:val="0"/>
          <w:marTop w:val="0"/>
          <w:marBottom w:val="0"/>
          <w:divBdr>
            <w:top w:val="none" w:sz="0" w:space="0" w:color="auto"/>
            <w:left w:val="none" w:sz="0" w:space="0" w:color="auto"/>
            <w:bottom w:val="none" w:sz="0" w:space="0" w:color="auto"/>
            <w:right w:val="none" w:sz="0" w:space="0" w:color="auto"/>
          </w:divBdr>
        </w:div>
        <w:div w:id="2016691924">
          <w:marLeft w:val="0"/>
          <w:marRight w:val="0"/>
          <w:marTop w:val="0"/>
          <w:marBottom w:val="0"/>
          <w:divBdr>
            <w:top w:val="none" w:sz="0" w:space="0" w:color="auto"/>
            <w:left w:val="none" w:sz="0" w:space="0" w:color="auto"/>
            <w:bottom w:val="none" w:sz="0" w:space="0" w:color="auto"/>
            <w:right w:val="none" w:sz="0" w:space="0" w:color="auto"/>
          </w:divBdr>
        </w:div>
        <w:div w:id="47533997">
          <w:marLeft w:val="0"/>
          <w:marRight w:val="0"/>
          <w:marTop w:val="0"/>
          <w:marBottom w:val="0"/>
          <w:divBdr>
            <w:top w:val="none" w:sz="0" w:space="0" w:color="auto"/>
            <w:left w:val="none" w:sz="0" w:space="0" w:color="auto"/>
            <w:bottom w:val="none" w:sz="0" w:space="0" w:color="auto"/>
            <w:right w:val="none" w:sz="0" w:space="0" w:color="auto"/>
          </w:divBdr>
          <w:divsChild>
            <w:div w:id="1406806996">
              <w:marLeft w:val="0"/>
              <w:marRight w:val="0"/>
              <w:marTop w:val="0"/>
              <w:marBottom w:val="0"/>
              <w:divBdr>
                <w:top w:val="none" w:sz="0" w:space="0" w:color="auto"/>
                <w:left w:val="none" w:sz="0" w:space="0" w:color="auto"/>
                <w:bottom w:val="none" w:sz="0" w:space="0" w:color="auto"/>
                <w:right w:val="none" w:sz="0" w:space="0" w:color="auto"/>
              </w:divBdr>
            </w:div>
          </w:divsChild>
        </w:div>
        <w:div w:id="1192381835">
          <w:marLeft w:val="0"/>
          <w:marRight w:val="0"/>
          <w:marTop w:val="0"/>
          <w:marBottom w:val="0"/>
          <w:divBdr>
            <w:top w:val="none" w:sz="0" w:space="0" w:color="auto"/>
            <w:left w:val="none" w:sz="0" w:space="0" w:color="auto"/>
            <w:bottom w:val="none" w:sz="0" w:space="0" w:color="auto"/>
            <w:right w:val="none" w:sz="0" w:space="0" w:color="auto"/>
          </w:divBdr>
        </w:div>
        <w:div w:id="1830512824">
          <w:marLeft w:val="0"/>
          <w:marRight w:val="0"/>
          <w:marTop w:val="0"/>
          <w:marBottom w:val="0"/>
          <w:divBdr>
            <w:top w:val="none" w:sz="0" w:space="0" w:color="auto"/>
            <w:left w:val="none" w:sz="0" w:space="0" w:color="auto"/>
            <w:bottom w:val="none" w:sz="0" w:space="0" w:color="auto"/>
            <w:right w:val="none" w:sz="0" w:space="0" w:color="auto"/>
          </w:divBdr>
        </w:div>
        <w:div w:id="1039862780">
          <w:marLeft w:val="0"/>
          <w:marRight w:val="0"/>
          <w:marTop w:val="0"/>
          <w:marBottom w:val="0"/>
          <w:divBdr>
            <w:top w:val="none" w:sz="0" w:space="0" w:color="auto"/>
            <w:left w:val="none" w:sz="0" w:space="0" w:color="auto"/>
            <w:bottom w:val="none" w:sz="0" w:space="0" w:color="auto"/>
            <w:right w:val="none" w:sz="0" w:space="0" w:color="auto"/>
          </w:divBdr>
          <w:divsChild>
            <w:div w:id="96222798">
              <w:marLeft w:val="0"/>
              <w:marRight w:val="0"/>
              <w:marTop w:val="0"/>
              <w:marBottom w:val="0"/>
              <w:divBdr>
                <w:top w:val="none" w:sz="0" w:space="0" w:color="auto"/>
                <w:left w:val="none" w:sz="0" w:space="0" w:color="auto"/>
                <w:bottom w:val="none" w:sz="0" w:space="0" w:color="auto"/>
                <w:right w:val="none" w:sz="0" w:space="0" w:color="auto"/>
              </w:divBdr>
            </w:div>
          </w:divsChild>
        </w:div>
        <w:div w:id="1367095677">
          <w:marLeft w:val="0"/>
          <w:marRight w:val="0"/>
          <w:marTop w:val="0"/>
          <w:marBottom w:val="0"/>
          <w:divBdr>
            <w:top w:val="none" w:sz="0" w:space="0" w:color="auto"/>
            <w:left w:val="none" w:sz="0" w:space="0" w:color="auto"/>
            <w:bottom w:val="none" w:sz="0" w:space="0" w:color="auto"/>
            <w:right w:val="none" w:sz="0" w:space="0" w:color="auto"/>
          </w:divBdr>
        </w:div>
        <w:div w:id="2112581067">
          <w:marLeft w:val="0"/>
          <w:marRight w:val="0"/>
          <w:marTop w:val="0"/>
          <w:marBottom w:val="0"/>
          <w:divBdr>
            <w:top w:val="none" w:sz="0" w:space="0" w:color="auto"/>
            <w:left w:val="none" w:sz="0" w:space="0" w:color="auto"/>
            <w:bottom w:val="none" w:sz="0" w:space="0" w:color="auto"/>
            <w:right w:val="none" w:sz="0" w:space="0" w:color="auto"/>
          </w:divBdr>
        </w:div>
        <w:div w:id="842360896">
          <w:marLeft w:val="0"/>
          <w:marRight w:val="0"/>
          <w:marTop w:val="0"/>
          <w:marBottom w:val="0"/>
          <w:divBdr>
            <w:top w:val="none" w:sz="0" w:space="0" w:color="auto"/>
            <w:left w:val="none" w:sz="0" w:space="0" w:color="auto"/>
            <w:bottom w:val="none" w:sz="0" w:space="0" w:color="auto"/>
            <w:right w:val="none" w:sz="0" w:space="0" w:color="auto"/>
          </w:divBdr>
          <w:divsChild>
            <w:div w:id="612176742">
              <w:marLeft w:val="0"/>
              <w:marRight w:val="0"/>
              <w:marTop w:val="0"/>
              <w:marBottom w:val="0"/>
              <w:divBdr>
                <w:top w:val="none" w:sz="0" w:space="0" w:color="auto"/>
                <w:left w:val="none" w:sz="0" w:space="0" w:color="auto"/>
                <w:bottom w:val="none" w:sz="0" w:space="0" w:color="auto"/>
                <w:right w:val="none" w:sz="0" w:space="0" w:color="auto"/>
              </w:divBdr>
            </w:div>
          </w:divsChild>
        </w:div>
        <w:div w:id="216404748">
          <w:marLeft w:val="0"/>
          <w:marRight w:val="0"/>
          <w:marTop w:val="0"/>
          <w:marBottom w:val="0"/>
          <w:divBdr>
            <w:top w:val="none" w:sz="0" w:space="0" w:color="auto"/>
            <w:left w:val="none" w:sz="0" w:space="0" w:color="auto"/>
            <w:bottom w:val="none" w:sz="0" w:space="0" w:color="auto"/>
            <w:right w:val="none" w:sz="0" w:space="0" w:color="auto"/>
          </w:divBdr>
        </w:div>
        <w:div w:id="1241216727">
          <w:marLeft w:val="0"/>
          <w:marRight w:val="0"/>
          <w:marTop w:val="0"/>
          <w:marBottom w:val="0"/>
          <w:divBdr>
            <w:top w:val="none" w:sz="0" w:space="0" w:color="auto"/>
            <w:left w:val="none" w:sz="0" w:space="0" w:color="auto"/>
            <w:bottom w:val="none" w:sz="0" w:space="0" w:color="auto"/>
            <w:right w:val="none" w:sz="0" w:space="0" w:color="auto"/>
          </w:divBdr>
        </w:div>
        <w:div w:id="192153812">
          <w:marLeft w:val="0"/>
          <w:marRight w:val="0"/>
          <w:marTop w:val="0"/>
          <w:marBottom w:val="0"/>
          <w:divBdr>
            <w:top w:val="none" w:sz="0" w:space="0" w:color="auto"/>
            <w:left w:val="none" w:sz="0" w:space="0" w:color="auto"/>
            <w:bottom w:val="none" w:sz="0" w:space="0" w:color="auto"/>
            <w:right w:val="none" w:sz="0" w:space="0" w:color="auto"/>
          </w:divBdr>
          <w:divsChild>
            <w:div w:id="1098061175">
              <w:marLeft w:val="0"/>
              <w:marRight w:val="0"/>
              <w:marTop w:val="0"/>
              <w:marBottom w:val="0"/>
              <w:divBdr>
                <w:top w:val="none" w:sz="0" w:space="0" w:color="auto"/>
                <w:left w:val="none" w:sz="0" w:space="0" w:color="auto"/>
                <w:bottom w:val="none" w:sz="0" w:space="0" w:color="auto"/>
                <w:right w:val="none" w:sz="0" w:space="0" w:color="auto"/>
              </w:divBdr>
            </w:div>
          </w:divsChild>
        </w:div>
        <w:div w:id="1115292795">
          <w:marLeft w:val="0"/>
          <w:marRight w:val="0"/>
          <w:marTop w:val="0"/>
          <w:marBottom w:val="0"/>
          <w:divBdr>
            <w:top w:val="none" w:sz="0" w:space="0" w:color="auto"/>
            <w:left w:val="none" w:sz="0" w:space="0" w:color="auto"/>
            <w:bottom w:val="none" w:sz="0" w:space="0" w:color="auto"/>
            <w:right w:val="none" w:sz="0" w:space="0" w:color="auto"/>
          </w:divBdr>
        </w:div>
        <w:div w:id="1548026544">
          <w:marLeft w:val="0"/>
          <w:marRight w:val="0"/>
          <w:marTop w:val="0"/>
          <w:marBottom w:val="0"/>
          <w:divBdr>
            <w:top w:val="none" w:sz="0" w:space="0" w:color="auto"/>
            <w:left w:val="none" w:sz="0" w:space="0" w:color="auto"/>
            <w:bottom w:val="none" w:sz="0" w:space="0" w:color="auto"/>
            <w:right w:val="none" w:sz="0" w:space="0" w:color="auto"/>
          </w:divBdr>
        </w:div>
        <w:div w:id="1967735167">
          <w:marLeft w:val="0"/>
          <w:marRight w:val="0"/>
          <w:marTop w:val="0"/>
          <w:marBottom w:val="0"/>
          <w:divBdr>
            <w:top w:val="none" w:sz="0" w:space="0" w:color="auto"/>
            <w:left w:val="none" w:sz="0" w:space="0" w:color="auto"/>
            <w:bottom w:val="none" w:sz="0" w:space="0" w:color="auto"/>
            <w:right w:val="none" w:sz="0" w:space="0" w:color="auto"/>
          </w:divBdr>
          <w:divsChild>
            <w:div w:id="692340894">
              <w:marLeft w:val="0"/>
              <w:marRight w:val="0"/>
              <w:marTop w:val="0"/>
              <w:marBottom w:val="0"/>
              <w:divBdr>
                <w:top w:val="none" w:sz="0" w:space="0" w:color="auto"/>
                <w:left w:val="none" w:sz="0" w:space="0" w:color="auto"/>
                <w:bottom w:val="none" w:sz="0" w:space="0" w:color="auto"/>
                <w:right w:val="none" w:sz="0" w:space="0" w:color="auto"/>
              </w:divBdr>
            </w:div>
          </w:divsChild>
        </w:div>
        <w:div w:id="883516792">
          <w:marLeft w:val="0"/>
          <w:marRight w:val="0"/>
          <w:marTop w:val="0"/>
          <w:marBottom w:val="0"/>
          <w:divBdr>
            <w:top w:val="none" w:sz="0" w:space="0" w:color="auto"/>
            <w:left w:val="none" w:sz="0" w:space="0" w:color="auto"/>
            <w:bottom w:val="none" w:sz="0" w:space="0" w:color="auto"/>
            <w:right w:val="none" w:sz="0" w:space="0" w:color="auto"/>
          </w:divBdr>
        </w:div>
        <w:div w:id="1310791368">
          <w:marLeft w:val="0"/>
          <w:marRight w:val="0"/>
          <w:marTop w:val="0"/>
          <w:marBottom w:val="0"/>
          <w:divBdr>
            <w:top w:val="none" w:sz="0" w:space="0" w:color="auto"/>
            <w:left w:val="none" w:sz="0" w:space="0" w:color="auto"/>
            <w:bottom w:val="none" w:sz="0" w:space="0" w:color="auto"/>
            <w:right w:val="none" w:sz="0" w:space="0" w:color="auto"/>
          </w:divBdr>
        </w:div>
        <w:div w:id="221601403">
          <w:marLeft w:val="0"/>
          <w:marRight w:val="0"/>
          <w:marTop w:val="0"/>
          <w:marBottom w:val="0"/>
          <w:divBdr>
            <w:top w:val="none" w:sz="0" w:space="0" w:color="auto"/>
            <w:left w:val="none" w:sz="0" w:space="0" w:color="auto"/>
            <w:bottom w:val="none" w:sz="0" w:space="0" w:color="auto"/>
            <w:right w:val="none" w:sz="0" w:space="0" w:color="auto"/>
          </w:divBdr>
        </w:div>
        <w:div w:id="2030523970">
          <w:marLeft w:val="0"/>
          <w:marRight w:val="0"/>
          <w:marTop w:val="0"/>
          <w:marBottom w:val="0"/>
          <w:divBdr>
            <w:top w:val="none" w:sz="0" w:space="0" w:color="auto"/>
            <w:left w:val="none" w:sz="0" w:space="0" w:color="auto"/>
            <w:bottom w:val="none" w:sz="0" w:space="0" w:color="auto"/>
            <w:right w:val="none" w:sz="0" w:space="0" w:color="auto"/>
          </w:divBdr>
          <w:divsChild>
            <w:div w:id="1011106627">
              <w:marLeft w:val="0"/>
              <w:marRight w:val="0"/>
              <w:marTop w:val="0"/>
              <w:marBottom w:val="0"/>
              <w:divBdr>
                <w:top w:val="none" w:sz="0" w:space="0" w:color="auto"/>
                <w:left w:val="none" w:sz="0" w:space="0" w:color="auto"/>
                <w:bottom w:val="none" w:sz="0" w:space="0" w:color="auto"/>
                <w:right w:val="none" w:sz="0" w:space="0" w:color="auto"/>
              </w:divBdr>
            </w:div>
          </w:divsChild>
        </w:div>
        <w:div w:id="1088501291">
          <w:marLeft w:val="0"/>
          <w:marRight w:val="0"/>
          <w:marTop w:val="0"/>
          <w:marBottom w:val="0"/>
          <w:divBdr>
            <w:top w:val="none" w:sz="0" w:space="0" w:color="auto"/>
            <w:left w:val="none" w:sz="0" w:space="0" w:color="auto"/>
            <w:bottom w:val="none" w:sz="0" w:space="0" w:color="auto"/>
            <w:right w:val="none" w:sz="0" w:space="0" w:color="auto"/>
          </w:divBdr>
        </w:div>
        <w:div w:id="516237936">
          <w:marLeft w:val="0"/>
          <w:marRight w:val="0"/>
          <w:marTop w:val="0"/>
          <w:marBottom w:val="0"/>
          <w:divBdr>
            <w:top w:val="none" w:sz="0" w:space="0" w:color="auto"/>
            <w:left w:val="none" w:sz="0" w:space="0" w:color="auto"/>
            <w:bottom w:val="none" w:sz="0" w:space="0" w:color="auto"/>
            <w:right w:val="none" w:sz="0" w:space="0" w:color="auto"/>
          </w:divBdr>
        </w:div>
        <w:div w:id="1178303720">
          <w:marLeft w:val="0"/>
          <w:marRight w:val="0"/>
          <w:marTop w:val="0"/>
          <w:marBottom w:val="0"/>
          <w:divBdr>
            <w:top w:val="none" w:sz="0" w:space="0" w:color="auto"/>
            <w:left w:val="none" w:sz="0" w:space="0" w:color="auto"/>
            <w:bottom w:val="none" w:sz="0" w:space="0" w:color="auto"/>
            <w:right w:val="none" w:sz="0" w:space="0" w:color="auto"/>
          </w:divBdr>
          <w:divsChild>
            <w:div w:id="220673163">
              <w:marLeft w:val="0"/>
              <w:marRight w:val="0"/>
              <w:marTop w:val="0"/>
              <w:marBottom w:val="0"/>
              <w:divBdr>
                <w:top w:val="none" w:sz="0" w:space="0" w:color="auto"/>
                <w:left w:val="none" w:sz="0" w:space="0" w:color="auto"/>
                <w:bottom w:val="none" w:sz="0" w:space="0" w:color="auto"/>
                <w:right w:val="none" w:sz="0" w:space="0" w:color="auto"/>
              </w:divBdr>
            </w:div>
          </w:divsChild>
        </w:div>
        <w:div w:id="1802073393">
          <w:marLeft w:val="0"/>
          <w:marRight w:val="0"/>
          <w:marTop w:val="0"/>
          <w:marBottom w:val="0"/>
          <w:divBdr>
            <w:top w:val="none" w:sz="0" w:space="0" w:color="auto"/>
            <w:left w:val="none" w:sz="0" w:space="0" w:color="auto"/>
            <w:bottom w:val="none" w:sz="0" w:space="0" w:color="auto"/>
            <w:right w:val="none" w:sz="0" w:space="0" w:color="auto"/>
          </w:divBdr>
        </w:div>
        <w:div w:id="284652945">
          <w:marLeft w:val="0"/>
          <w:marRight w:val="0"/>
          <w:marTop w:val="0"/>
          <w:marBottom w:val="0"/>
          <w:divBdr>
            <w:top w:val="none" w:sz="0" w:space="0" w:color="auto"/>
            <w:left w:val="none" w:sz="0" w:space="0" w:color="auto"/>
            <w:bottom w:val="none" w:sz="0" w:space="0" w:color="auto"/>
            <w:right w:val="none" w:sz="0" w:space="0" w:color="auto"/>
          </w:divBdr>
        </w:div>
        <w:div w:id="1510097703">
          <w:marLeft w:val="0"/>
          <w:marRight w:val="0"/>
          <w:marTop w:val="0"/>
          <w:marBottom w:val="0"/>
          <w:divBdr>
            <w:top w:val="none" w:sz="0" w:space="0" w:color="auto"/>
            <w:left w:val="none" w:sz="0" w:space="0" w:color="auto"/>
            <w:bottom w:val="none" w:sz="0" w:space="0" w:color="auto"/>
            <w:right w:val="none" w:sz="0" w:space="0" w:color="auto"/>
          </w:divBdr>
          <w:divsChild>
            <w:div w:id="1432319667">
              <w:marLeft w:val="0"/>
              <w:marRight w:val="0"/>
              <w:marTop w:val="0"/>
              <w:marBottom w:val="0"/>
              <w:divBdr>
                <w:top w:val="none" w:sz="0" w:space="0" w:color="auto"/>
                <w:left w:val="none" w:sz="0" w:space="0" w:color="auto"/>
                <w:bottom w:val="none" w:sz="0" w:space="0" w:color="auto"/>
                <w:right w:val="none" w:sz="0" w:space="0" w:color="auto"/>
              </w:divBdr>
            </w:div>
          </w:divsChild>
        </w:div>
        <w:div w:id="1230769241">
          <w:marLeft w:val="0"/>
          <w:marRight w:val="0"/>
          <w:marTop w:val="0"/>
          <w:marBottom w:val="0"/>
          <w:divBdr>
            <w:top w:val="none" w:sz="0" w:space="0" w:color="auto"/>
            <w:left w:val="none" w:sz="0" w:space="0" w:color="auto"/>
            <w:bottom w:val="none" w:sz="0" w:space="0" w:color="auto"/>
            <w:right w:val="none" w:sz="0" w:space="0" w:color="auto"/>
          </w:divBdr>
        </w:div>
        <w:div w:id="904294331">
          <w:marLeft w:val="0"/>
          <w:marRight w:val="0"/>
          <w:marTop w:val="0"/>
          <w:marBottom w:val="0"/>
          <w:divBdr>
            <w:top w:val="none" w:sz="0" w:space="0" w:color="auto"/>
            <w:left w:val="none" w:sz="0" w:space="0" w:color="auto"/>
            <w:bottom w:val="none" w:sz="0" w:space="0" w:color="auto"/>
            <w:right w:val="none" w:sz="0" w:space="0" w:color="auto"/>
          </w:divBdr>
        </w:div>
        <w:div w:id="59907201">
          <w:marLeft w:val="0"/>
          <w:marRight w:val="0"/>
          <w:marTop w:val="0"/>
          <w:marBottom w:val="0"/>
          <w:divBdr>
            <w:top w:val="none" w:sz="0" w:space="0" w:color="auto"/>
            <w:left w:val="none" w:sz="0" w:space="0" w:color="auto"/>
            <w:bottom w:val="none" w:sz="0" w:space="0" w:color="auto"/>
            <w:right w:val="none" w:sz="0" w:space="0" w:color="auto"/>
          </w:divBdr>
        </w:div>
        <w:div w:id="898711370">
          <w:marLeft w:val="0"/>
          <w:marRight w:val="0"/>
          <w:marTop w:val="0"/>
          <w:marBottom w:val="0"/>
          <w:divBdr>
            <w:top w:val="none" w:sz="0" w:space="0" w:color="auto"/>
            <w:left w:val="none" w:sz="0" w:space="0" w:color="auto"/>
            <w:bottom w:val="none" w:sz="0" w:space="0" w:color="auto"/>
            <w:right w:val="none" w:sz="0" w:space="0" w:color="auto"/>
          </w:divBdr>
          <w:divsChild>
            <w:div w:id="206766268">
              <w:marLeft w:val="0"/>
              <w:marRight w:val="0"/>
              <w:marTop w:val="0"/>
              <w:marBottom w:val="0"/>
              <w:divBdr>
                <w:top w:val="none" w:sz="0" w:space="0" w:color="auto"/>
                <w:left w:val="none" w:sz="0" w:space="0" w:color="auto"/>
                <w:bottom w:val="none" w:sz="0" w:space="0" w:color="auto"/>
                <w:right w:val="none" w:sz="0" w:space="0" w:color="auto"/>
              </w:divBdr>
            </w:div>
          </w:divsChild>
        </w:div>
        <w:div w:id="282733949">
          <w:marLeft w:val="0"/>
          <w:marRight w:val="0"/>
          <w:marTop w:val="0"/>
          <w:marBottom w:val="0"/>
          <w:divBdr>
            <w:top w:val="none" w:sz="0" w:space="0" w:color="auto"/>
            <w:left w:val="none" w:sz="0" w:space="0" w:color="auto"/>
            <w:bottom w:val="none" w:sz="0" w:space="0" w:color="auto"/>
            <w:right w:val="none" w:sz="0" w:space="0" w:color="auto"/>
          </w:divBdr>
        </w:div>
        <w:div w:id="945698275">
          <w:marLeft w:val="0"/>
          <w:marRight w:val="0"/>
          <w:marTop w:val="0"/>
          <w:marBottom w:val="0"/>
          <w:divBdr>
            <w:top w:val="none" w:sz="0" w:space="0" w:color="auto"/>
            <w:left w:val="none" w:sz="0" w:space="0" w:color="auto"/>
            <w:bottom w:val="none" w:sz="0" w:space="0" w:color="auto"/>
            <w:right w:val="none" w:sz="0" w:space="0" w:color="auto"/>
          </w:divBdr>
        </w:div>
        <w:div w:id="1672640167">
          <w:marLeft w:val="0"/>
          <w:marRight w:val="0"/>
          <w:marTop w:val="0"/>
          <w:marBottom w:val="0"/>
          <w:divBdr>
            <w:top w:val="none" w:sz="0" w:space="0" w:color="auto"/>
            <w:left w:val="none" w:sz="0" w:space="0" w:color="auto"/>
            <w:bottom w:val="none" w:sz="0" w:space="0" w:color="auto"/>
            <w:right w:val="none" w:sz="0" w:space="0" w:color="auto"/>
          </w:divBdr>
        </w:div>
        <w:div w:id="1342778679">
          <w:marLeft w:val="0"/>
          <w:marRight w:val="0"/>
          <w:marTop w:val="0"/>
          <w:marBottom w:val="0"/>
          <w:divBdr>
            <w:top w:val="none" w:sz="0" w:space="0" w:color="auto"/>
            <w:left w:val="none" w:sz="0" w:space="0" w:color="auto"/>
            <w:bottom w:val="none" w:sz="0" w:space="0" w:color="auto"/>
            <w:right w:val="none" w:sz="0" w:space="0" w:color="auto"/>
          </w:divBdr>
          <w:divsChild>
            <w:div w:id="404568690">
              <w:marLeft w:val="0"/>
              <w:marRight w:val="0"/>
              <w:marTop w:val="0"/>
              <w:marBottom w:val="0"/>
              <w:divBdr>
                <w:top w:val="none" w:sz="0" w:space="0" w:color="auto"/>
                <w:left w:val="none" w:sz="0" w:space="0" w:color="auto"/>
                <w:bottom w:val="none" w:sz="0" w:space="0" w:color="auto"/>
                <w:right w:val="none" w:sz="0" w:space="0" w:color="auto"/>
              </w:divBdr>
            </w:div>
          </w:divsChild>
        </w:div>
        <w:div w:id="865288297">
          <w:marLeft w:val="0"/>
          <w:marRight w:val="0"/>
          <w:marTop w:val="0"/>
          <w:marBottom w:val="0"/>
          <w:divBdr>
            <w:top w:val="none" w:sz="0" w:space="0" w:color="auto"/>
            <w:left w:val="none" w:sz="0" w:space="0" w:color="auto"/>
            <w:bottom w:val="none" w:sz="0" w:space="0" w:color="auto"/>
            <w:right w:val="none" w:sz="0" w:space="0" w:color="auto"/>
          </w:divBdr>
        </w:div>
        <w:div w:id="348526179">
          <w:marLeft w:val="0"/>
          <w:marRight w:val="0"/>
          <w:marTop w:val="0"/>
          <w:marBottom w:val="0"/>
          <w:divBdr>
            <w:top w:val="none" w:sz="0" w:space="0" w:color="auto"/>
            <w:left w:val="none" w:sz="0" w:space="0" w:color="auto"/>
            <w:bottom w:val="none" w:sz="0" w:space="0" w:color="auto"/>
            <w:right w:val="none" w:sz="0" w:space="0" w:color="auto"/>
          </w:divBdr>
        </w:div>
        <w:div w:id="593979711">
          <w:marLeft w:val="0"/>
          <w:marRight w:val="0"/>
          <w:marTop w:val="0"/>
          <w:marBottom w:val="0"/>
          <w:divBdr>
            <w:top w:val="none" w:sz="0" w:space="0" w:color="auto"/>
            <w:left w:val="none" w:sz="0" w:space="0" w:color="auto"/>
            <w:bottom w:val="none" w:sz="0" w:space="0" w:color="auto"/>
            <w:right w:val="none" w:sz="0" w:space="0" w:color="auto"/>
          </w:divBdr>
          <w:divsChild>
            <w:div w:id="1921524185">
              <w:marLeft w:val="0"/>
              <w:marRight w:val="0"/>
              <w:marTop w:val="0"/>
              <w:marBottom w:val="0"/>
              <w:divBdr>
                <w:top w:val="none" w:sz="0" w:space="0" w:color="auto"/>
                <w:left w:val="none" w:sz="0" w:space="0" w:color="auto"/>
                <w:bottom w:val="none" w:sz="0" w:space="0" w:color="auto"/>
                <w:right w:val="none" w:sz="0" w:space="0" w:color="auto"/>
              </w:divBdr>
            </w:div>
          </w:divsChild>
        </w:div>
        <w:div w:id="1070079344">
          <w:marLeft w:val="0"/>
          <w:marRight w:val="0"/>
          <w:marTop w:val="0"/>
          <w:marBottom w:val="0"/>
          <w:divBdr>
            <w:top w:val="none" w:sz="0" w:space="0" w:color="auto"/>
            <w:left w:val="none" w:sz="0" w:space="0" w:color="auto"/>
            <w:bottom w:val="none" w:sz="0" w:space="0" w:color="auto"/>
            <w:right w:val="none" w:sz="0" w:space="0" w:color="auto"/>
          </w:divBdr>
        </w:div>
        <w:div w:id="1880975938">
          <w:marLeft w:val="0"/>
          <w:marRight w:val="0"/>
          <w:marTop w:val="0"/>
          <w:marBottom w:val="0"/>
          <w:divBdr>
            <w:top w:val="none" w:sz="0" w:space="0" w:color="auto"/>
            <w:left w:val="none" w:sz="0" w:space="0" w:color="auto"/>
            <w:bottom w:val="none" w:sz="0" w:space="0" w:color="auto"/>
            <w:right w:val="none" w:sz="0" w:space="0" w:color="auto"/>
          </w:divBdr>
        </w:div>
        <w:div w:id="1208252237">
          <w:marLeft w:val="0"/>
          <w:marRight w:val="0"/>
          <w:marTop w:val="0"/>
          <w:marBottom w:val="0"/>
          <w:divBdr>
            <w:top w:val="none" w:sz="0" w:space="0" w:color="auto"/>
            <w:left w:val="none" w:sz="0" w:space="0" w:color="auto"/>
            <w:bottom w:val="none" w:sz="0" w:space="0" w:color="auto"/>
            <w:right w:val="none" w:sz="0" w:space="0" w:color="auto"/>
          </w:divBdr>
          <w:divsChild>
            <w:div w:id="2115321058">
              <w:marLeft w:val="0"/>
              <w:marRight w:val="0"/>
              <w:marTop w:val="0"/>
              <w:marBottom w:val="0"/>
              <w:divBdr>
                <w:top w:val="none" w:sz="0" w:space="0" w:color="auto"/>
                <w:left w:val="none" w:sz="0" w:space="0" w:color="auto"/>
                <w:bottom w:val="none" w:sz="0" w:space="0" w:color="auto"/>
                <w:right w:val="none" w:sz="0" w:space="0" w:color="auto"/>
              </w:divBdr>
            </w:div>
          </w:divsChild>
        </w:div>
        <w:div w:id="1773551286">
          <w:marLeft w:val="0"/>
          <w:marRight w:val="0"/>
          <w:marTop w:val="0"/>
          <w:marBottom w:val="0"/>
          <w:divBdr>
            <w:top w:val="none" w:sz="0" w:space="0" w:color="auto"/>
            <w:left w:val="none" w:sz="0" w:space="0" w:color="auto"/>
            <w:bottom w:val="none" w:sz="0" w:space="0" w:color="auto"/>
            <w:right w:val="none" w:sz="0" w:space="0" w:color="auto"/>
          </w:divBdr>
        </w:div>
        <w:div w:id="1956596584">
          <w:marLeft w:val="0"/>
          <w:marRight w:val="0"/>
          <w:marTop w:val="0"/>
          <w:marBottom w:val="0"/>
          <w:divBdr>
            <w:top w:val="none" w:sz="0" w:space="0" w:color="auto"/>
            <w:left w:val="none" w:sz="0" w:space="0" w:color="auto"/>
            <w:bottom w:val="none" w:sz="0" w:space="0" w:color="auto"/>
            <w:right w:val="none" w:sz="0" w:space="0" w:color="auto"/>
          </w:divBdr>
        </w:div>
        <w:div w:id="1044521749">
          <w:marLeft w:val="0"/>
          <w:marRight w:val="0"/>
          <w:marTop w:val="0"/>
          <w:marBottom w:val="0"/>
          <w:divBdr>
            <w:top w:val="none" w:sz="0" w:space="0" w:color="auto"/>
            <w:left w:val="none" w:sz="0" w:space="0" w:color="auto"/>
            <w:bottom w:val="none" w:sz="0" w:space="0" w:color="auto"/>
            <w:right w:val="none" w:sz="0" w:space="0" w:color="auto"/>
          </w:divBdr>
          <w:divsChild>
            <w:div w:id="1627658790">
              <w:marLeft w:val="0"/>
              <w:marRight w:val="0"/>
              <w:marTop w:val="0"/>
              <w:marBottom w:val="0"/>
              <w:divBdr>
                <w:top w:val="none" w:sz="0" w:space="0" w:color="auto"/>
                <w:left w:val="none" w:sz="0" w:space="0" w:color="auto"/>
                <w:bottom w:val="none" w:sz="0" w:space="0" w:color="auto"/>
                <w:right w:val="none" w:sz="0" w:space="0" w:color="auto"/>
              </w:divBdr>
            </w:div>
          </w:divsChild>
        </w:div>
        <w:div w:id="1742677613">
          <w:marLeft w:val="0"/>
          <w:marRight w:val="0"/>
          <w:marTop w:val="0"/>
          <w:marBottom w:val="0"/>
          <w:divBdr>
            <w:top w:val="none" w:sz="0" w:space="0" w:color="auto"/>
            <w:left w:val="none" w:sz="0" w:space="0" w:color="auto"/>
            <w:bottom w:val="none" w:sz="0" w:space="0" w:color="auto"/>
            <w:right w:val="none" w:sz="0" w:space="0" w:color="auto"/>
          </w:divBdr>
        </w:div>
        <w:div w:id="610281693">
          <w:marLeft w:val="0"/>
          <w:marRight w:val="0"/>
          <w:marTop w:val="0"/>
          <w:marBottom w:val="0"/>
          <w:divBdr>
            <w:top w:val="none" w:sz="0" w:space="0" w:color="auto"/>
            <w:left w:val="none" w:sz="0" w:space="0" w:color="auto"/>
            <w:bottom w:val="none" w:sz="0" w:space="0" w:color="auto"/>
            <w:right w:val="none" w:sz="0" w:space="0" w:color="auto"/>
          </w:divBdr>
        </w:div>
        <w:div w:id="968434577">
          <w:marLeft w:val="0"/>
          <w:marRight w:val="0"/>
          <w:marTop w:val="0"/>
          <w:marBottom w:val="0"/>
          <w:divBdr>
            <w:top w:val="none" w:sz="0" w:space="0" w:color="auto"/>
            <w:left w:val="none" w:sz="0" w:space="0" w:color="auto"/>
            <w:bottom w:val="none" w:sz="0" w:space="0" w:color="auto"/>
            <w:right w:val="none" w:sz="0" w:space="0" w:color="auto"/>
          </w:divBdr>
          <w:divsChild>
            <w:div w:id="694159899">
              <w:marLeft w:val="0"/>
              <w:marRight w:val="0"/>
              <w:marTop w:val="0"/>
              <w:marBottom w:val="0"/>
              <w:divBdr>
                <w:top w:val="none" w:sz="0" w:space="0" w:color="auto"/>
                <w:left w:val="none" w:sz="0" w:space="0" w:color="auto"/>
                <w:bottom w:val="none" w:sz="0" w:space="0" w:color="auto"/>
                <w:right w:val="none" w:sz="0" w:space="0" w:color="auto"/>
              </w:divBdr>
            </w:div>
          </w:divsChild>
        </w:div>
        <w:div w:id="156239332">
          <w:marLeft w:val="0"/>
          <w:marRight w:val="0"/>
          <w:marTop w:val="0"/>
          <w:marBottom w:val="0"/>
          <w:divBdr>
            <w:top w:val="none" w:sz="0" w:space="0" w:color="auto"/>
            <w:left w:val="none" w:sz="0" w:space="0" w:color="auto"/>
            <w:bottom w:val="none" w:sz="0" w:space="0" w:color="auto"/>
            <w:right w:val="none" w:sz="0" w:space="0" w:color="auto"/>
          </w:divBdr>
        </w:div>
        <w:div w:id="2079596321">
          <w:marLeft w:val="0"/>
          <w:marRight w:val="0"/>
          <w:marTop w:val="0"/>
          <w:marBottom w:val="0"/>
          <w:divBdr>
            <w:top w:val="none" w:sz="0" w:space="0" w:color="auto"/>
            <w:left w:val="none" w:sz="0" w:space="0" w:color="auto"/>
            <w:bottom w:val="none" w:sz="0" w:space="0" w:color="auto"/>
            <w:right w:val="none" w:sz="0" w:space="0" w:color="auto"/>
          </w:divBdr>
        </w:div>
        <w:div w:id="1311205634">
          <w:marLeft w:val="0"/>
          <w:marRight w:val="0"/>
          <w:marTop w:val="0"/>
          <w:marBottom w:val="0"/>
          <w:divBdr>
            <w:top w:val="none" w:sz="0" w:space="0" w:color="auto"/>
            <w:left w:val="none" w:sz="0" w:space="0" w:color="auto"/>
            <w:bottom w:val="none" w:sz="0" w:space="0" w:color="auto"/>
            <w:right w:val="none" w:sz="0" w:space="0" w:color="auto"/>
          </w:divBdr>
          <w:divsChild>
            <w:div w:id="1065763923">
              <w:marLeft w:val="0"/>
              <w:marRight w:val="0"/>
              <w:marTop w:val="0"/>
              <w:marBottom w:val="0"/>
              <w:divBdr>
                <w:top w:val="none" w:sz="0" w:space="0" w:color="auto"/>
                <w:left w:val="none" w:sz="0" w:space="0" w:color="auto"/>
                <w:bottom w:val="none" w:sz="0" w:space="0" w:color="auto"/>
                <w:right w:val="none" w:sz="0" w:space="0" w:color="auto"/>
              </w:divBdr>
            </w:div>
          </w:divsChild>
        </w:div>
        <w:div w:id="245648993">
          <w:marLeft w:val="0"/>
          <w:marRight w:val="0"/>
          <w:marTop w:val="0"/>
          <w:marBottom w:val="0"/>
          <w:divBdr>
            <w:top w:val="none" w:sz="0" w:space="0" w:color="auto"/>
            <w:left w:val="none" w:sz="0" w:space="0" w:color="auto"/>
            <w:bottom w:val="none" w:sz="0" w:space="0" w:color="auto"/>
            <w:right w:val="none" w:sz="0" w:space="0" w:color="auto"/>
          </w:divBdr>
        </w:div>
        <w:div w:id="1970818102">
          <w:marLeft w:val="0"/>
          <w:marRight w:val="0"/>
          <w:marTop w:val="0"/>
          <w:marBottom w:val="0"/>
          <w:divBdr>
            <w:top w:val="none" w:sz="0" w:space="0" w:color="auto"/>
            <w:left w:val="none" w:sz="0" w:space="0" w:color="auto"/>
            <w:bottom w:val="none" w:sz="0" w:space="0" w:color="auto"/>
            <w:right w:val="none" w:sz="0" w:space="0" w:color="auto"/>
          </w:divBdr>
        </w:div>
        <w:div w:id="1240023956">
          <w:marLeft w:val="0"/>
          <w:marRight w:val="0"/>
          <w:marTop w:val="0"/>
          <w:marBottom w:val="0"/>
          <w:divBdr>
            <w:top w:val="none" w:sz="0" w:space="0" w:color="auto"/>
            <w:left w:val="none" w:sz="0" w:space="0" w:color="auto"/>
            <w:bottom w:val="none" w:sz="0" w:space="0" w:color="auto"/>
            <w:right w:val="none" w:sz="0" w:space="0" w:color="auto"/>
          </w:divBdr>
        </w:div>
        <w:div w:id="1511750092">
          <w:marLeft w:val="0"/>
          <w:marRight w:val="0"/>
          <w:marTop w:val="0"/>
          <w:marBottom w:val="0"/>
          <w:divBdr>
            <w:top w:val="none" w:sz="0" w:space="0" w:color="auto"/>
            <w:left w:val="none" w:sz="0" w:space="0" w:color="auto"/>
            <w:bottom w:val="none" w:sz="0" w:space="0" w:color="auto"/>
            <w:right w:val="none" w:sz="0" w:space="0" w:color="auto"/>
          </w:divBdr>
          <w:divsChild>
            <w:div w:id="415328719">
              <w:marLeft w:val="0"/>
              <w:marRight w:val="0"/>
              <w:marTop w:val="0"/>
              <w:marBottom w:val="0"/>
              <w:divBdr>
                <w:top w:val="none" w:sz="0" w:space="0" w:color="auto"/>
                <w:left w:val="none" w:sz="0" w:space="0" w:color="auto"/>
                <w:bottom w:val="none" w:sz="0" w:space="0" w:color="auto"/>
                <w:right w:val="none" w:sz="0" w:space="0" w:color="auto"/>
              </w:divBdr>
            </w:div>
          </w:divsChild>
        </w:div>
        <w:div w:id="600141208">
          <w:marLeft w:val="0"/>
          <w:marRight w:val="0"/>
          <w:marTop w:val="0"/>
          <w:marBottom w:val="0"/>
          <w:divBdr>
            <w:top w:val="none" w:sz="0" w:space="0" w:color="auto"/>
            <w:left w:val="none" w:sz="0" w:space="0" w:color="auto"/>
            <w:bottom w:val="none" w:sz="0" w:space="0" w:color="auto"/>
            <w:right w:val="none" w:sz="0" w:space="0" w:color="auto"/>
          </w:divBdr>
        </w:div>
        <w:div w:id="90711692">
          <w:marLeft w:val="0"/>
          <w:marRight w:val="0"/>
          <w:marTop w:val="0"/>
          <w:marBottom w:val="0"/>
          <w:divBdr>
            <w:top w:val="none" w:sz="0" w:space="0" w:color="auto"/>
            <w:left w:val="none" w:sz="0" w:space="0" w:color="auto"/>
            <w:bottom w:val="none" w:sz="0" w:space="0" w:color="auto"/>
            <w:right w:val="none" w:sz="0" w:space="0" w:color="auto"/>
          </w:divBdr>
        </w:div>
        <w:div w:id="1424842290">
          <w:marLeft w:val="0"/>
          <w:marRight w:val="0"/>
          <w:marTop w:val="0"/>
          <w:marBottom w:val="0"/>
          <w:divBdr>
            <w:top w:val="none" w:sz="0" w:space="0" w:color="auto"/>
            <w:left w:val="none" w:sz="0" w:space="0" w:color="auto"/>
            <w:bottom w:val="none" w:sz="0" w:space="0" w:color="auto"/>
            <w:right w:val="none" w:sz="0" w:space="0" w:color="auto"/>
          </w:divBdr>
          <w:divsChild>
            <w:div w:id="1597786526">
              <w:marLeft w:val="0"/>
              <w:marRight w:val="0"/>
              <w:marTop w:val="0"/>
              <w:marBottom w:val="0"/>
              <w:divBdr>
                <w:top w:val="none" w:sz="0" w:space="0" w:color="auto"/>
                <w:left w:val="none" w:sz="0" w:space="0" w:color="auto"/>
                <w:bottom w:val="none" w:sz="0" w:space="0" w:color="auto"/>
                <w:right w:val="none" w:sz="0" w:space="0" w:color="auto"/>
              </w:divBdr>
            </w:div>
          </w:divsChild>
        </w:div>
        <w:div w:id="916524410">
          <w:marLeft w:val="0"/>
          <w:marRight w:val="0"/>
          <w:marTop w:val="0"/>
          <w:marBottom w:val="0"/>
          <w:divBdr>
            <w:top w:val="none" w:sz="0" w:space="0" w:color="auto"/>
            <w:left w:val="none" w:sz="0" w:space="0" w:color="auto"/>
            <w:bottom w:val="none" w:sz="0" w:space="0" w:color="auto"/>
            <w:right w:val="none" w:sz="0" w:space="0" w:color="auto"/>
          </w:divBdr>
        </w:div>
        <w:div w:id="2069260139">
          <w:marLeft w:val="0"/>
          <w:marRight w:val="0"/>
          <w:marTop w:val="0"/>
          <w:marBottom w:val="0"/>
          <w:divBdr>
            <w:top w:val="none" w:sz="0" w:space="0" w:color="auto"/>
            <w:left w:val="none" w:sz="0" w:space="0" w:color="auto"/>
            <w:bottom w:val="none" w:sz="0" w:space="0" w:color="auto"/>
            <w:right w:val="none" w:sz="0" w:space="0" w:color="auto"/>
          </w:divBdr>
        </w:div>
      </w:divsChild>
    </w:div>
    <w:div w:id="678167676">
      <w:bodyDiv w:val="1"/>
      <w:marLeft w:val="0"/>
      <w:marRight w:val="0"/>
      <w:marTop w:val="0"/>
      <w:marBottom w:val="0"/>
      <w:divBdr>
        <w:top w:val="none" w:sz="0" w:space="0" w:color="auto"/>
        <w:left w:val="none" w:sz="0" w:space="0" w:color="auto"/>
        <w:bottom w:val="none" w:sz="0" w:space="0" w:color="auto"/>
        <w:right w:val="none" w:sz="0" w:space="0" w:color="auto"/>
      </w:divBdr>
    </w:div>
    <w:div w:id="696852898">
      <w:bodyDiv w:val="1"/>
      <w:marLeft w:val="0"/>
      <w:marRight w:val="0"/>
      <w:marTop w:val="0"/>
      <w:marBottom w:val="0"/>
      <w:divBdr>
        <w:top w:val="none" w:sz="0" w:space="0" w:color="auto"/>
        <w:left w:val="none" w:sz="0" w:space="0" w:color="auto"/>
        <w:bottom w:val="none" w:sz="0" w:space="0" w:color="auto"/>
        <w:right w:val="none" w:sz="0" w:space="0" w:color="auto"/>
      </w:divBdr>
      <w:divsChild>
        <w:div w:id="1265766482">
          <w:marLeft w:val="0"/>
          <w:marRight w:val="0"/>
          <w:marTop w:val="0"/>
          <w:marBottom w:val="0"/>
          <w:divBdr>
            <w:top w:val="none" w:sz="0" w:space="0" w:color="auto"/>
            <w:left w:val="none" w:sz="0" w:space="0" w:color="auto"/>
            <w:bottom w:val="none" w:sz="0" w:space="0" w:color="auto"/>
            <w:right w:val="none" w:sz="0" w:space="0" w:color="auto"/>
          </w:divBdr>
          <w:divsChild>
            <w:div w:id="1566993371">
              <w:marLeft w:val="0"/>
              <w:marRight w:val="0"/>
              <w:marTop w:val="150"/>
              <w:marBottom w:val="225"/>
              <w:divBdr>
                <w:top w:val="none" w:sz="0" w:space="0" w:color="auto"/>
                <w:left w:val="none" w:sz="0" w:space="0" w:color="auto"/>
                <w:bottom w:val="none" w:sz="0" w:space="0" w:color="auto"/>
                <w:right w:val="none" w:sz="0" w:space="0" w:color="auto"/>
              </w:divBdr>
            </w:div>
          </w:divsChild>
        </w:div>
        <w:div w:id="1843003760">
          <w:marLeft w:val="0"/>
          <w:marRight w:val="0"/>
          <w:marTop w:val="0"/>
          <w:marBottom w:val="0"/>
          <w:divBdr>
            <w:top w:val="none" w:sz="0" w:space="0" w:color="auto"/>
            <w:left w:val="none" w:sz="0" w:space="0" w:color="auto"/>
            <w:bottom w:val="none" w:sz="0" w:space="0" w:color="auto"/>
            <w:right w:val="none" w:sz="0" w:space="0" w:color="auto"/>
          </w:divBdr>
          <w:divsChild>
            <w:div w:id="485437076">
              <w:marLeft w:val="0"/>
              <w:marRight w:val="0"/>
              <w:marTop w:val="150"/>
              <w:marBottom w:val="225"/>
              <w:divBdr>
                <w:top w:val="none" w:sz="0" w:space="0" w:color="auto"/>
                <w:left w:val="none" w:sz="0" w:space="0" w:color="auto"/>
                <w:bottom w:val="none" w:sz="0" w:space="0" w:color="auto"/>
                <w:right w:val="none" w:sz="0" w:space="0" w:color="auto"/>
              </w:divBdr>
            </w:div>
          </w:divsChild>
        </w:div>
        <w:div w:id="520749765">
          <w:marLeft w:val="0"/>
          <w:marRight w:val="0"/>
          <w:marTop w:val="0"/>
          <w:marBottom w:val="0"/>
          <w:divBdr>
            <w:top w:val="none" w:sz="0" w:space="0" w:color="auto"/>
            <w:left w:val="none" w:sz="0" w:space="0" w:color="auto"/>
            <w:bottom w:val="none" w:sz="0" w:space="0" w:color="auto"/>
            <w:right w:val="none" w:sz="0" w:space="0" w:color="auto"/>
          </w:divBdr>
          <w:divsChild>
            <w:div w:id="891236663">
              <w:marLeft w:val="0"/>
              <w:marRight w:val="0"/>
              <w:marTop w:val="150"/>
              <w:marBottom w:val="225"/>
              <w:divBdr>
                <w:top w:val="none" w:sz="0" w:space="0" w:color="auto"/>
                <w:left w:val="none" w:sz="0" w:space="0" w:color="auto"/>
                <w:bottom w:val="none" w:sz="0" w:space="0" w:color="auto"/>
                <w:right w:val="none" w:sz="0" w:space="0" w:color="auto"/>
              </w:divBdr>
            </w:div>
          </w:divsChild>
        </w:div>
        <w:div w:id="1152671162">
          <w:marLeft w:val="0"/>
          <w:marRight w:val="0"/>
          <w:marTop w:val="0"/>
          <w:marBottom w:val="0"/>
          <w:divBdr>
            <w:top w:val="none" w:sz="0" w:space="0" w:color="auto"/>
            <w:left w:val="none" w:sz="0" w:space="0" w:color="auto"/>
            <w:bottom w:val="none" w:sz="0" w:space="0" w:color="auto"/>
            <w:right w:val="none" w:sz="0" w:space="0" w:color="auto"/>
          </w:divBdr>
          <w:divsChild>
            <w:div w:id="1384135793">
              <w:marLeft w:val="0"/>
              <w:marRight w:val="0"/>
              <w:marTop w:val="150"/>
              <w:marBottom w:val="225"/>
              <w:divBdr>
                <w:top w:val="none" w:sz="0" w:space="0" w:color="auto"/>
                <w:left w:val="none" w:sz="0" w:space="0" w:color="auto"/>
                <w:bottom w:val="none" w:sz="0" w:space="0" w:color="auto"/>
                <w:right w:val="none" w:sz="0" w:space="0" w:color="auto"/>
              </w:divBdr>
            </w:div>
            <w:div w:id="14313746">
              <w:marLeft w:val="0"/>
              <w:marRight w:val="0"/>
              <w:marTop w:val="0"/>
              <w:marBottom w:val="0"/>
              <w:divBdr>
                <w:top w:val="none" w:sz="0" w:space="0" w:color="auto"/>
                <w:left w:val="none" w:sz="0" w:space="0" w:color="auto"/>
                <w:bottom w:val="none" w:sz="0" w:space="0" w:color="auto"/>
                <w:right w:val="none" w:sz="0" w:space="0" w:color="auto"/>
              </w:divBdr>
            </w:div>
            <w:div w:id="202407222">
              <w:marLeft w:val="0"/>
              <w:marRight w:val="0"/>
              <w:marTop w:val="0"/>
              <w:marBottom w:val="0"/>
              <w:divBdr>
                <w:top w:val="none" w:sz="0" w:space="0" w:color="auto"/>
                <w:left w:val="none" w:sz="0" w:space="0" w:color="auto"/>
                <w:bottom w:val="none" w:sz="0" w:space="0" w:color="auto"/>
                <w:right w:val="none" w:sz="0" w:space="0" w:color="auto"/>
              </w:divBdr>
              <w:divsChild>
                <w:div w:id="808672216">
                  <w:marLeft w:val="0"/>
                  <w:marRight w:val="0"/>
                  <w:marTop w:val="0"/>
                  <w:marBottom w:val="0"/>
                  <w:divBdr>
                    <w:top w:val="none" w:sz="0" w:space="0" w:color="auto"/>
                    <w:left w:val="none" w:sz="0" w:space="0" w:color="auto"/>
                    <w:bottom w:val="none" w:sz="0" w:space="0" w:color="auto"/>
                    <w:right w:val="none" w:sz="0" w:space="0" w:color="auto"/>
                  </w:divBdr>
                  <w:divsChild>
                    <w:div w:id="979262612">
                      <w:marLeft w:val="0"/>
                      <w:marRight w:val="0"/>
                      <w:marTop w:val="0"/>
                      <w:marBottom w:val="0"/>
                      <w:divBdr>
                        <w:top w:val="none" w:sz="0" w:space="0" w:color="auto"/>
                        <w:left w:val="none" w:sz="0" w:space="0" w:color="auto"/>
                        <w:bottom w:val="none" w:sz="0" w:space="0" w:color="auto"/>
                        <w:right w:val="none" w:sz="0" w:space="0" w:color="auto"/>
                      </w:divBdr>
                      <w:divsChild>
                        <w:div w:id="2071463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9554799">
                  <w:marLeft w:val="-15"/>
                  <w:marRight w:val="-15"/>
                  <w:marTop w:val="0"/>
                  <w:marBottom w:val="0"/>
                  <w:divBdr>
                    <w:top w:val="none" w:sz="0" w:space="0" w:color="auto"/>
                    <w:left w:val="none" w:sz="0" w:space="0" w:color="auto"/>
                    <w:bottom w:val="none" w:sz="0" w:space="0" w:color="auto"/>
                    <w:right w:val="none" w:sz="0" w:space="0" w:color="auto"/>
                  </w:divBdr>
                  <w:divsChild>
                    <w:div w:id="394283255">
                      <w:marLeft w:val="0"/>
                      <w:marRight w:val="0"/>
                      <w:marTop w:val="0"/>
                      <w:marBottom w:val="0"/>
                      <w:divBdr>
                        <w:top w:val="none" w:sz="0" w:space="0" w:color="auto"/>
                        <w:left w:val="none" w:sz="0" w:space="0" w:color="auto"/>
                        <w:bottom w:val="none" w:sz="0" w:space="0" w:color="auto"/>
                        <w:right w:val="none" w:sz="0" w:space="0" w:color="auto"/>
                      </w:divBdr>
                      <w:divsChild>
                        <w:div w:id="386538879">
                          <w:marLeft w:val="0"/>
                          <w:marRight w:val="0"/>
                          <w:marTop w:val="0"/>
                          <w:marBottom w:val="0"/>
                          <w:divBdr>
                            <w:top w:val="none" w:sz="0" w:space="0" w:color="auto"/>
                            <w:left w:val="none" w:sz="0" w:space="0" w:color="auto"/>
                            <w:bottom w:val="none" w:sz="0" w:space="0" w:color="auto"/>
                            <w:right w:val="none" w:sz="0" w:space="0" w:color="auto"/>
                          </w:divBdr>
                          <w:divsChild>
                            <w:div w:id="141506828">
                              <w:marLeft w:val="0"/>
                              <w:marRight w:val="0"/>
                              <w:marTop w:val="0"/>
                              <w:marBottom w:val="150"/>
                              <w:divBdr>
                                <w:top w:val="none" w:sz="0" w:space="0" w:color="auto"/>
                                <w:left w:val="none" w:sz="0" w:space="0" w:color="auto"/>
                                <w:bottom w:val="none" w:sz="0" w:space="0" w:color="auto"/>
                                <w:right w:val="none" w:sz="0" w:space="0" w:color="auto"/>
                              </w:divBdr>
                            </w:div>
                            <w:div w:id="1753770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6598320">
              <w:marLeft w:val="0"/>
              <w:marRight w:val="0"/>
              <w:marTop w:val="0"/>
              <w:marBottom w:val="0"/>
              <w:divBdr>
                <w:top w:val="none" w:sz="0" w:space="0" w:color="auto"/>
                <w:left w:val="none" w:sz="0" w:space="0" w:color="auto"/>
                <w:bottom w:val="none" w:sz="0" w:space="0" w:color="auto"/>
                <w:right w:val="none" w:sz="0" w:space="0" w:color="auto"/>
              </w:divBdr>
            </w:div>
            <w:div w:id="472253585">
              <w:marLeft w:val="0"/>
              <w:marRight w:val="0"/>
              <w:marTop w:val="0"/>
              <w:marBottom w:val="0"/>
              <w:divBdr>
                <w:top w:val="none" w:sz="0" w:space="0" w:color="auto"/>
                <w:left w:val="none" w:sz="0" w:space="0" w:color="auto"/>
                <w:bottom w:val="none" w:sz="0" w:space="0" w:color="auto"/>
                <w:right w:val="none" w:sz="0" w:space="0" w:color="auto"/>
              </w:divBdr>
              <w:divsChild>
                <w:div w:id="257368531">
                  <w:marLeft w:val="0"/>
                  <w:marRight w:val="0"/>
                  <w:marTop w:val="0"/>
                  <w:marBottom w:val="0"/>
                  <w:divBdr>
                    <w:top w:val="none" w:sz="0" w:space="0" w:color="auto"/>
                    <w:left w:val="none" w:sz="0" w:space="0" w:color="auto"/>
                    <w:bottom w:val="none" w:sz="0" w:space="0" w:color="auto"/>
                    <w:right w:val="none" w:sz="0" w:space="0" w:color="auto"/>
                  </w:divBdr>
                </w:div>
                <w:div w:id="21708392">
                  <w:marLeft w:val="0"/>
                  <w:marRight w:val="0"/>
                  <w:marTop w:val="0"/>
                  <w:marBottom w:val="0"/>
                  <w:divBdr>
                    <w:top w:val="none" w:sz="0" w:space="0" w:color="auto"/>
                    <w:left w:val="none" w:sz="0" w:space="0" w:color="auto"/>
                    <w:bottom w:val="none" w:sz="0" w:space="0" w:color="auto"/>
                    <w:right w:val="none" w:sz="0" w:space="0" w:color="auto"/>
                  </w:divBdr>
                  <w:divsChild>
                    <w:div w:id="542063647">
                      <w:marLeft w:val="0"/>
                      <w:marRight w:val="0"/>
                      <w:marTop w:val="240"/>
                      <w:marBottom w:val="240"/>
                      <w:divBdr>
                        <w:top w:val="none" w:sz="0" w:space="0" w:color="auto"/>
                        <w:left w:val="none" w:sz="0" w:space="0" w:color="auto"/>
                        <w:bottom w:val="none" w:sz="0" w:space="0" w:color="auto"/>
                        <w:right w:val="none" w:sz="0" w:space="0" w:color="auto"/>
                      </w:divBdr>
                    </w:div>
                  </w:divsChild>
                </w:div>
                <w:div w:id="830365734">
                  <w:marLeft w:val="0"/>
                  <w:marRight w:val="0"/>
                  <w:marTop w:val="0"/>
                  <w:marBottom w:val="0"/>
                  <w:divBdr>
                    <w:top w:val="none" w:sz="0" w:space="0" w:color="auto"/>
                    <w:left w:val="none" w:sz="0" w:space="0" w:color="auto"/>
                    <w:bottom w:val="none" w:sz="0" w:space="0" w:color="auto"/>
                    <w:right w:val="none" w:sz="0" w:space="0" w:color="auto"/>
                  </w:divBdr>
                </w:div>
                <w:div w:id="1200625609">
                  <w:marLeft w:val="0"/>
                  <w:marRight w:val="0"/>
                  <w:marTop w:val="0"/>
                  <w:marBottom w:val="0"/>
                  <w:divBdr>
                    <w:top w:val="none" w:sz="0" w:space="0" w:color="auto"/>
                    <w:left w:val="none" w:sz="0" w:space="0" w:color="auto"/>
                    <w:bottom w:val="none" w:sz="0" w:space="0" w:color="auto"/>
                    <w:right w:val="none" w:sz="0" w:space="0" w:color="auto"/>
                  </w:divBdr>
                  <w:divsChild>
                    <w:div w:id="1051002398">
                      <w:marLeft w:val="0"/>
                      <w:marRight w:val="0"/>
                      <w:marTop w:val="240"/>
                      <w:marBottom w:val="240"/>
                      <w:divBdr>
                        <w:top w:val="none" w:sz="0" w:space="0" w:color="auto"/>
                        <w:left w:val="none" w:sz="0" w:space="0" w:color="auto"/>
                        <w:bottom w:val="none" w:sz="0" w:space="0" w:color="auto"/>
                        <w:right w:val="none" w:sz="0" w:space="0" w:color="auto"/>
                      </w:divBdr>
                    </w:div>
                  </w:divsChild>
                </w:div>
                <w:div w:id="2122989884">
                  <w:marLeft w:val="0"/>
                  <w:marRight w:val="0"/>
                  <w:marTop w:val="0"/>
                  <w:marBottom w:val="0"/>
                  <w:divBdr>
                    <w:top w:val="none" w:sz="0" w:space="0" w:color="auto"/>
                    <w:left w:val="none" w:sz="0" w:space="0" w:color="auto"/>
                    <w:bottom w:val="none" w:sz="0" w:space="0" w:color="auto"/>
                    <w:right w:val="none" w:sz="0" w:space="0" w:color="auto"/>
                  </w:divBdr>
                </w:div>
                <w:div w:id="2003729756">
                  <w:marLeft w:val="0"/>
                  <w:marRight w:val="0"/>
                  <w:marTop w:val="0"/>
                  <w:marBottom w:val="0"/>
                  <w:divBdr>
                    <w:top w:val="none" w:sz="0" w:space="0" w:color="auto"/>
                    <w:left w:val="none" w:sz="0" w:space="0" w:color="auto"/>
                    <w:bottom w:val="none" w:sz="0" w:space="0" w:color="auto"/>
                    <w:right w:val="none" w:sz="0" w:space="0" w:color="auto"/>
                  </w:divBdr>
                  <w:divsChild>
                    <w:div w:id="840319030">
                      <w:marLeft w:val="0"/>
                      <w:marRight w:val="0"/>
                      <w:marTop w:val="240"/>
                      <w:marBottom w:val="240"/>
                      <w:divBdr>
                        <w:top w:val="none" w:sz="0" w:space="0" w:color="auto"/>
                        <w:left w:val="none" w:sz="0" w:space="0" w:color="auto"/>
                        <w:bottom w:val="none" w:sz="0" w:space="0" w:color="auto"/>
                        <w:right w:val="none" w:sz="0" w:space="0" w:color="auto"/>
                      </w:divBdr>
                    </w:div>
                  </w:divsChild>
                </w:div>
                <w:div w:id="1894540083">
                  <w:marLeft w:val="0"/>
                  <w:marRight w:val="0"/>
                  <w:marTop w:val="0"/>
                  <w:marBottom w:val="0"/>
                  <w:divBdr>
                    <w:top w:val="none" w:sz="0" w:space="0" w:color="auto"/>
                    <w:left w:val="none" w:sz="0" w:space="0" w:color="auto"/>
                    <w:bottom w:val="none" w:sz="0" w:space="0" w:color="auto"/>
                    <w:right w:val="none" w:sz="0" w:space="0" w:color="auto"/>
                  </w:divBdr>
                </w:div>
                <w:div w:id="1799957472">
                  <w:marLeft w:val="0"/>
                  <w:marRight w:val="0"/>
                  <w:marTop w:val="0"/>
                  <w:marBottom w:val="0"/>
                  <w:divBdr>
                    <w:top w:val="none" w:sz="0" w:space="0" w:color="auto"/>
                    <w:left w:val="none" w:sz="0" w:space="0" w:color="auto"/>
                    <w:bottom w:val="none" w:sz="0" w:space="0" w:color="auto"/>
                    <w:right w:val="none" w:sz="0" w:space="0" w:color="auto"/>
                  </w:divBdr>
                  <w:divsChild>
                    <w:div w:id="1287279444">
                      <w:marLeft w:val="0"/>
                      <w:marRight w:val="0"/>
                      <w:marTop w:val="240"/>
                      <w:marBottom w:val="240"/>
                      <w:divBdr>
                        <w:top w:val="none" w:sz="0" w:space="0" w:color="auto"/>
                        <w:left w:val="none" w:sz="0" w:space="0" w:color="auto"/>
                        <w:bottom w:val="none" w:sz="0" w:space="0" w:color="auto"/>
                        <w:right w:val="none" w:sz="0" w:space="0" w:color="auto"/>
                      </w:divBdr>
                    </w:div>
                  </w:divsChild>
                </w:div>
                <w:div w:id="914821227">
                  <w:marLeft w:val="0"/>
                  <w:marRight w:val="0"/>
                  <w:marTop w:val="0"/>
                  <w:marBottom w:val="0"/>
                  <w:divBdr>
                    <w:top w:val="none" w:sz="0" w:space="0" w:color="auto"/>
                    <w:left w:val="none" w:sz="0" w:space="0" w:color="auto"/>
                    <w:bottom w:val="none" w:sz="0" w:space="0" w:color="auto"/>
                    <w:right w:val="none" w:sz="0" w:space="0" w:color="auto"/>
                  </w:divBdr>
                </w:div>
                <w:div w:id="9529906">
                  <w:marLeft w:val="0"/>
                  <w:marRight w:val="0"/>
                  <w:marTop w:val="0"/>
                  <w:marBottom w:val="0"/>
                  <w:divBdr>
                    <w:top w:val="none" w:sz="0" w:space="0" w:color="auto"/>
                    <w:left w:val="none" w:sz="0" w:space="0" w:color="auto"/>
                    <w:bottom w:val="none" w:sz="0" w:space="0" w:color="auto"/>
                    <w:right w:val="none" w:sz="0" w:space="0" w:color="auto"/>
                  </w:divBdr>
                  <w:divsChild>
                    <w:div w:id="1889106345">
                      <w:marLeft w:val="0"/>
                      <w:marRight w:val="0"/>
                      <w:marTop w:val="240"/>
                      <w:marBottom w:val="240"/>
                      <w:divBdr>
                        <w:top w:val="none" w:sz="0" w:space="0" w:color="auto"/>
                        <w:left w:val="none" w:sz="0" w:space="0" w:color="auto"/>
                        <w:bottom w:val="none" w:sz="0" w:space="0" w:color="auto"/>
                        <w:right w:val="none" w:sz="0" w:space="0" w:color="auto"/>
                      </w:divBdr>
                    </w:div>
                  </w:divsChild>
                </w:div>
                <w:div w:id="712122614">
                  <w:marLeft w:val="0"/>
                  <w:marRight w:val="0"/>
                  <w:marTop w:val="0"/>
                  <w:marBottom w:val="0"/>
                  <w:divBdr>
                    <w:top w:val="none" w:sz="0" w:space="0" w:color="auto"/>
                    <w:left w:val="none" w:sz="0" w:space="0" w:color="auto"/>
                    <w:bottom w:val="none" w:sz="0" w:space="0" w:color="auto"/>
                    <w:right w:val="none" w:sz="0" w:space="0" w:color="auto"/>
                  </w:divBdr>
                </w:div>
                <w:div w:id="1776095534">
                  <w:marLeft w:val="0"/>
                  <w:marRight w:val="0"/>
                  <w:marTop w:val="0"/>
                  <w:marBottom w:val="0"/>
                  <w:divBdr>
                    <w:top w:val="none" w:sz="0" w:space="0" w:color="auto"/>
                    <w:left w:val="none" w:sz="0" w:space="0" w:color="auto"/>
                    <w:bottom w:val="none" w:sz="0" w:space="0" w:color="auto"/>
                    <w:right w:val="none" w:sz="0" w:space="0" w:color="auto"/>
                  </w:divBdr>
                  <w:divsChild>
                    <w:div w:id="43217275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 w:id="1715349992">
          <w:marLeft w:val="0"/>
          <w:marRight w:val="0"/>
          <w:marTop w:val="0"/>
          <w:marBottom w:val="0"/>
          <w:divBdr>
            <w:top w:val="none" w:sz="0" w:space="0" w:color="auto"/>
            <w:left w:val="none" w:sz="0" w:space="0" w:color="auto"/>
            <w:bottom w:val="none" w:sz="0" w:space="0" w:color="auto"/>
            <w:right w:val="none" w:sz="0" w:space="0" w:color="auto"/>
          </w:divBdr>
          <w:divsChild>
            <w:div w:id="1237519907">
              <w:marLeft w:val="0"/>
              <w:marRight w:val="0"/>
              <w:marTop w:val="150"/>
              <w:marBottom w:val="225"/>
              <w:divBdr>
                <w:top w:val="none" w:sz="0" w:space="0" w:color="auto"/>
                <w:left w:val="none" w:sz="0" w:space="0" w:color="auto"/>
                <w:bottom w:val="none" w:sz="0" w:space="0" w:color="auto"/>
                <w:right w:val="none" w:sz="0" w:space="0" w:color="auto"/>
              </w:divBdr>
            </w:div>
            <w:div w:id="1603295904">
              <w:marLeft w:val="0"/>
              <w:marRight w:val="0"/>
              <w:marTop w:val="0"/>
              <w:marBottom w:val="0"/>
              <w:divBdr>
                <w:top w:val="none" w:sz="0" w:space="0" w:color="auto"/>
                <w:left w:val="none" w:sz="0" w:space="0" w:color="auto"/>
                <w:bottom w:val="none" w:sz="0" w:space="0" w:color="auto"/>
                <w:right w:val="none" w:sz="0" w:space="0" w:color="auto"/>
              </w:divBdr>
            </w:div>
            <w:div w:id="1445004476">
              <w:marLeft w:val="0"/>
              <w:marRight w:val="0"/>
              <w:marTop w:val="0"/>
              <w:marBottom w:val="0"/>
              <w:divBdr>
                <w:top w:val="none" w:sz="0" w:space="0" w:color="auto"/>
                <w:left w:val="none" w:sz="0" w:space="0" w:color="auto"/>
                <w:bottom w:val="none" w:sz="0" w:space="0" w:color="auto"/>
                <w:right w:val="none" w:sz="0" w:space="0" w:color="auto"/>
              </w:divBdr>
              <w:divsChild>
                <w:div w:id="1097864474">
                  <w:marLeft w:val="0"/>
                  <w:marRight w:val="0"/>
                  <w:marTop w:val="0"/>
                  <w:marBottom w:val="0"/>
                  <w:divBdr>
                    <w:top w:val="none" w:sz="0" w:space="0" w:color="auto"/>
                    <w:left w:val="none" w:sz="0" w:space="0" w:color="auto"/>
                    <w:bottom w:val="none" w:sz="0" w:space="0" w:color="auto"/>
                    <w:right w:val="none" w:sz="0" w:space="0" w:color="auto"/>
                  </w:divBdr>
                  <w:divsChild>
                    <w:div w:id="933052619">
                      <w:marLeft w:val="0"/>
                      <w:marRight w:val="0"/>
                      <w:marTop w:val="0"/>
                      <w:marBottom w:val="0"/>
                      <w:divBdr>
                        <w:top w:val="none" w:sz="0" w:space="0" w:color="auto"/>
                        <w:left w:val="none" w:sz="0" w:space="0" w:color="auto"/>
                        <w:bottom w:val="none" w:sz="0" w:space="0" w:color="auto"/>
                        <w:right w:val="none" w:sz="0" w:space="0" w:color="auto"/>
                      </w:divBdr>
                      <w:divsChild>
                        <w:div w:id="1583446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6720928">
                  <w:marLeft w:val="-15"/>
                  <w:marRight w:val="-15"/>
                  <w:marTop w:val="0"/>
                  <w:marBottom w:val="0"/>
                  <w:divBdr>
                    <w:top w:val="none" w:sz="0" w:space="0" w:color="auto"/>
                    <w:left w:val="none" w:sz="0" w:space="0" w:color="auto"/>
                    <w:bottom w:val="none" w:sz="0" w:space="0" w:color="auto"/>
                    <w:right w:val="none" w:sz="0" w:space="0" w:color="auto"/>
                  </w:divBdr>
                  <w:divsChild>
                    <w:div w:id="197745708">
                      <w:marLeft w:val="0"/>
                      <w:marRight w:val="0"/>
                      <w:marTop w:val="0"/>
                      <w:marBottom w:val="0"/>
                      <w:divBdr>
                        <w:top w:val="none" w:sz="0" w:space="0" w:color="auto"/>
                        <w:left w:val="none" w:sz="0" w:space="0" w:color="auto"/>
                        <w:bottom w:val="none" w:sz="0" w:space="0" w:color="auto"/>
                        <w:right w:val="none" w:sz="0" w:space="0" w:color="auto"/>
                      </w:divBdr>
                      <w:divsChild>
                        <w:div w:id="1241713888">
                          <w:marLeft w:val="0"/>
                          <w:marRight w:val="0"/>
                          <w:marTop w:val="0"/>
                          <w:marBottom w:val="0"/>
                          <w:divBdr>
                            <w:top w:val="none" w:sz="0" w:space="0" w:color="auto"/>
                            <w:left w:val="none" w:sz="0" w:space="0" w:color="auto"/>
                            <w:bottom w:val="none" w:sz="0" w:space="0" w:color="auto"/>
                            <w:right w:val="none" w:sz="0" w:space="0" w:color="auto"/>
                          </w:divBdr>
                          <w:divsChild>
                            <w:div w:id="167644997">
                              <w:marLeft w:val="0"/>
                              <w:marRight w:val="0"/>
                              <w:marTop w:val="0"/>
                              <w:marBottom w:val="150"/>
                              <w:divBdr>
                                <w:top w:val="none" w:sz="0" w:space="0" w:color="auto"/>
                                <w:left w:val="none" w:sz="0" w:space="0" w:color="auto"/>
                                <w:bottom w:val="none" w:sz="0" w:space="0" w:color="auto"/>
                                <w:right w:val="none" w:sz="0" w:space="0" w:color="auto"/>
                              </w:divBdr>
                            </w:div>
                            <w:div w:id="994644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9302135">
              <w:marLeft w:val="0"/>
              <w:marRight w:val="0"/>
              <w:marTop w:val="0"/>
              <w:marBottom w:val="0"/>
              <w:divBdr>
                <w:top w:val="none" w:sz="0" w:space="0" w:color="auto"/>
                <w:left w:val="none" w:sz="0" w:space="0" w:color="auto"/>
                <w:bottom w:val="none" w:sz="0" w:space="0" w:color="auto"/>
                <w:right w:val="none" w:sz="0" w:space="0" w:color="auto"/>
              </w:divBdr>
              <w:divsChild>
                <w:div w:id="339696203">
                  <w:marLeft w:val="0"/>
                  <w:marRight w:val="0"/>
                  <w:marTop w:val="0"/>
                  <w:marBottom w:val="0"/>
                  <w:divBdr>
                    <w:top w:val="none" w:sz="0" w:space="0" w:color="auto"/>
                    <w:left w:val="none" w:sz="0" w:space="0" w:color="auto"/>
                    <w:bottom w:val="none" w:sz="0" w:space="0" w:color="auto"/>
                    <w:right w:val="none" w:sz="0" w:space="0" w:color="auto"/>
                  </w:divBdr>
                  <w:divsChild>
                    <w:div w:id="1145853385">
                      <w:marLeft w:val="0"/>
                      <w:marRight w:val="0"/>
                      <w:marTop w:val="0"/>
                      <w:marBottom w:val="0"/>
                      <w:divBdr>
                        <w:top w:val="none" w:sz="0" w:space="0" w:color="auto"/>
                        <w:left w:val="none" w:sz="0" w:space="0" w:color="auto"/>
                        <w:bottom w:val="none" w:sz="0" w:space="0" w:color="auto"/>
                        <w:right w:val="none" w:sz="0" w:space="0" w:color="auto"/>
                      </w:divBdr>
                      <w:divsChild>
                        <w:div w:id="920023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1492562">
                  <w:marLeft w:val="-15"/>
                  <w:marRight w:val="-15"/>
                  <w:marTop w:val="0"/>
                  <w:marBottom w:val="0"/>
                  <w:divBdr>
                    <w:top w:val="none" w:sz="0" w:space="0" w:color="auto"/>
                    <w:left w:val="none" w:sz="0" w:space="0" w:color="auto"/>
                    <w:bottom w:val="none" w:sz="0" w:space="0" w:color="auto"/>
                    <w:right w:val="none" w:sz="0" w:space="0" w:color="auto"/>
                  </w:divBdr>
                  <w:divsChild>
                    <w:div w:id="1329940000">
                      <w:marLeft w:val="0"/>
                      <w:marRight w:val="0"/>
                      <w:marTop w:val="0"/>
                      <w:marBottom w:val="0"/>
                      <w:divBdr>
                        <w:top w:val="none" w:sz="0" w:space="0" w:color="auto"/>
                        <w:left w:val="none" w:sz="0" w:space="0" w:color="auto"/>
                        <w:bottom w:val="none" w:sz="0" w:space="0" w:color="auto"/>
                        <w:right w:val="none" w:sz="0" w:space="0" w:color="auto"/>
                      </w:divBdr>
                      <w:divsChild>
                        <w:div w:id="506336012">
                          <w:marLeft w:val="0"/>
                          <w:marRight w:val="0"/>
                          <w:marTop w:val="0"/>
                          <w:marBottom w:val="0"/>
                          <w:divBdr>
                            <w:top w:val="none" w:sz="0" w:space="0" w:color="auto"/>
                            <w:left w:val="none" w:sz="0" w:space="0" w:color="auto"/>
                            <w:bottom w:val="none" w:sz="0" w:space="0" w:color="auto"/>
                            <w:right w:val="none" w:sz="0" w:space="0" w:color="auto"/>
                          </w:divBdr>
                          <w:divsChild>
                            <w:div w:id="549659494">
                              <w:marLeft w:val="0"/>
                              <w:marRight w:val="0"/>
                              <w:marTop w:val="0"/>
                              <w:marBottom w:val="150"/>
                              <w:divBdr>
                                <w:top w:val="none" w:sz="0" w:space="0" w:color="auto"/>
                                <w:left w:val="none" w:sz="0" w:space="0" w:color="auto"/>
                                <w:bottom w:val="none" w:sz="0" w:space="0" w:color="auto"/>
                                <w:right w:val="none" w:sz="0" w:space="0" w:color="auto"/>
                              </w:divBdr>
                            </w:div>
                            <w:div w:id="694232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6042842">
                  <w:marLeft w:val="0"/>
                  <w:marRight w:val="0"/>
                  <w:marTop w:val="0"/>
                  <w:marBottom w:val="0"/>
                  <w:divBdr>
                    <w:top w:val="none" w:sz="0" w:space="0" w:color="auto"/>
                    <w:left w:val="none" w:sz="0" w:space="0" w:color="auto"/>
                    <w:bottom w:val="none" w:sz="0" w:space="0" w:color="auto"/>
                    <w:right w:val="none" w:sz="0" w:space="0" w:color="auto"/>
                  </w:divBdr>
                  <w:divsChild>
                    <w:div w:id="184752607">
                      <w:marLeft w:val="0"/>
                      <w:marRight w:val="0"/>
                      <w:marTop w:val="0"/>
                      <w:marBottom w:val="0"/>
                      <w:divBdr>
                        <w:top w:val="none" w:sz="0" w:space="0" w:color="auto"/>
                        <w:left w:val="none" w:sz="0" w:space="0" w:color="auto"/>
                        <w:bottom w:val="none" w:sz="0" w:space="0" w:color="auto"/>
                        <w:right w:val="none" w:sz="0" w:space="0" w:color="auto"/>
                      </w:divBdr>
                      <w:divsChild>
                        <w:div w:id="59376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3004940">
                  <w:marLeft w:val="-15"/>
                  <w:marRight w:val="-15"/>
                  <w:marTop w:val="0"/>
                  <w:marBottom w:val="0"/>
                  <w:divBdr>
                    <w:top w:val="none" w:sz="0" w:space="0" w:color="auto"/>
                    <w:left w:val="none" w:sz="0" w:space="0" w:color="auto"/>
                    <w:bottom w:val="none" w:sz="0" w:space="0" w:color="auto"/>
                    <w:right w:val="none" w:sz="0" w:space="0" w:color="auto"/>
                  </w:divBdr>
                  <w:divsChild>
                    <w:div w:id="389696814">
                      <w:marLeft w:val="0"/>
                      <w:marRight w:val="0"/>
                      <w:marTop w:val="0"/>
                      <w:marBottom w:val="0"/>
                      <w:divBdr>
                        <w:top w:val="none" w:sz="0" w:space="0" w:color="auto"/>
                        <w:left w:val="none" w:sz="0" w:space="0" w:color="auto"/>
                        <w:bottom w:val="none" w:sz="0" w:space="0" w:color="auto"/>
                        <w:right w:val="none" w:sz="0" w:space="0" w:color="auto"/>
                      </w:divBdr>
                      <w:divsChild>
                        <w:div w:id="380327275">
                          <w:marLeft w:val="0"/>
                          <w:marRight w:val="0"/>
                          <w:marTop w:val="0"/>
                          <w:marBottom w:val="0"/>
                          <w:divBdr>
                            <w:top w:val="none" w:sz="0" w:space="0" w:color="auto"/>
                            <w:left w:val="none" w:sz="0" w:space="0" w:color="auto"/>
                            <w:bottom w:val="none" w:sz="0" w:space="0" w:color="auto"/>
                            <w:right w:val="none" w:sz="0" w:space="0" w:color="auto"/>
                          </w:divBdr>
                          <w:divsChild>
                            <w:div w:id="1351102832">
                              <w:marLeft w:val="0"/>
                              <w:marRight w:val="0"/>
                              <w:marTop w:val="0"/>
                              <w:marBottom w:val="150"/>
                              <w:divBdr>
                                <w:top w:val="none" w:sz="0" w:space="0" w:color="auto"/>
                                <w:left w:val="none" w:sz="0" w:space="0" w:color="auto"/>
                                <w:bottom w:val="none" w:sz="0" w:space="0" w:color="auto"/>
                                <w:right w:val="none" w:sz="0" w:space="0" w:color="auto"/>
                              </w:divBdr>
                            </w:div>
                            <w:div w:id="478499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14467450">
              <w:marLeft w:val="0"/>
              <w:marRight w:val="0"/>
              <w:marTop w:val="0"/>
              <w:marBottom w:val="0"/>
              <w:divBdr>
                <w:top w:val="none" w:sz="0" w:space="0" w:color="auto"/>
                <w:left w:val="none" w:sz="0" w:space="0" w:color="auto"/>
                <w:bottom w:val="none" w:sz="0" w:space="0" w:color="auto"/>
                <w:right w:val="none" w:sz="0" w:space="0" w:color="auto"/>
              </w:divBdr>
              <w:divsChild>
                <w:div w:id="1754401047">
                  <w:marLeft w:val="0"/>
                  <w:marRight w:val="0"/>
                  <w:marTop w:val="0"/>
                  <w:marBottom w:val="0"/>
                  <w:divBdr>
                    <w:top w:val="none" w:sz="0" w:space="0" w:color="auto"/>
                    <w:left w:val="none" w:sz="0" w:space="0" w:color="auto"/>
                    <w:bottom w:val="none" w:sz="0" w:space="0" w:color="auto"/>
                    <w:right w:val="none" w:sz="0" w:space="0" w:color="auto"/>
                  </w:divBdr>
                  <w:divsChild>
                    <w:div w:id="197159319">
                      <w:marLeft w:val="0"/>
                      <w:marRight w:val="0"/>
                      <w:marTop w:val="0"/>
                      <w:marBottom w:val="0"/>
                      <w:divBdr>
                        <w:top w:val="none" w:sz="0" w:space="0" w:color="auto"/>
                        <w:left w:val="none" w:sz="0" w:space="0" w:color="auto"/>
                        <w:bottom w:val="none" w:sz="0" w:space="0" w:color="auto"/>
                        <w:right w:val="none" w:sz="0" w:space="0" w:color="auto"/>
                      </w:divBdr>
                      <w:divsChild>
                        <w:div w:id="657657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2073934">
                  <w:marLeft w:val="-15"/>
                  <w:marRight w:val="-15"/>
                  <w:marTop w:val="0"/>
                  <w:marBottom w:val="0"/>
                  <w:divBdr>
                    <w:top w:val="none" w:sz="0" w:space="0" w:color="auto"/>
                    <w:left w:val="none" w:sz="0" w:space="0" w:color="auto"/>
                    <w:bottom w:val="none" w:sz="0" w:space="0" w:color="auto"/>
                    <w:right w:val="none" w:sz="0" w:space="0" w:color="auto"/>
                  </w:divBdr>
                  <w:divsChild>
                    <w:div w:id="763569885">
                      <w:marLeft w:val="0"/>
                      <w:marRight w:val="0"/>
                      <w:marTop w:val="0"/>
                      <w:marBottom w:val="0"/>
                      <w:divBdr>
                        <w:top w:val="none" w:sz="0" w:space="0" w:color="auto"/>
                        <w:left w:val="none" w:sz="0" w:space="0" w:color="auto"/>
                        <w:bottom w:val="none" w:sz="0" w:space="0" w:color="auto"/>
                        <w:right w:val="none" w:sz="0" w:space="0" w:color="auto"/>
                      </w:divBdr>
                      <w:divsChild>
                        <w:div w:id="52434233">
                          <w:marLeft w:val="0"/>
                          <w:marRight w:val="0"/>
                          <w:marTop w:val="0"/>
                          <w:marBottom w:val="0"/>
                          <w:divBdr>
                            <w:top w:val="none" w:sz="0" w:space="0" w:color="auto"/>
                            <w:left w:val="none" w:sz="0" w:space="0" w:color="auto"/>
                            <w:bottom w:val="none" w:sz="0" w:space="0" w:color="auto"/>
                            <w:right w:val="none" w:sz="0" w:space="0" w:color="auto"/>
                          </w:divBdr>
                          <w:divsChild>
                            <w:div w:id="807014191">
                              <w:marLeft w:val="0"/>
                              <w:marRight w:val="0"/>
                              <w:marTop w:val="0"/>
                              <w:marBottom w:val="150"/>
                              <w:divBdr>
                                <w:top w:val="none" w:sz="0" w:space="0" w:color="auto"/>
                                <w:left w:val="none" w:sz="0" w:space="0" w:color="auto"/>
                                <w:bottom w:val="none" w:sz="0" w:space="0" w:color="auto"/>
                                <w:right w:val="none" w:sz="0" w:space="0" w:color="auto"/>
                              </w:divBdr>
                            </w:div>
                            <w:div w:id="798694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7353321">
                  <w:marLeft w:val="0"/>
                  <w:marRight w:val="0"/>
                  <w:marTop w:val="0"/>
                  <w:marBottom w:val="0"/>
                  <w:divBdr>
                    <w:top w:val="none" w:sz="0" w:space="0" w:color="auto"/>
                    <w:left w:val="none" w:sz="0" w:space="0" w:color="auto"/>
                    <w:bottom w:val="none" w:sz="0" w:space="0" w:color="auto"/>
                    <w:right w:val="none" w:sz="0" w:space="0" w:color="auto"/>
                  </w:divBdr>
                  <w:divsChild>
                    <w:div w:id="1880319437">
                      <w:marLeft w:val="0"/>
                      <w:marRight w:val="0"/>
                      <w:marTop w:val="0"/>
                      <w:marBottom w:val="0"/>
                      <w:divBdr>
                        <w:top w:val="none" w:sz="0" w:space="0" w:color="auto"/>
                        <w:left w:val="none" w:sz="0" w:space="0" w:color="auto"/>
                        <w:bottom w:val="none" w:sz="0" w:space="0" w:color="auto"/>
                        <w:right w:val="none" w:sz="0" w:space="0" w:color="auto"/>
                      </w:divBdr>
                      <w:divsChild>
                        <w:div w:id="1408958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5083825">
                  <w:marLeft w:val="-15"/>
                  <w:marRight w:val="-15"/>
                  <w:marTop w:val="0"/>
                  <w:marBottom w:val="0"/>
                  <w:divBdr>
                    <w:top w:val="none" w:sz="0" w:space="0" w:color="auto"/>
                    <w:left w:val="none" w:sz="0" w:space="0" w:color="auto"/>
                    <w:bottom w:val="none" w:sz="0" w:space="0" w:color="auto"/>
                    <w:right w:val="none" w:sz="0" w:space="0" w:color="auto"/>
                  </w:divBdr>
                  <w:divsChild>
                    <w:div w:id="2113816082">
                      <w:marLeft w:val="0"/>
                      <w:marRight w:val="0"/>
                      <w:marTop w:val="0"/>
                      <w:marBottom w:val="0"/>
                      <w:divBdr>
                        <w:top w:val="none" w:sz="0" w:space="0" w:color="auto"/>
                        <w:left w:val="none" w:sz="0" w:space="0" w:color="auto"/>
                        <w:bottom w:val="none" w:sz="0" w:space="0" w:color="auto"/>
                        <w:right w:val="none" w:sz="0" w:space="0" w:color="auto"/>
                      </w:divBdr>
                      <w:divsChild>
                        <w:div w:id="2065172984">
                          <w:marLeft w:val="0"/>
                          <w:marRight w:val="0"/>
                          <w:marTop w:val="0"/>
                          <w:marBottom w:val="0"/>
                          <w:divBdr>
                            <w:top w:val="none" w:sz="0" w:space="0" w:color="auto"/>
                            <w:left w:val="none" w:sz="0" w:space="0" w:color="auto"/>
                            <w:bottom w:val="none" w:sz="0" w:space="0" w:color="auto"/>
                            <w:right w:val="none" w:sz="0" w:space="0" w:color="auto"/>
                          </w:divBdr>
                          <w:divsChild>
                            <w:div w:id="1955940370">
                              <w:marLeft w:val="0"/>
                              <w:marRight w:val="0"/>
                              <w:marTop w:val="0"/>
                              <w:marBottom w:val="150"/>
                              <w:divBdr>
                                <w:top w:val="none" w:sz="0" w:space="0" w:color="auto"/>
                                <w:left w:val="none" w:sz="0" w:space="0" w:color="auto"/>
                                <w:bottom w:val="none" w:sz="0" w:space="0" w:color="auto"/>
                                <w:right w:val="none" w:sz="0" w:space="0" w:color="auto"/>
                              </w:divBdr>
                            </w:div>
                            <w:div w:id="104036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9898651">
              <w:marLeft w:val="0"/>
              <w:marRight w:val="0"/>
              <w:marTop w:val="0"/>
              <w:marBottom w:val="0"/>
              <w:divBdr>
                <w:top w:val="none" w:sz="0" w:space="0" w:color="auto"/>
                <w:left w:val="none" w:sz="0" w:space="0" w:color="auto"/>
                <w:bottom w:val="none" w:sz="0" w:space="0" w:color="auto"/>
                <w:right w:val="none" w:sz="0" w:space="0" w:color="auto"/>
              </w:divBdr>
            </w:div>
          </w:divsChild>
        </w:div>
        <w:div w:id="237911535">
          <w:marLeft w:val="0"/>
          <w:marRight w:val="0"/>
          <w:marTop w:val="0"/>
          <w:marBottom w:val="0"/>
          <w:divBdr>
            <w:top w:val="none" w:sz="0" w:space="0" w:color="auto"/>
            <w:left w:val="none" w:sz="0" w:space="0" w:color="auto"/>
            <w:bottom w:val="none" w:sz="0" w:space="0" w:color="auto"/>
            <w:right w:val="none" w:sz="0" w:space="0" w:color="auto"/>
          </w:divBdr>
          <w:divsChild>
            <w:div w:id="1328821734">
              <w:marLeft w:val="0"/>
              <w:marRight w:val="0"/>
              <w:marTop w:val="150"/>
              <w:marBottom w:val="225"/>
              <w:divBdr>
                <w:top w:val="none" w:sz="0" w:space="0" w:color="auto"/>
                <w:left w:val="none" w:sz="0" w:space="0" w:color="auto"/>
                <w:bottom w:val="none" w:sz="0" w:space="0" w:color="auto"/>
                <w:right w:val="none" w:sz="0" w:space="0" w:color="auto"/>
              </w:divBdr>
            </w:div>
            <w:div w:id="735664857">
              <w:marLeft w:val="0"/>
              <w:marRight w:val="0"/>
              <w:marTop w:val="0"/>
              <w:marBottom w:val="0"/>
              <w:divBdr>
                <w:top w:val="none" w:sz="0" w:space="0" w:color="auto"/>
                <w:left w:val="none" w:sz="0" w:space="0" w:color="auto"/>
                <w:bottom w:val="none" w:sz="0" w:space="0" w:color="auto"/>
                <w:right w:val="none" w:sz="0" w:space="0" w:color="auto"/>
              </w:divBdr>
              <w:divsChild>
                <w:div w:id="1448043138">
                  <w:marLeft w:val="0"/>
                  <w:marRight w:val="0"/>
                  <w:marTop w:val="0"/>
                  <w:marBottom w:val="0"/>
                  <w:divBdr>
                    <w:top w:val="none" w:sz="0" w:space="0" w:color="auto"/>
                    <w:left w:val="none" w:sz="0" w:space="0" w:color="auto"/>
                    <w:bottom w:val="none" w:sz="0" w:space="0" w:color="auto"/>
                    <w:right w:val="none" w:sz="0" w:space="0" w:color="auto"/>
                  </w:divBdr>
                  <w:divsChild>
                    <w:div w:id="1396274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5736768">
              <w:marLeft w:val="-15"/>
              <w:marRight w:val="-15"/>
              <w:marTop w:val="0"/>
              <w:marBottom w:val="0"/>
              <w:divBdr>
                <w:top w:val="none" w:sz="0" w:space="0" w:color="auto"/>
                <w:left w:val="none" w:sz="0" w:space="0" w:color="auto"/>
                <w:bottom w:val="none" w:sz="0" w:space="0" w:color="auto"/>
                <w:right w:val="none" w:sz="0" w:space="0" w:color="auto"/>
              </w:divBdr>
              <w:divsChild>
                <w:div w:id="2132049404">
                  <w:marLeft w:val="0"/>
                  <w:marRight w:val="0"/>
                  <w:marTop w:val="0"/>
                  <w:marBottom w:val="0"/>
                  <w:divBdr>
                    <w:top w:val="none" w:sz="0" w:space="0" w:color="auto"/>
                    <w:left w:val="none" w:sz="0" w:space="0" w:color="auto"/>
                    <w:bottom w:val="none" w:sz="0" w:space="0" w:color="auto"/>
                    <w:right w:val="none" w:sz="0" w:space="0" w:color="auto"/>
                  </w:divBdr>
                  <w:divsChild>
                    <w:div w:id="1810051519">
                      <w:marLeft w:val="0"/>
                      <w:marRight w:val="0"/>
                      <w:marTop w:val="0"/>
                      <w:marBottom w:val="0"/>
                      <w:divBdr>
                        <w:top w:val="none" w:sz="0" w:space="0" w:color="auto"/>
                        <w:left w:val="none" w:sz="0" w:space="0" w:color="auto"/>
                        <w:bottom w:val="none" w:sz="0" w:space="0" w:color="auto"/>
                        <w:right w:val="none" w:sz="0" w:space="0" w:color="auto"/>
                      </w:divBdr>
                      <w:divsChild>
                        <w:div w:id="1218276305">
                          <w:marLeft w:val="0"/>
                          <w:marRight w:val="0"/>
                          <w:marTop w:val="0"/>
                          <w:marBottom w:val="150"/>
                          <w:divBdr>
                            <w:top w:val="none" w:sz="0" w:space="0" w:color="auto"/>
                            <w:left w:val="none" w:sz="0" w:space="0" w:color="auto"/>
                            <w:bottom w:val="none" w:sz="0" w:space="0" w:color="auto"/>
                            <w:right w:val="none" w:sz="0" w:space="0" w:color="auto"/>
                          </w:divBdr>
                        </w:div>
                        <w:div w:id="1681352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431760">
          <w:marLeft w:val="0"/>
          <w:marRight w:val="0"/>
          <w:marTop w:val="0"/>
          <w:marBottom w:val="0"/>
          <w:divBdr>
            <w:top w:val="none" w:sz="0" w:space="0" w:color="auto"/>
            <w:left w:val="none" w:sz="0" w:space="0" w:color="auto"/>
            <w:bottom w:val="none" w:sz="0" w:space="0" w:color="auto"/>
            <w:right w:val="none" w:sz="0" w:space="0" w:color="auto"/>
          </w:divBdr>
          <w:divsChild>
            <w:div w:id="294533848">
              <w:marLeft w:val="0"/>
              <w:marRight w:val="0"/>
              <w:marTop w:val="150"/>
              <w:marBottom w:val="225"/>
              <w:divBdr>
                <w:top w:val="none" w:sz="0" w:space="0" w:color="auto"/>
                <w:left w:val="none" w:sz="0" w:space="0" w:color="auto"/>
                <w:bottom w:val="none" w:sz="0" w:space="0" w:color="auto"/>
                <w:right w:val="none" w:sz="0" w:space="0" w:color="auto"/>
              </w:divBdr>
            </w:div>
          </w:divsChild>
        </w:div>
        <w:div w:id="1629124858">
          <w:marLeft w:val="0"/>
          <w:marRight w:val="0"/>
          <w:marTop w:val="0"/>
          <w:marBottom w:val="0"/>
          <w:divBdr>
            <w:top w:val="none" w:sz="0" w:space="0" w:color="auto"/>
            <w:left w:val="none" w:sz="0" w:space="0" w:color="auto"/>
            <w:bottom w:val="none" w:sz="0" w:space="0" w:color="auto"/>
            <w:right w:val="none" w:sz="0" w:space="0" w:color="auto"/>
          </w:divBdr>
        </w:div>
        <w:div w:id="1893034703">
          <w:marLeft w:val="0"/>
          <w:marRight w:val="0"/>
          <w:marTop w:val="0"/>
          <w:marBottom w:val="0"/>
          <w:divBdr>
            <w:top w:val="none" w:sz="0" w:space="0" w:color="auto"/>
            <w:left w:val="none" w:sz="0" w:space="0" w:color="auto"/>
            <w:bottom w:val="none" w:sz="0" w:space="0" w:color="auto"/>
            <w:right w:val="none" w:sz="0" w:space="0" w:color="auto"/>
          </w:divBdr>
          <w:divsChild>
            <w:div w:id="1056466263">
              <w:marLeft w:val="0"/>
              <w:marRight w:val="0"/>
              <w:marTop w:val="150"/>
              <w:marBottom w:val="225"/>
              <w:divBdr>
                <w:top w:val="none" w:sz="0" w:space="0" w:color="auto"/>
                <w:left w:val="none" w:sz="0" w:space="0" w:color="auto"/>
                <w:bottom w:val="none" w:sz="0" w:space="0" w:color="auto"/>
                <w:right w:val="none" w:sz="0" w:space="0" w:color="auto"/>
              </w:divBdr>
            </w:div>
          </w:divsChild>
        </w:div>
      </w:divsChild>
    </w:div>
    <w:div w:id="703752832">
      <w:bodyDiv w:val="1"/>
      <w:marLeft w:val="0"/>
      <w:marRight w:val="0"/>
      <w:marTop w:val="0"/>
      <w:marBottom w:val="0"/>
      <w:divBdr>
        <w:top w:val="none" w:sz="0" w:space="0" w:color="auto"/>
        <w:left w:val="none" w:sz="0" w:space="0" w:color="auto"/>
        <w:bottom w:val="none" w:sz="0" w:space="0" w:color="auto"/>
        <w:right w:val="none" w:sz="0" w:space="0" w:color="auto"/>
      </w:divBdr>
      <w:divsChild>
        <w:div w:id="870648110">
          <w:marLeft w:val="0"/>
          <w:marRight w:val="0"/>
          <w:marTop w:val="0"/>
          <w:marBottom w:val="0"/>
          <w:divBdr>
            <w:top w:val="none" w:sz="0" w:space="0" w:color="auto"/>
            <w:left w:val="none" w:sz="0" w:space="0" w:color="auto"/>
            <w:bottom w:val="none" w:sz="0" w:space="0" w:color="auto"/>
            <w:right w:val="none" w:sz="0" w:space="0" w:color="auto"/>
          </w:divBdr>
          <w:divsChild>
            <w:div w:id="2084450719">
              <w:marLeft w:val="0"/>
              <w:marRight w:val="0"/>
              <w:marTop w:val="0"/>
              <w:marBottom w:val="0"/>
              <w:divBdr>
                <w:top w:val="none" w:sz="0" w:space="0" w:color="auto"/>
                <w:left w:val="none" w:sz="0" w:space="0" w:color="auto"/>
                <w:bottom w:val="single" w:sz="6" w:space="12" w:color="DDDDDD"/>
                <w:right w:val="none" w:sz="0" w:space="0" w:color="auto"/>
              </w:divBdr>
              <w:divsChild>
                <w:div w:id="70087598">
                  <w:marLeft w:val="0"/>
                  <w:marRight w:val="0"/>
                  <w:marTop w:val="0"/>
                  <w:marBottom w:val="0"/>
                  <w:divBdr>
                    <w:top w:val="none" w:sz="0" w:space="0" w:color="auto"/>
                    <w:left w:val="none" w:sz="0" w:space="0" w:color="auto"/>
                    <w:bottom w:val="none" w:sz="0" w:space="0" w:color="auto"/>
                    <w:right w:val="none" w:sz="0" w:space="0" w:color="auto"/>
                  </w:divBdr>
                  <w:divsChild>
                    <w:div w:id="378940466">
                      <w:marLeft w:val="0"/>
                      <w:marRight w:val="0"/>
                      <w:marTop w:val="0"/>
                      <w:marBottom w:val="0"/>
                      <w:divBdr>
                        <w:top w:val="none" w:sz="0" w:space="0" w:color="auto"/>
                        <w:left w:val="none" w:sz="0" w:space="0" w:color="auto"/>
                        <w:bottom w:val="none" w:sz="0" w:space="0" w:color="auto"/>
                        <w:right w:val="none" w:sz="0" w:space="0" w:color="auto"/>
                      </w:divBdr>
                      <w:divsChild>
                        <w:div w:id="1129472404">
                          <w:marLeft w:val="0"/>
                          <w:marRight w:val="0"/>
                          <w:marTop w:val="0"/>
                          <w:marBottom w:val="0"/>
                          <w:divBdr>
                            <w:top w:val="none" w:sz="0" w:space="0" w:color="auto"/>
                            <w:left w:val="none" w:sz="0" w:space="0" w:color="auto"/>
                            <w:bottom w:val="none" w:sz="0" w:space="0" w:color="auto"/>
                            <w:right w:val="none" w:sz="0" w:space="0" w:color="auto"/>
                          </w:divBdr>
                          <w:divsChild>
                            <w:div w:id="454450737">
                              <w:marLeft w:val="0"/>
                              <w:marRight w:val="0"/>
                              <w:marTop w:val="0"/>
                              <w:marBottom w:val="0"/>
                              <w:divBdr>
                                <w:top w:val="none" w:sz="0" w:space="0" w:color="auto"/>
                                <w:left w:val="none" w:sz="0" w:space="0" w:color="auto"/>
                                <w:bottom w:val="none" w:sz="0" w:space="0" w:color="auto"/>
                                <w:right w:val="none" w:sz="0" w:space="0" w:color="auto"/>
                              </w:divBdr>
                            </w:div>
                            <w:div w:id="1913852174">
                              <w:marLeft w:val="0"/>
                              <w:marRight w:val="0"/>
                              <w:marTop w:val="0"/>
                              <w:marBottom w:val="0"/>
                              <w:divBdr>
                                <w:top w:val="none" w:sz="0" w:space="0" w:color="auto"/>
                                <w:left w:val="none" w:sz="0" w:space="0" w:color="auto"/>
                                <w:bottom w:val="none" w:sz="0" w:space="0" w:color="auto"/>
                                <w:right w:val="none" w:sz="0" w:space="0" w:color="auto"/>
                              </w:divBdr>
                              <w:divsChild>
                                <w:div w:id="480271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60529522">
              <w:marLeft w:val="0"/>
              <w:marRight w:val="0"/>
              <w:marTop w:val="0"/>
              <w:marBottom w:val="0"/>
              <w:divBdr>
                <w:top w:val="none" w:sz="0" w:space="0" w:color="auto"/>
                <w:left w:val="none" w:sz="0" w:space="0" w:color="auto"/>
                <w:bottom w:val="single" w:sz="6" w:space="12" w:color="DDDDDD"/>
                <w:right w:val="none" w:sz="0" w:space="0" w:color="auto"/>
              </w:divBdr>
              <w:divsChild>
                <w:div w:id="402457505">
                  <w:marLeft w:val="0"/>
                  <w:marRight w:val="0"/>
                  <w:marTop w:val="0"/>
                  <w:marBottom w:val="0"/>
                  <w:divBdr>
                    <w:top w:val="none" w:sz="0" w:space="0" w:color="auto"/>
                    <w:left w:val="none" w:sz="0" w:space="0" w:color="auto"/>
                    <w:bottom w:val="none" w:sz="0" w:space="0" w:color="auto"/>
                    <w:right w:val="none" w:sz="0" w:space="0" w:color="auto"/>
                  </w:divBdr>
                  <w:divsChild>
                    <w:div w:id="513349177">
                      <w:marLeft w:val="0"/>
                      <w:marRight w:val="0"/>
                      <w:marTop w:val="0"/>
                      <w:marBottom w:val="0"/>
                      <w:divBdr>
                        <w:top w:val="none" w:sz="0" w:space="0" w:color="auto"/>
                        <w:left w:val="none" w:sz="0" w:space="0" w:color="auto"/>
                        <w:bottom w:val="none" w:sz="0" w:space="0" w:color="auto"/>
                        <w:right w:val="none" w:sz="0" w:space="0" w:color="auto"/>
                      </w:divBdr>
                      <w:divsChild>
                        <w:div w:id="1207647580">
                          <w:marLeft w:val="0"/>
                          <w:marRight w:val="0"/>
                          <w:marTop w:val="0"/>
                          <w:marBottom w:val="0"/>
                          <w:divBdr>
                            <w:top w:val="none" w:sz="0" w:space="0" w:color="auto"/>
                            <w:left w:val="none" w:sz="0" w:space="0" w:color="auto"/>
                            <w:bottom w:val="none" w:sz="0" w:space="0" w:color="auto"/>
                            <w:right w:val="none" w:sz="0" w:space="0" w:color="auto"/>
                          </w:divBdr>
                          <w:divsChild>
                            <w:div w:id="764108550">
                              <w:marLeft w:val="0"/>
                              <w:marRight w:val="0"/>
                              <w:marTop w:val="0"/>
                              <w:marBottom w:val="0"/>
                              <w:divBdr>
                                <w:top w:val="none" w:sz="0" w:space="0" w:color="auto"/>
                                <w:left w:val="none" w:sz="0" w:space="0" w:color="auto"/>
                                <w:bottom w:val="none" w:sz="0" w:space="0" w:color="auto"/>
                                <w:right w:val="none" w:sz="0" w:space="0" w:color="auto"/>
                              </w:divBdr>
                            </w:div>
                            <w:div w:id="748698116">
                              <w:marLeft w:val="0"/>
                              <w:marRight w:val="0"/>
                              <w:marTop w:val="0"/>
                              <w:marBottom w:val="0"/>
                              <w:divBdr>
                                <w:top w:val="none" w:sz="0" w:space="0" w:color="auto"/>
                                <w:left w:val="none" w:sz="0" w:space="0" w:color="auto"/>
                                <w:bottom w:val="none" w:sz="0" w:space="0" w:color="auto"/>
                                <w:right w:val="none" w:sz="0" w:space="0" w:color="auto"/>
                              </w:divBdr>
                              <w:divsChild>
                                <w:div w:id="14694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26246377">
              <w:marLeft w:val="0"/>
              <w:marRight w:val="0"/>
              <w:marTop w:val="0"/>
              <w:marBottom w:val="0"/>
              <w:divBdr>
                <w:top w:val="none" w:sz="0" w:space="0" w:color="auto"/>
                <w:left w:val="none" w:sz="0" w:space="0" w:color="auto"/>
                <w:bottom w:val="none" w:sz="0" w:space="0" w:color="auto"/>
                <w:right w:val="none" w:sz="0" w:space="0" w:color="auto"/>
              </w:divBdr>
              <w:divsChild>
                <w:div w:id="482814532">
                  <w:marLeft w:val="0"/>
                  <w:marRight w:val="0"/>
                  <w:marTop w:val="0"/>
                  <w:marBottom w:val="0"/>
                  <w:divBdr>
                    <w:top w:val="none" w:sz="0" w:space="0" w:color="auto"/>
                    <w:left w:val="none" w:sz="0" w:space="0" w:color="auto"/>
                    <w:bottom w:val="none" w:sz="0" w:space="0" w:color="auto"/>
                    <w:right w:val="none" w:sz="0" w:space="0" w:color="auto"/>
                  </w:divBdr>
                  <w:divsChild>
                    <w:div w:id="1833711817">
                      <w:marLeft w:val="0"/>
                      <w:marRight w:val="0"/>
                      <w:marTop w:val="0"/>
                      <w:marBottom w:val="0"/>
                      <w:divBdr>
                        <w:top w:val="none" w:sz="0" w:space="0" w:color="auto"/>
                        <w:left w:val="none" w:sz="0" w:space="0" w:color="auto"/>
                        <w:bottom w:val="none" w:sz="0" w:space="0" w:color="auto"/>
                        <w:right w:val="none" w:sz="0" w:space="0" w:color="auto"/>
                      </w:divBdr>
                      <w:divsChild>
                        <w:div w:id="1486701175">
                          <w:marLeft w:val="0"/>
                          <w:marRight w:val="0"/>
                          <w:marTop w:val="0"/>
                          <w:marBottom w:val="0"/>
                          <w:divBdr>
                            <w:top w:val="none" w:sz="0" w:space="0" w:color="auto"/>
                            <w:left w:val="none" w:sz="0" w:space="0" w:color="auto"/>
                            <w:bottom w:val="none" w:sz="0" w:space="0" w:color="auto"/>
                            <w:right w:val="none" w:sz="0" w:space="0" w:color="auto"/>
                          </w:divBdr>
                          <w:divsChild>
                            <w:div w:id="1430614980">
                              <w:marLeft w:val="0"/>
                              <w:marRight w:val="0"/>
                              <w:marTop w:val="0"/>
                              <w:marBottom w:val="0"/>
                              <w:divBdr>
                                <w:top w:val="none" w:sz="0" w:space="0" w:color="auto"/>
                                <w:left w:val="none" w:sz="0" w:space="0" w:color="auto"/>
                                <w:bottom w:val="none" w:sz="0" w:space="0" w:color="auto"/>
                                <w:right w:val="none" w:sz="0" w:space="0" w:color="auto"/>
                              </w:divBdr>
                            </w:div>
                            <w:div w:id="349841029">
                              <w:marLeft w:val="0"/>
                              <w:marRight w:val="0"/>
                              <w:marTop w:val="0"/>
                              <w:marBottom w:val="0"/>
                              <w:divBdr>
                                <w:top w:val="none" w:sz="0" w:space="0" w:color="auto"/>
                                <w:left w:val="none" w:sz="0" w:space="0" w:color="auto"/>
                                <w:bottom w:val="none" w:sz="0" w:space="0" w:color="auto"/>
                                <w:right w:val="none" w:sz="0" w:space="0" w:color="auto"/>
                              </w:divBdr>
                              <w:divsChild>
                                <w:div w:id="1382748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56563715">
      <w:bodyDiv w:val="1"/>
      <w:marLeft w:val="0"/>
      <w:marRight w:val="0"/>
      <w:marTop w:val="0"/>
      <w:marBottom w:val="0"/>
      <w:divBdr>
        <w:top w:val="none" w:sz="0" w:space="0" w:color="auto"/>
        <w:left w:val="none" w:sz="0" w:space="0" w:color="auto"/>
        <w:bottom w:val="none" w:sz="0" w:space="0" w:color="auto"/>
        <w:right w:val="none" w:sz="0" w:space="0" w:color="auto"/>
      </w:divBdr>
      <w:divsChild>
        <w:div w:id="934050368">
          <w:marLeft w:val="0"/>
          <w:marRight w:val="0"/>
          <w:marTop w:val="0"/>
          <w:marBottom w:val="0"/>
          <w:divBdr>
            <w:top w:val="none" w:sz="0" w:space="0" w:color="auto"/>
            <w:left w:val="none" w:sz="0" w:space="0" w:color="auto"/>
            <w:bottom w:val="none" w:sz="0" w:space="0" w:color="auto"/>
            <w:right w:val="none" w:sz="0" w:space="0" w:color="auto"/>
          </w:divBdr>
          <w:divsChild>
            <w:div w:id="2091079264">
              <w:marLeft w:val="0"/>
              <w:marRight w:val="0"/>
              <w:marTop w:val="0"/>
              <w:marBottom w:val="0"/>
              <w:divBdr>
                <w:top w:val="none" w:sz="0" w:space="0" w:color="auto"/>
                <w:left w:val="none" w:sz="0" w:space="0" w:color="auto"/>
                <w:bottom w:val="none" w:sz="0" w:space="0" w:color="auto"/>
                <w:right w:val="none" w:sz="0" w:space="0" w:color="auto"/>
              </w:divBdr>
              <w:divsChild>
                <w:div w:id="1815216621">
                  <w:marLeft w:val="0"/>
                  <w:marRight w:val="0"/>
                  <w:marTop w:val="0"/>
                  <w:marBottom w:val="0"/>
                  <w:divBdr>
                    <w:top w:val="none" w:sz="0" w:space="0" w:color="auto"/>
                    <w:left w:val="none" w:sz="0" w:space="0" w:color="auto"/>
                    <w:bottom w:val="none" w:sz="0" w:space="0" w:color="auto"/>
                    <w:right w:val="none" w:sz="0" w:space="0" w:color="auto"/>
                  </w:divBdr>
                  <w:divsChild>
                    <w:div w:id="2070490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931293">
          <w:marLeft w:val="0"/>
          <w:marRight w:val="0"/>
          <w:marTop w:val="0"/>
          <w:marBottom w:val="0"/>
          <w:divBdr>
            <w:top w:val="none" w:sz="0" w:space="0" w:color="auto"/>
            <w:left w:val="none" w:sz="0" w:space="0" w:color="auto"/>
            <w:bottom w:val="none" w:sz="0" w:space="0" w:color="auto"/>
            <w:right w:val="none" w:sz="0" w:space="0" w:color="auto"/>
          </w:divBdr>
        </w:div>
        <w:div w:id="1176193364">
          <w:marLeft w:val="0"/>
          <w:marRight w:val="0"/>
          <w:marTop w:val="0"/>
          <w:marBottom w:val="0"/>
          <w:divBdr>
            <w:top w:val="none" w:sz="0" w:space="0" w:color="auto"/>
            <w:left w:val="none" w:sz="0" w:space="0" w:color="auto"/>
            <w:bottom w:val="none" w:sz="0" w:space="0" w:color="auto"/>
            <w:right w:val="none" w:sz="0" w:space="0" w:color="auto"/>
          </w:divBdr>
          <w:divsChild>
            <w:div w:id="1813331448">
              <w:marLeft w:val="0"/>
              <w:marRight w:val="0"/>
              <w:marTop w:val="0"/>
              <w:marBottom w:val="0"/>
              <w:divBdr>
                <w:top w:val="none" w:sz="0" w:space="0" w:color="auto"/>
                <w:left w:val="none" w:sz="0" w:space="0" w:color="auto"/>
                <w:bottom w:val="none" w:sz="0" w:space="0" w:color="auto"/>
                <w:right w:val="none" w:sz="0" w:space="0" w:color="auto"/>
              </w:divBdr>
              <w:divsChild>
                <w:div w:id="112331158">
                  <w:marLeft w:val="0"/>
                  <w:marRight w:val="0"/>
                  <w:marTop w:val="0"/>
                  <w:marBottom w:val="0"/>
                  <w:divBdr>
                    <w:top w:val="none" w:sz="0" w:space="0" w:color="auto"/>
                    <w:left w:val="none" w:sz="0" w:space="0" w:color="auto"/>
                    <w:bottom w:val="none" w:sz="0" w:space="0" w:color="auto"/>
                    <w:right w:val="none" w:sz="0" w:space="0" w:color="auto"/>
                  </w:divBdr>
                </w:div>
                <w:div w:id="1100563999">
                  <w:marLeft w:val="0"/>
                  <w:marRight w:val="0"/>
                  <w:marTop w:val="0"/>
                  <w:marBottom w:val="0"/>
                  <w:divBdr>
                    <w:top w:val="none" w:sz="0" w:space="0" w:color="auto"/>
                    <w:left w:val="none" w:sz="0" w:space="0" w:color="auto"/>
                    <w:bottom w:val="none" w:sz="0" w:space="0" w:color="auto"/>
                    <w:right w:val="none" w:sz="0" w:space="0" w:color="auto"/>
                  </w:divBdr>
                </w:div>
                <w:div w:id="676612858">
                  <w:marLeft w:val="0"/>
                  <w:marRight w:val="0"/>
                  <w:marTop w:val="0"/>
                  <w:marBottom w:val="0"/>
                  <w:divBdr>
                    <w:top w:val="none" w:sz="0" w:space="0" w:color="auto"/>
                    <w:left w:val="none" w:sz="0" w:space="0" w:color="auto"/>
                    <w:bottom w:val="none" w:sz="0" w:space="0" w:color="auto"/>
                    <w:right w:val="none" w:sz="0" w:space="0" w:color="auto"/>
                  </w:divBdr>
                  <w:divsChild>
                    <w:div w:id="926426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859534">
              <w:marLeft w:val="0"/>
              <w:marRight w:val="0"/>
              <w:marTop w:val="0"/>
              <w:marBottom w:val="0"/>
              <w:divBdr>
                <w:top w:val="none" w:sz="0" w:space="0" w:color="auto"/>
                <w:left w:val="none" w:sz="0" w:space="0" w:color="auto"/>
                <w:bottom w:val="none" w:sz="0" w:space="0" w:color="auto"/>
                <w:right w:val="none" w:sz="0" w:space="0" w:color="auto"/>
              </w:divBdr>
              <w:divsChild>
                <w:div w:id="2127850531">
                  <w:marLeft w:val="0"/>
                  <w:marRight w:val="0"/>
                  <w:marTop w:val="0"/>
                  <w:marBottom w:val="0"/>
                  <w:divBdr>
                    <w:top w:val="none" w:sz="0" w:space="0" w:color="auto"/>
                    <w:left w:val="none" w:sz="0" w:space="0" w:color="auto"/>
                    <w:bottom w:val="none" w:sz="0" w:space="0" w:color="auto"/>
                    <w:right w:val="none" w:sz="0" w:space="0" w:color="auto"/>
                  </w:divBdr>
                </w:div>
                <w:div w:id="676813961">
                  <w:marLeft w:val="0"/>
                  <w:marRight w:val="0"/>
                  <w:marTop w:val="0"/>
                  <w:marBottom w:val="0"/>
                  <w:divBdr>
                    <w:top w:val="none" w:sz="0" w:space="0" w:color="auto"/>
                    <w:left w:val="none" w:sz="0" w:space="0" w:color="auto"/>
                    <w:bottom w:val="none" w:sz="0" w:space="0" w:color="auto"/>
                    <w:right w:val="none" w:sz="0" w:space="0" w:color="auto"/>
                  </w:divBdr>
                </w:div>
                <w:div w:id="152988717">
                  <w:marLeft w:val="0"/>
                  <w:marRight w:val="0"/>
                  <w:marTop w:val="0"/>
                  <w:marBottom w:val="0"/>
                  <w:divBdr>
                    <w:top w:val="none" w:sz="0" w:space="0" w:color="auto"/>
                    <w:left w:val="none" w:sz="0" w:space="0" w:color="auto"/>
                    <w:bottom w:val="none" w:sz="0" w:space="0" w:color="auto"/>
                    <w:right w:val="none" w:sz="0" w:space="0" w:color="auto"/>
                  </w:divBdr>
                </w:div>
                <w:div w:id="742489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6828822">
      <w:bodyDiv w:val="1"/>
      <w:marLeft w:val="0"/>
      <w:marRight w:val="0"/>
      <w:marTop w:val="0"/>
      <w:marBottom w:val="0"/>
      <w:divBdr>
        <w:top w:val="none" w:sz="0" w:space="0" w:color="auto"/>
        <w:left w:val="none" w:sz="0" w:space="0" w:color="auto"/>
        <w:bottom w:val="none" w:sz="0" w:space="0" w:color="auto"/>
        <w:right w:val="none" w:sz="0" w:space="0" w:color="auto"/>
      </w:divBdr>
      <w:divsChild>
        <w:div w:id="6105282">
          <w:marLeft w:val="0"/>
          <w:marRight w:val="0"/>
          <w:marTop w:val="0"/>
          <w:marBottom w:val="120"/>
          <w:divBdr>
            <w:top w:val="none" w:sz="0" w:space="0" w:color="auto"/>
            <w:left w:val="none" w:sz="0" w:space="0" w:color="auto"/>
            <w:bottom w:val="none" w:sz="0" w:space="0" w:color="auto"/>
            <w:right w:val="none" w:sz="0" w:space="0" w:color="auto"/>
          </w:divBdr>
          <w:divsChild>
            <w:div w:id="1058279753">
              <w:marLeft w:val="0"/>
              <w:marRight w:val="0"/>
              <w:marTop w:val="0"/>
              <w:marBottom w:val="0"/>
              <w:divBdr>
                <w:top w:val="none" w:sz="0" w:space="0" w:color="auto"/>
                <w:left w:val="none" w:sz="0" w:space="0" w:color="auto"/>
                <w:bottom w:val="none" w:sz="0" w:space="0" w:color="auto"/>
                <w:right w:val="none" w:sz="0" w:space="0" w:color="auto"/>
              </w:divBdr>
              <w:divsChild>
                <w:div w:id="1734698843">
                  <w:marLeft w:val="0"/>
                  <w:marRight w:val="0"/>
                  <w:marTop w:val="0"/>
                  <w:marBottom w:val="0"/>
                  <w:divBdr>
                    <w:top w:val="none" w:sz="0" w:space="0" w:color="auto"/>
                    <w:left w:val="none" w:sz="0" w:space="0" w:color="auto"/>
                    <w:bottom w:val="none" w:sz="0" w:space="0" w:color="auto"/>
                    <w:right w:val="none" w:sz="0" w:space="0" w:color="auto"/>
                  </w:divBdr>
                  <w:divsChild>
                    <w:div w:id="181014391">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 w:id="270555923">
              <w:marLeft w:val="0"/>
              <w:marRight w:val="0"/>
              <w:marTop w:val="0"/>
              <w:marBottom w:val="0"/>
              <w:divBdr>
                <w:top w:val="none" w:sz="0" w:space="0" w:color="auto"/>
                <w:left w:val="none" w:sz="0" w:space="0" w:color="auto"/>
                <w:bottom w:val="single" w:sz="6" w:space="0" w:color="000000"/>
                <w:right w:val="none" w:sz="0" w:space="0" w:color="auto"/>
              </w:divBdr>
              <w:divsChild>
                <w:div w:id="781146406">
                  <w:marLeft w:val="0"/>
                  <w:marRight w:val="0"/>
                  <w:marTop w:val="0"/>
                  <w:marBottom w:val="0"/>
                  <w:divBdr>
                    <w:top w:val="none" w:sz="0" w:space="0" w:color="auto"/>
                    <w:left w:val="none" w:sz="0" w:space="0" w:color="auto"/>
                    <w:bottom w:val="none" w:sz="0" w:space="0" w:color="auto"/>
                    <w:right w:val="none" w:sz="0" w:space="0" w:color="auto"/>
                  </w:divBdr>
                  <w:divsChild>
                    <w:div w:id="1076318875">
                      <w:marLeft w:val="0"/>
                      <w:marRight w:val="0"/>
                      <w:marTop w:val="0"/>
                      <w:marBottom w:val="0"/>
                      <w:divBdr>
                        <w:top w:val="none" w:sz="0" w:space="0" w:color="auto"/>
                        <w:left w:val="none" w:sz="0" w:space="0" w:color="auto"/>
                        <w:bottom w:val="none" w:sz="0" w:space="0" w:color="auto"/>
                        <w:right w:val="none" w:sz="0" w:space="0" w:color="auto"/>
                      </w:divBdr>
                      <w:divsChild>
                        <w:div w:id="766846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2705743">
                  <w:marLeft w:val="0"/>
                  <w:marRight w:val="0"/>
                  <w:marTop w:val="0"/>
                  <w:marBottom w:val="0"/>
                  <w:divBdr>
                    <w:top w:val="none" w:sz="0" w:space="0" w:color="auto"/>
                    <w:left w:val="none" w:sz="0" w:space="0" w:color="auto"/>
                    <w:bottom w:val="none" w:sz="0" w:space="0" w:color="auto"/>
                    <w:right w:val="none" w:sz="0" w:space="0" w:color="auto"/>
                  </w:divBdr>
                  <w:divsChild>
                    <w:div w:id="420420375">
                      <w:marLeft w:val="0"/>
                      <w:marRight w:val="0"/>
                      <w:marTop w:val="0"/>
                      <w:marBottom w:val="0"/>
                      <w:divBdr>
                        <w:top w:val="none" w:sz="0" w:space="0" w:color="auto"/>
                        <w:left w:val="none" w:sz="0" w:space="0" w:color="auto"/>
                        <w:bottom w:val="none" w:sz="0" w:space="0" w:color="auto"/>
                        <w:right w:val="none" w:sz="0" w:space="0" w:color="auto"/>
                      </w:divBdr>
                      <w:divsChild>
                        <w:div w:id="464128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1618513">
          <w:marLeft w:val="0"/>
          <w:marRight w:val="0"/>
          <w:marTop w:val="0"/>
          <w:marBottom w:val="0"/>
          <w:divBdr>
            <w:top w:val="none" w:sz="0" w:space="0" w:color="auto"/>
            <w:left w:val="none" w:sz="0" w:space="0" w:color="auto"/>
            <w:bottom w:val="none" w:sz="0" w:space="0" w:color="auto"/>
            <w:right w:val="none" w:sz="0" w:space="0" w:color="auto"/>
          </w:divBdr>
        </w:div>
        <w:div w:id="33384209">
          <w:marLeft w:val="0"/>
          <w:marRight w:val="0"/>
          <w:marTop w:val="0"/>
          <w:marBottom w:val="0"/>
          <w:divBdr>
            <w:top w:val="none" w:sz="0" w:space="0" w:color="auto"/>
            <w:left w:val="none" w:sz="0" w:space="0" w:color="auto"/>
            <w:bottom w:val="none" w:sz="0" w:space="0" w:color="auto"/>
            <w:right w:val="none" w:sz="0" w:space="0" w:color="auto"/>
          </w:divBdr>
          <w:divsChild>
            <w:div w:id="653290948">
              <w:marLeft w:val="0"/>
              <w:marRight w:val="0"/>
              <w:marTop w:val="0"/>
              <w:marBottom w:val="120"/>
              <w:divBdr>
                <w:top w:val="none" w:sz="0" w:space="0" w:color="auto"/>
                <w:left w:val="none" w:sz="0" w:space="0" w:color="auto"/>
                <w:bottom w:val="none" w:sz="0" w:space="0" w:color="auto"/>
                <w:right w:val="none" w:sz="0" w:space="0" w:color="auto"/>
              </w:divBdr>
              <w:divsChild>
                <w:div w:id="49309010">
                  <w:marLeft w:val="0"/>
                  <w:marRight w:val="0"/>
                  <w:marTop w:val="0"/>
                  <w:marBottom w:val="0"/>
                  <w:divBdr>
                    <w:top w:val="none" w:sz="0" w:space="0" w:color="auto"/>
                    <w:left w:val="none" w:sz="0" w:space="0" w:color="auto"/>
                    <w:bottom w:val="none" w:sz="0" w:space="0" w:color="auto"/>
                    <w:right w:val="none" w:sz="0" w:space="0" w:color="auto"/>
                  </w:divBdr>
                </w:div>
              </w:divsChild>
            </w:div>
            <w:div w:id="336733520">
              <w:marLeft w:val="0"/>
              <w:marRight w:val="0"/>
              <w:marTop w:val="0"/>
              <w:marBottom w:val="120"/>
              <w:divBdr>
                <w:top w:val="none" w:sz="0" w:space="0" w:color="auto"/>
                <w:left w:val="none" w:sz="0" w:space="0" w:color="auto"/>
                <w:bottom w:val="none" w:sz="0" w:space="0" w:color="auto"/>
                <w:right w:val="none" w:sz="0" w:space="0" w:color="auto"/>
              </w:divBdr>
              <w:divsChild>
                <w:div w:id="749426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2178746">
          <w:marLeft w:val="0"/>
          <w:marRight w:val="0"/>
          <w:marTop w:val="0"/>
          <w:marBottom w:val="480"/>
          <w:divBdr>
            <w:top w:val="none" w:sz="0" w:space="0" w:color="auto"/>
            <w:left w:val="none" w:sz="0" w:space="0" w:color="auto"/>
            <w:bottom w:val="single" w:sz="12" w:space="24" w:color="EBEBEB"/>
            <w:right w:val="none" w:sz="0" w:space="0" w:color="auto"/>
          </w:divBdr>
          <w:divsChild>
            <w:div w:id="629744239">
              <w:marLeft w:val="0"/>
              <w:marRight w:val="0"/>
              <w:marTop w:val="0"/>
              <w:marBottom w:val="0"/>
              <w:divBdr>
                <w:top w:val="none" w:sz="0" w:space="0" w:color="auto"/>
                <w:left w:val="none" w:sz="0" w:space="0" w:color="auto"/>
                <w:bottom w:val="none" w:sz="0" w:space="0" w:color="auto"/>
                <w:right w:val="none" w:sz="0" w:space="0" w:color="auto"/>
              </w:divBdr>
              <w:divsChild>
                <w:div w:id="288821471">
                  <w:marLeft w:val="0"/>
                  <w:marRight w:val="0"/>
                  <w:marTop w:val="0"/>
                  <w:marBottom w:val="0"/>
                  <w:divBdr>
                    <w:top w:val="none" w:sz="0" w:space="0" w:color="auto"/>
                    <w:left w:val="none" w:sz="0" w:space="0" w:color="auto"/>
                    <w:bottom w:val="none" w:sz="0" w:space="0" w:color="auto"/>
                    <w:right w:val="none" w:sz="0" w:space="0" w:color="auto"/>
                  </w:divBdr>
                </w:div>
                <w:div w:id="1040280374">
                  <w:marLeft w:val="0"/>
                  <w:marRight w:val="0"/>
                  <w:marTop w:val="0"/>
                  <w:marBottom w:val="0"/>
                  <w:divBdr>
                    <w:top w:val="none" w:sz="0" w:space="0" w:color="auto"/>
                    <w:left w:val="none" w:sz="0" w:space="0" w:color="auto"/>
                    <w:bottom w:val="none" w:sz="0" w:space="0" w:color="auto"/>
                    <w:right w:val="none" w:sz="0" w:space="0" w:color="auto"/>
                  </w:divBdr>
                </w:div>
                <w:div w:id="558632797">
                  <w:marLeft w:val="0"/>
                  <w:marRight w:val="0"/>
                  <w:marTop w:val="0"/>
                  <w:marBottom w:val="0"/>
                  <w:divBdr>
                    <w:top w:val="none" w:sz="0" w:space="0" w:color="auto"/>
                    <w:left w:val="none" w:sz="0" w:space="0" w:color="auto"/>
                    <w:bottom w:val="none" w:sz="0" w:space="0" w:color="auto"/>
                    <w:right w:val="none" w:sz="0" w:space="0" w:color="auto"/>
                  </w:divBdr>
                </w:div>
                <w:div w:id="1962761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8245377">
          <w:marLeft w:val="0"/>
          <w:marRight w:val="0"/>
          <w:marTop w:val="0"/>
          <w:marBottom w:val="0"/>
          <w:divBdr>
            <w:top w:val="none" w:sz="0" w:space="0" w:color="auto"/>
            <w:left w:val="none" w:sz="0" w:space="0" w:color="auto"/>
            <w:bottom w:val="none" w:sz="0" w:space="0" w:color="auto"/>
            <w:right w:val="none" w:sz="0" w:space="0" w:color="auto"/>
          </w:divBdr>
          <w:divsChild>
            <w:div w:id="362904971">
              <w:marLeft w:val="0"/>
              <w:marRight w:val="0"/>
              <w:marTop w:val="0"/>
              <w:marBottom w:val="0"/>
              <w:divBdr>
                <w:top w:val="none" w:sz="0" w:space="0" w:color="auto"/>
                <w:left w:val="none" w:sz="0" w:space="0" w:color="auto"/>
                <w:bottom w:val="none" w:sz="0" w:space="0" w:color="auto"/>
                <w:right w:val="none" w:sz="0" w:space="0" w:color="auto"/>
              </w:divBdr>
              <w:divsChild>
                <w:div w:id="114106451">
                  <w:marLeft w:val="0"/>
                  <w:marRight w:val="0"/>
                  <w:marTop w:val="0"/>
                  <w:marBottom w:val="0"/>
                  <w:divBdr>
                    <w:top w:val="none" w:sz="0" w:space="0" w:color="auto"/>
                    <w:left w:val="none" w:sz="0" w:space="0" w:color="auto"/>
                    <w:bottom w:val="none" w:sz="0" w:space="0" w:color="auto"/>
                    <w:right w:val="none" w:sz="0" w:space="0" w:color="auto"/>
                  </w:divBdr>
                  <w:divsChild>
                    <w:div w:id="685718879">
                      <w:marLeft w:val="0"/>
                      <w:marRight w:val="0"/>
                      <w:marTop w:val="240"/>
                      <w:marBottom w:val="240"/>
                      <w:divBdr>
                        <w:top w:val="single" w:sz="12" w:space="0" w:color="EBEBEB"/>
                        <w:left w:val="none" w:sz="0" w:space="0" w:color="auto"/>
                        <w:bottom w:val="single" w:sz="12" w:space="0" w:color="EBEBEB"/>
                        <w:right w:val="none" w:sz="0" w:space="0" w:color="auto"/>
                      </w:divBdr>
                      <w:divsChild>
                        <w:div w:id="40175517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07836947">
          <w:marLeft w:val="0"/>
          <w:marRight w:val="0"/>
          <w:marTop w:val="0"/>
          <w:marBottom w:val="0"/>
          <w:divBdr>
            <w:top w:val="none" w:sz="0" w:space="0" w:color="auto"/>
            <w:left w:val="none" w:sz="0" w:space="0" w:color="auto"/>
            <w:bottom w:val="none" w:sz="0" w:space="0" w:color="auto"/>
            <w:right w:val="none" w:sz="0" w:space="0" w:color="auto"/>
          </w:divBdr>
          <w:divsChild>
            <w:div w:id="748697567">
              <w:marLeft w:val="0"/>
              <w:marRight w:val="0"/>
              <w:marTop w:val="0"/>
              <w:marBottom w:val="0"/>
              <w:divBdr>
                <w:top w:val="none" w:sz="0" w:space="0" w:color="auto"/>
                <w:left w:val="none" w:sz="0" w:space="0" w:color="auto"/>
                <w:bottom w:val="none" w:sz="0" w:space="0" w:color="auto"/>
                <w:right w:val="none" w:sz="0" w:space="0" w:color="auto"/>
              </w:divBdr>
            </w:div>
          </w:divsChild>
        </w:div>
        <w:div w:id="536234933">
          <w:marLeft w:val="0"/>
          <w:marRight w:val="0"/>
          <w:marTop w:val="0"/>
          <w:marBottom w:val="0"/>
          <w:divBdr>
            <w:top w:val="none" w:sz="0" w:space="0" w:color="auto"/>
            <w:left w:val="none" w:sz="0" w:space="0" w:color="auto"/>
            <w:bottom w:val="none" w:sz="0" w:space="0" w:color="auto"/>
            <w:right w:val="none" w:sz="0" w:space="0" w:color="auto"/>
          </w:divBdr>
        </w:div>
        <w:div w:id="2049143211">
          <w:marLeft w:val="0"/>
          <w:marRight w:val="0"/>
          <w:marTop w:val="0"/>
          <w:marBottom w:val="0"/>
          <w:divBdr>
            <w:top w:val="none" w:sz="0" w:space="0" w:color="auto"/>
            <w:left w:val="none" w:sz="0" w:space="0" w:color="auto"/>
            <w:bottom w:val="none" w:sz="0" w:space="0" w:color="auto"/>
            <w:right w:val="none" w:sz="0" w:space="0" w:color="auto"/>
          </w:divBdr>
        </w:div>
        <w:div w:id="1537890933">
          <w:marLeft w:val="0"/>
          <w:marRight w:val="0"/>
          <w:marTop w:val="0"/>
          <w:marBottom w:val="0"/>
          <w:divBdr>
            <w:top w:val="none" w:sz="0" w:space="0" w:color="auto"/>
            <w:left w:val="none" w:sz="0" w:space="0" w:color="auto"/>
            <w:bottom w:val="none" w:sz="0" w:space="0" w:color="auto"/>
            <w:right w:val="none" w:sz="0" w:space="0" w:color="auto"/>
          </w:divBdr>
        </w:div>
        <w:div w:id="1236357152">
          <w:marLeft w:val="0"/>
          <w:marRight w:val="0"/>
          <w:marTop w:val="0"/>
          <w:marBottom w:val="0"/>
          <w:divBdr>
            <w:top w:val="none" w:sz="0" w:space="0" w:color="auto"/>
            <w:left w:val="none" w:sz="0" w:space="0" w:color="auto"/>
            <w:bottom w:val="none" w:sz="0" w:space="0" w:color="auto"/>
            <w:right w:val="none" w:sz="0" w:space="0" w:color="auto"/>
          </w:divBdr>
          <w:divsChild>
            <w:div w:id="1395350473">
              <w:marLeft w:val="0"/>
              <w:marRight w:val="0"/>
              <w:marTop w:val="0"/>
              <w:marBottom w:val="0"/>
              <w:divBdr>
                <w:top w:val="none" w:sz="0" w:space="0" w:color="auto"/>
                <w:left w:val="none" w:sz="0" w:space="0" w:color="auto"/>
                <w:bottom w:val="none" w:sz="0" w:space="0" w:color="auto"/>
                <w:right w:val="none" w:sz="0" w:space="0" w:color="auto"/>
              </w:divBdr>
            </w:div>
          </w:divsChild>
        </w:div>
        <w:div w:id="1782021317">
          <w:marLeft w:val="0"/>
          <w:marRight w:val="0"/>
          <w:marTop w:val="0"/>
          <w:marBottom w:val="0"/>
          <w:divBdr>
            <w:top w:val="none" w:sz="0" w:space="0" w:color="auto"/>
            <w:left w:val="none" w:sz="0" w:space="0" w:color="auto"/>
            <w:bottom w:val="none" w:sz="0" w:space="0" w:color="auto"/>
            <w:right w:val="none" w:sz="0" w:space="0" w:color="auto"/>
          </w:divBdr>
        </w:div>
        <w:div w:id="841822487">
          <w:marLeft w:val="0"/>
          <w:marRight w:val="0"/>
          <w:marTop w:val="0"/>
          <w:marBottom w:val="0"/>
          <w:divBdr>
            <w:top w:val="none" w:sz="0" w:space="0" w:color="auto"/>
            <w:left w:val="none" w:sz="0" w:space="0" w:color="auto"/>
            <w:bottom w:val="none" w:sz="0" w:space="0" w:color="auto"/>
            <w:right w:val="none" w:sz="0" w:space="0" w:color="auto"/>
          </w:divBdr>
        </w:div>
        <w:div w:id="2032565098">
          <w:marLeft w:val="0"/>
          <w:marRight w:val="0"/>
          <w:marTop w:val="0"/>
          <w:marBottom w:val="0"/>
          <w:divBdr>
            <w:top w:val="none" w:sz="0" w:space="0" w:color="auto"/>
            <w:left w:val="none" w:sz="0" w:space="0" w:color="auto"/>
            <w:bottom w:val="none" w:sz="0" w:space="0" w:color="auto"/>
            <w:right w:val="none" w:sz="0" w:space="0" w:color="auto"/>
          </w:divBdr>
          <w:divsChild>
            <w:div w:id="1736079088">
              <w:marLeft w:val="0"/>
              <w:marRight w:val="0"/>
              <w:marTop w:val="0"/>
              <w:marBottom w:val="0"/>
              <w:divBdr>
                <w:top w:val="none" w:sz="0" w:space="0" w:color="auto"/>
                <w:left w:val="none" w:sz="0" w:space="0" w:color="auto"/>
                <w:bottom w:val="none" w:sz="0" w:space="0" w:color="auto"/>
                <w:right w:val="none" w:sz="0" w:space="0" w:color="auto"/>
              </w:divBdr>
            </w:div>
          </w:divsChild>
        </w:div>
        <w:div w:id="1006861255">
          <w:marLeft w:val="0"/>
          <w:marRight w:val="0"/>
          <w:marTop w:val="0"/>
          <w:marBottom w:val="0"/>
          <w:divBdr>
            <w:top w:val="none" w:sz="0" w:space="0" w:color="auto"/>
            <w:left w:val="none" w:sz="0" w:space="0" w:color="auto"/>
            <w:bottom w:val="none" w:sz="0" w:space="0" w:color="auto"/>
            <w:right w:val="none" w:sz="0" w:space="0" w:color="auto"/>
          </w:divBdr>
        </w:div>
        <w:div w:id="515653371">
          <w:marLeft w:val="0"/>
          <w:marRight w:val="0"/>
          <w:marTop w:val="0"/>
          <w:marBottom w:val="0"/>
          <w:divBdr>
            <w:top w:val="none" w:sz="0" w:space="0" w:color="auto"/>
            <w:left w:val="none" w:sz="0" w:space="0" w:color="auto"/>
            <w:bottom w:val="none" w:sz="0" w:space="0" w:color="auto"/>
            <w:right w:val="none" w:sz="0" w:space="0" w:color="auto"/>
          </w:divBdr>
        </w:div>
        <w:div w:id="1599438102">
          <w:marLeft w:val="0"/>
          <w:marRight w:val="0"/>
          <w:marTop w:val="0"/>
          <w:marBottom w:val="0"/>
          <w:divBdr>
            <w:top w:val="none" w:sz="0" w:space="0" w:color="auto"/>
            <w:left w:val="none" w:sz="0" w:space="0" w:color="auto"/>
            <w:bottom w:val="none" w:sz="0" w:space="0" w:color="auto"/>
            <w:right w:val="none" w:sz="0" w:space="0" w:color="auto"/>
          </w:divBdr>
          <w:divsChild>
            <w:div w:id="809831487">
              <w:marLeft w:val="0"/>
              <w:marRight w:val="0"/>
              <w:marTop w:val="0"/>
              <w:marBottom w:val="0"/>
              <w:divBdr>
                <w:top w:val="none" w:sz="0" w:space="0" w:color="auto"/>
                <w:left w:val="none" w:sz="0" w:space="0" w:color="auto"/>
                <w:bottom w:val="none" w:sz="0" w:space="0" w:color="auto"/>
                <w:right w:val="none" w:sz="0" w:space="0" w:color="auto"/>
              </w:divBdr>
            </w:div>
          </w:divsChild>
        </w:div>
        <w:div w:id="1869758649">
          <w:marLeft w:val="0"/>
          <w:marRight w:val="0"/>
          <w:marTop w:val="0"/>
          <w:marBottom w:val="0"/>
          <w:divBdr>
            <w:top w:val="none" w:sz="0" w:space="0" w:color="auto"/>
            <w:left w:val="none" w:sz="0" w:space="0" w:color="auto"/>
            <w:bottom w:val="none" w:sz="0" w:space="0" w:color="auto"/>
            <w:right w:val="none" w:sz="0" w:space="0" w:color="auto"/>
          </w:divBdr>
        </w:div>
        <w:div w:id="150685944">
          <w:marLeft w:val="0"/>
          <w:marRight w:val="0"/>
          <w:marTop w:val="0"/>
          <w:marBottom w:val="0"/>
          <w:divBdr>
            <w:top w:val="none" w:sz="0" w:space="0" w:color="auto"/>
            <w:left w:val="none" w:sz="0" w:space="0" w:color="auto"/>
            <w:bottom w:val="none" w:sz="0" w:space="0" w:color="auto"/>
            <w:right w:val="none" w:sz="0" w:space="0" w:color="auto"/>
          </w:divBdr>
        </w:div>
        <w:div w:id="190267923">
          <w:marLeft w:val="0"/>
          <w:marRight w:val="0"/>
          <w:marTop w:val="0"/>
          <w:marBottom w:val="0"/>
          <w:divBdr>
            <w:top w:val="none" w:sz="0" w:space="0" w:color="auto"/>
            <w:left w:val="none" w:sz="0" w:space="0" w:color="auto"/>
            <w:bottom w:val="none" w:sz="0" w:space="0" w:color="auto"/>
            <w:right w:val="none" w:sz="0" w:space="0" w:color="auto"/>
          </w:divBdr>
          <w:divsChild>
            <w:div w:id="1978222217">
              <w:marLeft w:val="0"/>
              <w:marRight w:val="0"/>
              <w:marTop w:val="0"/>
              <w:marBottom w:val="0"/>
              <w:divBdr>
                <w:top w:val="none" w:sz="0" w:space="0" w:color="auto"/>
                <w:left w:val="none" w:sz="0" w:space="0" w:color="auto"/>
                <w:bottom w:val="none" w:sz="0" w:space="0" w:color="auto"/>
                <w:right w:val="none" w:sz="0" w:space="0" w:color="auto"/>
              </w:divBdr>
            </w:div>
          </w:divsChild>
        </w:div>
        <w:div w:id="1726101081">
          <w:marLeft w:val="0"/>
          <w:marRight w:val="0"/>
          <w:marTop w:val="0"/>
          <w:marBottom w:val="0"/>
          <w:divBdr>
            <w:top w:val="none" w:sz="0" w:space="0" w:color="auto"/>
            <w:left w:val="none" w:sz="0" w:space="0" w:color="auto"/>
            <w:bottom w:val="none" w:sz="0" w:space="0" w:color="auto"/>
            <w:right w:val="none" w:sz="0" w:space="0" w:color="auto"/>
          </w:divBdr>
        </w:div>
        <w:div w:id="445319246">
          <w:marLeft w:val="0"/>
          <w:marRight w:val="0"/>
          <w:marTop w:val="0"/>
          <w:marBottom w:val="0"/>
          <w:divBdr>
            <w:top w:val="none" w:sz="0" w:space="0" w:color="auto"/>
            <w:left w:val="none" w:sz="0" w:space="0" w:color="auto"/>
            <w:bottom w:val="none" w:sz="0" w:space="0" w:color="auto"/>
            <w:right w:val="none" w:sz="0" w:space="0" w:color="auto"/>
          </w:divBdr>
        </w:div>
        <w:div w:id="432550027">
          <w:marLeft w:val="0"/>
          <w:marRight w:val="0"/>
          <w:marTop w:val="0"/>
          <w:marBottom w:val="0"/>
          <w:divBdr>
            <w:top w:val="none" w:sz="0" w:space="0" w:color="auto"/>
            <w:left w:val="none" w:sz="0" w:space="0" w:color="auto"/>
            <w:bottom w:val="none" w:sz="0" w:space="0" w:color="auto"/>
            <w:right w:val="none" w:sz="0" w:space="0" w:color="auto"/>
          </w:divBdr>
          <w:divsChild>
            <w:div w:id="347607112">
              <w:marLeft w:val="0"/>
              <w:marRight w:val="0"/>
              <w:marTop w:val="0"/>
              <w:marBottom w:val="0"/>
              <w:divBdr>
                <w:top w:val="none" w:sz="0" w:space="0" w:color="auto"/>
                <w:left w:val="none" w:sz="0" w:space="0" w:color="auto"/>
                <w:bottom w:val="none" w:sz="0" w:space="0" w:color="auto"/>
                <w:right w:val="none" w:sz="0" w:space="0" w:color="auto"/>
              </w:divBdr>
            </w:div>
          </w:divsChild>
        </w:div>
        <w:div w:id="1264144146">
          <w:marLeft w:val="0"/>
          <w:marRight w:val="0"/>
          <w:marTop w:val="0"/>
          <w:marBottom w:val="0"/>
          <w:divBdr>
            <w:top w:val="none" w:sz="0" w:space="0" w:color="auto"/>
            <w:left w:val="none" w:sz="0" w:space="0" w:color="auto"/>
            <w:bottom w:val="none" w:sz="0" w:space="0" w:color="auto"/>
            <w:right w:val="none" w:sz="0" w:space="0" w:color="auto"/>
          </w:divBdr>
        </w:div>
        <w:div w:id="76827583">
          <w:marLeft w:val="0"/>
          <w:marRight w:val="0"/>
          <w:marTop w:val="0"/>
          <w:marBottom w:val="0"/>
          <w:divBdr>
            <w:top w:val="none" w:sz="0" w:space="0" w:color="auto"/>
            <w:left w:val="none" w:sz="0" w:space="0" w:color="auto"/>
            <w:bottom w:val="none" w:sz="0" w:space="0" w:color="auto"/>
            <w:right w:val="none" w:sz="0" w:space="0" w:color="auto"/>
          </w:divBdr>
        </w:div>
        <w:div w:id="682901780">
          <w:marLeft w:val="0"/>
          <w:marRight w:val="0"/>
          <w:marTop w:val="0"/>
          <w:marBottom w:val="0"/>
          <w:divBdr>
            <w:top w:val="none" w:sz="0" w:space="0" w:color="auto"/>
            <w:left w:val="none" w:sz="0" w:space="0" w:color="auto"/>
            <w:bottom w:val="none" w:sz="0" w:space="0" w:color="auto"/>
            <w:right w:val="none" w:sz="0" w:space="0" w:color="auto"/>
          </w:divBdr>
          <w:divsChild>
            <w:div w:id="18553949">
              <w:marLeft w:val="0"/>
              <w:marRight w:val="0"/>
              <w:marTop w:val="0"/>
              <w:marBottom w:val="0"/>
              <w:divBdr>
                <w:top w:val="none" w:sz="0" w:space="0" w:color="auto"/>
                <w:left w:val="none" w:sz="0" w:space="0" w:color="auto"/>
                <w:bottom w:val="none" w:sz="0" w:space="0" w:color="auto"/>
                <w:right w:val="none" w:sz="0" w:space="0" w:color="auto"/>
              </w:divBdr>
            </w:div>
          </w:divsChild>
        </w:div>
        <w:div w:id="709575081">
          <w:marLeft w:val="0"/>
          <w:marRight w:val="0"/>
          <w:marTop w:val="0"/>
          <w:marBottom w:val="0"/>
          <w:divBdr>
            <w:top w:val="none" w:sz="0" w:space="0" w:color="auto"/>
            <w:left w:val="none" w:sz="0" w:space="0" w:color="auto"/>
            <w:bottom w:val="none" w:sz="0" w:space="0" w:color="auto"/>
            <w:right w:val="none" w:sz="0" w:space="0" w:color="auto"/>
          </w:divBdr>
        </w:div>
        <w:div w:id="271128193">
          <w:marLeft w:val="0"/>
          <w:marRight w:val="0"/>
          <w:marTop w:val="0"/>
          <w:marBottom w:val="0"/>
          <w:divBdr>
            <w:top w:val="none" w:sz="0" w:space="0" w:color="auto"/>
            <w:left w:val="none" w:sz="0" w:space="0" w:color="auto"/>
            <w:bottom w:val="none" w:sz="0" w:space="0" w:color="auto"/>
            <w:right w:val="none" w:sz="0" w:space="0" w:color="auto"/>
          </w:divBdr>
        </w:div>
        <w:div w:id="909001434">
          <w:marLeft w:val="0"/>
          <w:marRight w:val="0"/>
          <w:marTop w:val="0"/>
          <w:marBottom w:val="0"/>
          <w:divBdr>
            <w:top w:val="none" w:sz="0" w:space="0" w:color="auto"/>
            <w:left w:val="none" w:sz="0" w:space="0" w:color="auto"/>
            <w:bottom w:val="none" w:sz="0" w:space="0" w:color="auto"/>
            <w:right w:val="none" w:sz="0" w:space="0" w:color="auto"/>
          </w:divBdr>
          <w:divsChild>
            <w:div w:id="1709796471">
              <w:marLeft w:val="0"/>
              <w:marRight w:val="0"/>
              <w:marTop w:val="0"/>
              <w:marBottom w:val="0"/>
              <w:divBdr>
                <w:top w:val="none" w:sz="0" w:space="0" w:color="auto"/>
                <w:left w:val="none" w:sz="0" w:space="0" w:color="auto"/>
                <w:bottom w:val="none" w:sz="0" w:space="0" w:color="auto"/>
                <w:right w:val="none" w:sz="0" w:space="0" w:color="auto"/>
              </w:divBdr>
            </w:div>
          </w:divsChild>
        </w:div>
        <w:div w:id="1413967468">
          <w:marLeft w:val="0"/>
          <w:marRight w:val="0"/>
          <w:marTop w:val="0"/>
          <w:marBottom w:val="0"/>
          <w:divBdr>
            <w:top w:val="none" w:sz="0" w:space="0" w:color="auto"/>
            <w:left w:val="none" w:sz="0" w:space="0" w:color="auto"/>
            <w:bottom w:val="none" w:sz="0" w:space="0" w:color="auto"/>
            <w:right w:val="none" w:sz="0" w:space="0" w:color="auto"/>
          </w:divBdr>
        </w:div>
        <w:div w:id="1157839323">
          <w:marLeft w:val="0"/>
          <w:marRight w:val="0"/>
          <w:marTop w:val="0"/>
          <w:marBottom w:val="0"/>
          <w:divBdr>
            <w:top w:val="none" w:sz="0" w:space="0" w:color="auto"/>
            <w:left w:val="none" w:sz="0" w:space="0" w:color="auto"/>
            <w:bottom w:val="none" w:sz="0" w:space="0" w:color="auto"/>
            <w:right w:val="none" w:sz="0" w:space="0" w:color="auto"/>
          </w:divBdr>
        </w:div>
        <w:div w:id="616789712">
          <w:marLeft w:val="0"/>
          <w:marRight w:val="0"/>
          <w:marTop w:val="0"/>
          <w:marBottom w:val="0"/>
          <w:divBdr>
            <w:top w:val="none" w:sz="0" w:space="0" w:color="auto"/>
            <w:left w:val="none" w:sz="0" w:space="0" w:color="auto"/>
            <w:bottom w:val="none" w:sz="0" w:space="0" w:color="auto"/>
            <w:right w:val="none" w:sz="0" w:space="0" w:color="auto"/>
          </w:divBdr>
        </w:div>
        <w:div w:id="1298486653">
          <w:marLeft w:val="0"/>
          <w:marRight w:val="0"/>
          <w:marTop w:val="0"/>
          <w:marBottom w:val="0"/>
          <w:divBdr>
            <w:top w:val="none" w:sz="0" w:space="0" w:color="auto"/>
            <w:left w:val="none" w:sz="0" w:space="0" w:color="auto"/>
            <w:bottom w:val="none" w:sz="0" w:space="0" w:color="auto"/>
            <w:right w:val="none" w:sz="0" w:space="0" w:color="auto"/>
          </w:divBdr>
          <w:divsChild>
            <w:div w:id="1057165986">
              <w:marLeft w:val="0"/>
              <w:marRight w:val="0"/>
              <w:marTop w:val="0"/>
              <w:marBottom w:val="0"/>
              <w:divBdr>
                <w:top w:val="none" w:sz="0" w:space="0" w:color="auto"/>
                <w:left w:val="none" w:sz="0" w:space="0" w:color="auto"/>
                <w:bottom w:val="none" w:sz="0" w:space="0" w:color="auto"/>
                <w:right w:val="none" w:sz="0" w:space="0" w:color="auto"/>
              </w:divBdr>
            </w:div>
          </w:divsChild>
        </w:div>
        <w:div w:id="1173685667">
          <w:marLeft w:val="0"/>
          <w:marRight w:val="0"/>
          <w:marTop w:val="0"/>
          <w:marBottom w:val="0"/>
          <w:divBdr>
            <w:top w:val="none" w:sz="0" w:space="0" w:color="auto"/>
            <w:left w:val="none" w:sz="0" w:space="0" w:color="auto"/>
            <w:bottom w:val="none" w:sz="0" w:space="0" w:color="auto"/>
            <w:right w:val="none" w:sz="0" w:space="0" w:color="auto"/>
          </w:divBdr>
        </w:div>
        <w:div w:id="1345354391">
          <w:marLeft w:val="0"/>
          <w:marRight w:val="0"/>
          <w:marTop w:val="0"/>
          <w:marBottom w:val="0"/>
          <w:divBdr>
            <w:top w:val="none" w:sz="0" w:space="0" w:color="auto"/>
            <w:left w:val="none" w:sz="0" w:space="0" w:color="auto"/>
            <w:bottom w:val="none" w:sz="0" w:space="0" w:color="auto"/>
            <w:right w:val="none" w:sz="0" w:space="0" w:color="auto"/>
          </w:divBdr>
        </w:div>
        <w:div w:id="545723205">
          <w:marLeft w:val="0"/>
          <w:marRight w:val="0"/>
          <w:marTop w:val="0"/>
          <w:marBottom w:val="0"/>
          <w:divBdr>
            <w:top w:val="none" w:sz="0" w:space="0" w:color="auto"/>
            <w:left w:val="none" w:sz="0" w:space="0" w:color="auto"/>
            <w:bottom w:val="none" w:sz="0" w:space="0" w:color="auto"/>
            <w:right w:val="none" w:sz="0" w:space="0" w:color="auto"/>
          </w:divBdr>
          <w:divsChild>
            <w:div w:id="295528710">
              <w:marLeft w:val="0"/>
              <w:marRight w:val="0"/>
              <w:marTop w:val="0"/>
              <w:marBottom w:val="0"/>
              <w:divBdr>
                <w:top w:val="none" w:sz="0" w:space="0" w:color="auto"/>
                <w:left w:val="none" w:sz="0" w:space="0" w:color="auto"/>
                <w:bottom w:val="none" w:sz="0" w:space="0" w:color="auto"/>
                <w:right w:val="none" w:sz="0" w:space="0" w:color="auto"/>
              </w:divBdr>
            </w:div>
          </w:divsChild>
        </w:div>
        <w:div w:id="1095059395">
          <w:marLeft w:val="0"/>
          <w:marRight w:val="0"/>
          <w:marTop w:val="0"/>
          <w:marBottom w:val="0"/>
          <w:divBdr>
            <w:top w:val="none" w:sz="0" w:space="0" w:color="auto"/>
            <w:left w:val="none" w:sz="0" w:space="0" w:color="auto"/>
            <w:bottom w:val="none" w:sz="0" w:space="0" w:color="auto"/>
            <w:right w:val="none" w:sz="0" w:space="0" w:color="auto"/>
          </w:divBdr>
        </w:div>
        <w:div w:id="608854333">
          <w:marLeft w:val="0"/>
          <w:marRight w:val="0"/>
          <w:marTop w:val="0"/>
          <w:marBottom w:val="0"/>
          <w:divBdr>
            <w:top w:val="none" w:sz="0" w:space="0" w:color="auto"/>
            <w:left w:val="none" w:sz="0" w:space="0" w:color="auto"/>
            <w:bottom w:val="none" w:sz="0" w:space="0" w:color="auto"/>
            <w:right w:val="none" w:sz="0" w:space="0" w:color="auto"/>
          </w:divBdr>
        </w:div>
        <w:div w:id="376511063">
          <w:marLeft w:val="0"/>
          <w:marRight w:val="0"/>
          <w:marTop w:val="0"/>
          <w:marBottom w:val="0"/>
          <w:divBdr>
            <w:top w:val="none" w:sz="0" w:space="0" w:color="auto"/>
            <w:left w:val="none" w:sz="0" w:space="0" w:color="auto"/>
            <w:bottom w:val="none" w:sz="0" w:space="0" w:color="auto"/>
            <w:right w:val="none" w:sz="0" w:space="0" w:color="auto"/>
          </w:divBdr>
        </w:div>
        <w:div w:id="450124742">
          <w:marLeft w:val="0"/>
          <w:marRight w:val="0"/>
          <w:marTop w:val="0"/>
          <w:marBottom w:val="0"/>
          <w:divBdr>
            <w:top w:val="none" w:sz="0" w:space="0" w:color="auto"/>
            <w:left w:val="none" w:sz="0" w:space="0" w:color="auto"/>
            <w:bottom w:val="none" w:sz="0" w:space="0" w:color="auto"/>
            <w:right w:val="none" w:sz="0" w:space="0" w:color="auto"/>
          </w:divBdr>
        </w:div>
        <w:div w:id="732125721">
          <w:marLeft w:val="0"/>
          <w:marRight w:val="0"/>
          <w:marTop w:val="0"/>
          <w:marBottom w:val="0"/>
          <w:divBdr>
            <w:top w:val="none" w:sz="0" w:space="0" w:color="auto"/>
            <w:left w:val="none" w:sz="0" w:space="0" w:color="auto"/>
            <w:bottom w:val="none" w:sz="0" w:space="0" w:color="auto"/>
            <w:right w:val="none" w:sz="0" w:space="0" w:color="auto"/>
          </w:divBdr>
          <w:divsChild>
            <w:div w:id="1402674633">
              <w:marLeft w:val="0"/>
              <w:marRight w:val="0"/>
              <w:marTop w:val="0"/>
              <w:marBottom w:val="0"/>
              <w:divBdr>
                <w:top w:val="none" w:sz="0" w:space="0" w:color="auto"/>
                <w:left w:val="none" w:sz="0" w:space="0" w:color="auto"/>
                <w:bottom w:val="none" w:sz="0" w:space="0" w:color="auto"/>
                <w:right w:val="none" w:sz="0" w:space="0" w:color="auto"/>
              </w:divBdr>
            </w:div>
          </w:divsChild>
        </w:div>
        <w:div w:id="330182157">
          <w:marLeft w:val="0"/>
          <w:marRight w:val="0"/>
          <w:marTop w:val="0"/>
          <w:marBottom w:val="0"/>
          <w:divBdr>
            <w:top w:val="none" w:sz="0" w:space="0" w:color="auto"/>
            <w:left w:val="none" w:sz="0" w:space="0" w:color="auto"/>
            <w:bottom w:val="none" w:sz="0" w:space="0" w:color="auto"/>
            <w:right w:val="none" w:sz="0" w:space="0" w:color="auto"/>
          </w:divBdr>
        </w:div>
        <w:div w:id="1297645099">
          <w:marLeft w:val="0"/>
          <w:marRight w:val="0"/>
          <w:marTop w:val="0"/>
          <w:marBottom w:val="0"/>
          <w:divBdr>
            <w:top w:val="none" w:sz="0" w:space="0" w:color="auto"/>
            <w:left w:val="none" w:sz="0" w:space="0" w:color="auto"/>
            <w:bottom w:val="none" w:sz="0" w:space="0" w:color="auto"/>
            <w:right w:val="none" w:sz="0" w:space="0" w:color="auto"/>
          </w:divBdr>
        </w:div>
        <w:div w:id="1665738490">
          <w:marLeft w:val="0"/>
          <w:marRight w:val="0"/>
          <w:marTop w:val="0"/>
          <w:marBottom w:val="0"/>
          <w:divBdr>
            <w:top w:val="none" w:sz="0" w:space="0" w:color="auto"/>
            <w:left w:val="none" w:sz="0" w:space="0" w:color="auto"/>
            <w:bottom w:val="none" w:sz="0" w:space="0" w:color="auto"/>
            <w:right w:val="none" w:sz="0" w:space="0" w:color="auto"/>
          </w:divBdr>
        </w:div>
        <w:div w:id="1731878321">
          <w:marLeft w:val="0"/>
          <w:marRight w:val="0"/>
          <w:marTop w:val="0"/>
          <w:marBottom w:val="0"/>
          <w:divBdr>
            <w:top w:val="none" w:sz="0" w:space="0" w:color="auto"/>
            <w:left w:val="none" w:sz="0" w:space="0" w:color="auto"/>
            <w:bottom w:val="none" w:sz="0" w:space="0" w:color="auto"/>
            <w:right w:val="none" w:sz="0" w:space="0" w:color="auto"/>
          </w:divBdr>
        </w:div>
        <w:div w:id="1932810385">
          <w:marLeft w:val="0"/>
          <w:marRight w:val="0"/>
          <w:marTop w:val="0"/>
          <w:marBottom w:val="0"/>
          <w:divBdr>
            <w:top w:val="none" w:sz="0" w:space="0" w:color="auto"/>
            <w:left w:val="none" w:sz="0" w:space="0" w:color="auto"/>
            <w:bottom w:val="none" w:sz="0" w:space="0" w:color="auto"/>
            <w:right w:val="none" w:sz="0" w:space="0" w:color="auto"/>
          </w:divBdr>
          <w:divsChild>
            <w:div w:id="2076002052">
              <w:marLeft w:val="0"/>
              <w:marRight w:val="0"/>
              <w:marTop w:val="0"/>
              <w:marBottom w:val="0"/>
              <w:divBdr>
                <w:top w:val="none" w:sz="0" w:space="0" w:color="auto"/>
                <w:left w:val="none" w:sz="0" w:space="0" w:color="auto"/>
                <w:bottom w:val="none" w:sz="0" w:space="0" w:color="auto"/>
                <w:right w:val="none" w:sz="0" w:space="0" w:color="auto"/>
              </w:divBdr>
            </w:div>
          </w:divsChild>
        </w:div>
        <w:div w:id="1181353104">
          <w:marLeft w:val="0"/>
          <w:marRight w:val="0"/>
          <w:marTop w:val="0"/>
          <w:marBottom w:val="0"/>
          <w:divBdr>
            <w:top w:val="none" w:sz="0" w:space="0" w:color="auto"/>
            <w:left w:val="none" w:sz="0" w:space="0" w:color="auto"/>
            <w:bottom w:val="none" w:sz="0" w:space="0" w:color="auto"/>
            <w:right w:val="none" w:sz="0" w:space="0" w:color="auto"/>
          </w:divBdr>
        </w:div>
        <w:div w:id="2130122204">
          <w:marLeft w:val="0"/>
          <w:marRight w:val="0"/>
          <w:marTop w:val="0"/>
          <w:marBottom w:val="0"/>
          <w:divBdr>
            <w:top w:val="none" w:sz="0" w:space="0" w:color="auto"/>
            <w:left w:val="none" w:sz="0" w:space="0" w:color="auto"/>
            <w:bottom w:val="none" w:sz="0" w:space="0" w:color="auto"/>
            <w:right w:val="none" w:sz="0" w:space="0" w:color="auto"/>
          </w:divBdr>
        </w:div>
        <w:div w:id="536744955">
          <w:marLeft w:val="0"/>
          <w:marRight w:val="0"/>
          <w:marTop w:val="0"/>
          <w:marBottom w:val="0"/>
          <w:divBdr>
            <w:top w:val="none" w:sz="0" w:space="0" w:color="auto"/>
            <w:left w:val="none" w:sz="0" w:space="0" w:color="auto"/>
            <w:bottom w:val="none" w:sz="0" w:space="0" w:color="auto"/>
            <w:right w:val="none" w:sz="0" w:space="0" w:color="auto"/>
          </w:divBdr>
        </w:div>
        <w:div w:id="128059377">
          <w:marLeft w:val="0"/>
          <w:marRight w:val="0"/>
          <w:marTop w:val="0"/>
          <w:marBottom w:val="0"/>
          <w:divBdr>
            <w:top w:val="none" w:sz="0" w:space="0" w:color="auto"/>
            <w:left w:val="none" w:sz="0" w:space="0" w:color="auto"/>
            <w:bottom w:val="none" w:sz="0" w:space="0" w:color="auto"/>
            <w:right w:val="none" w:sz="0" w:space="0" w:color="auto"/>
          </w:divBdr>
        </w:div>
        <w:div w:id="943658130">
          <w:marLeft w:val="0"/>
          <w:marRight w:val="0"/>
          <w:marTop w:val="0"/>
          <w:marBottom w:val="0"/>
          <w:divBdr>
            <w:top w:val="none" w:sz="0" w:space="0" w:color="auto"/>
            <w:left w:val="none" w:sz="0" w:space="0" w:color="auto"/>
            <w:bottom w:val="none" w:sz="0" w:space="0" w:color="auto"/>
            <w:right w:val="none" w:sz="0" w:space="0" w:color="auto"/>
          </w:divBdr>
          <w:divsChild>
            <w:div w:id="883180880">
              <w:marLeft w:val="0"/>
              <w:marRight w:val="0"/>
              <w:marTop w:val="0"/>
              <w:marBottom w:val="0"/>
              <w:divBdr>
                <w:top w:val="none" w:sz="0" w:space="0" w:color="auto"/>
                <w:left w:val="none" w:sz="0" w:space="0" w:color="auto"/>
                <w:bottom w:val="none" w:sz="0" w:space="0" w:color="auto"/>
                <w:right w:val="none" w:sz="0" w:space="0" w:color="auto"/>
              </w:divBdr>
            </w:div>
          </w:divsChild>
        </w:div>
        <w:div w:id="540476361">
          <w:marLeft w:val="0"/>
          <w:marRight w:val="0"/>
          <w:marTop w:val="0"/>
          <w:marBottom w:val="0"/>
          <w:divBdr>
            <w:top w:val="none" w:sz="0" w:space="0" w:color="auto"/>
            <w:left w:val="none" w:sz="0" w:space="0" w:color="auto"/>
            <w:bottom w:val="none" w:sz="0" w:space="0" w:color="auto"/>
            <w:right w:val="none" w:sz="0" w:space="0" w:color="auto"/>
          </w:divBdr>
        </w:div>
        <w:div w:id="878009635">
          <w:marLeft w:val="0"/>
          <w:marRight w:val="0"/>
          <w:marTop w:val="0"/>
          <w:marBottom w:val="0"/>
          <w:divBdr>
            <w:top w:val="none" w:sz="0" w:space="0" w:color="auto"/>
            <w:left w:val="none" w:sz="0" w:space="0" w:color="auto"/>
            <w:bottom w:val="none" w:sz="0" w:space="0" w:color="auto"/>
            <w:right w:val="none" w:sz="0" w:space="0" w:color="auto"/>
          </w:divBdr>
        </w:div>
        <w:div w:id="593788730">
          <w:marLeft w:val="0"/>
          <w:marRight w:val="0"/>
          <w:marTop w:val="0"/>
          <w:marBottom w:val="0"/>
          <w:divBdr>
            <w:top w:val="none" w:sz="0" w:space="0" w:color="auto"/>
            <w:left w:val="none" w:sz="0" w:space="0" w:color="auto"/>
            <w:bottom w:val="none" w:sz="0" w:space="0" w:color="auto"/>
            <w:right w:val="none" w:sz="0" w:space="0" w:color="auto"/>
          </w:divBdr>
        </w:div>
        <w:div w:id="1395616195">
          <w:marLeft w:val="0"/>
          <w:marRight w:val="0"/>
          <w:marTop w:val="0"/>
          <w:marBottom w:val="0"/>
          <w:divBdr>
            <w:top w:val="none" w:sz="0" w:space="0" w:color="auto"/>
            <w:left w:val="none" w:sz="0" w:space="0" w:color="auto"/>
            <w:bottom w:val="none" w:sz="0" w:space="0" w:color="auto"/>
            <w:right w:val="none" w:sz="0" w:space="0" w:color="auto"/>
          </w:divBdr>
          <w:divsChild>
            <w:div w:id="203255975">
              <w:marLeft w:val="0"/>
              <w:marRight w:val="0"/>
              <w:marTop w:val="0"/>
              <w:marBottom w:val="0"/>
              <w:divBdr>
                <w:top w:val="none" w:sz="0" w:space="0" w:color="auto"/>
                <w:left w:val="none" w:sz="0" w:space="0" w:color="auto"/>
                <w:bottom w:val="none" w:sz="0" w:space="0" w:color="auto"/>
                <w:right w:val="none" w:sz="0" w:space="0" w:color="auto"/>
              </w:divBdr>
            </w:div>
          </w:divsChild>
        </w:div>
        <w:div w:id="171074553">
          <w:marLeft w:val="0"/>
          <w:marRight w:val="0"/>
          <w:marTop w:val="0"/>
          <w:marBottom w:val="0"/>
          <w:divBdr>
            <w:top w:val="none" w:sz="0" w:space="0" w:color="auto"/>
            <w:left w:val="none" w:sz="0" w:space="0" w:color="auto"/>
            <w:bottom w:val="none" w:sz="0" w:space="0" w:color="auto"/>
            <w:right w:val="none" w:sz="0" w:space="0" w:color="auto"/>
          </w:divBdr>
        </w:div>
        <w:div w:id="2131972638">
          <w:marLeft w:val="0"/>
          <w:marRight w:val="0"/>
          <w:marTop w:val="0"/>
          <w:marBottom w:val="0"/>
          <w:divBdr>
            <w:top w:val="none" w:sz="0" w:space="0" w:color="auto"/>
            <w:left w:val="none" w:sz="0" w:space="0" w:color="auto"/>
            <w:bottom w:val="none" w:sz="0" w:space="0" w:color="auto"/>
            <w:right w:val="none" w:sz="0" w:space="0" w:color="auto"/>
          </w:divBdr>
        </w:div>
        <w:div w:id="2077242250">
          <w:marLeft w:val="0"/>
          <w:marRight w:val="0"/>
          <w:marTop w:val="0"/>
          <w:marBottom w:val="0"/>
          <w:divBdr>
            <w:top w:val="none" w:sz="0" w:space="0" w:color="auto"/>
            <w:left w:val="none" w:sz="0" w:space="0" w:color="auto"/>
            <w:bottom w:val="none" w:sz="0" w:space="0" w:color="auto"/>
            <w:right w:val="none" w:sz="0" w:space="0" w:color="auto"/>
          </w:divBdr>
        </w:div>
        <w:div w:id="1502039547">
          <w:marLeft w:val="0"/>
          <w:marRight w:val="0"/>
          <w:marTop w:val="0"/>
          <w:marBottom w:val="0"/>
          <w:divBdr>
            <w:top w:val="none" w:sz="0" w:space="0" w:color="auto"/>
            <w:left w:val="none" w:sz="0" w:space="0" w:color="auto"/>
            <w:bottom w:val="none" w:sz="0" w:space="0" w:color="auto"/>
            <w:right w:val="none" w:sz="0" w:space="0" w:color="auto"/>
          </w:divBdr>
          <w:divsChild>
            <w:div w:id="1487668673">
              <w:marLeft w:val="0"/>
              <w:marRight w:val="0"/>
              <w:marTop w:val="0"/>
              <w:marBottom w:val="0"/>
              <w:divBdr>
                <w:top w:val="none" w:sz="0" w:space="0" w:color="auto"/>
                <w:left w:val="none" w:sz="0" w:space="0" w:color="auto"/>
                <w:bottom w:val="none" w:sz="0" w:space="0" w:color="auto"/>
                <w:right w:val="none" w:sz="0" w:space="0" w:color="auto"/>
              </w:divBdr>
            </w:div>
          </w:divsChild>
        </w:div>
        <w:div w:id="1096831112">
          <w:marLeft w:val="0"/>
          <w:marRight w:val="0"/>
          <w:marTop w:val="0"/>
          <w:marBottom w:val="0"/>
          <w:divBdr>
            <w:top w:val="none" w:sz="0" w:space="0" w:color="auto"/>
            <w:left w:val="none" w:sz="0" w:space="0" w:color="auto"/>
            <w:bottom w:val="none" w:sz="0" w:space="0" w:color="auto"/>
            <w:right w:val="none" w:sz="0" w:space="0" w:color="auto"/>
          </w:divBdr>
        </w:div>
        <w:div w:id="137259895">
          <w:marLeft w:val="0"/>
          <w:marRight w:val="0"/>
          <w:marTop w:val="0"/>
          <w:marBottom w:val="0"/>
          <w:divBdr>
            <w:top w:val="none" w:sz="0" w:space="0" w:color="auto"/>
            <w:left w:val="none" w:sz="0" w:space="0" w:color="auto"/>
            <w:bottom w:val="none" w:sz="0" w:space="0" w:color="auto"/>
            <w:right w:val="none" w:sz="0" w:space="0" w:color="auto"/>
          </w:divBdr>
        </w:div>
        <w:div w:id="1755544216">
          <w:marLeft w:val="0"/>
          <w:marRight w:val="0"/>
          <w:marTop w:val="0"/>
          <w:marBottom w:val="0"/>
          <w:divBdr>
            <w:top w:val="none" w:sz="0" w:space="0" w:color="auto"/>
            <w:left w:val="none" w:sz="0" w:space="0" w:color="auto"/>
            <w:bottom w:val="none" w:sz="0" w:space="0" w:color="auto"/>
            <w:right w:val="none" w:sz="0" w:space="0" w:color="auto"/>
          </w:divBdr>
        </w:div>
        <w:div w:id="92364992">
          <w:marLeft w:val="0"/>
          <w:marRight w:val="0"/>
          <w:marTop w:val="0"/>
          <w:marBottom w:val="0"/>
          <w:divBdr>
            <w:top w:val="none" w:sz="0" w:space="0" w:color="auto"/>
            <w:left w:val="none" w:sz="0" w:space="0" w:color="auto"/>
            <w:bottom w:val="none" w:sz="0" w:space="0" w:color="auto"/>
            <w:right w:val="none" w:sz="0" w:space="0" w:color="auto"/>
          </w:divBdr>
          <w:divsChild>
            <w:div w:id="1052728690">
              <w:marLeft w:val="0"/>
              <w:marRight w:val="0"/>
              <w:marTop w:val="0"/>
              <w:marBottom w:val="0"/>
              <w:divBdr>
                <w:top w:val="none" w:sz="0" w:space="0" w:color="auto"/>
                <w:left w:val="none" w:sz="0" w:space="0" w:color="auto"/>
                <w:bottom w:val="none" w:sz="0" w:space="0" w:color="auto"/>
                <w:right w:val="none" w:sz="0" w:space="0" w:color="auto"/>
              </w:divBdr>
            </w:div>
          </w:divsChild>
        </w:div>
        <w:div w:id="1272471306">
          <w:marLeft w:val="0"/>
          <w:marRight w:val="0"/>
          <w:marTop w:val="0"/>
          <w:marBottom w:val="0"/>
          <w:divBdr>
            <w:top w:val="none" w:sz="0" w:space="0" w:color="auto"/>
            <w:left w:val="none" w:sz="0" w:space="0" w:color="auto"/>
            <w:bottom w:val="none" w:sz="0" w:space="0" w:color="auto"/>
            <w:right w:val="none" w:sz="0" w:space="0" w:color="auto"/>
          </w:divBdr>
        </w:div>
        <w:div w:id="411851156">
          <w:marLeft w:val="0"/>
          <w:marRight w:val="0"/>
          <w:marTop w:val="0"/>
          <w:marBottom w:val="0"/>
          <w:divBdr>
            <w:top w:val="none" w:sz="0" w:space="0" w:color="auto"/>
            <w:left w:val="none" w:sz="0" w:space="0" w:color="auto"/>
            <w:bottom w:val="none" w:sz="0" w:space="0" w:color="auto"/>
            <w:right w:val="none" w:sz="0" w:space="0" w:color="auto"/>
          </w:divBdr>
        </w:div>
        <w:div w:id="433788038">
          <w:marLeft w:val="0"/>
          <w:marRight w:val="0"/>
          <w:marTop w:val="0"/>
          <w:marBottom w:val="0"/>
          <w:divBdr>
            <w:top w:val="none" w:sz="0" w:space="0" w:color="auto"/>
            <w:left w:val="none" w:sz="0" w:space="0" w:color="auto"/>
            <w:bottom w:val="none" w:sz="0" w:space="0" w:color="auto"/>
            <w:right w:val="none" w:sz="0" w:space="0" w:color="auto"/>
          </w:divBdr>
        </w:div>
        <w:div w:id="1810399070">
          <w:marLeft w:val="0"/>
          <w:marRight w:val="0"/>
          <w:marTop w:val="0"/>
          <w:marBottom w:val="0"/>
          <w:divBdr>
            <w:top w:val="none" w:sz="0" w:space="0" w:color="auto"/>
            <w:left w:val="none" w:sz="0" w:space="0" w:color="auto"/>
            <w:bottom w:val="none" w:sz="0" w:space="0" w:color="auto"/>
            <w:right w:val="none" w:sz="0" w:space="0" w:color="auto"/>
          </w:divBdr>
        </w:div>
        <w:div w:id="1364596057">
          <w:marLeft w:val="0"/>
          <w:marRight w:val="0"/>
          <w:marTop w:val="0"/>
          <w:marBottom w:val="0"/>
          <w:divBdr>
            <w:top w:val="none" w:sz="0" w:space="0" w:color="auto"/>
            <w:left w:val="none" w:sz="0" w:space="0" w:color="auto"/>
            <w:bottom w:val="none" w:sz="0" w:space="0" w:color="auto"/>
            <w:right w:val="none" w:sz="0" w:space="0" w:color="auto"/>
          </w:divBdr>
          <w:divsChild>
            <w:div w:id="1721784919">
              <w:marLeft w:val="0"/>
              <w:marRight w:val="0"/>
              <w:marTop w:val="0"/>
              <w:marBottom w:val="0"/>
              <w:divBdr>
                <w:top w:val="none" w:sz="0" w:space="0" w:color="auto"/>
                <w:left w:val="none" w:sz="0" w:space="0" w:color="auto"/>
                <w:bottom w:val="none" w:sz="0" w:space="0" w:color="auto"/>
                <w:right w:val="none" w:sz="0" w:space="0" w:color="auto"/>
              </w:divBdr>
            </w:div>
          </w:divsChild>
        </w:div>
        <w:div w:id="244993366">
          <w:marLeft w:val="0"/>
          <w:marRight w:val="0"/>
          <w:marTop w:val="0"/>
          <w:marBottom w:val="0"/>
          <w:divBdr>
            <w:top w:val="none" w:sz="0" w:space="0" w:color="auto"/>
            <w:left w:val="none" w:sz="0" w:space="0" w:color="auto"/>
            <w:bottom w:val="none" w:sz="0" w:space="0" w:color="auto"/>
            <w:right w:val="none" w:sz="0" w:space="0" w:color="auto"/>
          </w:divBdr>
        </w:div>
        <w:div w:id="2082484683">
          <w:marLeft w:val="0"/>
          <w:marRight w:val="0"/>
          <w:marTop w:val="0"/>
          <w:marBottom w:val="0"/>
          <w:divBdr>
            <w:top w:val="none" w:sz="0" w:space="0" w:color="auto"/>
            <w:left w:val="none" w:sz="0" w:space="0" w:color="auto"/>
            <w:bottom w:val="none" w:sz="0" w:space="0" w:color="auto"/>
            <w:right w:val="none" w:sz="0" w:space="0" w:color="auto"/>
          </w:divBdr>
        </w:div>
        <w:div w:id="1143305413">
          <w:marLeft w:val="0"/>
          <w:marRight w:val="0"/>
          <w:marTop w:val="0"/>
          <w:marBottom w:val="0"/>
          <w:divBdr>
            <w:top w:val="none" w:sz="0" w:space="0" w:color="auto"/>
            <w:left w:val="none" w:sz="0" w:space="0" w:color="auto"/>
            <w:bottom w:val="none" w:sz="0" w:space="0" w:color="auto"/>
            <w:right w:val="none" w:sz="0" w:space="0" w:color="auto"/>
          </w:divBdr>
        </w:div>
        <w:div w:id="1955669054">
          <w:marLeft w:val="0"/>
          <w:marRight w:val="0"/>
          <w:marTop w:val="0"/>
          <w:marBottom w:val="0"/>
          <w:divBdr>
            <w:top w:val="none" w:sz="0" w:space="0" w:color="auto"/>
            <w:left w:val="none" w:sz="0" w:space="0" w:color="auto"/>
            <w:bottom w:val="none" w:sz="0" w:space="0" w:color="auto"/>
            <w:right w:val="none" w:sz="0" w:space="0" w:color="auto"/>
          </w:divBdr>
          <w:divsChild>
            <w:div w:id="1147239886">
              <w:marLeft w:val="0"/>
              <w:marRight w:val="0"/>
              <w:marTop w:val="0"/>
              <w:marBottom w:val="0"/>
              <w:divBdr>
                <w:top w:val="none" w:sz="0" w:space="0" w:color="auto"/>
                <w:left w:val="none" w:sz="0" w:space="0" w:color="auto"/>
                <w:bottom w:val="none" w:sz="0" w:space="0" w:color="auto"/>
                <w:right w:val="none" w:sz="0" w:space="0" w:color="auto"/>
              </w:divBdr>
            </w:div>
          </w:divsChild>
        </w:div>
        <w:div w:id="33897275">
          <w:marLeft w:val="0"/>
          <w:marRight w:val="0"/>
          <w:marTop w:val="0"/>
          <w:marBottom w:val="0"/>
          <w:divBdr>
            <w:top w:val="none" w:sz="0" w:space="0" w:color="auto"/>
            <w:left w:val="none" w:sz="0" w:space="0" w:color="auto"/>
            <w:bottom w:val="none" w:sz="0" w:space="0" w:color="auto"/>
            <w:right w:val="none" w:sz="0" w:space="0" w:color="auto"/>
          </w:divBdr>
        </w:div>
        <w:div w:id="1818842670">
          <w:marLeft w:val="0"/>
          <w:marRight w:val="0"/>
          <w:marTop w:val="0"/>
          <w:marBottom w:val="0"/>
          <w:divBdr>
            <w:top w:val="none" w:sz="0" w:space="0" w:color="auto"/>
            <w:left w:val="none" w:sz="0" w:space="0" w:color="auto"/>
            <w:bottom w:val="none" w:sz="0" w:space="0" w:color="auto"/>
            <w:right w:val="none" w:sz="0" w:space="0" w:color="auto"/>
          </w:divBdr>
        </w:div>
        <w:div w:id="926882713">
          <w:marLeft w:val="0"/>
          <w:marRight w:val="0"/>
          <w:marTop w:val="0"/>
          <w:marBottom w:val="0"/>
          <w:divBdr>
            <w:top w:val="none" w:sz="0" w:space="0" w:color="auto"/>
            <w:left w:val="none" w:sz="0" w:space="0" w:color="auto"/>
            <w:bottom w:val="none" w:sz="0" w:space="0" w:color="auto"/>
            <w:right w:val="none" w:sz="0" w:space="0" w:color="auto"/>
          </w:divBdr>
        </w:div>
        <w:div w:id="1720590090">
          <w:marLeft w:val="0"/>
          <w:marRight w:val="0"/>
          <w:marTop w:val="0"/>
          <w:marBottom w:val="0"/>
          <w:divBdr>
            <w:top w:val="none" w:sz="0" w:space="0" w:color="auto"/>
            <w:left w:val="none" w:sz="0" w:space="0" w:color="auto"/>
            <w:bottom w:val="none" w:sz="0" w:space="0" w:color="auto"/>
            <w:right w:val="none" w:sz="0" w:space="0" w:color="auto"/>
          </w:divBdr>
          <w:divsChild>
            <w:div w:id="1562525096">
              <w:marLeft w:val="0"/>
              <w:marRight w:val="0"/>
              <w:marTop w:val="0"/>
              <w:marBottom w:val="0"/>
              <w:divBdr>
                <w:top w:val="none" w:sz="0" w:space="0" w:color="auto"/>
                <w:left w:val="none" w:sz="0" w:space="0" w:color="auto"/>
                <w:bottom w:val="none" w:sz="0" w:space="0" w:color="auto"/>
                <w:right w:val="none" w:sz="0" w:space="0" w:color="auto"/>
              </w:divBdr>
            </w:div>
          </w:divsChild>
        </w:div>
        <w:div w:id="1624843810">
          <w:marLeft w:val="0"/>
          <w:marRight w:val="0"/>
          <w:marTop w:val="0"/>
          <w:marBottom w:val="0"/>
          <w:divBdr>
            <w:top w:val="none" w:sz="0" w:space="0" w:color="auto"/>
            <w:left w:val="none" w:sz="0" w:space="0" w:color="auto"/>
            <w:bottom w:val="none" w:sz="0" w:space="0" w:color="auto"/>
            <w:right w:val="none" w:sz="0" w:space="0" w:color="auto"/>
          </w:divBdr>
        </w:div>
        <w:div w:id="1904371370">
          <w:marLeft w:val="0"/>
          <w:marRight w:val="0"/>
          <w:marTop w:val="0"/>
          <w:marBottom w:val="0"/>
          <w:divBdr>
            <w:top w:val="none" w:sz="0" w:space="0" w:color="auto"/>
            <w:left w:val="none" w:sz="0" w:space="0" w:color="auto"/>
            <w:bottom w:val="none" w:sz="0" w:space="0" w:color="auto"/>
            <w:right w:val="none" w:sz="0" w:space="0" w:color="auto"/>
          </w:divBdr>
        </w:div>
        <w:div w:id="344864410">
          <w:marLeft w:val="0"/>
          <w:marRight w:val="0"/>
          <w:marTop w:val="0"/>
          <w:marBottom w:val="0"/>
          <w:divBdr>
            <w:top w:val="none" w:sz="0" w:space="0" w:color="auto"/>
            <w:left w:val="none" w:sz="0" w:space="0" w:color="auto"/>
            <w:bottom w:val="none" w:sz="0" w:space="0" w:color="auto"/>
            <w:right w:val="none" w:sz="0" w:space="0" w:color="auto"/>
          </w:divBdr>
          <w:divsChild>
            <w:div w:id="684399418">
              <w:marLeft w:val="0"/>
              <w:marRight w:val="0"/>
              <w:marTop w:val="0"/>
              <w:marBottom w:val="0"/>
              <w:divBdr>
                <w:top w:val="none" w:sz="0" w:space="0" w:color="auto"/>
                <w:left w:val="none" w:sz="0" w:space="0" w:color="auto"/>
                <w:bottom w:val="none" w:sz="0" w:space="0" w:color="auto"/>
                <w:right w:val="none" w:sz="0" w:space="0" w:color="auto"/>
              </w:divBdr>
            </w:div>
          </w:divsChild>
        </w:div>
        <w:div w:id="1319261565">
          <w:marLeft w:val="0"/>
          <w:marRight w:val="0"/>
          <w:marTop w:val="0"/>
          <w:marBottom w:val="0"/>
          <w:divBdr>
            <w:top w:val="none" w:sz="0" w:space="0" w:color="auto"/>
            <w:left w:val="none" w:sz="0" w:space="0" w:color="auto"/>
            <w:bottom w:val="none" w:sz="0" w:space="0" w:color="auto"/>
            <w:right w:val="none" w:sz="0" w:space="0" w:color="auto"/>
          </w:divBdr>
        </w:div>
        <w:div w:id="1309939685">
          <w:marLeft w:val="0"/>
          <w:marRight w:val="0"/>
          <w:marTop w:val="0"/>
          <w:marBottom w:val="0"/>
          <w:divBdr>
            <w:top w:val="none" w:sz="0" w:space="0" w:color="auto"/>
            <w:left w:val="none" w:sz="0" w:space="0" w:color="auto"/>
            <w:bottom w:val="none" w:sz="0" w:space="0" w:color="auto"/>
            <w:right w:val="none" w:sz="0" w:space="0" w:color="auto"/>
          </w:divBdr>
        </w:div>
        <w:div w:id="183638174">
          <w:marLeft w:val="0"/>
          <w:marRight w:val="0"/>
          <w:marTop w:val="0"/>
          <w:marBottom w:val="0"/>
          <w:divBdr>
            <w:top w:val="none" w:sz="0" w:space="0" w:color="auto"/>
            <w:left w:val="none" w:sz="0" w:space="0" w:color="auto"/>
            <w:bottom w:val="none" w:sz="0" w:space="0" w:color="auto"/>
            <w:right w:val="none" w:sz="0" w:space="0" w:color="auto"/>
          </w:divBdr>
          <w:divsChild>
            <w:div w:id="918094692">
              <w:marLeft w:val="0"/>
              <w:marRight w:val="0"/>
              <w:marTop w:val="0"/>
              <w:marBottom w:val="0"/>
              <w:divBdr>
                <w:top w:val="none" w:sz="0" w:space="0" w:color="auto"/>
                <w:left w:val="none" w:sz="0" w:space="0" w:color="auto"/>
                <w:bottom w:val="none" w:sz="0" w:space="0" w:color="auto"/>
                <w:right w:val="none" w:sz="0" w:space="0" w:color="auto"/>
              </w:divBdr>
            </w:div>
          </w:divsChild>
        </w:div>
        <w:div w:id="2027708860">
          <w:marLeft w:val="0"/>
          <w:marRight w:val="0"/>
          <w:marTop w:val="0"/>
          <w:marBottom w:val="0"/>
          <w:divBdr>
            <w:top w:val="none" w:sz="0" w:space="0" w:color="auto"/>
            <w:left w:val="none" w:sz="0" w:space="0" w:color="auto"/>
            <w:bottom w:val="none" w:sz="0" w:space="0" w:color="auto"/>
            <w:right w:val="none" w:sz="0" w:space="0" w:color="auto"/>
          </w:divBdr>
        </w:div>
        <w:div w:id="238948671">
          <w:marLeft w:val="0"/>
          <w:marRight w:val="0"/>
          <w:marTop w:val="0"/>
          <w:marBottom w:val="0"/>
          <w:divBdr>
            <w:top w:val="none" w:sz="0" w:space="0" w:color="auto"/>
            <w:left w:val="none" w:sz="0" w:space="0" w:color="auto"/>
            <w:bottom w:val="none" w:sz="0" w:space="0" w:color="auto"/>
            <w:right w:val="none" w:sz="0" w:space="0" w:color="auto"/>
          </w:divBdr>
        </w:div>
      </w:divsChild>
    </w:div>
    <w:div w:id="776291593">
      <w:bodyDiv w:val="1"/>
      <w:marLeft w:val="0"/>
      <w:marRight w:val="0"/>
      <w:marTop w:val="0"/>
      <w:marBottom w:val="0"/>
      <w:divBdr>
        <w:top w:val="none" w:sz="0" w:space="0" w:color="auto"/>
        <w:left w:val="none" w:sz="0" w:space="0" w:color="auto"/>
        <w:bottom w:val="none" w:sz="0" w:space="0" w:color="auto"/>
        <w:right w:val="none" w:sz="0" w:space="0" w:color="auto"/>
      </w:divBdr>
      <w:divsChild>
        <w:div w:id="38747684">
          <w:marLeft w:val="0"/>
          <w:marRight w:val="0"/>
          <w:marTop w:val="0"/>
          <w:marBottom w:val="0"/>
          <w:divBdr>
            <w:top w:val="none" w:sz="0" w:space="0" w:color="auto"/>
            <w:left w:val="none" w:sz="0" w:space="0" w:color="auto"/>
            <w:bottom w:val="none" w:sz="0" w:space="0" w:color="auto"/>
            <w:right w:val="none" w:sz="0" w:space="0" w:color="auto"/>
          </w:divBdr>
        </w:div>
        <w:div w:id="23750544">
          <w:marLeft w:val="0"/>
          <w:marRight w:val="0"/>
          <w:marTop w:val="0"/>
          <w:marBottom w:val="0"/>
          <w:divBdr>
            <w:top w:val="none" w:sz="0" w:space="0" w:color="auto"/>
            <w:left w:val="none" w:sz="0" w:space="0" w:color="auto"/>
            <w:bottom w:val="none" w:sz="0" w:space="0" w:color="auto"/>
            <w:right w:val="none" w:sz="0" w:space="0" w:color="auto"/>
          </w:divBdr>
        </w:div>
      </w:divsChild>
    </w:div>
    <w:div w:id="777218864">
      <w:bodyDiv w:val="1"/>
      <w:marLeft w:val="0"/>
      <w:marRight w:val="0"/>
      <w:marTop w:val="0"/>
      <w:marBottom w:val="0"/>
      <w:divBdr>
        <w:top w:val="none" w:sz="0" w:space="0" w:color="auto"/>
        <w:left w:val="none" w:sz="0" w:space="0" w:color="auto"/>
        <w:bottom w:val="none" w:sz="0" w:space="0" w:color="auto"/>
        <w:right w:val="none" w:sz="0" w:space="0" w:color="auto"/>
      </w:divBdr>
      <w:divsChild>
        <w:div w:id="1348941628">
          <w:marLeft w:val="0"/>
          <w:marRight w:val="0"/>
          <w:marTop w:val="0"/>
          <w:marBottom w:val="240"/>
          <w:divBdr>
            <w:top w:val="none" w:sz="0" w:space="0" w:color="auto"/>
            <w:left w:val="none" w:sz="0" w:space="0" w:color="auto"/>
            <w:bottom w:val="none" w:sz="0" w:space="0" w:color="auto"/>
            <w:right w:val="none" w:sz="0" w:space="0" w:color="auto"/>
          </w:divBdr>
        </w:div>
        <w:div w:id="62603505">
          <w:marLeft w:val="0"/>
          <w:marRight w:val="0"/>
          <w:marTop w:val="0"/>
          <w:marBottom w:val="240"/>
          <w:divBdr>
            <w:top w:val="none" w:sz="0" w:space="0" w:color="auto"/>
            <w:left w:val="none" w:sz="0" w:space="0" w:color="auto"/>
            <w:bottom w:val="none" w:sz="0" w:space="0" w:color="auto"/>
            <w:right w:val="none" w:sz="0" w:space="0" w:color="auto"/>
          </w:divBdr>
        </w:div>
        <w:div w:id="1969621140">
          <w:marLeft w:val="0"/>
          <w:marRight w:val="0"/>
          <w:marTop w:val="0"/>
          <w:marBottom w:val="240"/>
          <w:divBdr>
            <w:top w:val="none" w:sz="0" w:space="0" w:color="auto"/>
            <w:left w:val="none" w:sz="0" w:space="0" w:color="auto"/>
            <w:bottom w:val="none" w:sz="0" w:space="0" w:color="auto"/>
            <w:right w:val="none" w:sz="0" w:space="0" w:color="auto"/>
          </w:divBdr>
        </w:div>
        <w:div w:id="389811164">
          <w:marLeft w:val="0"/>
          <w:marRight w:val="0"/>
          <w:marTop w:val="0"/>
          <w:marBottom w:val="240"/>
          <w:divBdr>
            <w:top w:val="none" w:sz="0" w:space="0" w:color="auto"/>
            <w:left w:val="none" w:sz="0" w:space="0" w:color="auto"/>
            <w:bottom w:val="none" w:sz="0" w:space="0" w:color="auto"/>
            <w:right w:val="none" w:sz="0" w:space="0" w:color="auto"/>
          </w:divBdr>
        </w:div>
        <w:div w:id="28577596">
          <w:marLeft w:val="0"/>
          <w:marRight w:val="0"/>
          <w:marTop w:val="0"/>
          <w:marBottom w:val="240"/>
          <w:divBdr>
            <w:top w:val="none" w:sz="0" w:space="0" w:color="auto"/>
            <w:left w:val="none" w:sz="0" w:space="0" w:color="auto"/>
            <w:bottom w:val="none" w:sz="0" w:space="0" w:color="auto"/>
            <w:right w:val="none" w:sz="0" w:space="0" w:color="auto"/>
          </w:divBdr>
        </w:div>
        <w:div w:id="1891188583">
          <w:marLeft w:val="0"/>
          <w:marRight w:val="0"/>
          <w:marTop w:val="0"/>
          <w:marBottom w:val="240"/>
          <w:divBdr>
            <w:top w:val="none" w:sz="0" w:space="0" w:color="auto"/>
            <w:left w:val="none" w:sz="0" w:space="0" w:color="auto"/>
            <w:bottom w:val="none" w:sz="0" w:space="0" w:color="auto"/>
            <w:right w:val="none" w:sz="0" w:space="0" w:color="auto"/>
          </w:divBdr>
        </w:div>
        <w:div w:id="2063796294">
          <w:marLeft w:val="0"/>
          <w:marRight w:val="0"/>
          <w:marTop w:val="0"/>
          <w:marBottom w:val="240"/>
          <w:divBdr>
            <w:top w:val="none" w:sz="0" w:space="0" w:color="auto"/>
            <w:left w:val="none" w:sz="0" w:space="0" w:color="auto"/>
            <w:bottom w:val="none" w:sz="0" w:space="0" w:color="auto"/>
            <w:right w:val="none" w:sz="0" w:space="0" w:color="auto"/>
          </w:divBdr>
        </w:div>
        <w:div w:id="2127694337">
          <w:marLeft w:val="0"/>
          <w:marRight w:val="0"/>
          <w:marTop w:val="0"/>
          <w:marBottom w:val="240"/>
          <w:divBdr>
            <w:top w:val="none" w:sz="0" w:space="0" w:color="auto"/>
            <w:left w:val="none" w:sz="0" w:space="0" w:color="auto"/>
            <w:bottom w:val="none" w:sz="0" w:space="0" w:color="auto"/>
            <w:right w:val="none" w:sz="0" w:space="0" w:color="auto"/>
          </w:divBdr>
        </w:div>
        <w:div w:id="1327708886">
          <w:marLeft w:val="0"/>
          <w:marRight w:val="0"/>
          <w:marTop w:val="0"/>
          <w:marBottom w:val="240"/>
          <w:divBdr>
            <w:top w:val="none" w:sz="0" w:space="0" w:color="auto"/>
            <w:left w:val="none" w:sz="0" w:space="0" w:color="auto"/>
            <w:bottom w:val="none" w:sz="0" w:space="0" w:color="auto"/>
            <w:right w:val="none" w:sz="0" w:space="0" w:color="auto"/>
          </w:divBdr>
        </w:div>
        <w:div w:id="1170415563">
          <w:marLeft w:val="0"/>
          <w:marRight w:val="0"/>
          <w:marTop w:val="0"/>
          <w:marBottom w:val="240"/>
          <w:divBdr>
            <w:top w:val="none" w:sz="0" w:space="0" w:color="auto"/>
            <w:left w:val="none" w:sz="0" w:space="0" w:color="auto"/>
            <w:bottom w:val="none" w:sz="0" w:space="0" w:color="auto"/>
            <w:right w:val="none" w:sz="0" w:space="0" w:color="auto"/>
          </w:divBdr>
        </w:div>
        <w:div w:id="940256346">
          <w:marLeft w:val="0"/>
          <w:marRight w:val="0"/>
          <w:marTop w:val="0"/>
          <w:marBottom w:val="240"/>
          <w:divBdr>
            <w:top w:val="none" w:sz="0" w:space="0" w:color="auto"/>
            <w:left w:val="none" w:sz="0" w:space="0" w:color="auto"/>
            <w:bottom w:val="none" w:sz="0" w:space="0" w:color="auto"/>
            <w:right w:val="none" w:sz="0" w:space="0" w:color="auto"/>
          </w:divBdr>
        </w:div>
        <w:div w:id="262425100">
          <w:marLeft w:val="0"/>
          <w:marRight w:val="0"/>
          <w:marTop w:val="0"/>
          <w:marBottom w:val="240"/>
          <w:divBdr>
            <w:top w:val="none" w:sz="0" w:space="0" w:color="auto"/>
            <w:left w:val="none" w:sz="0" w:space="0" w:color="auto"/>
            <w:bottom w:val="none" w:sz="0" w:space="0" w:color="auto"/>
            <w:right w:val="none" w:sz="0" w:space="0" w:color="auto"/>
          </w:divBdr>
        </w:div>
        <w:div w:id="1894462334">
          <w:marLeft w:val="0"/>
          <w:marRight w:val="0"/>
          <w:marTop w:val="0"/>
          <w:marBottom w:val="0"/>
          <w:divBdr>
            <w:top w:val="none" w:sz="0" w:space="0" w:color="auto"/>
            <w:left w:val="none" w:sz="0" w:space="0" w:color="auto"/>
            <w:bottom w:val="none" w:sz="0" w:space="0" w:color="auto"/>
            <w:right w:val="none" w:sz="0" w:space="0" w:color="auto"/>
          </w:divBdr>
          <w:divsChild>
            <w:div w:id="1273711364">
              <w:marLeft w:val="0"/>
              <w:marRight w:val="0"/>
              <w:marTop w:val="0"/>
              <w:marBottom w:val="0"/>
              <w:divBdr>
                <w:top w:val="none" w:sz="0" w:space="0" w:color="auto"/>
                <w:left w:val="none" w:sz="0" w:space="0" w:color="auto"/>
                <w:bottom w:val="none" w:sz="0" w:space="0" w:color="auto"/>
                <w:right w:val="none" w:sz="0" w:space="0" w:color="auto"/>
              </w:divBdr>
            </w:div>
          </w:divsChild>
        </w:div>
        <w:div w:id="1023048984">
          <w:marLeft w:val="0"/>
          <w:marRight w:val="0"/>
          <w:marTop w:val="0"/>
          <w:marBottom w:val="0"/>
          <w:divBdr>
            <w:top w:val="none" w:sz="0" w:space="0" w:color="auto"/>
            <w:left w:val="none" w:sz="0" w:space="0" w:color="auto"/>
            <w:bottom w:val="none" w:sz="0" w:space="0" w:color="auto"/>
            <w:right w:val="none" w:sz="0" w:space="0" w:color="auto"/>
          </w:divBdr>
          <w:divsChild>
            <w:div w:id="2059741679">
              <w:marLeft w:val="0"/>
              <w:marRight w:val="0"/>
              <w:marTop w:val="0"/>
              <w:marBottom w:val="0"/>
              <w:divBdr>
                <w:top w:val="none" w:sz="0" w:space="0" w:color="auto"/>
                <w:left w:val="none" w:sz="0" w:space="0" w:color="auto"/>
                <w:bottom w:val="none" w:sz="0" w:space="0" w:color="auto"/>
                <w:right w:val="none" w:sz="0" w:space="0" w:color="auto"/>
              </w:divBdr>
            </w:div>
          </w:divsChild>
        </w:div>
        <w:div w:id="489056588">
          <w:marLeft w:val="0"/>
          <w:marRight w:val="0"/>
          <w:marTop w:val="0"/>
          <w:marBottom w:val="0"/>
          <w:divBdr>
            <w:top w:val="none" w:sz="0" w:space="0" w:color="auto"/>
            <w:left w:val="none" w:sz="0" w:space="0" w:color="auto"/>
            <w:bottom w:val="none" w:sz="0" w:space="0" w:color="auto"/>
            <w:right w:val="none" w:sz="0" w:space="0" w:color="auto"/>
          </w:divBdr>
          <w:divsChild>
            <w:div w:id="758254063">
              <w:marLeft w:val="0"/>
              <w:marRight w:val="0"/>
              <w:marTop w:val="0"/>
              <w:marBottom w:val="0"/>
              <w:divBdr>
                <w:top w:val="none" w:sz="0" w:space="0" w:color="auto"/>
                <w:left w:val="none" w:sz="0" w:space="0" w:color="auto"/>
                <w:bottom w:val="none" w:sz="0" w:space="0" w:color="auto"/>
                <w:right w:val="none" w:sz="0" w:space="0" w:color="auto"/>
              </w:divBdr>
            </w:div>
          </w:divsChild>
        </w:div>
        <w:div w:id="576131731">
          <w:marLeft w:val="0"/>
          <w:marRight w:val="0"/>
          <w:marTop w:val="0"/>
          <w:marBottom w:val="0"/>
          <w:divBdr>
            <w:top w:val="none" w:sz="0" w:space="0" w:color="auto"/>
            <w:left w:val="none" w:sz="0" w:space="0" w:color="auto"/>
            <w:bottom w:val="none" w:sz="0" w:space="0" w:color="auto"/>
            <w:right w:val="none" w:sz="0" w:space="0" w:color="auto"/>
          </w:divBdr>
          <w:divsChild>
            <w:div w:id="527180139">
              <w:marLeft w:val="0"/>
              <w:marRight w:val="0"/>
              <w:marTop w:val="0"/>
              <w:marBottom w:val="0"/>
              <w:divBdr>
                <w:top w:val="none" w:sz="0" w:space="0" w:color="auto"/>
                <w:left w:val="none" w:sz="0" w:space="0" w:color="auto"/>
                <w:bottom w:val="none" w:sz="0" w:space="0" w:color="auto"/>
                <w:right w:val="none" w:sz="0" w:space="0" w:color="auto"/>
              </w:divBdr>
            </w:div>
          </w:divsChild>
        </w:div>
        <w:div w:id="1832789373">
          <w:marLeft w:val="0"/>
          <w:marRight w:val="0"/>
          <w:marTop w:val="0"/>
          <w:marBottom w:val="0"/>
          <w:divBdr>
            <w:top w:val="none" w:sz="0" w:space="0" w:color="auto"/>
            <w:left w:val="none" w:sz="0" w:space="0" w:color="auto"/>
            <w:bottom w:val="none" w:sz="0" w:space="0" w:color="auto"/>
            <w:right w:val="none" w:sz="0" w:space="0" w:color="auto"/>
          </w:divBdr>
          <w:divsChild>
            <w:div w:id="459692701">
              <w:marLeft w:val="0"/>
              <w:marRight w:val="0"/>
              <w:marTop w:val="0"/>
              <w:marBottom w:val="0"/>
              <w:divBdr>
                <w:top w:val="none" w:sz="0" w:space="0" w:color="auto"/>
                <w:left w:val="none" w:sz="0" w:space="0" w:color="auto"/>
                <w:bottom w:val="none" w:sz="0" w:space="0" w:color="auto"/>
                <w:right w:val="none" w:sz="0" w:space="0" w:color="auto"/>
              </w:divBdr>
            </w:div>
          </w:divsChild>
        </w:div>
        <w:div w:id="1352951223">
          <w:marLeft w:val="0"/>
          <w:marRight w:val="0"/>
          <w:marTop w:val="0"/>
          <w:marBottom w:val="0"/>
          <w:divBdr>
            <w:top w:val="none" w:sz="0" w:space="0" w:color="auto"/>
            <w:left w:val="none" w:sz="0" w:space="0" w:color="auto"/>
            <w:bottom w:val="none" w:sz="0" w:space="0" w:color="auto"/>
            <w:right w:val="none" w:sz="0" w:space="0" w:color="auto"/>
          </w:divBdr>
          <w:divsChild>
            <w:div w:id="765997251">
              <w:marLeft w:val="0"/>
              <w:marRight w:val="0"/>
              <w:marTop w:val="0"/>
              <w:marBottom w:val="0"/>
              <w:divBdr>
                <w:top w:val="none" w:sz="0" w:space="0" w:color="auto"/>
                <w:left w:val="none" w:sz="0" w:space="0" w:color="auto"/>
                <w:bottom w:val="none" w:sz="0" w:space="0" w:color="auto"/>
                <w:right w:val="none" w:sz="0" w:space="0" w:color="auto"/>
              </w:divBdr>
            </w:div>
          </w:divsChild>
        </w:div>
        <w:div w:id="2013294122">
          <w:marLeft w:val="0"/>
          <w:marRight w:val="0"/>
          <w:marTop w:val="0"/>
          <w:marBottom w:val="0"/>
          <w:divBdr>
            <w:top w:val="none" w:sz="0" w:space="0" w:color="auto"/>
            <w:left w:val="none" w:sz="0" w:space="0" w:color="auto"/>
            <w:bottom w:val="none" w:sz="0" w:space="0" w:color="auto"/>
            <w:right w:val="none" w:sz="0" w:space="0" w:color="auto"/>
          </w:divBdr>
          <w:divsChild>
            <w:div w:id="1241602261">
              <w:marLeft w:val="0"/>
              <w:marRight w:val="0"/>
              <w:marTop w:val="0"/>
              <w:marBottom w:val="0"/>
              <w:divBdr>
                <w:top w:val="none" w:sz="0" w:space="0" w:color="auto"/>
                <w:left w:val="none" w:sz="0" w:space="0" w:color="auto"/>
                <w:bottom w:val="none" w:sz="0" w:space="0" w:color="auto"/>
                <w:right w:val="none" w:sz="0" w:space="0" w:color="auto"/>
              </w:divBdr>
            </w:div>
          </w:divsChild>
        </w:div>
        <w:div w:id="1412501778">
          <w:marLeft w:val="0"/>
          <w:marRight w:val="0"/>
          <w:marTop w:val="0"/>
          <w:marBottom w:val="0"/>
          <w:divBdr>
            <w:top w:val="none" w:sz="0" w:space="0" w:color="auto"/>
            <w:left w:val="none" w:sz="0" w:space="0" w:color="auto"/>
            <w:bottom w:val="none" w:sz="0" w:space="0" w:color="auto"/>
            <w:right w:val="none" w:sz="0" w:space="0" w:color="auto"/>
          </w:divBdr>
          <w:divsChild>
            <w:div w:id="1993676437">
              <w:marLeft w:val="0"/>
              <w:marRight w:val="0"/>
              <w:marTop w:val="0"/>
              <w:marBottom w:val="0"/>
              <w:divBdr>
                <w:top w:val="none" w:sz="0" w:space="0" w:color="auto"/>
                <w:left w:val="none" w:sz="0" w:space="0" w:color="auto"/>
                <w:bottom w:val="none" w:sz="0" w:space="0" w:color="auto"/>
                <w:right w:val="none" w:sz="0" w:space="0" w:color="auto"/>
              </w:divBdr>
            </w:div>
          </w:divsChild>
        </w:div>
        <w:div w:id="1794053155">
          <w:marLeft w:val="0"/>
          <w:marRight w:val="0"/>
          <w:marTop w:val="0"/>
          <w:marBottom w:val="0"/>
          <w:divBdr>
            <w:top w:val="none" w:sz="0" w:space="0" w:color="auto"/>
            <w:left w:val="none" w:sz="0" w:space="0" w:color="auto"/>
            <w:bottom w:val="none" w:sz="0" w:space="0" w:color="auto"/>
            <w:right w:val="none" w:sz="0" w:space="0" w:color="auto"/>
          </w:divBdr>
          <w:divsChild>
            <w:div w:id="2137291093">
              <w:marLeft w:val="0"/>
              <w:marRight w:val="0"/>
              <w:marTop w:val="0"/>
              <w:marBottom w:val="0"/>
              <w:divBdr>
                <w:top w:val="none" w:sz="0" w:space="0" w:color="auto"/>
                <w:left w:val="none" w:sz="0" w:space="0" w:color="auto"/>
                <w:bottom w:val="none" w:sz="0" w:space="0" w:color="auto"/>
                <w:right w:val="none" w:sz="0" w:space="0" w:color="auto"/>
              </w:divBdr>
            </w:div>
          </w:divsChild>
        </w:div>
        <w:div w:id="1749112117">
          <w:marLeft w:val="0"/>
          <w:marRight w:val="0"/>
          <w:marTop w:val="0"/>
          <w:marBottom w:val="0"/>
          <w:divBdr>
            <w:top w:val="none" w:sz="0" w:space="0" w:color="auto"/>
            <w:left w:val="none" w:sz="0" w:space="0" w:color="auto"/>
            <w:bottom w:val="none" w:sz="0" w:space="0" w:color="auto"/>
            <w:right w:val="none" w:sz="0" w:space="0" w:color="auto"/>
          </w:divBdr>
          <w:divsChild>
            <w:div w:id="191578666">
              <w:marLeft w:val="0"/>
              <w:marRight w:val="0"/>
              <w:marTop w:val="0"/>
              <w:marBottom w:val="0"/>
              <w:divBdr>
                <w:top w:val="none" w:sz="0" w:space="0" w:color="auto"/>
                <w:left w:val="none" w:sz="0" w:space="0" w:color="auto"/>
                <w:bottom w:val="none" w:sz="0" w:space="0" w:color="auto"/>
                <w:right w:val="none" w:sz="0" w:space="0" w:color="auto"/>
              </w:divBdr>
            </w:div>
          </w:divsChild>
        </w:div>
        <w:div w:id="1333996693">
          <w:marLeft w:val="0"/>
          <w:marRight w:val="0"/>
          <w:marTop w:val="0"/>
          <w:marBottom w:val="0"/>
          <w:divBdr>
            <w:top w:val="none" w:sz="0" w:space="0" w:color="auto"/>
            <w:left w:val="none" w:sz="0" w:space="0" w:color="auto"/>
            <w:bottom w:val="none" w:sz="0" w:space="0" w:color="auto"/>
            <w:right w:val="none" w:sz="0" w:space="0" w:color="auto"/>
          </w:divBdr>
          <w:divsChild>
            <w:div w:id="2042583115">
              <w:marLeft w:val="0"/>
              <w:marRight w:val="0"/>
              <w:marTop w:val="0"/>
              <w:marBottom w:val="0"/>
              <w:divBdr>
                <w:top w:val="none" w:sz="0" w:space="0" w:color="auto"/>
                <w:left w:val="none" w:sz="0" w:space="0" w:color="auto"/>
                <w:bottom w:val="none" w:sz="0" w:space="0" w:color="auto"/>
                <w:right w:val="none" w:sz="0" w:space="0" w:color="auto"/>
              </w:divBdr>
            </w:div>
          </w:divsChild>
        </w:div>
        <w:div w:id="1744453479">
          <w:marLeft w:val="0"/>
          <w:marRight w:val="0"/>
          <w:marTop w:val="0"/>
          <w:marBottom w:val="0"/>
          <w:divBdr>
            <w:top w:val="none" w:sz="0" w:space="0" w:color="auto"/>
            <w:left w:val="none" w:sz="0" w:space="0" w:color="auto"/>
            <w:bottom w:val="none" w:sz="0" w:space="0" w:color="auto"/>
            <w:right w:val="none" w:sz="0" w:space="0" w:color="auto"/>
          </w:divBdr>
          <w:divsChild>
            <w:div w:id="1666934884">
              <w:marLeft w:val="0"/>
              <w:marRight w:val="0"/>
              <w:marTop w:val="0"/>
              <w:marBottom w:val="0"/>
              <w:divBdr>
                <w:top w:val="none" w:sz="0" w:space="0" w:color="auto"/>
                <w:left w:val="none" w:sz="0" w:space="0" w:color="auto"/>
                <w:bottom w:val="none" w:sz="0" w:space="0" w:color="auto"/>
                <w:right w:val="none" w:sz="0" w:space="0" w:color="auto"/>
              </w:divBdr>
            </w:div>
          </w:divsChild>
        </w:div>
        <w:div w:id="681318844">
          <w:marLeft w:val="0"/>
          <w:marRight w:val="0"/>
          <w:marTop w:val="0"/>
          <w:marBottom w:val="0"/>
          <w:divBdr>
            <w:top w:val="none" w:sz="0" w:space="0" w:color="auto"/>
            <w:left w:val="none" w:sz="0" w:space="0" w:color="auto"/>
            <w:bottom w:val="none" w:sz="0" w:space="0" w:color="auto"/>
            <w:right w:val="none" w:sz="0" w:space="0" w:color="auto"/>
          </w:divBdr>
          <w:divsChild>
            <w:div w:id="1967733735">
              <w:marLeft w:val="0"/>
              <w:marRight w:val="0"/>
              <w:marTop w:val="0"/>
              <w:marBottom w:val="0"/>
              <w:divBdr>
                <w:top w:val="none" w:sz="0" w:space="0" w:color="auto"/>
                <w:left w:val="none" w:sz="0" w:space="0" w:color="auto"/>
                <w:bottom w:val="none" w:sz="0" w:space="0" w:color="auto"/>
                <w:right w:val="none" w:sz="0" w:space="0" w:color="auto"/>
              </w:divBdr>
            </w:div>
          </w:divsChild>
        </w:div>
        <w:div w:id="1932424428">
          <w:marLeft w:val="0"/>
          <w:marRight w:val="0"/>
          <w:marTop w:val="0"/>
          <w:marBottom w:val="0"/>
          <w:divBdr>
            <w:top w:val="none" w:sz="0" w:space="0" w:color="auto"/>
            <w:left w:val="none" w:sz="0" w:space="0" w:color="auto"/>
            <w:bottom w:val="none" w:sz="0" w:space="0" w:color="auto"/>
            <w:right w:val="none" w:sz="0" w:space="0" w:color="auto"/>
          </w:divBdr>
          <w:divsChild>
            <w:div w:id="1265725447">
              <w:marLeft w:val="0"/>
              <w:marRight w:val="0"/>
              <w:marTop w:val="0"/>
              <w:marBottom w:val="0"/>
              <w:divBdr>
                <w:top w:val="none" w:sz="0" w:space="0" w:color="auto"/>
                <w:left w:val="none" w:sz="0" w:space="0" w:color="auto"/>
                <w:bottom w:val="none" w:sz="0" w:space="0" w:color="auto"/>
                <w:right w:val="none" w:sz="0" w:space="0" w:color="auto"/>
              </w:divBdr>
            </w:div>
          </w:divsChild>
        </w:div>
        <w:div w:id="1775251220">
          <w:marLeft w:val="0"/>
          <w:marRight w:val="0"/>
          <w:marTop w:val="0"/>
          <w:marBottom w:val="0"/>
          <w:divBdr>
            <w:top w:val="none" w:sz="0" w:space="0" w:color="auto"/>
            <w:left w:val="none" w:sz="0" w:space="0" w:color="auto"/>
            <w:bottom w:val="none" w:sz="0" w:space="0" w:color="auto"/>
            <w:right w:val="none" w:sz="0" w:space="0" w:color="auto"/>
          </w:divBdr>
          <w:divsChild>
            <w:div w:id="519928666">
              <w:marLeft w:val="0"/>
              <w:marRight w:val="0"/>
              <w:marTop w:val="0"/>
              <w:marBottom w:val="0"/>
              <w:divBdr>
                <w:top w:val="none" w:sz="0" w:space="0" w:color="auto"/>
                <w:left w:val="none" w:sz="0" w:space="0" w:color="auto"/>
                <w:bottom w:val="none" w:sz="0" w:space="0" w:color="auto"/>
                <w:right w:val="none" w:sz="0" w:space="0" w:color="auto"/>
              </w:divBdr>
            </w:div>
          </w:divsChild>
        </w:div>
        <w:div w:id="1235698050">
          <w:marLeft w:val="0"/>
          <w:marRight w:val="0"/>
          <w:marTop w:val="0"/>
          <w:marBottom w:val="0"/>
          <w:divBdr>
            <w:top w:val="none" w:sz="0" w:space="0" w:color="auto"/>
            <w:left w:val="none" w:sz="0" w:space="0" w:color="auto"/>
            <w:bottom w:val="none" w:sz="0" w:space="0" w:color="auto"/>
            <w:right w:val="none" w:sz="0" w:space="0" w:color="auto"/>
          </w:divBdr>
          <w:divsChild>
            <w:div w:id="723717556">
              <w:marLeft w:val="0"/>
              <w:marRight w:val="0"/>
              <w:marTop w:val="0"/>
              <w:marBottom w:val="0"/>
              <w:divBdr>
                <w:top w:val="none" w:sz="0" w:space="0" w:color="auto"/>
                <w:left w:val="none" w:sz="0" w:space="0" w:color="auto"/>
                <w:bottom w:val="none" w:sz="0" w:space="0" w:color="auto"/>
                <w:right w:val="none" w:sz="0" w:space="0" w:color="auto"/>
              </w:divBdr>
            </w:div>
          </w:divsChild>
        </w:div>
        <w:div w:id="597056628">
          <w:marLeft w:val="0"/>
          <w:marRight w:val="0"/>
          <w:marTop w:val="0"/>
          <w:marBottom w:val="0"/>
          <w:divBdr>
            <w:top w:val="none" w:sz="0" w:space="0" w:color="auto"/>
            <w:left w:val="none" w:sz="0" w:space="0" w:color="auto"/>
            <w:bottom w:val="none" w:sz="0" w:space="0" w:color="auto"/>
            <w:right w:val="none" w:sz="0" w:space="0" w:color="auto"/>
          </w:divBdr>
          <w:divsChild>
            <w:div w:id="1180775412">
              <w:marLeft w:val="0"/>
              <w:marRight w:val="0"/>
              <w:marTop w:val="0"/>
              <w:marBottom w:val="0"/>
              <w:divBdr>
                <w:top w:val="none" w:sz="0" w:space="0" w:color="auto"/>
                <w:left w:val="none" w:sz="0" w:space="0" w:color="auto"/>
                <w:bottom w:val="none" w:sz="0" w:space="0" w:color="auto"/>
                <w:right w:val="none" w:sz="0" w:space="0" w:color="auto"/>
              </w:divBdr>
            </w:div>
          </w:divsChild>
        </w:div>
        <w:div w:id="1325478353">
          <w:marLeft w:val="0"/>
          <w:marRight w:val="0"/>
          <w:marTop w:val="0"/>
          <w:marBottom w:val="0"/>
          <w:divBdr>
            <w:top w:val="none" w:sz="0" w:space="0" w:color="auto"/>
            <w:left w:val="none" w:sz="0" w:space="0" w:color="auto"/>
            <w:bottom w:val="none" w:sz="0" w:space="0" w:color="auto"/>
            <w:right w:val="none" w:sz="0" w:space="0" w:color="auto"/>
          </w:divBdr>
          <w:divsChild>
            <w:div w:id="65156081">
              <w:marLeft w:val="0"/>
              <w:marRight w:val="0"/>
              <w:marTop w:val="0"/>
              <w:marBottom w:val="0"/>
              <w:divBdr>
                <w:top w:val="none" w:sz="0" w:space="0" w:color="auto"/>
                <w:left w:val="none" w:sz="0" w:space="0" w:color="auto"/>
                <w:bottom w:val="none" w:sz="0" w:space="0" w:color="auto"/>
                <w:right w:val="none" w:sz="0" w:space="0" w:color="auto"/>
              </w:divBdr>
            </w:div>
          </w:divsChild>
        </w:div>
        <w:div w:id="733508548">
          <w:marLeft w:val="0"/>
          <w:marRight w:val="0"/>
          <w:marTop w:val="0"/>
          <w:marBottom w:val="0"/>
          <w:divBdr>
            <w:top w:val="none" w:sz="0" w:space="0" w:color="auto"/>
            <w:left w:val="none" w:sz="0" w:space="0" w:color="auto"/>
            <w:bottom w:val="none" w:sz="0" w:space="0" w:color="auto"/>
            <w:right w:val="none" w:sz="0" w:space="0" w:color="auto"/>
          </w:divBdr>
          <w:divsChild>
            <w:div w:id="1053584322">
              <w:marLeft w:val="0"/>
              <w:marRight w:val="0"/>
              <w:marTop w:val="0"/>
              <w:marBottom w:val="0"/>
              <w:divBdr>
                <w:top w:val="none" w:sz="0" w:space="0" w:color="auto"/>
                <w:left w:val="none" w:sz="0" w:space="0" w:color="auto"/>
                <w:bottom w:val="none" w:sz="0" w:space="0" w:color="auto"/>
                <w:right w:val="none" w:sz="0" w:space="0" w:color="auto"/>
              </w:divBdr>
            </w:div>
          </w:divsChild>
        </w:div>
        <w:div w:id="959533652">
          <w:marLeft w:val="0"/>
          <w:marRight w:val="0"/>
          <w:marTop w:val="0"/>
          <w:marBottom w:val="0"/>
          <w:divBdr>
            <w:top w:val="none" w:sz="0" w:space="0" w:color="auto"/>
            <w:left w:val="none" w:sz="0" w:space="0" w:color="auto"/>
            <w:bottom w:val="none" w:sz="0" w:space="0" w:color="auto"/>
            <w:right w:val="none" w:sz="0" w:space="0" w:color="auto"/>
          </w:divBdr>
          <w:divsChild>
            <w:div w:id="1201824866">
              <w:marLeft w:val="0"/>
              <w:marRight w:val="0"/>
              <w:marTop w:val="0"/>
              <w:marBottom w:val="0"/>
              <w:divBdr>
                <w:top w:val="none" w:sz="0" w:space="0" w:color="auto"/>
                <w:left w:val="none" w:sz="0" w:space="0" w:color="auto"/>
                <w:bottom w:val="none" w:sz="0" w:space="0" w:color="auto"/>
                <w:right w:val="none" w:sz="0" w:space="0" w:color="auto"/>
              </w:divBdr>
            </w:div>
          </w:divsChild>
        </w:div>
        <w:div w:id="1186215183">
          <w:marLeft w:val="0"/>
          <w:marRight w:val="0"/>
          <w:marTop w:val="0"/>
          <w:marBottom w:val="0"/>
          <w:divBdr>
            <w:top w:val="none" w:sz="0" w:space="0" w:color="auto"/>
            <w:left w:val="none" w:sz="0" w:space="0" w:color="auto"/>
            <w:bottom w:val="none" w:sz="0" w:space="0" w:color="auto"/>
            <w:right w:val="none" w:sz="0" w:space="0" w:color="auto"/>
          </w:divBdr>
          <w:divsChild>
            <w:div w:id="2018144696">
              <w:marLeft w:val="0"/>
              <w:marRight w:val="0"/>
              <w:marTop w:val="0"/>
              <w:marBottom w:val="0"/>
              <w:divBdr>
                <w:top w:val="none" w:sz="0" w:space="0" w:color="auto"/>
                <w:left w:val="none" w:sz="0" w:space="0" w:color="auto"/>
                <w:bottom w:val="none" w:sz="0" w:space="0" w:color="auto"/>
                <w:right w:val="none" w:sz="0" w:space="0" w:color="auto"/>
              </w:divBdr>
            </w:div>
          </w:divsChild>
        </w:div>
        <w:div w:id="1473475714">
          <w:marLeft w:val="0"/>
          <w:marRight w:val="0"/>
          <w:marTop w:val="0"/>
          <w:marBottom w:val="0"/>
          <w:divBdr>
            <w:top w:val="none" w:sz="0" w:space="0" w:color="auto"/>
            <w:left w:val="none" w:sz="0" w:space="0" w:color="auto"/>
            <w:bottom w:val="none" w:sz="0" w:space="0" w:color="auto"/>
            <w:right w:val="none" w:sz="0" w:space="0" w:color="auto"/>
          </w:divBdr>
          <w:divsChild>
            <w:div w:id="237441901">
              <w:marLeft w:val="0"/>
              <w:marRight w:val="0"/>
              <w:marTop w:val="0"/>
              <w:marBottom w:val="0"/>
              <w:divBdr>
                <w:top w:val="none" w:sz="0" w:space="0" w:color="auto"/>
                <w:left w:val="none" w:sz="0" w:space="0" w:color="auto"/>
                <w:bottom w:val="none" w:sz="0" w:space="0" w:color="auto"/>
                <w:right w:val="none" w:sz="0" w:space="0" w:color="auto"/>
              </w:divBdr>
            </w:div>
          </w:divsChild>
        </w:div>
        <w:div w:id="111294485">
          <w:marLeft w:val="0"/>
          <w:marRight w:val="0"/>
          <w:marTop w:val="0"/>
          <w:marBottom w:val="0"/>
          <w:divBdr>
            <w:top w:val="none" w:sz="0" w:space="0" w:color="auto"/>
            <w:left w:val="none" w:sz="0" w:space="0" w:color="auto"/>
            <w:bottom w:val="none" w:sz="0" w:space="0" w:color="auto"/>
            <w:right w:val="none" w:sz="0" w:space="0" w:color="auto"/>
          </w:divBdr>
          <w:divsChild>
            <w:div w:id="1226837467">
              <w:marLeft w:val="0"/>
              <w:marRight w:val="0"/>
              <w:marTop w:val="0"/>
              <w:marBottom w:val="0"/>
              <w:divBdr>
                <w:top w:val="none" w:sz="0" w:space="0" w:color="auto"/>
                <w:left w:val="none" w:sz="0" w:space="0" w:color="auto"/>
                <w:bottom w:val="none" w:sz="0" w:space="0" w:color="auto"/>
                <w:right w:val="none" w:sz="0" w:space="0" w:color="auto"/>
              </w:divBdr>
            </w:div>
          </w:divsChild>
        </w:div>
        <w:div w:id="392193011">
          <w:marLeft w:val="0"/>
          <w:marRight w:val="0"/>
          <w:marTop w:val="0"/>
          <w:marBottom w:val="0"/>
          <w:divBdr>
            <w:top w:val="none" w:sz="0" w:space="0" w:color="auto"/>
            <w:left w:val="none" w:sz="0" w:space="0" w:color="auto"/>
            <w:bottom w:val="none" w:sz="0" w:space="0" w:color="auto"/>
            <w:right w:val="none" w:sz="0" w:space="0" w:color="auto"/>
          </w:divBdr>
          <w:divsChild>
            <w:div w:id="461004403">
              <w:marLeft w:val="0"/>
              <w:marRight w:val="0"/>
              <w:marTop w:val="0"/>
              <w:marBottom w:val="0"/>
              <w:divBdr>
                <w:top w:val="none" w:sz="0" w:space="0" w:color="auto"/>
                <w:left w:val="none" w:sz="0" w:space="0" w:color="auto"/>
                <w:bottom w:val="none" w:sz="0" w:space="0" w:color="auto"/>
                <w:right w:val="none" w:sz="0" w:space="0" w:color="auto"/>
              </w:divBdr>
            </w:div>
          </w:divsChild>
        </w:div>
        <w:div w:id="699546453">
          <w:marLeft w:val="0"/>
          <w:marRight w:val="0"/>
          <w:marTop w:val="0"/>
          <w:marBottom w:val="0"/>
          <w:divBdr>
            <w:top w:val="none" w:sz="0" w:space="0" w:color="auto"/>
            <w:left w:val="none" w:sz="0" w:space="0" w:color="auto"/>
            <w:bottom w:val="none" w:sz="0" w:space="0" w:color="auto"/>
            <w:right w:val="none" w:sz="0" w:space="0" w:color="auto"/>
          </w:divBdr>
          <w:divsChild>
            <w:div w:id="2007130760">
              <w:marLeft w:val="0"/>
              <w:marRight w:val="0"/>
              <w:marTop w:val="0"/>
              <w:marBottom w:val="0"/>
              <w:divBdr>
                <w:top w:val="none" w:sz="0" w:space="0" w:color="auto"/>
                <w:left w:val="none" w:sz="0" w:space="0" w:color="auto"/>
                <w:bottom w:val="none" w:sz="0" w:space="0" w:color="auto"/>
                <w:right w:val="none" w:sz="0" w:space="0" w:color="auto"/>
              </w:divBdr>
            </w:div>
          </w:divsChild>
        </w:div>
        <w:div w:id="1039624111">
          <w:marLeft w:val="0"/>
          <w:marRight w:val="0"/>
          <w:marTop w:val="0"/>
          <w:marBottom w:val="0"/>
          <w:divBdr>
            <w:top w:val="none" w:sz="0" w:space="0" w:color="auto"/>
            <w:left w:val="none" w:sz="0" w:space="0" w:color="auto"/>
            <w:bottom w:val="none" w:sz="0" w:space="0" w:color="auto"/>
            <w:right w:val="none" w:sz="0" w:space="0" w:color="auto"/>
          </w:divBdr>
          <w:divsChild>
            <w:div w:id="1465612475">
              <w:marLeft w:val="0"/>
              <w:marRight w:val="0"/>
              <w:marTop w:val="0"/>
              <w:marBottom w:val="0"/>
              <w:divBdr>
                <w:top w:val="none" w:sz="0" w:space="0" w:color="auto"/>
                <w:left w:val="none" w:sz="0" w:space="0" w:color="auto"/>
                <w:bottom w:val="none" w:sz="0" w:space="0" w:color="auto"/>
                <w:right w:val="none" w:sz="0" w:space="0" w:color="auto"/>
              </w:divBdr>
            </w:div>
          </w:divsChild>
        </w:div>
        <w:div w:id="1145972119">
          <w:marLeft w:val="0"/>
          <w:marRight w:val="0"/>
          <w:marTop w:val="0"/>
          <w:marBottom w:val="0"/>
          <w:divBdr>
            <w:top w:val="none" w:sz="0" w:space="0" w:color="auto"/>
            <w:left w:val="none" w:sz="0" w:space="0" w:color="auto"/>
            <w:bottom w:val="none" w:sz="0" w:space="0" w:color="auto"/>
            <w:right w:val="none" w:sz="0" w:space="0" w:color="auto"/>
          </w:divBdr>
          <w:divsChild>
            <w:div w:id="1089160766">
              <w:marLeft w:val="0"/>
              <w:marRight w:val="0"/>
              <w:marTop w:val="0"/>
              <w:marBottom w:val="0"/>
              <w:divBdr>
                <w:top w:val="none" w:sz="0" w:space="0" w:color="auto"/>
                <w:left w:val="none" w:sz="0" w:space="0" w:color="auto"/>
                <w:bottom w:val="none" w:sz="0" w:space="0" w:color="auto"/>
                <w:right w:val="none" w:sz="0" w:space="0" w:color="auto"/>
              </w:divBdr>
            </w:div>
          </w:divsChild>
        </w:div>
        <w:div w:id="393743075">
          <w:marLeft w:val="0"/>
          <w:marRight w:val="0"/>
          <w:marTop w:val="0"/>
          <w:marBottom w:val="0"/>
          <w:divBdr>
            <w:top w:val="none" w:sz="0" w:space="0" w:color="auto"/>
            <w:left w:val="none" w:sz="0" w:space="0" w:color="auto"/>
            <w:bottom w:val="none" w:sz="0" w:space="0" w:color="auto"/>
            <w:right w:val="none" w:sz="0" w:space="0" w:color="auto"/>
          </w:divBdr>
          <w:divsChild>
            <w:div w:id="872302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1434743">
      <w:bodyDiv w:val="1"/>
      <w:marLeft w:val="0"/>
      <w:marRight w:val="0"/>
      <w:marTop w:val="0"/>
      <w:marBottom w:val="0"/>
      <w:divBdr>
        <w:top w:val="none" w:sz="0" w:space="0" w:color="auto"/>
        <w:left w:val="none" w:sz="0" w:space="0" w:color="auto"/>
        <w:bottom w:val="none" w:sz="0" w:space="0" w:color="auto"/>
        <w:right w:val="none" w:sz="0" w:space="0" w:color="auto"/>
      </w:divBdr>
    </w:div>
    <w:div w:id="862400842">
      <w:bodyDiv w:val="1"/>
      <w:marLeft w:val="0"/>
      <w:marRight w:val="0"/>
      <w:marTop w:val="0"/>
      <w:marBottom w:val="0"/>
      <w:divBdr>
        <w:top w:val="none" w:sz="0" w:space="0" w:color="auto"/>
        <w:left w:val="none" w:sz="0" w:space="0" w:color="auto"/>
        <w:bottom w:val="none" w:sz="0" w:space="0" w:color="auto"/>
        <w:right w:val="none" w:sz="0" w:space="0" w:color="auto"/>
      </w:divBdr>
    </w:div>
    <w:div w:id="866257492">
      <w:bodyDiv w:val="1"/>
      <w:marLeft w:val="0"/>
      <w:marRight w:val="0"/>
      <w:marTop w:val="0"/>
      <w:marBottom w:val="0"/>
      <w:divBdr>
        <w:top w:val="none" w:sz="0" w:space="0" w:color="auto"/>
        <w:left w:val="none" w:sz="0" w:space="0" w:color="auto"/>
        <w:bottom w:val="none" w:sz="0" w:space="0" w:color="auto"/>
        <w:right w:val="none" w:sz="0" w:space="0" w:color="auto"/>
      </w:divBdr>
      <w:divsChild>
        <w:div w:id="1293055200">
          <w:marLeft w:val="0"/>
          <w:marRight w:val="0"/>
          <w:marTop w:val="0"/>
          <w:marBottom w:val="0"/>
          <w:divBdr>
            <w:top w:val="none" w:sz="0" w:space="0" w:color="auto"/>
            <w:left w:val="none" w:sz="0" w:space="0" w:color="auto"/>
            <w:bottom w:val="none" w:sz="0" w:space="0" w:color="auto"/>
            <w:right w:val="none" w:sz="0" w:space="0" w:color="auto"/>
          </w:divBdr>
          <w:divsChild>
            <w:div w:id="402142177">
              <w:marLeft w:val="0"/>
              <w:marRight w:val="0"/>
              <w:marTop w:val="0"/>
              <w:marBottom w:val="0"/>
              <w:divBdr>
                <w:top w:val="none" w:sz="0" w:space="0" w:color="auto"/>
                <w:left w:val="none" w:sz="0" w:space="0" w:color="auto"/>
                <w:bottom w:val="none" w:sz="0" w:space="0" w:color="auto"/>
                <w:right w:val="none" w:sz="0" w:space="0" w:color="auto"/>
              </w:divBdr>
              <w:divsChild>
                <w:div w:id="481699456">
                  <w:marLeft w:val="0"/>
                  <w:marRight w:val="0"/>
                  <w:marTop w:val="0"/>
                  <w:marBottom w:val="0"/>
                  <w:divBdr>
                    <w:top w:val="none" w:sz="0" w:space="0" w:color="auto"/>
                    <w:left w:val="none" w:sz="0" w:space="0" w:color="auto"/>
                    <w:bottom w:val="none" w:sz="0" w:space="0" w:color="auto"/>
                    <w:right w:val="none" w:sz="0" w:space="0" w:color="auto"/>
                  </w:divBdr>
                  <w:divsChild>
                    <w:div w:id="470291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9442521">
          <w:marLeft w:val="0"/>
          <w:marRight w:val="0"/>
          <w:marTop w:val="0"/>
          <w:marBottom w:val="0"/>
          <w:divBdr>
            <w:top w:val="none" w:sz="0" w:space="0" w:color="auto"/>
            <w:left w:val="none" w:sz="0" w:space="0" w:color="auto"/>
            <w:bottom w:val="none" w:sz="0" w:space="0" w:color="auto"/>
            <w:right w:val="none" w:sz="0" w:space="0" w:color="auto"/>
          </w:divBdr>
        </w:div>
        <w:div w:id="2082174385">
          <w:marLeft w:val="0"/>
          <w:marRight w:val="0"/>
          <w:marTop w:val="0"/>
          <w:marBottom w:val="0"/>
          <w:divBdr>
            <w:top w:val="none" w:sz="0" w:space="0" w:color="auto"/>
            <w:left w:val="none" w:sz="0" w:space="0" w:color="auto"/>
            <w:bottom w:val="none" w:sz="0" w:space="0" w:color="auto"/>
            <w:right w:val="none" w:sz="0" w:space="0" w:color="auto"/>
          </w:divBdr>
          <w:divsChild>
            <w:div w:id="1696804269">
              <w:marLeft w:val="0"/>
              <w:marRight w:val="0"/>
              <w:marTop w:val="0"/>
              <w:marBottom w:val="0"/>
              <w:divBdr>
                <w:top w:val="none" w:sz="0" w:space="0" w:color="auto"/>
                <w:left w:val="none" w:sz="0" w:space="0" w:color="auto"/>
                <w:bottom w:val="none" w:sz="0" w:space="0" w:color="auto"/>
                <w:right w:val="none" w:sz="0" w:space="0" w:color="auto"/>
              </w:divBdr>
              <w:divsChild>
                <w:div w:id="1938781099">
                  <w:marLeft w:val="0"/>
                  <w:marRight w:val="0"/>
                  <w:marTop w:val="0"/>
                  <w:marBottom w:val="0"/>
                  <w:divBdr>
                    <w:top w:val="none" w:sz="0" w:space="0" w:color="auto"/>
                    <w:left w:val="none" w:sz="0" w:space="0" w:color="auto"/>
                    <w:bottom w:val="none" w:sz="0" w:space="0" w:color="auto"/>
                    <w:right w:val="none" w:sz="0" w:space="0" w:color="auto"/>
                  </w:divBdr>
                </w:div>
                <w:div w:id="40908590">
                  <w:marLeft w:val="0"/>
                  <w:marRight w:val="0"/>
                  <w:marTop w:val="0"/>
                  <w:marBottom w:val="0"/>
                  <w:divBdr>
                    <w:top w:val="none" w:sz="0" w:space="0" w:color="auto"/>
                    <w:left w:val="none" w:sz="0" w:space="0" w:color="auto"/>
                    <w:bottom w:val="none" w:sz="0" w:space="0" w:color="auto"/>
                    <w:right w:val="none" w:sz="0" w:space="0" w:color="auto"/>
                  </w:divBdr>
                </w:div>
                <w:div w:id="545413735">
                  <w:marLeft w:val="0"/>
                  <w:marRight w:val="0"/>
                  <w:marTop w:val="0"/>
                  <w:marBottom w:val="0"/>
                  <w:divBdr>
                    <w:top w:val="none" w:sz="0" w:space="0" w:color="auto"/>
                    <w:left w:val="none" w:sz="0" w:space="0" w:color="auto"/>
                    <w:bottom w:val="none" w:sz="0" w:space="0" w:color="auto"/>
                    <w:right w:val="none" w:sz="0" w:space="0" w:color="auto"/>
                  </w:divBdr>
                  <w:divsChild>
                    <w:div w:id="2124420589">
                      <w:marLeft w:val="0"/>
                      <w:marRight w:val="0"/>
                      <w:marTop w:val="0"/>
                      <w:marBottom w:val="0"/>
                      <w:divBdr>
                        <w:top w:val="none" w:sz="0" w:space="0" w:color="auto"/>
                        <w:left w:val="none" w:sz="0" w:space="0" w:color="auto"/>
                        <w:bottom w:val="none" w:sz="0" w:space="0" w:color="auto"/>
                        <w:right w:val="none" w:sz="0" w:space="0" w:color="auto"/>
                      </w:divBdr>
                    </w:div>
                  </w:divsChild>
                </w:div>
                <w:div w:id="1891383109">
                  <w:marLeft w:val="0"/>
                  <w:marRight w:val="0"/>
                  <w:marTop w:val="0"/>
                  <w:marBottom w:val="0"/>
                  <w:divBdr>
                    <w:top w:val="none" w:sz="0" w:space="0" w:color="auto"/>
                    <w:left w:val="none" w:sz="0" w:space="0" w:color="auto"/>
                    <w:bottom w:val="none" w:sz="0" w:space="0" w:color="auto"/>
                    <w:right w:val="none" w:sz="0" w:space="0" w:color="auto"/>
                  </w:divBdr>
                  <w:divsChild>
                    <w:div w:id="1368142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6534359">
              <w:marLeft w:val="0"/>
              <w:marRight w:val="0"/>
              <w:marTop w:val="0"/>
              <w:marBottom w:val="0"/>
              <w:divBdr>
                <w:top w:val="none" w:sz="0" w:space="0" w:color="auto"/>
                <w:left w:val="none" w:sz="0" w:space="0" w:color="auto"/>
                <w:bottom w:val="none" w:sz="0" w:space="0" w:color="auto"/>
                <w:right w:val="none" w:sz="0" w:space="0" w:color="auto"/>
              </w:divBdr>
              <w:divsChild>
                <w:div w:id="1786926359">
                  <w:marLeft w:val="0"/>
                  <w:marRight w:val="0"/>
                  <w:marTop w:val="0"/>
                  <w:marBottom w:val="0"/>
                  <w:divBdr>
                    <w:top w:val="none" w:sz="0" w:space="0" w:color="auto"/>
                    <w:left w:val="none" w:sz="0" w:space="0" w:color="auto"/>
                    <w:bottom w:val="none" w:sz="0" w:space="0" w:color="auto"/>
                    <w:right w:val="none" w:sz="0" w:space="0" w:color="auto"/>
                  </w:divBdr>
                </w:div>
                <w:div w:id="1645310232">
                  <w:marLeft w:val="0"/>
                  <w:marRight w:val="0"/>
                  <w:marTop w:val="0"/>
                  <w:marBottom w:val="0"/>
                  <w:divBdr>
                    <w:top w:val="none" w:sz="0" w:space="0" w:color="auto"/>
                    <w:left w:val="none" w:sz="0" w:space="0" w:color="auto"/>
                    <w:bottom w:val="none" w:sz="0" w:space="0" w:color="auto"/>
                    <w:right w:val="none" w:sz="0" w:space="0" w:color="auto"/>
                  </w:divBdr>
                </w:div>
                <w:div w:id="1330207459">
                  <w:marLeft w:val="0"/>
                  <w:marRight w:val="0"/>
                  <w:marTop w:val="0"/>
                  <w:marBottom w:val="0"/>
                  <w:divBdr>
                    <w:top w:val="none" w:sz="0" w:space="0" w:color="auto"/>
                    <w:left w:val="none" w:sz="0" w:space="0" w:color="auto"/>
                    <w:bottom w:val="none" w:sz="0" w:space="0" w:color="auto"/>
                    <w:right w:val="none" w:sz="0" w:space="0" w:color="auto"/>
                  </w:divBdr>
                </w:div>
                <w:div w:id="1232811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5049373">
      <w:bodyDiv w:val="1"/>
      <w:marLeft w:val="0"/>
      <w:marRight w:val="0"/>
      <w:marTop w:val="0"/>
      <w:marBottom w:val="0"/>
      <w:divBdr>
        <w:top w:val="none" w:sz="0" w:space="0" w:color="auto"/>
        <w:left w:val="none" w:sz="0" w:space="0" w:color="auto"/>
        <w:bottom w:val="none" w:sz="0" w:space="0" w:color="auto"/>
        <w:right w:val="none" w:sz="0" w:space="0" w:color="auto"/>
      </w:divBdr>
    </w:div>
    <w:div w:id="889000338">
      <w:bodyDiv w:val="1"/>
      <w:marLeft w:val="0"/>
      <w:marRight w:val="0"/>
      <w:marTop w:val="0"/>
      <w:marBottom w:val="0"/>
      <w:divBdr>
        <w:top w:val="none" w:sz="0" w:space="0" w:color="auto"/>
        <w:left w:val="none" w:sz="0" w:space="0" w:color="auto"/>
        <w:bottom w:val="none" w:sz="0" w:space="0" w:color="auto"/>
        <w:right w:val="none" w:sz="0" w:space="0" w:color="auto"/>
      </w:divBdr>
      <w:divsChild>
        <w:div w:id="270666993">
          <w:marLeft w:val="0"/>
          <w:marRight w:val="0"/>
          <w:marTop w:val="0"/>
          <w:marBottom w:val="0"/>
          <w:divBdr>
            <w:top w:val="none" w:sz="0" w:space="0" w:color="auto"/>
            <w:left w:val="none" w:sz="0" w:space="0" w:color="auto"/>
            <w:bottom w:val="none" w:sz="0" w:space="0" w:color="auto"/>
            <w:right w:val="none" w:sz="0" w:space="0" w:color="auto"/>
          </w:divBdr>
          <w:divsChild>
            <w:div w:id="287007077">
              <w:marLeft w:val="0"/>
              <w:marRight w:val="0"/>
              <w:marTop w:val="0"/>
              <w:marBottom w:val="0"/>
              <w:divBdr>
                <w:top w:val="none" w:sz="0" w:space="0" w:color="auto"/>
                <w:left w:val="none" w:sz="0" w:space="0" w:color="auto"/>
                <w:bottom w:val="none" w:sz="0" w:space="0" w:color="auto"/>
                <w:right w:val="none" w:sz="0" w:space="0" w:color="auto"/>
              </w:divBdr>
            </w:div>
            <w:div w:id="2036880586">
              <w:marLeft w:val="0"/>
              <w:marRight w:val="0"/>
              <w:marTop w:val="0"/>
              <w:marBottom w:val="0"/>
              <w:divBdr>
                <w:top w:val="none" w:sz="0" w:space="0" w:color="auto"/>
                <w:left w:val="none" w:sz="0" w:space="0" w:color="auto"/>
                <w:bottom w:val="none" w:sz="0" w:space="0" w:color="auto"/>
                <w:right w:val="none" w:sz="0" w:space="0" w:color="auto"/>
              </w:divBdr>
            </w:div>
            <w:div w:id="1711105298">
              <w:marLeft w:val="0"/>
              <w:marRight w:val="0"/>
              <w:marTop w:val="0"/>
              <w:marBottom w:val="0"/>
              <w:divBdr>
                <w:top w:val="none" w:sz="0" w:space="0" w:color="auto"/>
                <w:left w:val="none" w:sz="0" w:space="0" w:color="auto"/>
                <w:bottom w:val="none" w:sz="0" w:space="0" w:color="auto"/>
                <w:right w:val="none" w:sz="0" w:space="0" w:color="auto"/>
              </w:divBdr>
            </w:div>
            <w:div w:id="328486431">
              <w:marLeft w:val="0"/>
              <w:marRight w:val="0"/>
              <w:marTop w:val="0"/>
              <w:marBottom w:val="0"/>
              <w:divBdr>
                <w:top w:val="none" w:sz="0" w:space="0" w:color="auto"/>
                <w:left w:val="none" w:sz="0" w:space="0" w:color="auto"/>
                <w:bottom w:val="none" w:sz="0" w:space="0" w:color="auto"/>
                <w:right w:val="none" w:sz="0" w:space="0" w:color="auto"/>
              </w:divBdr>
            </w:div>
            <w:div w:id="1226254539">
              <w:marLeft w:val="0"/>
              <w:marRight w:val="0"/>
              <w:marTop w:val="0"/>
              <w:marBottom w:val="0"/>
              <w:divBdr>
                <w:top w:val="none" w:sz="0" w:space="0" w:color="auto"/>
                <w:left w:val="none" w:sz="0" w:space="0" w:color="auto"/>
                <w:bottom w:val="none" w:sz="0" w:space="0" w:color="auto"/>
                <w:right w:val="none" w:sz="0" w:space="0" w:color="auto"/>
              </w:divBdr>
              <w:divsChild>
                <w:div w:id="409037003">
                  <w:marLeft w:val="0"/>
                  <w:marRight w:val="0"/>
                  <w:marTop w:val="0"/>
                  <w:marBottom w:val="0"/>
                  <w:divBdr>
                    <w:top w:val="none" w:sz="0" w:space="0" w:color="auto"/>
                    <w:left w:val="none" w:sz="0" w:space="0" w:color="auto"/>
                    <w:bottom w:val="none" w:sz="0" w:space="0" w:color="auto"/>
                    <w:right w:val="none" w:sz="0" w:space="0" w:color="auto"/>
                  </w:divBdr>
                  <w:divsChild>
                    <w:div w:id="520163556">
                      <w:marLeft w:val="0"/>
                      <w:marRight w:val="0"/>
                      <w:marTop w:val="0"/>
                      <w:marBottom w:val="0"/>
                      <w:divBdr>
                        <w:top w:val="none" w:sz="0" w:space="0" w:color="auto"/>
                        <w:left w:val="none" w:sz="0" w:space="0" w:color="auto"/>
                        <w:bottom w:val="none" w:sz="0" w:space="0" w:color="auto"/>
                        <w:right w:val="none" w:sz="0" w:space="0" w:color="auto"/>
                      </w:divBdr>
                    </w:div>
                    <w:div w:id="2007394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0889103">
          <w:marLeft w:val="0"/>
          <w:marRight w:val="0"/>
          <w:marTop w:val="0"/>
          <w:marBottom w:val="0"/>
          <w:divBdr>
            <w:top w:val="none" w:sz="0" w:space="0" w:color="auto"/>
            <w:left w:val="none" w:sz="0" w:space="0" w:color="auto"/>
            <w:bottom w:val="none" w:sz="0" w:space="0" w:color="auto"/>
            <w:right w:val="none" w:sz="0" w:space="0" w:color="auto"/>
          </w:divBdr>
          <w:divsChild>
            <w:div w:id="531378181">
              <w:marLeft w:val="0"/>
              <w:marRight w:val="0"/>
              <w:marTop w:val="0"/>
              <w:marBottom w:val="0"/>
              <w:divBdr>
                <w:top w:val="none" w:sz="0" w:space="0" w:color="auto"/>
                <w:left w:val="none" w:sz="0" w:space="0" w:color="auto"/>
                <w:bottom w:val="none" w:sz="0" w:space="0" w:color="auto"/>
                <w:right w:val="none" w:sz="0" w:space="0" w:color="auto"/>
              </w:divBdr>
              <w:divsChild>
                <w:div w:id="2102607170">
                  <w:marLeft w:val="0"/>
                  <w:marRight w:val="0"/>
                  <w:marTop w:val="0"/>
                  <w:marBottom w:val="0"/>
                  <w:divBdr>
                    <w:top w:val="none" w:sz="0" w:space="0" w:color="auto"/>
                    <w:left w:val="none" w:sz="0" w:space="0" w:color="auto"/>
                    <w:bottom w:val="none" w:sz="0" w:space="0" w:color="auto"/>
                    <w:right w:val="none" w:sz="0" w:space="0" w:color="auto"/>
                  </w:divBdr>
                </w:div>
              </w:divsChild>
            </w:div>
            <w:div w:id="1619875526">
              <w:marLeft w:val="0"/>
              <w:marRight w:val="0"/>
              <w:marTop w:val="0"/>
              <w:marBottom w:val="0"/>
              <w:divBdr>
                <w:top w:val="none" w:sz="0" w:space="0" w:color="auto"/>
                <w:left w:val="none" w:sz="0" w:space="0" w:color="auto"/>
                <w:bottom w:val="none" w:sz="0" w:space="0" w:color="auto"/>
                <w:right w:val="none" w:sz="0" w:space="0" w:color="auto"/>
              </w:divBdr>
              <w:divsChild>
                <w:div w:id="1256130353">
                  <w:marLeft w:val="0"/>
                  <w:marRight w:val="0"/>
                  <w:marTop w:val="0"/>
                  <w:marBottom w:val="0"/>
                  <w:divBdr>
                    <w:top w:val="none" w:sz="0" w:space="0" w:color="auto"/>
                    <w:left w:val="none" w:sz="0" w:space="0" w:color="auto"/>
                    <w:bottom w:val="none" w:sz="0" w:space="0" w:color="auto"/>
                    <w:right w:val="none" w:sz="0" w:space="0" w:color="auto"/>
                  </w:divBdr>
                </w:div>
                <w:div w:id="1619986834">
                  <w:marLeft w:val="0"/>
                  <w:marRight w:val="0"/>
                  <w:marTop w:val="0"/>
                  <w:marBottom w:val="0"/>
                  <w:divBdr>
                    <w:top w:val="none" w:sz="0" w:space="0" w:color="auto"/>
                    <w:left w:val="none" w:sz="0" w:space="0" w:color="auto"/>
                    <w:bottom w:val="none" w:sz="0" w:space="0" w:color="auto"/>
                    <w:right w:val="none" w:sz="0" w:space="0" w:color="auto"/>
                  </w:divBdr>
                </w:div>
                <w:div w:id="1018889070">
                  <w:marLeft w:val="0"/>
                  <w:marRight w:val="0"/>
                  <w:marTop w:val="0"/>
                  <w:marBottom w:val="0"/>
                  <w:divBdr>
                    <w:top w:val="none" w:sz="0" w:space="0" w:color="auto"/>
                    <w:left w:val="none" w:sz="0" w:space="0" w:color="auto"/>
                    <w:bottom w:val="none" w:sz="0" w:space="0" w:color="auto"/>
                    <w:right w:val="none" w:sz="0" w:space="0" w:color="auto"/>
                  </w:divBdr>
                </w:div>
                <w:div w:id="169490175">
                  <w:marLeft w:val="0"/>
                  <w:marRight w:val="0"/>
                  <w:marTop w:val="0"/>
                  <w:marBottom w:val="0"/>
                  <w:divBdr>
                    <w:top w:val="none" w:sz="0" w:space="0" w:color="auto"/>
                    <w:left w:val="none" w:sz="0" w:space="0" w:color="auto"/>
                    <w:bottom w:val="none" w:sz="0" w:space="0" w:color="auto"/>
                    <w:right w:val="none" w:sz="0" w:space="0" w:color="auto"/>
                  </w:divBdr>
                </w:div>
                <w:div w:id="1722828570">
                  <w:marLeft w:val="0"/>
                  <w:marRight w:val="0"/>
                  <w:marTop w:val="0"/>
                  <w:marBottom w:val="0"/>
                  <w:divBdr>
                    <w:top w:val="none" w:sz="0" w:space="0" w:color="auto"/>
                    <w:left w:val="none" w:sz="0" w:space="0" w:color="auto"/>
                    <w:bottom w:val="none" w:sz="0" w:space="0" w:color="auto"/>
                    <w:right w:val="none" w:sz="0" w:space="0" w:color="auto"/>
                  </w:divBdr>
                </w:div>
                <w:div w:id="1434864051">
                  <w:marLeft w:val="0"/>
                  <w:marRight w:val="0"/>
                  <w:marTop w:val="0"/>
                  <w:marBottom w:val="0"/>
                  <w:divBdr>
                    <w:top w:val="none" w:sz="0" w:space="0" w:color="auto"/>
                    <w:left w:val="none" w:sz="0" w:space="0" w:color="auto"/>
                    <w:bottom w:val="none" w:sz="0" w:space="0" w:color="auto"/>
                    <w:right w:val="none" w:sz="0" w:space="0" w:color="auto"/>
                  </w:divBdr>
                </w:div>
                <w:div w:id="1879076838">
                  <w:marLeft w:val="0"/>
                  <w:marRight w:val="0"/>
                  <w:marTop w:val="0"/>
                  <w:marBottom w:val="0"/>
                  <w:divBdr>
                    <w:top w:val="none" w:sz="0" w:space="0" w:color="auto"/>
                    <w:left w:val="none" w:sz="0" w:space="0" w:color="auto"/>
                    <w:bottom w:val="none" w:sz="0" w:space="0" w:color="auto"/>
                    <w:right w:val="none" w:sz="0" w:space="0" w:color="auto"/>
                  </w:divBdr>
                </w:div>
                <w:div w:id="1890803283">
                  <w:marLeft w:val="0"/>
                  <w:marRight w:val="0"/>
                  <w:marTop w:val="0"/>
                  <w:marBottom w:val="0"/>
                  <w:divBdr>
                    <w:top w:val="none" w:sz="0" w:space="0" w:color="auto"/>
                    <w:left w:val="none" w:sz="0" w:space="0" w:color="auto"/>
                    <w:bottom w:val="none" w:sz="0" w:space="0" w:color="auto"/>
                    <w:right w:val="none" w:sz="0" w:space="0" w:color="auto"/>
                  </w:divBdr>
                </w:div>
                <w:div w:id="758524976">
                  <w:marLeft w:val="0"/>
                  <w:marRight w:val="0"/>
                  <w:marTop w:val="0"/>
                  <w:marBottom w:val="0"/>
                  <w:divBdr>
                    <w:top w:val="none" w:sz="0" w:space="0" w:color="auto"/>
                    <w:left w:val="none" w:sz="0" w:space="0" w:color="auto"/>
                    <w:bottom w:val="none" w:sz="0" w:space="0" w:color="auto"/>
                    <w:right w:val="none" w:sz="0" w:space="0" w:color="auto"/>
                  </w:divBdr>
                </w:div>
                <w:div w:id="1291399850">
                  <w:marLeft w:val="0"/>
                  <w:marRight w:val="0"/>
                  <w:marTop w:val="0"/>
                  <w:marBottom w:val="0"/>
                  <w:divBdr>
                    <w:top w:val="none" w:sz="0" w:space="0" w:color="auto"/>
                    <w:left w:val="none" w:sz="0" w:space="0" w:color="auto"/>
                    <w:bottom w:val="none" w:sz="0" w:space="0" w:color="auto"/>
                    <w:right w:val="none" w:sz="0" w:space="0" w:color="auto"/>
                  </w:divBdr>
                </w:div>
                <w:div w:id="1039939258">
                  <w:marLeft w:val="0"/>
                  <w:marRight w:val="0"/>
                  <w:marTop w:val="0"/>
                  <w:marBottom w:val="0"/>
                  <w:divBdr>
                    <w:top w:val="none" w:sz="0" w:space="0" w:color="auto"/>
                    <w:left w:val="none" w:sz="0" w:space="0" w:color="auto"/>
                    <w:bottom w:val="none" w:sz="0" w:space="0" w:color="auto"/>
                    <w:right w:val="none" w:sz="0" w:space="0" w:color="auto"/>
                  </w:divBdr>
                </w:div>
                <w:div w:id="527328626">
                  <w:marLeft w:val="0"/>
                  <w:marRight w:val="0"/>
                  <w:marTop w:val="0"/>
                  <w:marBottom w:val="0"/>
                  <w:divBdr>
                    <w:top w:val="none" w:sz="0" w:space="0" w:color="auto"/>
                    <w:left w:val="none" w:sz="0" w:space="0" w:color="auto"/>
                    <w:bottom w:val="none" w:sz="0" w:space="0" w:color="auto"/>
                    <w:right w:val="none" w:sz="0" w:space="0" w:color="auto"/>
                  </w:divBdr>
                </w:div>
                <w:div w:id="1595631475">
                  <w:marLeft w:val="0"/>
                  <w:marRight w:val="0"/>
                  <w:marTop w:val="0"/>
                  <w:marBottom w:val="0"/>
                  <w:divBdr>
                    <w:top w:val="none" w:sz="0" w:space="0" w:color="auto"/>
                    <w:left w:val="none" w:sz="0" w:space="0" w:color="auto"/>
                    <w:bottom w:val="none" w:sz="0" w:space="0" w:color="auto"/>
                    <w:right w:val="none" w:sz="0" w:space="0" w:color="auto"/>
                  </w:divBdr>
                </w:div>
                <w:div w:id="1325160005">
                  <w:marLeft w:val="0"/>
                  <w:marRight w:val="0"/>
                  <w:marTop w:val="0"/>
                  <w:marBottom w:val="0"/>
                  <w:divBdr>
                    <w:top w:val="none" w:sz="0" w:space="0" w:color="auto"/>
                    <w:left w:val="none" w:sz="0" w:space="0" w:color="auto"/>
                    <w:bottom w:val="none" w:sz="0" w:space="0" w:color="auto"/>
                    <w:right w:val="none" w:sz="0" w:space="0" w:color="auto"/>
                  </w:divBdr>
                </w:div>
                <w:div w:id="611472662">
                  <w:marLeft w:val="0"/>
                  <w:marRight w:val="0"/>
                  <w:marTop w:val="0"/>
                  <w:marBottom w:val="0"/>
                  <w:divBdr>
                    <w:top w:val="none" w:sz="0" w:space="0" w:color="auto"/>
                    <w:left w:val="none" w:sz="0" w:space="0" w:color="auto"/>
                    <w:bottom w:val="none" w:sz="0" w:space="0" w:color="auto"/>
                    <w:right w:val="none" w:sz="0" w:space="0" w:color="auto"/>
                  </w:divBdr>
                </w:div>
              </w:divsChild>
            </w:div>
            <w:div w:id="1899243608">
              <w:marLeft w:val="0"/>
              <w:marRight w:val="0"/>
              <w:marTop w:val="0"/>
              <w:marBottom w:val="0"/>
              <w:divBdr>
                <w:top w:val="none" w:sz="0" w:space="0" w:color="auto"/>
                <w:left w:val="none" w:sz="0" w:space="0" w:color="auto"/>
                <w:bottom w:val="none" w:sz="0" w:space="0" w:color="auto"/>
                <w:right w:val="none" w:sz="0" w:space="0" w:color="auto"/>
              </w:divBdr>
              <w:divsChild>
                <w:div w:id="299962163">
                  <w:marLeft w:val="0"/>
                  <w:marRight w:val="0"/>
                  <w:marTop w:val="0"/>
                  <w:marBottom w:val="0"/>
                  <w:divBdr>
                    <w:top w:val="none" w:sz="0" w:space="0" w:color="auto"/>
                    <w:left w:val="none" w:sz="0" w:space="0" w:color="auto"/>
                    <w:bottom w:val="none" w:sz="0" w:space="0" w:color="auto"/>
                    <w:right w:val="none" w:sz="0" w:space="0" w:color="auto"/>
                  </w:divBdr>
                </w:div>
                <w:div w:id="644550159">
                  <w:marLeft w:val="0"/>
                  <w:marRight w:val="0"/>
                  <w:marTop w:val="0"/>
                  <w:marBottom w:val="0"/>
                  <w:divBdr>
                    <w:top w:val="none" w:sz="0" w:space="0" w:color="auto"/>
                    <w:left w:val="none" w:sz="0" w:space="0" w:color="auto"/>
                    <w:bottom w:val="none" w:sz="0" w:space="0" w:color="auto"/>
                    <w:right w:val="none" w:sz="0" w:space="0" w:color="auto"/>
                  </w:divBdr>
                </w:div>
                <w:div w:id="1321349142">
                  <w:marLeft w:val="0"/>
                  <w:marRight w:val="0"/>
                  <w:marTop w:val="0"/>
                  <w:marBottom w:val="0"/>
                  <w:divBdr>
                    <w:top w:val="none" w:sz="0" w:space="0" w:color="auto"/>
                    <w:left w:val="none" w:sz="0" w:space="0" w:color="auto"/>
                    <w:bottom w:val="none" w:sz="0" w:space="0" w:color="auto"/>
                    <w:right w:val="none" w:sz="0" w:space="0" w:color="auto"/>
                  </w:divBdr>
                </w:div>
                <w:div w:id="1624842543">
                  <w:marLeft w:val="0"/>
                  <w:marRight w:val="0"/>
                  <w:marTop w:val="0"/>
                  <w:marBottom w:val="0"/>
                  <w:divBdr>
                    <w:top w:val="none" w:sz="0" w:space="0" w:color="auto"/>
                    <w:left w:val="none" w:sz="0" w:space="0" w:color="auto"/>
                    <w:bottom w:val="none" w:sz="0" w:space="0" w:color="auto"/>
                    <w:right w:val="none" w:sz="0" w:space="0" w:color="auto"/>
                  </w:divBdr>
                </w:div>
                <w:div w:id="664169905">
                  <w:marLeft w:val="0"/>
                  <w:marRight w:val="0"/>
                  <w:marTop w:val="0"/>
                  <w:marBottom w:val="0"/>
                  <w:divBdr>
                    <w:top w:val="none" w:sz="0" w:space="0" w:color="auto"/>
                    <w:left w:val="none" w:sz="0" w:space="0" w:color="auto"/>
                    <w:bottom w:val="none" w:sz="0" w:space="0" w:color="auto"/>
                    <w:right w:val="none" w:sz="0" w:space="0" w:color="auto"/>
                  </w:divBdr>
                </w:div>
                <w:div w:id="1297417203">
                  <w:marLeft w:val="0"/>
                  <w:marRight w:val="0"/>
                  <w:marTop w:val="0"/>
                  <w:marBottom w:val="0"/>
                  <w:divBdr>
                    <w:top w:val="none" w:sz="0" w:space="0" w:color="auto"/>
                    <w:left w:val="none" w:sz="0" w:space="0" w:color="auto"/>
                    <w:bottom w:val="none" w:sz="0" w:space="0" w:color="auto"/>
                    <w:right w:val="none" w:sz="0" w:space="0" w:color="auto"/>
                  </w:divBdr>
                </w:div>
                <w:div w:id="125512404">
                  <w:marLeft w:val="0"/>
                  <w:marRight w:val="0"/>
                  <w:marTop w:val="0"/>
                  <w:marBottom w:val="0"/>
                  <w:divBdr>
                    <w:top w:val="none" w:sz="0" w:space="0" w:color="auto"/>
                    <w:left w:val="none" w:sz="0" w:space="0" w:color="auto"/>
                    <w:bottom w:val="none" w:sz="0" w:space="0" w:color="auto"/>
                    <w:right w:val="none" w:sz="0" w:space="0" w:color="auto"/>
                  </w:divBdr>
                </w:div>
                <w:div w:id="655693846">
                  <w:marLeft w:val="0"/>
                  <w:marRight w:val="0"/>
                  <w:marTop w:val="0"/>
                  <w:marBottom w:val="0"/>
                  <w:divBdr>
                    <w:top w:val="none" w:sz="0" w:space="0" w:color="auto"/>
                    <w:left w:val="none" w:sz="0" w:space="0" w:color="auto"/>
                    <w:bottom w:val="none" w:sz="0" w:space="0" w:color="auto"/>
                    <w:right w:val="none" w:sz="0" w:space="0" w:color="auto"/>
                  </w:divBdr>
                </w:div>
                <w:div w:id="560680115">
                  <w:marLeft w:val="0"/>
                  <w:marRight w:val="0"/>
                  <w:marTop w:val="0"/>
                  <w:marBottom w:val="0"/>
                  <w:divBdr>
                    <w:top w:val="none" w:sz="0" w:space="0" w:color="auto"/>
                    <w:left w:val="none" w:sz="0" w:space="0" w:color="auto"/>
                    <w:bottom w:val="none" w:sz="0" w:space="0" w:color="auto"/>
                    <w:right w:val="none" w:sz="0" w:space="0" w:color="auto"/>
                  </w:divBdr>
                </w:div>
                <w:div w:id="2067530585">
                  <w:marLeft w:val="0"/>
                  <w:marRight w:val="0"/>
                  <w:marTop w:val="0"/>
                  <w:marBottom w:val="0"/>
                  <w:divBdr>
                    <w:top w:val="none" w:sz="0" w:space="0" w:color="auto"/>
                    <w:left w:val="none" w:sz="0" w:space="0" w:color="auto"/>
                    <w:bottom w:val="none" w:sz="0" w:space="0" w:color="auto"/>
                    <w:right w:val="none" w:sz="0" w:space="0" w:color="auto"/>
                  </w:divBdr>
                </w:div>
                <w:div w:id="39674496">
                  <w:marLeft w:val="0"/>
                  <w:marRight w:val="0"/>
                  <w:marTop w:val="0"/>
                  <w:marBottom w:val="0"/>
                  <w:divBdr>
                    <w:top w:val="none" w:sz="0" w:space="0" w:color="auto"/>
                    <w:left w:val="none" w:sz="0" w:space="0" w:color="auto"/>
                    <w:bottom w:val="none" w:sz="0" w:space="0" w:color="auto"/>
                    <w:right w:val="none" w:sz="0" w:space="0" w:color="auto"/>
                  </w:divBdr>
                </w:div>
                <w:div w:id="1533108042">
                  <w:marLeft w:val="0"/>
                  <w:marRight w:val="0"/>
                  <w:marTop w:val="0"/>
                  <w:marBottom w:val="0"/>
                  <w:divBdr>
                    <w:top w:val="none" w:sz="0" w:space="0" w:color="auto"/>
                    <w:left w:val="none" w:sz="0" w:space="0" w:color="auto"/>
                    <w:bottom w:val="none" w:sz="0" w:space="0" w:color="auto"/>
                    <w:right w:val="none" w:sz="0" w:space="0" w:color="auto"/>
                  </w:divBdr>
                </w:div>
                <w:div w:id="891500351">
                  <w:marLeft w:val="0"/>
                  <w:marRight w:val="0"/>
                  <w:marTop w:val="0"/>
                  <w:marBottom w:val="0"/>
                  <w:divBdr>
                    <w:top w:val="none" w:sz="0" w:space="0" w:color="auto"/>
                    <w:left w:val="none" w:sz="0" w:space="0" w:color="auto"/>
                    <w:bottom w:val="none" w:sz="0" w:space="0" w:color="auto"/>
                    <w:right w:val="none" w:sz="0" w:space="0" w:color="auto"/>
                  </w:divBdr>
                </w:div>
                <w:div w:id="87242079">
                  <w:marLeft w:val="0"/>
                  <w:marRight w:val="0"/>
                  <w:marTop w:val="0"/>
                  <w:marBottom w:val="0"/>
                  <w:divBdr>
                    <w:top w:val="none" w:sz="0" w:space="0" w:color="auto"/>
                    <w:left w:val="none" w:sz="0" w:space="0" w:color="auto"/>
                    <w:bottom w:val="none" w:sz="0" w:space="0" w:color="auto"/>
                    <w:right w:val="none" w:sz="0" w:space="0" w:color="auto"/>
                  </w:divBdr>
                </w:div>
                <w:div w:id="508907346">
                  <w:marLeft w:val="0"/>
                  <w:marRight w:val="0"/>
                  <w:marTop w:val="0"/>
                  <w:marBottom w:val="0"/>
                  <w:divBdr>
                    <w:top w:val="none" w:sz="0" w:space="0" w:color="auto"/>
                    <w:left w:val="none" w:sz="0" w:space="0" w:color="auto"/>
                    <w:bottom w:val="none" w:sz="0" w:space="0" w:color="auto"/>
                    <w:right w:val="none" w:sz="0" w:space="0" w:color="auto"/>
                  </w:divBdr>
                </w:div>
                <w:div w:id="664015230">
                  <w:marLeft w:val="0"/>
                  <w:marRight w:val="0"/>
                  <w:marTop w:val="0"/>
                  <w:marBottom w:val="0"/>
                  <w:divBdr>
                    <w:top w:val="none" w:sz="0" w:space="0" w:color="auto"/>
                    <w:left w:val="none" w:sz="0" w:space="0" w:color="auto"/>
                    <w:bottom w:val="none" w:sz="0" w:space="0" w:color="auto"/>
                    <w:right w:val="none" w:sz="0" w:space="0" w:color="auto"/>
                  </w:divBdr>
                </w:div>
                <w:div w:id="616453708">
                  <w:marLeft w:val="0"/>
                  <w:marRight w:val="0"/>
                  <w:marTop w:val="0"/>
                  <w:marBottom w:val="0"/>
                  <w:divBdr>
                    <w:top w:val="none" w:sz="0" w:space="0" w:color="auto"/>
                    <w:left w:val="none" w:sz="0" w:space="0" w:color="auto"/>
                    <w:bottom w:val="none" w:sz="0" w:space="0" w:color="auto"/>
                    <w:right w:val="none" w:sz="0" w:space="0" w:color="auto"/>
                  </w:divBdr>
                </w:div>
                <w:div w:id="1293243247">
                  <w:marLeft w:val="0"/>
                  <w:marRight w:val="0"/>
                  <w:marTop w:val="0"/>
                  <w:marBottom w:val="0"/>
                  <w:divBdr>
                    <w:top w:val="none" w:sz="0" w:space="0" w:color="auto"/>
                    <w:left w:val="none" w:sz="0" w:space="0" w:color="auto"/>
                    <w:bottom w:val="none" w:sz="0" w:space="0" w:color="auto"/>
                    <w:right w:val="none" w:sz="0" w:space="0" w:color="auto"/>
                  </w:divBdr>
                </w:div>
                <w:div w:id="2002390304">
                  <w:marLeft w:val="0"/>
                  <w:marRight w:val="0"/>
                  <w:marTop w:val="0"/>
                  <w:marBottom w:val="0"/>
                  <w:divBdr>
                    <w:top w:val="none" w:sz="0" w:space="0" w:color="auto"/>
                    <w:left w:val="none" w:sz="0" w:space="0" w:color="auto"/>
                    <w:bottom w:val="none" w:sz="0" w:space="0" w:color="auto"/>
                    <w:right w:val="none" w:sz="0" w:space="0" w:color="auto"/>
                  </w:divBdr>
                </w:div>
                <w:div w:id="516041890">
                  <w:marLeft w:val="0"/>
                  <w:marRight w:val="0"/>
                  <w:marTop w:val="0"/>
                  <w:marBottom w:val="0"/>
                  <w:divBdr>
                    <w:top w:val="none" w:sz="0" w:space="0" w:color="auto"/>
                    <w:left w:val="none" w:sz="0" w:space="0" w:color="auto"/>
                    <w:bottom w:val="none" w:sz="0" w:space="0" w:color="auto"/>
                    <w:right w:val="none" w:sz="0" w:space="0" w:color="auto"/>
                  </w:divBdr>
                </w:div>
                <w:div w:id="1312951656">
                  <w:marLeft w:val="0"/>
                  <w:marRight w:val="0"/>
                  <w:marTop w:val="0"/>
                  <w:marBottom w:val="0"/>
                  <w:divBdr>
                    <w:top w:val="none" w:sz="0" w:space="0" w:color="auto"/>
                    <w:left w:val="none" w:sz="0" w:space="0" w:color="auto"/>
                    <w:bottom w:val="none" w:sz="0" w:space="0" w:color="auto"/>
                    <w:right w:val="none" w:sz="0" w:space="0" w:color="auto"/>
                  </w:divBdr>
                </w:div>
                <w:div w:id="1735350898">
                  <w:marLeft w:val="0"/>
                  <w:marRight w:val="0"/>
                  <w:marTop w:val="0"/>
                  <w:marBottom w:val="0"/>
                  <w:divBdr>
                    <w:top w:val="none" w:sz="0" w:space="0" w:color="auto"/>
                    <w:left w:val="none" w:sz="0" w:space="0" w:color="auto"/>
                    <w:bottom w:val="none" w:sz="0" w:space="0" w:color="auto"/>
                    <w:right w:val="none" w:sz="0" w:space="0" w:color="auto"/>
                  </w:divBdr>
                </w:div>
                <w:div w:id="1729957226">
                  <w:marLeft w:val="0"/>
                  <w:marRight w:val="0"/>
                  <w:marTop w:val="0"/>
                  <w:marBottom w:val="0"/>
                  <w:divBdr>
                    <w:top w:val="none" w:sz="0" w:space="0" w:color="auto"/>
                    <w:left w:val="none" w:sz="0" w:space="0" w:color="auto"/>
                    <w:bottom w:val="none" w:sz="0" w:space="0" w:color="auto"/>
                    <w:right w:val="none" w:sz="0" w:space="0" w:color="auto"/>
                  </w:divBdr>
                </w:div>
                <w:div w:id="478769759">
                  <w:marLeft w:val="0"/>
                  <w:marRight w:val="0"/>
                  <w:marTop w:val="0"/>
                  <w:marBottom w:val="0"/>
                  <w:divBdr>
                    <w:top w:val="none" w:sz="0" w:space="0" w:color="auto"/>
                    <w:left w:val="none" w:sz="0" w:space="0" w:color="auto"/>
                    <w:bottom w:val="none" w:sz="0" w:space="0" w:color="auto"/>
                    <w:right w:val="none" w:sz="0" w:space="0" w:color="auto"/>
                  </w:divBdr>
                </w:div>
                <w:div w:id="1160541592">
                  <w:marLeft w:val="0"/>
                  <w:marRight w:val="0"/>
                  <w:marTop w:val="0"/>
                  <w:marBottom w:val="0"/>
                  <w:divBdr>
                    <w:top w:val="none" w:sz="0" w:space="0" w:color="auto"/>
                    <w:left w:val="none" w:sz="0" w:space="0" w:color="auto"/>
                    <w:bottom w:val="none" w:sz="0" w:space="0" w:color="auto"/>
                    <w:right w:val="none" w:sz="0" w:space="0" w:color="auto"/>
                  </w:divBdr>
                </w:div>
                <w:div w:id="41710570">
                  <w:marLeft w:val="0"/>
                  <w:marRight w:val="0"/>
                  <w:marTop w:val="0"/>
                  <w:marBottom w:val="0"/>
                  <w:divBdr>
                    <w:top w:val="none" w:sz="0" w:space="0" w:color="auto"/>
                    <w:left w:val="none" w:sz="0" w:space="0" w:color="auto"/>
                    <w:bottom w:val="none" w:sz="0" w:space="0" w:color="auto"/>
                    <w:right w:val="none" w:sz="0" w:space="0" w:color="auto"/>
                  </w:divBdr>
                </w:div>
                <w:div w:id="2006010276">
                  <w:marLeft w:val="0"/>
                  <w:marRight w:val="0"/>
                  <w:marTop w:val="0"/>
                  <w:marBottom w:val="0"/>
                  <w:divBdr>
                    <w:top w:val="none" w:sz="0" w:space="0" w:color="auto"/>
                    <w:left w:val="none" w:sz="0" w:space="0" w:color="auto"/>
                    <w:bottom w:val="none" w:sz="0" w:space="0" w:color="auto"/>
                    <w:right w:val="none" w:sz="0" w:space="0" w:color="auto"/>
                  </w:divBdr>
                </w:div>
                <w:div w:id="1167862657">
                  <w:marLeft w:val="0"/>
                  <w:marRight w:val="0"/>
                  <w:marTop w:val="0"/>
                  <w:marBottom w:val="0"/>
                  <w:divBdr>
                    <w:top w:val="none" w:sz="0" w:space="0" w:color="auto"/>
                    <w:left w:val="none" w:sz="0" w:space="0" w:color="auto"/>
                    <w:bottom w:val="none" w:sz="0" w:space="0" w:color="auto"/>
                    <w:right w:val="none" w:sz="0" w:space="0" w:color="auto"/>
                  </w:divBdr>
                </w:div>
                <w:div w:id="71045544">
                  <w:marLeft w:val="0"/>
                  <w:marRight w:val="0"/>
                  <w:marTop w:val="0"/>
                  <w:marBottom w:val="0"/>
                  <w:divBdr>
                    <w:top w:val="none" w:sz="0" w:space="0" w:color="auto"/>
                    <w:left w:val="none" w:sz="0" w:space="0" w:color="auto"/>
                    <w:bottom w:val="none" w:sz="0" w:space="0" w:color="auto"/>
                    <w:right w:val="none" w:sz="0" w:space="0" w:color="auto"/>
                  </w:divBdr>
                </w:div>
                <w:div w:id="1493058065">
                  <w:marLeft w:val="0"/>
                  <w:marRight w:val="0"/>
                  <w:marTop w:val="0"/>
                  <w:marBottom w:val="0"/>
                  <w:divBdr>
                    <w:top w:val="none" w:sz="0" w:space="0" w:color="auto"/>
                    <w:left w:val="none" w:sz="0" w:space="0" w:color="auto"/>
                    <w:bottom w:val="none" w:sz="0" w:space="0" w:color="auto"/>
                    <w:right w:val="none" w:sz="0" w:space="0" w:color="auto"/>
                  </w:divBdr>
                </w:div>
                <w:div w:id="307789370">
                  <w:marLeft w:val="0"/>
                  <w:marRight w:val="0"/>
                  <w:marTop w:val="0"/>
                  <w:marBottom w:val="0"/>
                  <w:divBdr>
                    <w:top w:val="none" w:sz="0" w:space="0" w:color="auto"/>
                    <w:left w:val="none" w:sz="0" w:space="0" w:color="auto"/>
                    <w:bottom w:val="none" w:sz="0" w:space="0" w:color="auto"/>
                    <w:right w:val="none" w:sz="0" w:space="0" w:color="auto"/>
                  </w:divBdr>
                </w:div>
                <w:div w:id="497770184">
                  <w:marLeft w:val="0"/>
                  <w:marRight w:val="0"/>
                  <w:marTop w:val="0"/>
                  <w:marBottom w:val="0"/>
                  <w:divBdr>
                    <w:top w:val="none" w:sz="0" w:space="0" w:color="auto"/>
                    <w:left w:val="none" w:sz="0" w:space="0" w:color="auto"/>
                    <w:bottom w:val="none" w:sz="0" w:space="0" w:color="auto"/>
                    <w:right w:val="none" w:sz="0" w:space="0" w:color="auto"/>
                  </w:divBdr>
                </w:div>
                <w:div w:id="1369599445">
                  <w:marLeft w:val="0"/>
                  <w:marRight w:val="0"/>
                  <w:marTop w:val="0"/>
                  <w:marBottom w:val="0"/>
                  <w:divBdr>
                    <w:top w:val="none" w:sz="0" w:space="0" w:color="auto"/>
                    <w:left w:val="none" w:sz="0" w:space="0" w:color="auto"/>
                    <w:bottom w:val="none" w:sz="0" w:space="0" w:color="auto"/>
                    <w:right w:val="none" w:sz="0" w:space="0" w:color="auto"/>
                  </w:divBdr>
                </w:div>
                <w:div w:id="446854742">
                  <w:marLeft w:val="0"/>
                  <w:marRight w:val="0"/>
                  <w:marTop w:val="0"/>
                  <w:marBottom w:val="0"/>
                  <w:divBdr>
                    <w:top w:val="none" w:sz="0" w:space="0" w:color="auto"/>
                    <w:left w:val="none" w:sz="0" w:space="0" w:color="auto"/>
                    <w:bottom w:val="none" w:sz="0" w:space="0" w:color="auto"/>
                    <w:right w:val="none" w:sz="0" w:space="0" w:color="auto"/>
                  </w:divBdr>
                </w:div>
                <w:div w:id="2006206061">
                  <w:marLeft w:val="0"/>
                  <w:marRight w:val="0"/>
                  <w:marTop w:val="0"/>
                  <w:marBottom w:val="0"/>
                  <w:divBdr>
                    <w:top w:val="none" w:sz="0" w:space="0" w:color="auto"/>
                    <w:left w:val="none" w:sz="0" w:space="0" w:color="auto"/>
                    <w:bottom w:val="none" w:sz="0" w:space="0" w:color="auto"/>
                    <w:right w:val="none" w:sz="0" w:space="0" w:color="auto"/>
                  </w:divBdr>
                </w:div>
                <w:div w:id="1693648315">
                  <w:marLeft w:val="0"/>
                  <w:marRight w:val="0"/>
                  <w:marTop w:val="0"/>
                  <w:marBottom w:val="0"/>
                  <w:divBdr>
                    <w:top w:val="none" w:sz="0" w:space="0" w:color="auto"/>
                    <w:left w:val="none" w:sz="0" w:space="0" w:color="auto"/>
                    <w:bottom w:val="none" w:sz="0" w:space="0" w:color="auto"/>
                    <w:right w:val="none" w:sz="0" w:space="0" w:color="auto"/>
                  </w:divBdr>
                </w:div>
                <w:div w:id="1645044695">
                  <w:marLeft w:val="0"/>
                  <w:marRight w:val="0"/>
                  <w:marTop w:val="0"/>
                  <w:marBottom w:val="0"/>
                  <w:divBdr>
                    <w:top w:val="none" w:sz="0" w:space="0" w:color="auto"/>
                    <w:left w:val="none" w:sz="0" w:space="0" w:color="auto"/>
                    <w:bottom w:val="none" w:sz="0" w:space="0" w:color="auto"/>
                    <w:right w:val="none" w:sz="0" w:space="0" w:color="auto"/>
                  </w:divBdr>
                </w:div>
                <w:div w:id="1241064681">
                  <w:marLeft w:val="0"/>
                  <w:marRight w:val="0"/>
                  <w:marTop w:val="0"/>
                  <w:marBottom w:val="0"/>
                  <w:divBdr>
                    <w:top w:val="none" w:sz="0" w:space="0" w:color="auto"/>
                    <w:left w:val="none" w:sz="0" w:space="0" w:color="auto"/>
                    <w:bottom w:val="none" w:sz="0" w:space="0" w:color="auto"/>
                    <w:right w:val="none" w:sz="0" w:space="0" w:color="auto"/>
                  </w:divBdr>
                </w:div>
                <w:div w:id="351957402">
                  <w:marLeft w:val="0"/>
                  <w:marRight w:val="0"/>
                  <w:marTop w:val="0"/>
                  <w:marBottom w:val="0"/>
                  <w:divBdr>
                    <w:top w:val="none" w:sz="0" w:space="0" w:color="auto"/>
                    <w:left w:val="none" w:sz="0" w:space="0" w:color="auto"/>
                    <w:bottom w:val="none" w:sz="0" w:space="0" w:color="auto"/>
                    <w:right w:val="none" w:sz="0" w:space="0" w:color="auto"/>
                  </w:divBdr>
                </w:div>
                <w:div w:id="1403916782">
                  <w:marLeft w:val="0"/>
                  <w:marRight w:val="0"/>
                  <w:marTop w:val="0"/>
                  <w:marBottom w:val="0"/>
                  <w:divBdr>
                    <w:top w:val="none" w:sz="0" w:space="0" w:color="auto"/>
                    <w:left w:val="none" w:sz="0" w:space="0" w:color="auto"/>
                    <w:bottom w:val="none" w:sz="0" w:space="0" w:color="auto"/>
                    <w:right w:val="none" w:sz="0" w:space="0" w:color="auto"/>
                  </w:divBdr>
                </w:div>
                <w:div w:id="1389646964">
                  <w:marLeft w:val="0"/>
                  <w:marRight w:val="0"/>
                  <w:marTop w:val="0"/>
                  <w:marBottom w:val="0"/>
                  <w:divBdr>
                    <w:top w:val="none" w:sz="0" w:space="0" w:color="auto"/>
                    <w:left w:val="none" w:sz="0" w:space="0" w:color="auto"/>
                    <w:bottom w:val="none" w:sz="0" w:space="0" w:color="auto"/>
                    <w:right w:val="none" w:sz="0" w:space="0" w:color="auto"/>
                  </w:divBdr>
                </w:div>
                <w:div w:id="263804903">
                  <w:marLeft w:val="0"/>
                  <w:marRight w:val="0"/>
                  <w:marTop w:val="0"/>
                  <w:marBottom w:val="0"/>
                  <w:divBdr>
                    <w:top w:val="none" w:sz="0" w:space="0" w:color="auto"/>
                    <w:left w:val="none" w:sz="0" w:space="0" w:color="auto"/>
                    <w:bottom w:val="none" w:sz="0" w:space="0" w:color="auto"/>
                    <w:right w:val="none" w:sz="0" w:space="0" w:color="auto"/>
                  </w:divBdr>
                </w:div>
                <w:div w:id="1432163692">
                  <w:marLeft w:val="0"/>
                  <w:marRight w:val="0"/>
                  <w:marTop w:val="0"/>
                  <w:marBottom w:val="0"/>
                  <w:divBdr>
                    <w:top w:val="none" w:sz="0" w:space="0" w:color="auto"/>
                    <w:left w:val="none" w:sz="0" w:space="0" w:color="auto"/>
                    <w:bottom w:val="none" w:sz="0" w:space="0" w:color="auto"/>
                    <w:right w:val="none" w:sz="0" w:space="0" w:color="auto"/>
                  </w:divBdr>
                </w:div>
                <w:div w:id="1276476455">
                  <w:marLeft w:val="0"/>
                  <w:marRight w:val="0"/>
                  <w:marTop w:val="0"/>
                  <w:marBottom w:val="0"/>
                  <w:divBdr>
                    <w:top w:val="none" w:sz="0" w:space="0" w:color="auto"/>
                    <w:left w:val="none" w:sz="0" w:space="0" w:color="auto"/>
                    <w:bottom w:val="none" w:sz="0" w:space="0" w:color="auto"/>
                    <w:right w:val="none" w:sz="0" w:space="0" w:color="auto"/>
                  </w:divBdr>
                </w:div>
                <w:div w:id="516189607">
                  <w:marLeft w:val="0"/>
                  <w:marRight w:val="0"/>
                  <w:marTop w:val="0"/>
                  <w:marBottom w:val="0"/>
                  <w:divBdr>
                    <w:top w:val="none" w:sz="0" w:space="0" w:color="auto"/>
                    <w:left w:val="none" w:sz="0" w:space="0" w:color="auto"/>
                    <w:bottom w:val="none" w:sz="0" w:space="0" w:color="auto"/>
                    <w:right w:val="none" w:sz="0" w:space="0" w:color="auto"/>
                  </w:divBdr>
                </w:div>
                <w:div w:id="983437876">
                  <w:marLeft w:val="0"/>
                  <w:marRight w:val="0"/>
                  <w:marTop w:val="0"/>
                  <w:marBottom w:val="0"/>
                  <w:divBdr>
                    <w:top w:val="none" w:sz="0" w:space="0" w:color="auto"/>
                    <w:left w:val="none" w:sz="0" w:space="0" w:color="auto"/>
                    <w:bottom w:val="none" w:sz="0" w:space="0" w:color="auto"/>
                    <w:right w:val="none" w:sz="0" w:space="0" w:color="auto"/>
                  </w:divBdr>
                </w:div>
                <w:div w:id="1624388375">
                  <w:marLeft w:val="0"/>
                  <w:marRight w:val="0"/>
                  <w:marTop w:val="0"/>
                  <w:marBottom w:val="0"/>
                  <w:divBdr>
                    <w:top w:val="none" w:sz="0" w:space="0" w:color="auto"/>
                    <w:left w:val="none" w:sz="0" w:space="0" w:color="auto"/>
                    <w:bottom w:val="none" w:sz="0" w:space="0" w:color="auto"/>
                    <w:right w:val="none" w:sz="0" w:space="0" w:color="auto"/>
                  </w:divBdr>
                </w:div>
                <w:div w:id="469514311">
                  <w:marLeft w:val="0"/>
                  <w:marRight w:val="0"/>
                  <w:marTop w:val="0"/>
                  <w:marBottom w:val="0"/>
                  <w:divBdr>
                    <w:top w:val="none" w:sz="0" w:space="0" w:color="auto"/>
                    <w:left w:val="none" w:sz="0" w:space="0" w:color="auto"/>
                    <w:bottom w:val="none" w:sz="0" w:space="0" w:color="auto"/>
                    <w:right w:val="none" w:sz="0" w:space="0" w:color="auto"/>
                  </w:divBdr>
                </w:div>
                <w:div w:id="110708931">
                  <w:marLeft w:val="0"/>
                  <w:marRight w:val="0"/>
                  <w:marTop w:val="0"/>
                  <w:marBottom w:val="0"/>
                  <w:divBdr>
                    <w:top w:val="none" w:sz="0" w:space="0" w:color="auto"/>
                    <w:left w:val="none" w:sz="0" w:space="0" w:color="auto"/>
                    <w:bottom w:val="none" w:sz="0" w:space="0" w:color="auto"/>
                    <w:right w:val="none" w:sz="0" w:space="0" w:color="auto"/>
                  </w:divBdr>
                </w:div>
                <w:div w:id="1973438479">
                  <w:marLeft w:val="0"/>
                  <w:marRight w:val="0"/>
                  <w:marTop w:val="0"/>
                  <w:marBottom w:val="0"/>
                  <w:divBdr>
                    <w:top w:val="none" w:sz="0" w:space="0" w:color="auto"/>
                    <w:left w:val="none" w:sz="0" w:space="0" w:color="auto"/>
                    <w:bottom w:val="none" w:sz="0" w:space="0" w:color="auto"/>
                    <w:right w:val="none" w:sz="0" w:space="0" w:color="auto"/>
                  </w:divBdr>
                </w:div>
                <w:div w:id="196433444">
                  <w:marLeft w:val="0"/>
                  <w:marRight w:val="0"/>
                  <w:marTop w:val="0"/>
                  <w:marBottom w:val="0"/>
                  <w:divBdr>
                    <w:top w:val="none" w:sz="0" w:space="0" w:color="auto"/>
                    <w:left w:val="none" w:sz="0" w:space="0" w:color="auto"/>
                    <w:bottom w:val="none" w:sz="0" w:space="0" w:color="auto"/>
                    <w:right w:val="none" w:sz="0" w:space="0" w:color="auto"/>
                  </w:divBdr>
                </w:div>
                <w:div w:id="1149857037">
                  <w:marLeft w:val="0"/>
                  <w:marRight w:val="0"/>
                  <w:marTop w:val="0"/>
                  <w:marBottom w:val="0"/>
                  <w:divBdr>
                    <w:top w:val="none" w:sz="0" w:space="0" w:color="auto"/>
                    <w:left w:val="none" w:sz="0" w:space="0" w:color="auto"/>
                    <w:bottom w:val="none" w:sz="0" w:space="0" w:color="auto"/>
                    <w:right w:val="none" w:sz="0" w:space="0" w:color="auto"/>
                  </w:divBdr>
                </w:div>
                <w:div w:id="1120493008">
                  <w:marLeft w:val="0"/>
                  <w:marRight w:val="0"/>
                  <w:marTop w:val="0"/>
                  <w:marBottom w:val="0"/>
                  <w:divBdr>
                    <w:top w:val="none" w:sz="0" w:space="0" w:color="auto"/>
                    <w:left w:val="none" w:sz="0" w:space="0" w:color="auto"/>
                    <w:bottom w:val="none" w:sz="0" w:space="0" w:color="auto"/>
                    <w:right w:val="none" w:sz="0" w:space="0" w:color="auto"/>
                  </w:divBdr>
                </w:div>
                <w:div w:id="340932804">
                  <w:marLeft w:val="0"/>
                  <w:marRight w:val="0"/>
                  <w:marTop w:val="0"/>
                  <w:marBottom w:val="0"/>
                  <w:divBdr>
                    <w:top w:val="none" w:sz="0" w:space="0" w:color="auto"/>
                    <w:left w:val="none" w:sz="0" w:space="0" w:color="auto"/>
                    <w:bottom w:val="none" w:sz="0" w:space="0" w:color="auto"/>
                    <w:right w:val="none" w:sz="0" w:space="0" w:color="auto"/>
                  </w:divBdr>
                </w:div>
                <w:div w:id="1184976899">
                  <w:marLeft w:val="0"/>
                  <w:marRight w:val="0"/>
                  <w:marTop w:val="0"/>
                  <w:marBottom w:val="0"/>
                  <w:divBdr>
                    <w:top w:val="none" w:sz="0" w:space="0" w:color="auto"/>
                    <w:left w:val="none" w:sz="0" w:space="0" w:color="auto"/>
                    <w:bottom w:val="none" w:sz="0" w:space="0" w:color="auto"/>
                    <w:right w:val="none" w:sz="0" w:space="0" w:color="auto"/>
                  </w:divBdr>
                </w:div>
                <w:div w:id="389160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5504764">
      <w:bodyDiv w:val="1"/>
      <w:marLeft w:val="0"/>
      <w:marRight w:val="0"/>
      <w:marTop w:val="0"/>
      <w:marBottom w:val="0"/>
      <w:divBdr>
        <w:top w:val="none" w:sz="0" w:space="0" w:color="auto"/>
        <w:left w:val="none" w:sz="0" w:space="0" w:color="auto"/>
        <w:bottom w:val="none" w:sz="0" w:space="0" w:color="auto"/>
        <w:right w:val="none" w:sz="0" w:space="0" w:color="auto"/>
      </w:divBdr>
      <w:divsChild>
        <w:div w:id="1790197791">
          <w:marLeft w:val="0"/>
          <w:marRight w:val="0"/>
          <w:marTop w:val="0"/>
          <w:marBottom w:val="0"/>
          <w:divBdr>
            <w:top w:val="none" w:sz="0" w:space="0" w:color="auto"/>
            <w:left w:val="none" w:sz="0" w:space="0" w:color="auto"/>
            <w:bottom w:val="none" w:sz="0" w:space="0" w:color="auto"/>
            <w:right w:val="none" w:sz="0" w:space="0" w:color="auto"/>
          </w:divBdr>
        </w:div>
        <w:div w:id="288518329">
          <w:marLeft w:val="0"/>
          <w:marRight w:val="0"/>
          <w:marTop w:val="0"/>
          <w:marBottom w:val="0"/>
          <w:divBdr>
            <w:top w:val="none" w:sz="0" w:space="0" w:color="auto"/>
            <w:left w:val="none" w:sz="0" w:space="0" w:color="auto"/>
            <w:bottom w:val="none" w:sz="0" w:space="0" w:color="auto"/>
            <w:right w:val="none" w:sz="0" w:space="0" w:color="auto"/>
          </w:divBdr>
        </w:div>
        <w:div w:id="521013853">
          <w:marLeft w:val="0"/>
          <w:marRight w:val="0"/>
          <w:marTop w:val="0"/>
          <w:marBottom w:val="0"/>
          <w:divBdr>
            <w:top w:val="none" w:sz="0" w:space="0" w:color="auto"/>
            <w:left w:val="none" w:sz="0" w:space="0" w:color="auto"/>
            <w:bottom w:val="none" w:sz="0" w:space="0" w:color="auto"/>
            <w:right w:val="none" w:sz="0" w:space="0" w:color="auto"/>
          </w:divBdr>
        </w:div>
        <w:div w:id="700932543">
          <w:marLeft w:val="0"/>
          <w:marRight w:val="0"/>
          <w:marTop w:val="0"/>
          <w:marBottom w:val="0"/>
          <w:divBdr>
            <w:top w:val="none" w:sz="0" w:space="0" w:color="auto"/>
            <w:left w:val="none" w:sz="0" w:space="0" w:color="auto"/>
            <w:bottom w:val="none" w:sz="0" w:space="0" w:color="auto"/>
            <w:right w:val="none" w:sz="0" w:space="0" w:color="auto"/>
          </w:divBdr>
        </w:div>
        <w:div w:id="2003241259">
          <w:marLeft w:val="0"/>
          <w:marRight w:val="0"/>
          <w:marTop w:val="0"/>
          <w:marBottom w:val="0"/>
          <w:divBdr>
            <w:top w:val="none" w:sz="0" w:space="0" w:color="auto"/>
            <w:left w:val="none" w:sz="0" w:space="0" w:color="auto"/>
            <w:bottom w:val="none" w:sz="0" w:space="0" w:color="auto"/>
            <w:right w:val="none" w:sz="0" w:space="0" w:color="auto"/>
          </w:divBdr>
        </w:div>
        <w:div w:id="1032995711">
          <w:marLeft w:val="0"/>
          <w:marRight w:val="0"/>
          <w:marTop w:val="0"/>
          <w:marBottom w:val="0"/>
          <w:divBdr>
            <w:top w:val="none" w:sz="0" w:space="0" w:color="auto"/>
            <w:left w:val="none" w:sz="0" w:space="0" w:color="auto"/>
            <w:bottom w:val="none" w:sz="0" w:space="0" w:color="auto"/>
            <w:right w:val="none" w:sz="0" w:space="0" w:color="auto"/>
          </w:divBdr>
        </w:div>
        <w:div w:id="41950983">
          <w:marLeft w:val="0"/>
          <w:marRight w:val="0"/>
          <w:marTop w:val="0"/>
          <w:marBottom w:val="0"/>
          <w:divBdr>
            <w:top w:val="none" w:sz="0" w:space="0" w:color="auto"/>
            <w:left w:val="none" w:sz="0" w:space="0" w:color="auto"/>
            <w:bottom w:val="none" w:sz="0" w:space="0" w:color="auto"/>
            <w:right w:val="none" w:sz="0" w:space="0" w:color="auto"/>
          </w:divBdr>
        </w:div>
        <w:div w:id="1922593213">
          <w:marLeft w:val="0"/>
          <w:marRight w:val="0"/>
          <w:marTop w:val="0"/>
          <w:marBottom w:val="0"/>
          <w:divBdr>
            <w:top w:val="none" w:sz="0" w:space="0" w:color="auto"/>
            <w:left w:val="none" w:sz="0" w:space="0" w:color="auto"/>
            <w:bottom w:val="none" w:sz="0" w:space="0" w:color="auto"/>
            <w:right w:val="none" w:sz="0" w:space="0" w:color="auto"/>
          </w:divBdr>
        </w:div>
        <w:div w:id="347947721">
          <w:marLeft w:val="0"/>
          <w:marRight w:val="0"/>
          <w:marTop w:val="0"/>
          <w:marBottom w:val="0"/>
          <w:divBdr>
            <w:top w:val="none" w:sz="0" w:space="0" w:color="auto"/>
            <w:left w:val="none" w:sz="0" w:space="0" w:color="auto"/>
            <w:bottom w:val="none" w:sz="0" w:space="0" w:color="auto"/>
            <w:right w:val="none" w:sz="0" w:space="0" w:color="auto"/>
          </w:divBdr>
        </w:div>
        <w:div w:id="737283436">
          <w:marLeft w:val="0"/>
          <w:marRight w:val="0"/>
          <w:marTop w:val="0"/>
          <w:marBottom w:val="0"/>
          <w:divBdr>
            <w:top w:val="none" w:sz="0" w:space="0" w:color="auto"/>
            <w:left w:val="none" w:sz="0" w:space="0" w:color="auto"/>
            <w:bottom w:val="none" w:sz="0" w:space="0" w:color="auto"/>
            <w:right w:val="none" w:sz="0" w:space="0" w:color="auto"/>
          </w:divBdr>
        </w:div>
        <w:div w:id="1792435811">
          <w:marLeft w:val="0"/>
          <w:marRight w:val="0"/>
          <w:marTop w:val="0"/>
          <w:marBottom w:val="0"/>
          <w:divBdr>
            <w:top w:val="none" w:sz="0" w:space="0" w:color="auto"/>
            <w:left w:val="none" w:sz="0" w:space="0" w:color="auto"/>
            <w:bottom w:val="none" w:sz="0" w:space="0" w:color="auto"/>
            <w:right w:val="none" w:sz="0" w:space="0" w:color="auto"/>
          </w:divBdr>
        </w:div>
        <w:div w:id="138806170">
          <w:marLeft w:val="0"/>
          <w:marRight w:val="0"/>
          <w:marTop w:val="0"/>
          <w:marBottom w:val="0"/>
          <w:divBdr>
            <w:top w:val="none" w:sz="0" w:space="0" w:color="auto"/>
            <w:left w:val="none" w:sz="0" w:space="0" w:color="auto"/>
            <w:bottom w:val="none" w:sz="0" w:space="0" w:color="auto"/>
            <w:right w:val="none" w:sz="0" w:space="0" w:color="auto"/>
          </w:divBdr>
        </w:div>
        <w:div w:id="925647989">
          <w:marLeft w:val="0"/>
          <w:marRight w:val="0"/>
          <w:marTop w:val="0"/>
          <w:marBottom w:val="0"/>
          <w:divBdr>
            <w:top w:val="none" w:sz="0" w:space="0" w:color="auto"/>
            <w:left w:val="none" w:sz="0" w:space="0" w:color="auto"/>
            <w:bottom w:val="none" w:sz="0" w:space="0" w:color="auto"/>
            <w:right w:val="none" w:sz="0" w:space="0" w:color="auto"/>
          </w:divBdr>
        </w:div>
        <w:div w:id="1633825070">
          <w:marLeft w:val="0"/>
          <w:marRight w:val="0"/>
          <w:marTop w:val="0"/>
          <w:marBottom w:val="0"/>
          <w:divBdr>
            <w:top w:val="none" w:sz="0" w:space="0" w:color="auto"/>
            <w:left w:val="none" w:sz="0" w:space="0" w:color="auto"/>
            <w:bottom w:val="none" w:sz="0" w:space="0" w:color="auto"/>
            <w:right w:val="none" w:sz="0" w:space="0" w:color="auto"/>
          </w:divBdr>
        </w:div>
      </w:divsChild>
    </w:div>
    <w:div w:id="896209875">
      <w:bodyDiv w:val="1"/>
      <w:marLeft w:val="0"/>
      <w:marRight w:val="0"/>
      <w:marTop w:val="0"/>
      <w:marBottom w:val="0"/>
      <w:divBdr>
        <w:top w:val="none" w:sz="0" w:space="0" w:color="auto"/>
        <w:left w:val="none" w:sz="0" w:space="0" w:color="auto"/>
        <w:bottom w:val="none" w:sz="0" w:space="0" w:color="auto"/>
        <w:right w:val="none" w:sz="0" w:space="0" w:color="auto"/>
      </w:divBdr>
      <w:divsChild>
        <w:div w:id="1220441134">
          <w:marLeft w:val="0"/>
          <w:marRight w:val="0"/>
          <w:marTop w:val="0"/>
          <w:marBottom w:val="0"/>
          <w:divBdr>
            <w:top w:val="none" w:sz="0" w:space="0" w:color="auto"/>
            <w:left w:val="none" w:sz="0" w:space="0" w:color="auto"/>
            <w:bottom w:val="none" w:sz="0" w:space="0" w:color="auto"/>
            <w:right w:val="none" w:sz="0" w:space="0" w:color="auto"/>
          </w:divBdr>
        </w:div>
      </w:divsChild>
    </w:div>
    <w:div w:id="897131222">
      <w:bodyDiv w:val="1"/>
      <w:marLeft w:val="0"/>
      <w:marRight w:val="0"/>
      <w:marTop w:val="0"/>
      <w:marBottom w:val="0"/>
      <w:divBdr>
        <w:top w:val="none" w:sz="0" w:space="0" w:color="auto"/>
        <w:left w:val="none" w:sz="0" w:space="0" w:color="auto"/>
        <w:bottom w:val="none" w:sz="0" w:space="0" w:color="auto"/>
        <w:right w:val="none" w:sz="0" w:space="0" w:color="auto"/>
      </w:divBdr>
    </w:div>
    <w:div w:id="906258355">
      <w:bodyDiv w:val="1"/>
      <w:marLeft w:val="0"/>
      <w:marRight w:val="0"/>
      <w:marTop w:val="0"/>
      <w:marBottom w:val="0"/>
      <w:divBdr>
        <w:top w:val="none" w:sz="0" w:space="0" w:color="auto"/>
        <w:left w:val="none" w:sz="0" w:space="0" w:color="auto"/>
        <w:bottom w:val="none" w:sz="0" w:space="0" w:color="auto"/>
        <w:right w:val="none" w:sz="0" w:space="0" w:color="auto"/>
      </w:divBdr>
      <w:divsChild>
        <w:div w:id="655912624">
          <w:marLeft w:val="0"/>
          <w:marRight w:val="0"/>
          <w:marTop w:val="0"/>
          <w:marBottom w:val="0"/>
          <w:divBdr>
            <w:top w:val="none" w:sz="0" w:space="0" w:color="auto"/>
            <w:left w:val="none" w:sz="0" w:space="0" w:color="auto"/>
            <w:bottom w:val="none" w:sz="0" w:space="0" w:color="auto"/>
            <w:right w:val="none" w:sz="0" w:space="0" w:color="auto"/>
          </w:divBdr>
        </w:div>
        <w:div w:id="1951547087">
          <w:marLeft w:val="0"/>
          <w:marRight w:val="0"/>
          <w:marTop w:val="0"/>
          <w:marBottom w:val="0"/>
          <w:divBdr>
            <w:top w:val="none" w:sz="0" w:space="0" w:color="auto"/>
            <w:left w:val="none" w:sz="0" w:space="0" w:color="auto"/>
            <w:bottom w:val="none" w:sz="0" w:space="0" w:color="auto"/>
            <w:right w:val="none" w:sz="0" w:space="0" w:color="auto"/>
          </w:divBdr>
        </w:div>
      </w:divsChild>
    </w:div>
    <w:div w:id="912083202">
      <w:bodyDiv w:val="1"/>
      <w:marLeft w:val="0"/>
      <w:marRight w:val="0"/>
      <w:marTop w:val="0"/>
      <w:marBottom w:val="0"/>
      <w:divBdr>
        <w:top w:val="none" w:sz="0" w:space="0" w:color="auto"/>
        <w:left w:val="none" w:sz="0" w:space="0" w:color="auto"/>
        <w:bottom w:val="none" w:sz="0" w:space="0" w:color="auto"/>
        <w:right w:val="none" w:sz="0" w:space="0" w:color="auto"/>
      </w:divBdr>
      <w:divsChild>
        <w:div w:id="1047988948">
          <w:marLeft w:val="0"/>
          <w:marRight w:val="0"/>
          <w:marTop w:val="0"/>
          <w:marBottom w:val="166"/>
          <w:divBdr>
            <w:top w:val="none" w:sz="0" w:space="0" w:color="auto"/>
            <w:left w:val="none" w:sz="0" w:space="0" w:color="auto"/>
            <w:bottom w:val="none" w:sz="0" w:space="0" w:color="auto"/>
            <w:right w:val="none" w:sz="0" w:space="0" w:color="auto"/>
          </w:divBdr>
          <w:divsChild>
            <w:div w:id="1920089954">
              <w:marLeft w:val="0"/>
              <w:marRight w:val="0"/>
              <w:marTop w:val="166"/>
              <w:marBottom w:val="166"/>
              <w:divBdr>
                <w:top w:val="none" w:sz="0" w:space="0" w:color="auto"/>
                <w:left w:val="none" w:sz="0" w:space="0" w:color="auto"/>
                <w:bottom w:val="none" w:sz="0" w:space="0" w:color="auto"/>
                <w:right w:val="none" w:sz="0" w:space="0" w:color="auto"/>
              </w:divBdr>
              <w:divsChild>
                <w:div w:id="1794056501">
                  <w:marLeft w:val="0"/>
                  <w:marRight w:val="0"/>
                  <w:marTop w:val="0"/>
                  <w:marBottom w:val="0"/>
                  <w:divBdr>
                    <w:top w:val="none" w:sz="0" w:space="0" w:color="auto"/>
                    <w:left w:val="none" w:sz="0" w:space="0" w:color="auto"/>
                    <w:bottom w:val="none" w:sz="0" w:space="0" w:color="auto"/>
                    <w:right w:val="none" w:sz="0" w:space="0" w:color="auto"/>
                  </w:divBdr>
                </w:div>
              </w:divsChild>
            </w:div>
            <w:div w:id="1861116768">
              <w:marLeft w:val="0"/>
              <w:marRight w:val="0"/>
              <w:marTop w:val="166"/>
              <w:marBottom w:val="166"/>
              <w:divBdr>
                <w:top w:val="none" w:sz="0" w:space="0" w:color="auto"/>
                <w:left w:val="none" w:sz="0" w:space="0" w:color="auto"/>
                <w:bottom w:val="none" w:sz="0" w:space="0" w:color="auto"/>
                <w:right w:val="none" w:sz="0" w:space="0" w:color="auto"/>
              </w:divBdr>
              <w:divsChild>
                <w:div w:id="750808074">
                  <w:marLeft w:val="0"/>
                  <w:marRight w:val="0"/>
                  <w:marTop w:val="0"/>
                  <w:marBottom w:val="0"/>
                  <w:divBdr>
                    <w:top w:val="none" w:sz="0" w:space="0" w:color="auto"/>
                    <w:left w:val="none" w:sz="0" w:space="0" w:color="auto"/>
                    <w:bottom w:val="none" w:sz="0" w:space="0" w:color="auto"/>
                    <w:right w:val="none" w:sz="0" w:space="0" w:color="auto"/>
                  </w:divBdr>
                </w:div>
              </w:divsChild>
            </w:div>
            <w:div w:id="671686820">
              <w:marLeft w:val="0"/>
              <w:marRight w:val="0"/>
              <w:marTop w:val="332"/>
              <w:marBottom w:val="332"/>
              <w:divBdr>
                <w:top w:val="single" w:sz="6" w:space="5" w:color="EAC3AF"/>
                <w:left w:val="single" w:sz="6" w:space="8" w:color="EAC3AF"/>
                <w:bottom w:val="single" w:sz="6" w:space="5" w:color="EAC3AF"/>
                <w:right w:val="single" w:sz="6" w:space="8" w:color="EAC3AF"/>
              </w:divBdr>
              <w:divsChild>
                <w:div w:id="514420194">
                  <w:marLeft w:val="0"/>
                  <w:marRight w:val="0"/>
                  <w:marTop w:val="0"/>
                  <w:marBottom w:val="0"/>
                  <w:divBdr>
                    <w:top w:val="none" w:sz="0" w:space="0" w:color="auto"/>
                    <w:left w:val="none" w:sz="0" w:space="0" w:color="auto"/>
                    <w:bottom w:val="none" w:sz="0" w:space="0" w:color="auto"/>
                    <w:right w:val="none" w:sz="0" w:space="0" w:color="auto"/>
                  </w:divBdr>
                  <w:divsChild>
                    <w:div w:id="18048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6698592">
          <w:marLeft w:val="0"/>
          <w:marRight w:val="0"/>
          <w:marTop w:val="0"/>
          <w:marBottom w:val="0"/>
          <w:divBdr>
            <w:top w:val="none" w:sz="0" w:space="0" w:color="auto"/>
            <w:left w:val="none" w:sz="0" w:space="0" w:color="auto"/>
            <w:bottom w:val="none" w:sz="0" w:space="0" w:color="auto"/>
            <w:right w:val="none" w:sz="0" w:space="0" w:color="auto"/>
          </w:divBdr>
          <w:divsChild>
            <w:div w:id="23136094">
              <w:marLeft w:val="0"/>
              <w:marRight w:val="0"/>
              <w:marTop w:val="0"/>
              <w:marBottom w:val="0"/>
              <w:divBdr>
                <w:top w:val="none" w:sz="0" w:space="0" w:color="auto"/>
                <w:left w:val="none" w:sz="0" w:space="0" w:color="auto"/>
                <w:bottom w:val="none" w:sz="0" w:space="0" w:color="auto"/>
                <w:right w:val="none" w:sz="0" w:space="0" w:color="auto"/>
              </w:divBdr>
            </w:div>
            <w:div w:id="1003241942">
              <w:marLeft w:val="0"/>
              <w:marRight w:val="0"/>
              <w:marTop w:val="0"/>
              <w:marBottom w:val="0"/>
              <w:divBdr>
                <w:top w:val="none" w:sz="0" w:space="0" w:color="auto"/>
                <w:left w:val="none" w:sz="0" w:space="0" w:color="auto"/>
                <w:bottom w:val="none" w:sz="0" w:space="0" w:color="auto"/>
                <w:right w:val="none" w:sz="0" w:space="0" w:color="auto"/>
              </w:divBdr>
            </w:div>
            <w:div w:id="1473056255">
              <w:marLeft w:val="0"/>
              <w:marRight w:val="0"/>
              <w:marTop w:val="0"/>
              <w:marBottom w:val="0"/>
              <w:divBdr>
                <w:top w:val="none" w:sz="0" w:space="0" w:color="auto"/>
                <w:left w:val="none" w:sz="0" w:space="0" w:color="auto"/>
                <w:bottom w:val="none" w:sz="0" w:space="0" w:color="auto"/>
                <w:right w:val="none" w:sz="0" w:space="0" w:color="auto"/>
              </w:divBdr>
            </w:div>
            <w:div w:id="2103186722">
              <w:marLeft w:val="0"/>
              <w:marRight w:val="0"/>
              <w:marTop w:val="0"/>
              <w:marBottom w:val="0"/>
              <w:divBdr>
                <w:top w:val="none" w:sz="0" w:space="0" w:color="auto"/>
                <w:left w:val="none" w:sz="0" w:space="0" w:color="auto"/>
                <w:bottom w:val="none" w:sz="0" w:space="0" w:color="auto"/>
                <w:right w:val="none" w:sz="0" w:space="0" w:color="auto"/>
              </w:divBdr>
            </w:div>
          </w:divsChild>
        </w:div>
        <w:div w:id="1362514629">
          <w:marLeft w:val="0"/>
          <w:marRight w:val="0"/>
          <w:marTop w:val="0"/>
          <w:marBottom w:val="0"/>
          <w:divBdr>
            <w:top w:val="none" w:sz="0" w:space="0" w:color="auto"/>
            <w:left w:val="none" w:sz="0" w:space="0" w:color="auto"/>
            <w:bottom w:val="none" w:sz="0" w:space="0" w:color="auto"/>
            <w:right w:val="none" w:sz="0" w:space="0" w:color="auto"/>
          </w:divBdr>
        </w:div>
        <w:div w:id="729111103">
          <w:marLeft w:val="0"/>
          <w:marRight w:val="0"/>
          <w:marTop w:val="332"/>
          <w:marBottom w:val="332"/>
          <w:divBdr>
            <w:top w:val="single" w:sz="6" w:space="0" w:color="DDDDDD"/>
            <w:left w:val="single" w:sz="6" w:space="8" w:color="DDDDDD"/>
            <w:bottom w:val="single" w:sz="6" w:space="0" w:color="DDDDDD"/>
            <w:right w:val="single" w:sz="6" w:space="8" w:color="DDDDDD"/>
          </w:divBdr>
          <w:divsChild>
            <w:div w:id="20982791">
              <w:marLeft w:val="0"/>
              <w:marRight w:val="0"/>
              <w:marTop w:val="0"/>
              <w:marBottom w:val="0"/>
              <w:divBdr>
                <w:top w:val="none" w:sz="0" w:space="0" w:color="auto"/>
                <w:left w:val="none" w:sz="0" w:space="0" w:color="auto"/>
                <w:bottom w:val="none" w:sz="0" w:space="0" w:color="auto"/>
                <w:right w:val="none" w:sz="0" w:space="0" w:color="auto"/>
              </w:divBdr>
            </w:div>
          </w:divsChild>
        </w:div>
        <w:div w:id="1173686295">
          <w:marLeft w:val="0"/>
          <w:marRight w:val="0"/>
          <w:marTop w:val="0"/>
          <w:marBottom w:val="0"/>
          <w:divBdr>
            <w:top w:val="none" w:sz="0" w:space="0" w:color="auto"/>
            <w:left w:val="none" w:sz="0" w:space="0" w:color="auto"/>
            <w:bottom w:val="none" w:sz="0" w:space="0" w:color="auto"/>
            <w:right w:val="none" w:sz="0" w:space="0" w:color="auto"/>
          </w:divBdr>
        </w:div>
        <w:div w:id="1029450983">
          <w:marLeft w:val="0"/>
          <w:marRight w:val="0"/>
          <w:marTop w:val="0"/>
          <w:marBottom w:val="0"/>
          <w:divBdr>
            <w:top w:val="none" w:sz="0" w:space="0" w:color="auto"/>
            <w:left w:val="none" w:sz="0" w:space="0" w:color="auto"/>
            <w:bottom w:val="none" w:sz="0" w:space="0" w:color="auto"/>
            <w:right w:val="none" w:sz="0" w:space="0" w:color="auto"/>
          </w:divBdr>
          <w:divsChild>
            <w:div w:id="71315177">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633974744">
                  <w:marLeft w:val="0"/>
                  <w:marRight w:val="0"/>
                  <w:marTop w:val="0"/>
                  <w:marBottom w:val="0"/>
                  <w:divBdr>
                    <w:top w:val="none" w:sz="0" w:space="0" w:color="auto"/>
                    <w:left w:val="none" w:sz="0" w:space="0" w:color="auto"/>
                    <w:bottom w:val="none" w:sz="0" w:space="0" w:color="auto"/>
                    <w:right w:val="none" w:sz="0" w:space="0" w:color="auto"/>
                  </w:divBdr>
                </w:div>
                <w:div w:id="1258447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8542235">
          <w:marLeft w:val="0"/>
          <w:marRight w:val="0"/>
          <w:marTop w:val="0"/>
          <w:marBottom w:val="0"/>
          <w:divBdr>
            <w:top w:val="none" w:sz="0" w:space="0" w:color="auto"/>
            <w:left w:val="none" w:sz="0" w:space="0" w:color="auto"/>
            <w:bottom w:val="none" w:sz="0" w:space="0" w:color="auto"/>
            <w:right w:val="none" w:sz="0" w:space="0" w:color="auto"/>
          </w:divBdr>
        </w:div>
        <w:div w:id="1597210199">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52192016">
              <w:marLeft w:val="0"/>
              <w:marRight w:val="0"/>
              <w:marTop w:val="0"/>
              <w:marBottom w:val="0"/>
              <w:divBdr>
                <w:top w:val="none" w:sz="0" w:space="0" w:color="auto"/>
                <w:left w:val="none" w:sz="0" w:space="0" w:color="auto"/>
                <w:bottom w:val="none" w:sz="0" w:space="0" w:color="auto"/>
                <w:right w:val="none" w:sz="0" w:space="0" w:color="auto"/>
              </w:divBdr>
            </w:div>
            <w:div w:id="94179809">
              <w:marLeft w:val="0"/>
              <w:marRight w:val="0"/>
              <w:marTop w:val="0"/>
              <w:marBottom w:val="0"/>
              <w:divBdr>
                <w:top w:val="none" w:sz="0" w:space="0" w:color="auto"/>
                <w:left w:val="none" w:sz="0" w:space="0" w:color="auto"/>
                <w:bottom w:val="none" w:sz="0" w:space="0" w:color="auto"/>
                <w:right w:val="none" w:sz="0" w:space="0" w:color="auto"/>
              </w:divBdr>
            </w:div>
          </w:divsChild>
        </w:div>
        <w:div w:id="70197606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807359780">
              <w:marLeft w:val="0"/>
              <w:marRight w:val="0"/>
              <w:marTop w:val="0"/>
              <w:marBottom w:val="0"/>
              <w:divBdr>
                <w:top w:val="none" w:sz="0" w:space="0" w:color="auto"/>
                <w:left w:val="none" w:sz="0" w:space="0" w:color="auto"/>
                <w:bottom w:val="none" w:sz="0" w:space="0" w:color="auto"/>
                <w:right w:val="none" w:sz="0" w:space="0" w:color="auto"/>
              </w:divBdr>
            </w:div>
            <w:div w:id="1670911224">
              <w:marLeft w:val="0"/>
              <w:marRight w:val="0"/>
              <w:marTop w:val="0"/>
              <w:marBottom w:val="0"/>
              <w:divBdr>
                <w:top w:val="none" w:sz="0" w:space="0" w:color="auto"/>
                <w:left w:val="none" w:sz="0" w:space="0" w:color="auto"/>
                <w:bottom w:val="none" w:sz="0" w:space="0" w:color="auto"/>
                <w:right w:val="none" w:sz="0" w:space="0" w:color="auto"/>
              </w:divBdr>
            </w:div>
            <w:div w:id="572934987">
              <w:marLeft w:val="0"/>
              <w:marRight w:val="0"/>
              <w:marTop w:val="332"/>
              <w:marBottom w:val="332"/>
              <w:divBdr>
                <w:top w:val="none" w:sz="0" w:space="0" w:color="auto"/>
                <w:left w:val="none" w:sz="0" w:space="0" w:color="auto"/>
                <w:bottom w:val="none" w:sz="0" w:space="0" w:color="auto"/>
                <w:right w:val="none" w:sz="0" w:space="0" w:color="auto"/>
              </w:divBdr>
              <w:divsChild>
                <w:div w:id="2099522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9920275">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112826636">
              <w:marLeft w:val="0"/>
              <w:marRight w:val="0"/>
              <w:marTop w:val="0"/>
              <w:marBottom w:val="332"/>
              <w:divBdr>
                <w:top w:val="none" w:sz="0" w:space="0" w:color="auto"/>
                <w:left w:val="none" w:sz="0" w:space="0" w:color="auto"/>
                <w:bottom w:val="none" w:sz="0" w:space="0" w:color="auto"/>
                <w:right w:val="none" w:sz="0" w:space="0" w:color="auto"/>
              </w:divBdr>
            </w:div>
            <w:div w:id="1592926920">
              <w:marLeft w:val="0"/>
              <w:marRight w:val="0"/>
              <w:marTop w:val="166"/>
              <w:marBottom w:val="0"/>
              <w:divBdr>
                <w:top w:val="none" w:sz="0" w:space="0" w:color="auto"/>
                <w:left w:val="none" w:sz="0" w:space="0" w:color="auto"/>
                <w:bottom w:val="none" w:sz="0" w:space="0" w:color="auto"/>
                <w:right w:val="none" w:sz="0" w:space="0" w:color="auto"/>
              </w:divBdr>
            </w:div>
            <w:div w:id="1447384481">
              <w:marLeft w:val="0"/>
              <w:marRight w:val="0"/>
              <w:marTop w:val="0"/>
              <w:marBottom w:val="0"/>
              <w:divBdr>
                <w:top w:val="none" w:sz="0" w:space="0" w:color="auto"/>
                <w:left w:val="none" w:sz="0" w:space="0" w:color="auto"/>
                <w:bottom w:val="none" w:sz="0" w:space="0" w:color="auto"/>
                <w:right w:val="none" w:sz="0" w:space="0" w:color="auto"/>
              </w:divBdr>
              <w:divsChild>
                <w:div w:id="1798719846">
                  <w:marLeft w:val="0"/>
                  <w:marRight w:val="0"/>
                  <w:marTop w:val="0"/>
                  <w:marBottom w:val="0"/>
                  <w:divBdr>
                    <w:top w:val="none" w:sz="0" w:space="0" w:color="auto"/>
                    <w:left w:val="none" w:sz="0" w:space="0" w:color="auto"/>
                    <w:bottom w:val="none" w:sz="0" w:space="0" w:color="auto"/>
                    <w:right w:val="none" w:sz="0" w:space="0" w:color="auto"/>
                  </w:divBdr>
                </w:div>
                <w:div w:id="1693529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1865508">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24280293">
              <w:marLeft w:val="0"/>
              <w:marRight w:val="0"/>
              <w:marTop w:val="0"/>
              <w:marBottom w:val="332"/>
              <w:divBdr>
                <w:top w:val="none" w:sz="0" w:space="0" w:color="auto"/>
                <w:left w:val="none" w:sz="0" w:space="0" w:color="auto"/>
                <w:bottom w:val="none" w:sz="0" w:space="0" w:color="auto"/>
                <w:right w:val="none" w:sz="0" w:space="0" w:color="auto"/>
              </w:divBdr>
            </w:div>
            <w:div w:id="550918155">
              <w:marLeft w:val="0"/>
              <w:marRight w:val="0"/>
              <w:marTop w:val="0"/>
              <w:marBottom w:val="0"/>
              <w:divBdr>
                <w:top w:val="none" w:sz="0" w:space="0" w:color="auto"/>
                <w:left w:val="none" w:sz="0" w:space="0" w:color="auto"/>
                <w:bottom w:val="none" w:sz="0" w:space="0" w:color="auto"/>
                <w:right w:val="none" w:sz="0" w:space="0" w:color="auto"/>
              </w:divBdr>
              <w:divsChild>
                <w:div w:id="781148023">
                  <w:marLeft w:val="0"/>
                  <w:marRight w:val="0"/>
                  <w:marTop w:val="0"/>
                  <w:marBottom w:val="0"/>
                  <w:divBdr>
                    <w:top w:val="none" w:sz="0" w:space="0" w:color="auto"/>
                    <w:left w:val="none" w:sz="0" w:space="0" w:color="auto"/>
                    <w:bottom w:val="none" w:sz="0" w:space="0" w:color="auto"/>
                    <w:right w:val="none" w:sz="0" w:space="0" w:color="auto"/>
                  </w:divBdr>
                </w:div>
                <w:div w:id="1782142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1945204">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179126177">
              <w:marLeft w:val="0"/>
              <w:marRight w:val="0"/>
              <w:marTop w:val="0"/>
              <w:marBottom w:val="332"/>
              <w:divBdr>
                <w:top w:val="none" w:sz="0" w:space="0" w:color="auto"/>
                <w:left w:val="none" w:sz="0" w:space="0" w:color="auto"/>
                <w:bottom w:val="none" w:sz="0" w:space="0" w:color="auto"/>
                <w:right w:val="none" w:sz="0" w:space="0" w:color="auto"/>
              </w:divBdr>
            </w:div>
            <w:div w:id="1813521205">
              <w:marLeft w:val="0"/>
              <w:marRight w:val="0"/>
              <w:marTop w:val="166"/>
              <w:marBottom w:val="0"/>
              <w:divBdr>
                <w:top w:val="none" w:sz="0" w:space="0" w:color="auto"/>
                <w:left w:val="none" w:sz="0" w:space="0" w:color="auto"/>
                <w:bottom w:val="none" w:sz="0" w:space="0" w:color="auto"/>
                <w:right w:val="none" w:sz="0" w:space="0" w:color="auto"/>
              </w:divBdr>
            </w:div>
            <w:div w:id="727411674">
              <w:marLeft w:val="0"/>
              <w:marRight w:val="0"/>
              <w:marTop w:val="0"/>
              <w:marBottom w:val="0"/>
              <w:divBdr>
                <w:top w:val="none" w:sz="0" w:space="0" w:color="auto"/>
                <w:left w:val="none" w:sz="0" w:space="0" w:color="auto"/>
                <w:bottom w:val="none" w:sz="0" w:space="0" w:color="auto"/>
                <w:right w:val="none" w:sz="0" w:space="0" w:color="auto"/>
              </w:divBdr>
              <w:divsChild>
                <w:div w:id="909123851">
                  <w:marLeft w:val="0"/>
                  <w:marRight w:val="0"/>
                  <w:marTop w:val="0"/>
                  <w:marBottom w:val="0"/>
                  <w:divBdr>
                    <w:top w:val="none" w:sz="0" w:space="0" w:color="auto"/>
                    <w:left w:val="none" w:sz="0" w:space="0" w:color="auto"/>
                    <w:bottom w:val="none" w:sz="0" w:space="0" w:color="auto"/>
                    <w:right w:val="none" w:sz="0" w:space="0" w:color="auto"/>
                  </w:divBdr>
                </w:div>
                <w:div w:id="1073547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690435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2062778043">
              <w:marLeft w:val="0"/>
              <w:marRight w:val="0"/>
              <w:marTop w:val="0"/>
              <w:marBottom w:val="332"/>
              <w:divBdr>
                <w:top w:val="none" w:sz="0" w:space="0" w:color="auto"/>
                <w:left w:val="none" w:sz="0" w:space="0" w:color="auto"/>
                <w:bottom w:val="none" w:sz="0" w:space="0" w:color="auto"/>
                <w:right w:val="none" w:sz="0" w:space="0" w:color="auto"/>
              </w:divBdr>
            </w:div>
            <w:div w:id="2017422025">
              <w:marLeft w:val="0"/>
              <w:marRight w:val="0"/>
              <w:marTop w:val="166"/>
              <w:marBottom w:val="0"/>
              <w:divBdr>
                <w:top w:val="none" w:sz="0" w:space="0" w:color="auto"/>
                <w:left w:val="none" w:sz="0" w:space="0" w:color="auto"/>
                <w:bottom w:val="none" w:sz="0" w:space="0" w:color="auto"/>
                <w:right w:val="none" w:sz="0" w:space="0" w:color="auto"/>
              </w:divBdr>
            </w:div>
            <w:div w:id="586498782">
              <w:marLeft w:val="0"/>
              <w:marRight w:val="0"/>
              <w:marTop w:val="0"/>
              <w:marBottom w:val="0"/>
              <w:divBdr>
                <w:top w:val="none" w:sz="0" w:space="0" w:color="auto"/>
                <w:left w:val="none" w:sz="0" w:space="0" w:color="auto"/>
                <w:bottom w:val="none" w:sz="0" w:space="0" w:color="auto"/>
                <w:right w:val="none" w:sz="0" w:space="0" w:color="auto"/>
              </w:divBdr>
              <w:divsChild>
                <w:div w:id="1170177365">
                  <w:marLeft w:val="0"/>
                  <w:marRight w:val="0"/>
                  <w:marTop w:val="0"/>
                  <w:marBottom w:val="0"/>
                  <w:divBdr>
                    <w:top w:val="none" w:sz="0" w:space="0" w:color="auto"/>
                    <w:left w:val="none" w:sz="0" w:space="0" w:color="auto"/>
                    <w:bottom w:val="none" w:sz="0" w:space="0" w:color="auto"/>
                    <w:right w:val="none" w:sz="0" w:space="0" w:color="auto"/>
                  </w:divBdr>
                </w:div>
                <w:div w:id="1139493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8193210">
          <w:marLeft w:val="0"/>
          <w:marRight w:val="0"/>
          <w:marTop w:val="166"/>
          <w:marBottom w:val="166"/>
          <w:divBdr>
            <w:top w:val="none" w:sz="0" w:space="0" w:color="auto"/>
            <w:left w:val="none" w:sz="0" w:space="0" w:color="auto"/>
            <w:bottom w:val="none" w:sz="0" w:space="0" w:color="auto"/>
            <w:right w:val="none" w:sz="0" w:space="0" w:color="auto"/>
          </w:divBdr>
        </w:div>
        <w:div w:id="1689602611">
          <w:marLeft w:val="0"/>
          <w:marRight w:val="0"/>
          <w:marTop w:val="0"/>
          <w:marBottom w:val="0"/>
          <w:divBdr>
            <w:top w:val="none" w:sz="0" w:space="0" w:color="auto"/>
            <w:left w:val="none" w:sz="0" w:space="0" w:color="auto"/>
            <w:bottom w:val="none" w:sz="0" w:space="0" w:color="auto"/>
            <w:right w:val="none" w:sz="0" w:space="0" w:color="auto"/>
          </w:divBdr>
          <w:divsChild>
            <w:div w:id="800414995">
              <w:marLeft w:val="0"/>
              <w:marRight w:val="0"/>
              <w:marTop w:val="166"/>
              <w:marBottom w:val="166"/>
              <w:divBdr>
                <w:top w:val="none" w:sz="0" w:space="0" w:color="auto"/>
                <w:left w:val="none" w:sz="0" w:space="0" w:color="auto"/>
                <w:bottom w:val="none" w:sz="0" w:space="0" w:color="auto"/>
                <w:right w:val="none" w:sz="0" w:space="0" w:color="auto"/>
              </w:divBdr>
            </w:div>
            <w:div w:id="964190927">
              <w:marLeft w:val="0"/>
              <w:marRight w:val="0"/>
              <w:marTop w:val="166"/>
              <w:marBottom w:val="166"/>
              <w:divBdr>
                <w:top w:val="none" w:sz="0" w:space="0" w:color="auto"/>
                <w:left w:val="none" w:sz="0" w:space="0" w:color="auto"/>
                <w:bottom w:val="none" w:sz="0" w:space="0" w:color="auto"/>
                <w:right w:val="none" w:sz="0" w:space="0" w:color="auto"/>
              </w:divBdr>
            </w:div>
            <w:div w:id="1320574736">
              <w:marLeft w:val="0"/>
              <w:marRight w:val="0"/>
              <w:marTop w:val="166"/>
              <w:marBottom w:val="166"/>
              <w:divBdr>
                <w:top w:val="none" w:sz="0" w:space="0" w:color="auto"/>
                <w:left w:val="none" w:sz="0" w:space="0" w:color="auto"/>
                <w:bottom w:val="none" w:sz="0" w:space="0" w:color="auto"/>
                <w:right w:val="none" w:sz="0" w:space="0" w:color="auto"/>
              </w:divBdr>
            </w:div>
            <w:div w:id="180289889">
              <w:marLeft w:val="0"/>
              <w:marRight w:val="0"/>
              <w:marTop w:val="166"/>
              <w:marBottom w:val="166"/>
              <w:divBdr>
                <w:top w:val="none" w:sz="0" w:space="0" w:color="auto"/>
                <w:left w:val="none" w:sz="0" w:space="0" w:color="auto"/>
                <w:bottom w:val="none" w:sz="0" w:space="0" w:color="auto"/>
                <w:right w:val="none" w:sz="0" w:space="0" w:color="auto"/>
              </w:divBdr>
            </w:div>
            <w:div w:id="1925842183">
              <w:marLeft w:val="0"/>
              <w:marRight w:val="0"/>
              <w:marTop w:val="166"/>
              <w:marBottom w:val="166"/>
              <w:divBdr>
                <w:top w:val="none" w:sz="0" w:space="0" w:color="auto"/>
                <w:left w:val="none" w:sz="0" w:space="0" w:color="auto"/>
                <w:bottom w:val="none" w:sz="0" w:space="0" w:color="auto"/>
                <w:right w:val="none" w:sz="0" w:space="0" w:color="auto"/>
              </w:divBdr>
            </w:div>
            <w:div w:id="1699043026">
              <w:marLeft w:val="0"/>
              <w:marRight w:val="0"/>
              <w:marTop w:val="166"/>
              <w:marBottom w:val="166"/>
              <w:divBdr>
                <w:top w:val="none" w:sz="0" w:space="0" w:color="auto"/>
                <w:left w:val="none" w:sz="0" w:space="0" w:color="auto"/>
                <w:bottom w:val="none" w:sz="0" w:space="0" w:color="auto"/>
                <w:right w:val="none" w:sz="0" w:space="0" w:color="auto"/>
              </w:divBdr>
            </w:div>
            <w:div w:id="1226573158">
              <w:marLeft w:val="0"/>
              <w:marRight w:val="0"/>
              <w:marTop w:val="166"/>
              <w:marBottom w:val="166"/>
              <w:divBdr>
                <w:top w:val="none" w:sz="0" w:space="0" w:color="auto"/>
                <w:left w:val="none" w:sz="0" w:space="0" w:color="auto"/>
                <w:bottom w:val="none" w:sz="0" w:space="0" w:color="auto"/>
                <w:right w:val="none" w:sz="0" w:space="0" w:color="auto"/>
              </w:divBdr>
            </w:div>
            <w:div w:id="718825720">
              <w:marLeft w:val="0"/>
              <w:marRight w:val="0"/>
              <w:marTop w:val="166"/>
              <w:marBottom w:val="166"/>
              <w:divBdr>
                <w:top w:val="none" w:sz="0" w:space="0" w:color="auto"/>
                <w:left w:val="none" w:sz="0" w:space="0" w:color="auto"/>
                <w:bottom w:val="none" w:sz="0" w:space="0" w:color="auto"/>
                <w:right w:val="none" w:sz="0" w:space="0" w:color="auto"/>
              </w:divBdr>
            </w:div>
            <w:div w:id="386414056">
              <w:marLeft w:val="0"/>
              <w:marRight w:val="0"/>
              <w:marTop w:val="166"/>
              <w:marBottom w:val="166"/>
              <w:divBdr>
                <w:top w:val="none" w:sz="0" w:space="0" w:color="auto"/>
                <w:left w:val="none" w:sz="0" w:space="0" w:color="auto"/>
                <w:bottom w:val="none" w:sz="0" w:space="0" w:color="auto"/>
                <w:right w:val="none" w:sz="0" w:space="0" w:color="auto"/>
              </w:divBdr>
            </w:div>
            <w:div w:id="404769802">
              <w:marLeft w:val="0"/>
              <w:marRight w:val="0"/>
              <w:marTop w:val="166"/>
              <w:marBottom w:val="166"/>
              <w:divBdr>
                <w:top w:val="none" w:sz="0" w:space="0" w:color="auto"/>
                <w:left w:val="none" w:sz="0" w:space="0" w:color="auto"/>
                <w:bottom w:val="none" w:sz="0" w:space="0" w:color="auto"/>
                <w:right w:val="none" w:sz="0" w:space="0" w:color="auto"/>
              </w:divBdr>
            </w:div>
            <w:div w:id="845435530">
              <w:marLeft w:val="0"/>
              <w:marRight w:val="0"/>
              <w:marTop w:val="166"/>
              <w:marBottom w:val="166"/>
              <w:divBdr>
                <w:top w:val="none" w:sz="0" w:space="0" w:color="auto"/>
                <w:left w:val="none" w:sz="0" w:space="0" w:color="auto"/>
                <w:bottom w:val="none" w:sz="0" w:space="0" w:color="auto"/>
                <w:right w:val="none" w:sz="0" w:space="0" w:color="auto"/>
              </w:divBdr>
            </w:div>
            <w:div w:id="617643272">
              <w:marLeft w:val="0"/>
              <w:marRight w:val="0"/>
              <w:marTop w:val="166"/>
              <w:marBottom w:val="166"/>
              <w:divBdr>
                <w:top w:val="none" w:sz="0" w:space="0" w:color="auto"/>
                <w:left w:val="none" w:sz="0" w:space="0" w:color="auto"/>
                <w:bottom w:val="none" w:sz="0" w:space="0" w:color="auto"/>
                <w:right w:val="none" w:sz="0" w:space="0" w:color="auto"/>
              </w:divBdr>
            </w:div>
            <w:div w:id="1016924780">
              <w:marLeft w:val="0"/>
              <w:marRight w:val="0"/>
              <w:marTop w:val="166"/>
              <w:marBottom w:val="166"/>
              <w:divBdr>
                <w:top w:val="none" w:sz="0" w:space="0" w:color="auto"/>
                <w:left w:val="none" w:sz="0" w:space="0" w:color="auto"/>
                <w:bottom w:val="none" w:sz="0" w:space="0" w:color="auto"/>
                <w:right w:val="none" w:sz="0" w:space="0" w:color="auto"/>
              </w:divBdr>
            </w:div>
            <w:div w:id="1396511018">
              <w:marLeft w:val="0"/>
              <w:marRight w:val="0"/>
              <w:marTop w:val="166"/>
              <w:marBottom w:val="166"/>
              <w:divBdr>
                <w:top w:val="none" w:sz="0" w:space="0" w:color="auto"/>
                <w:left w:val="none" w:sz="0" w:space="0" w:color="auto"/>
                <w:bottom w:val="none" w:sz="0" w:space="0" w:color="auto"/>
                <w:right w:val="none" w:sz="0" w:space="0" w:color="auto"/>
              </w:divBdr>
            </w:div>
            <w:div w:id="1916239555">
              <w:marLeft w:val="0"/>
              <w:marRight w:val="0"/>
              <w:marTop w:val="166"/>
              <w:marBottom w:val="166"/>
              <w:divBdr>
                <w:top w:val="none" w:sz="0" w:space="0" w:color="auto"/>
                <w:left w:val="none" w:sz="0" w:space="0" w:color="auto"/>
                <w:bottom w:val="none" w:sz="0" w:space="0" w:color="auto"/>
                <w:right w:val="none" w:sz="0" w:space="0" w:color="auto"/>
              </w:divBdr>
            </w:div>
            <w:div w:id="873805694">
              <w:marLeft w:val="0"/>
              <w:marRight w:val="0"/>
              <w:marTop w:val="166"/>
              <w:marBottom w:val="166"/>
              <w:divBdr>
                <w:top w:val="none" w:sz="0" w:space="0" w:color="auto"/>
                <w:left w:val="none" w:sz="0" w:space="0" w:color="auto"/>
                <w:bottom w:val="none" w:sz="0" w:space="0" w:color="auto"/>
                <w:right w:val="none" w:sz="0" w:space="0" w:color="auto"/>
              </w:divBdr>
            </w:div>
            <w:div w:id="1828932558">
              <w:marLeft w:val="0"/>
              <w:marRight w:val="0"/>
              <w:marTop w:val="166"/>
              <w:marBottom w:val="166"/>
              <w:divBdr>
                <w:top w:val="none" w:sz="0" w:space="0" w:color="auto"/>
                <w:left w:val="none" w:sz="0" w:space="0" w:color="auto"/>
                <w:bottom w:val="none" w:sz="0" w:space="0" w:color="auto"/>
                <w:right w:val="none" w:sz="0" w:space="0" w:color="auto"/>
              </w:divBdr>
            </w:div>
            <w:div w:id="1207522044">
              <w:marLeft w:val="0"/>
              <w:marRight w:val="0"/>
              <w:marTop w:val="166"/>
              <w:marBottom w:val="166"/>
              <w:divBdr>
                <w:top w:val="none" w:sz="0" w:space="0" w:color="auto"/>
                <w:left w:val="none" w:sz="0" w:space="0" w:color="auto"/>
                <w:bottom w:val="none" w:sz="0" w:space="0" w:color="auto"/>
                <w:right w:val="none" w:sz="0" w:space="0" w:color="auto"/>
              </w:divBdr>
            </w:div>
            <w:div w:id="705376207">
              <w:marLeft w:val="0"/>
              <w:marRight w:val="0"/>
              <w:marTop w:val="166"/>
              <w:marBottom w:val="166"/>
              <w:divBdr>
                <w:top w:val="none" w:sz="0" w:space="0" w:color="auto"/>
                <w:left w:val="none" w:sz="0" w:space="0" w:color="auto"/>
                <w:bottom w:val="none" w:sz="0" w:space="0" w:color="auto"/>
                <w:right w:val="none" w:sz="0" w:space="0" w:color="auto"/>
              </w:divBdr>
            </w:div>
            <w:div w:id="1008290053">
              <w:marLeft w:val="0"/>
              <w:marRight w:val="0"/>
              <w:marTop w:val="166"/>
              <w:marBottom w:val="166"/>
              <w:divBdr>
                <w:top w:val="none" w:sz="0" w:space="0" w:color="auto"/>
                <w:left w:val="none" w:sz="0" w:space="0" w:color="auto"/>
                <w:bottom w:val="none" w:sz="0" w:space="0" w:color="auto"/>
                <w:right w:val="none" w:sz="0" w:space="0" w:color="auto"/>
              </w:divBdr>
            </w:div>
            <w:div w:id="1392073240">
              <w:marLeft w:val="0"/>
              <w:marRight w:val="0"/>
              <w:marTop w:val="166"/>
              <w:marBottom w:val="166"/>
              <w:divBdr>
                <w:top w:val="none" w:sz="0" w:space="0" w:color="auto"/>
                <w:left w:val="none" w:sz="0" w:space="0" w:color="auto"/>
                <w:bottom w:val="none" w:sz="0" w:space="0" w:color="auto"/>
                <w:right w:val="none" w:sz="0" w:space="0" w:color="auto"/>
              </w:divBdr>
            </w:div>
            <w:div w:id="1853714402">
              <w:marLeft w:val="0"/>
              <w:marRight w:val="0"/>
              <w:marTop w:val="166"/>
              <w:marBottom w:val="166"/>
              <w:divBdr>
                <w:top w:val="none" w:sz="0" w:space="0" w:color="auto"/>
                <w:left w:val="none" w:sz="0" w:space="0" w:color="auto"/>
                <w:bottom w:val="none" w:sz="0" w:space="0" w:color="auto"/>
                <w:right w:val="none" w:sz="0" w:space="0" w:color="auto"/>
              </w:divBdr>
            </w:div>
            <w:div w:id="1340428027">
              <w:marLeft w:val="0"/>
              <w:marRight w:val="0"/>
              <w:marTop w:val="166"/>
              <w:marBottom w:val="166"/>
              <w:divBdr>
                <w:top w:val="none" w:sz="0" w:space="0" w:color="auto"/>
                <w:left w:val="none" w:sz="0" w:space="0" w:color="auto"/>
                <w:bottom w:val="none" w:sz="0" w:space="0" w:color="auto"/>
                <w:right w:val="none" w:sz="0" w:space="0" w:color="auto"/>
              </w:divBdr>
            </w:div>
            <w:div w:id="214244076">
              <w:marLeft w:val="0"/>
              <w:marRight w:val="0"/>
              <w:marTop w:val="166"/>
              <w:marBottom w:val="166"/>
              <w:divBdr>
                <w:top w:val="none" w:sz="0" w:space="0" w:color="auto"/>
                <w:left w:val="none" w:sz="0" w:space="0" w:color="auto"/>
                <w:bottom w:val="none" w:sz="0" w:space="0" w:color="auto"/>
                <w:right w:val="none" w:sz="0" w:space="0" w:color="auto"/>
              </w:divBdr>
            </w:div>
            <w:div w:id="1548684649">
              <w:marLeft w:val="0"/>
              <w:marRight w:val="0"/>
              <w:marTop w:val="166"/>
              <w:marBottom w:val="166"/>
              <w:divBdr>
                <w:top w:val="none" w:sz="0" w:space="0" w:color="auto"/>
                <w:left w:val="none" w:sz="0" w:space="0" w:color="auto"/>
                <w:bottom w:val="none" w:sz="0" w:space="0" w:color="auto"/>
                <w:right w:val="none" w:sz="0" w:space="0" w:color="auto"/>
              </w:divBdr>
            </w:div>
            <w:div w:id="195898173">
              <w:marLeft w:val="0"/>
              <w:marRight w:val="0"/>
              <w:marTop w:val="166"/>
              <w:marBottom w:val="166"/>
              <w:divBdr>
                <w:top w:val="none" w:sz="0" w:space="0" w:color="auto"/>
                <w:left w:val="none" w:sz="0" w:space="0" w:color="auto"/>
                <w:bottom w:val="none" w:sz="0" w:space="0" w:color="auto"/>
                <w:right w:val="none" w:sz="0" w:space="0" w:color="auto"/>
              </w:divBdr>
            </w:div>
            <w:div w:id="1309940888">
              <w:marLeft w:val="0"/>
              <w:marRight w:val="0"/>
              <w:marTop w:val="166"/>
              <w:marBottom w:val="166"/>
              <w:divBdr>
                <w:top w:val="none" w:sz="0" w:space="0" w:color="auto"/>
                <w:left w:val="none" w:sz="0" w:space="0" w:color="auto"/>
                <w:bottom w:val="none" w:sz="0" w:space="0" w:color="auto"/>
                <w:right w:val="none" w:sz="0" w:space="0" w:color="auto"/>
              </w:divBdr>
            </w:div>
            <w:div w:id="1972705560">
              <w:marLeft w:val="0"/>
              <w:marRight w:val="0"/>
              <w:marTop w:val="166"/>
              <w:marBottom w:val="166"/>
              <w:divBdr>
                <w:top w:val="none" w:sz="0" w:space="0" w:color="auto"/>
                <w:left w:val="none" w:sz="0" w:space="0" w:color="auto"/>
                <w:bottom w:val="none" w:sz="0" w:space="0" w:color="auto"/>
                <w:right w:val="none" w:sz="0" w:space="0" w:color="auto"/>
              </w:divBdr>
            </w:div>
            <w:div w:id="1341472062">
              <w:marLeft w:val="0"/>
              <w:marRight w:val="0"/>
              <w:marTop w:val="166"/>
              <w:marBottom w:val="166"/>
              <w:divBdr>
                <w:top w:val="none" w:sz="0" w:space="0" w:color="auto"/>
                <w:left w:val="none" w:sz="0" w:space="0" w:color="auto"/>
                <w:bottom w:val="none" w:sz="0" w:space="0" w:color="auto"/>
                <w:right w:val="none" w:sz="0" w:space="0" w:color="auto"/>
              </w:divBdr>
            </w:div>
            <w:div w:id="246808919">
              <w:marLeft w:val="0"/>
              <w:marRight w:val="0"/>
              <w:marTop w:val="166"/>
              <w:marBottom w:val="166"/>
              <w:divBdr>
                <w:top w:val="none" w:sz="0" w:space="0" w:color="auto"/>
                <w:left w:val="none" w:sz="0" w:space="0" w:color="auto"/>
                <w:bottom w:val="none" w:sz="0" w:space="0" w:color="auto"/>
                <w:right w:val="none" w:sz="0" w:space="0" w:color="auto"/>
              </w:divBdr>
            </w:div>
          </w:divsChild>
        </w:div>
      </w:divsChild>
    </w:div>
    <w:div w:id="915633309">
      <w:bodyDiv w:val="1"/>
      <w:marLeft w:val="0"/>
      <w:marRight w:val="0"/>
      <w:marTop w:val="0"/>
      <w:marBottom w:val="0"/>
      <w:divBdr>
        <w:top w:val="none" w:sz="0" w:space="0" w:color="auto"/>
        <w:left w:val="none" w:sz="0" w:space="0" w:color="auto"/>
        <w:bottom w:val="none" w:sz="0" w:space="0" w:color="auto"/>
        <w:right w:val="none" w:sz="0" w:space="0" w:color="auto"/>
      </w:divBdr>
    </w:div>
    <w:div w:id="917442090">
      <w:bodyDiv w:val="1"/>
      <w:marLeft w:val="0"/>
      <w:marRight w:val="0"/>
      <w:marTop w:val="0"/>
      <w:marBottom w:val="0"/>
      <w:divBdr>
        <w:top w:val="none" w:sz="0" w:space="0" w:color="auto"/>
        <w:left w:val="none" w:sz="0" w:space="0" w:color="auto"/>
        <w:bottom w:val="none" w:sz="0" w:space="0" w:color="auto"/>
        <w:right w:val="none" w:sz="0" w:space="0" w:color="auto"/>
      </w:divBdr>
      <w:divsChild>
        <w:div w:id="1803768157">
          <w:marLeft w:val="0"/>
          <w:marRight w:val="0"/>
          <w:marTop w:val="0"/>
          <w:marBottom w:val="166"/>
          <w:divBdr>
            <w:top w:val="none" w:sz="0" w:space="0" w:color="auto"/>
            <w:left w:val="none" w:sz="0" w:space="0" w:color="auto"/>
            <w:bottom w:val="none" w:sz="0" w:space="0" w:color="auto"/>
            <w:right w:val="none" w:sz="0" w:space="0" w:color="auto"/>
          </w:divBdr>
          <w:divsChild>
            <w:div w:id="535580722">
              <w:marLeft w:val="0"/>
              <w:marRight w:val="0"/>
              <w:marTop w:val="166"/>
              <w:marBottom w:val="166"/>
              <w:divBdr>
                <w:top w:val="none" w:sz="0" w:space="0" w:color="auto"/>
                <w:left w:val="none" w:sz="0" w:space="0" w:color="auto"/>
                <w:bottom w:val="none" w:sz="0" w:space="0" w:color="auto"/>
                <w:right w:val="none" w:sz="0" w:space="0" w:color="auto"/>
              </w:divBdr>
              <w:divsChild>
                <w:div w:id="329917580">
                  <w:marLeft w:val="0"/>
                  <w:marRight w:val="0"/>
                  <w:marTop w:val="0"/>
                  <w:marBottom w:val="0"/>
                  <w:divBdr>
                    <w:top w:val="none" w:sz="0" w:space="0" w:color="auto"/>
                    <w:left w:val="none" w:sz="0" w:space="0" w:color="auto"/>
                    <w:bottom w:val="none" w:sz="0" w:space="0" w:color="auto"/>
                    <w:right w:val="none" w:sz="0" w:space="0" w:color="auto"/>
                  </w:divBdr>
                </w:div>
              </w:divsChild>
            </w:div>
            <w:div w:id="1802308411">
              <w:marLeft w:val="0"/>
              <w:marRight w:val="0"/>
              <w:marTop w:val="166"/>
              <w:marBottom w:val="166"/>
              <w:divBdr>
                <w:top w:val="none" w:sz="0" w:space="0" w:color="auto"/>
                <w:left w:val="none" w:sz="0" w:space="0" w:color="auto"/>
                <w:bottom w:val="none" w:sz="0" w:space="0" w:color="auto"/>
                <w:right w:val="none" w:sz="0" w:space="0" w:color="auto"/>
              </w:divBdr>
              <w:divsChild>
                <w:div w:id="733044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7608613">
          <w:marLeft w:val="0"/>
          <w:marRight w:val="0"/>
          <w:marTop w:val="0"/>
          <w:marBottom w:val="0"/>
          <w:divBdr>
            <w:top w:val="none" w:sz="0" w:space="0" w:color="auto"/>
            <w:left w:val="none" w:sz="0" w:space="0" w:color="auto"/>
            <w:bottom w:val="none" w:sz="0" w:space="0" w:color="auto"/>
            <w:right w:val="none" w:sz="0" w:space="0" w:color="auto"/>
          </w:divBdr>
          <w:divsChild>
            <w:div w:id="19204966">
              <w:marLeft w:val="0"/>
              <w:marRight w:val="0"/>
              <w:marTop w:val="0"/>
              <w:marBottom w:val="0"/>
              <w:divBdr>
                <w:top w:val="none" w:sz="0" w:space="0" w:color="auto"/>
                <w:left w:val="none" w:sz="0" w:space="0" w:color="auto"/>
                <w:bottom w:val="none" w:sz="0" w:space="0" w:color="auto"/>
                <w:right w:val="none" w:sz="0" w:space="0" w:color="auto"/>
              </w:divBdr>
            </w:div>
            <w:div w:id="1476290024">
              <w:marLeft w:val="0"/>
              <w:marRight w:val="0"/>
              <w:marTop w:val="0"/>
              <w:marBottom w:val="0"/>
              <w:divBdr>
                <w:top w:val="none" w:sz="0" w:space="0" w:color="auto"/>
                <w:left w:val="none" w:sz="0" w:space="0" w:color="auto"/>
                <w:bottom w:val="none" w:sz="0" w:space="0" w:color="auto"/>
                <w:right w:val="none" w:sz="0" w:space="0" w:color="auto"/>
              </w:divBdr>
            </w:div>
            <w:div w:id="237710162">
              <w:marLeft w:val="0"/>
              <w:marRight w:val="0"/>
              <w:marTop w:val="0"/>
              <w:marBottom w:val="0"/>
              <w:divBdr>
                <w:top w:val="none" w:sz="0" w:space="0" w:color="auto"/>
                <w:left w:val="none" w:sz="0" w:space="0" w:color="auto"/>
                <w:bottom w:val="none" w:sz="0" w:space="0" w:color="auto"/>
                <w:right w:val="none" w:sz="0" w:space="0" w:color="auto"/>
              </w:divBdr>
            </w:div>
            <w:div w:id="96684105">
              <w:marLeft w:val="0"/>
              <w:marRight w:val="0"/>
              <w:marTop w:val="0"/>
              <w:marBottom w:val="0"/>
              <w:divBdr>
                <w:top w:val="none" w:sz="0" w:space="0" w:color="auto"/>
                <w:left w:val="none" w:sz="0" w:space="0" w:color="auto"/>
                <w:bottom w:val="none" w:sz="0" w:space="0" w:color="auto"/>
                <w:right w:val="none" w:sz="0" w:space="0" w:color="auto"/>
              </w:divBdr>
            </w:div>
          </w:divsChild>
        </w:div>
        <w:div w:id="2114350488">
          <w:marLeft w:val="0"/>
          <w:marRight w:val="0"/>
          <w:marTop w:val="0"/>
          <w:marBottom w:val="0"/>
          <w:divBdr>
            <w:top w:val="none" w:sz="0" w:space="0" w:color="auto"/>
            <w:left w:val="none" w:sz="0" w:space="0" w:color="auto"/>
            <w:bottom w:val="none" w:sz="0" w:space="0" w:color="auto"/>
            <w:right w:val="none" w:sz="0" w:space="0" w:color="auto"/>
          </w:divBdr>
        </w:div>
        <w:div w:id="462121750">
          <w:marLeft w:val="0"/>
          <w:marRight w:val="0"/>
          <w:marTop w:val="0"/>
          <w:marBottom w:val="0"/>
          <w:divBdr>
            <w:top w:val="none" w:sz="0" w:space="0" w:color="auto"/>
            <w:left w:val="none" w:sz="0" w:space="0" w:color="auto"/>
            <w:bottom w:val="none" w:sz="0" w:space="0" w:color="auto"/>
            <w:right w:val="none" w:sz="0" w:space="0" w:color="auto"/>
          </w:divBdr>
        </w:div>
        <w:div w:id="830414787">
          <w:marLeft w:val="0"/>
          <w:marRight w:val="0"/>
          <w:marTop w:val="0"/>
          <w:marBottom w:val="0"/>
          <w:divBdr>
            <w:top w:val="none" w:sz="0" w:space="0" w:color="auto"/>
            <w:left w:val="none" w:sz="0" w:space="0" w:color="auto"/>
            <w:bottom w:val="none" w:sz="0" w:space="0" w:color="auto"/>
            <w:right w:val="none" w:sz="0" w:space="0" w:color="auto"/>
          </w:divBdr>
          <w:divsChild>
            <w:div w:id="1133907973">
              <w:marLeft w:val="0"/>
              <w:marRight w:val="0"/>
              <w:marTop w:val="0"/>
              <w:marBottom w:val="0"/>
              <w:divBdr>
                <w:top w:val="none" w:sz="0" w:space="0" w:color="auto"/>
                <w:left w:val="none" w:sz="0" w:space="0" w:color="auto"/>
                <w:bottom w:val="none" w:sz="0" w:space="0" w:color="auto"/>
                <w:right w:val="none" w:sz="0" w:space="0" w:color="auto"/>
              </w:divBdr>
            </w:div>
            <w:div w:id="264464185">
              <w:marLeft w:val="0"/>
              <w:marRight w:val="0"/>
              <w:marTop w:val="0"/>
              <w:marBottom w:val="0"/>
              <w:divBdr>
                <w:top w:val="none" w:sz="0" w:space="0" w:color="auto"/>
                <w:left w:val="none" w:sz="0" w:space="0" w:color="auto"/>
                <w:bottom w:val="none" w:sz="0" w:space="0" w:color="auto"/>
                <w:right w:val="none" w:sz="0" w:space="0" w:color="auto"/>
              </w:divBdr>
            </w:div>
            <w:div w:id="258416251">
              <w:marLeft w:val="0"/>
              <w:marRight w:val="0"/>
              <w:marTop w:val="0"/>
              <w:marBottom w:val="0"/>
              <w:divBdr>
                <w:top w:val="none" w:sz="0" w:space="0" w:color="auto"/>
                <w:left w:val="none" w:sz="0" w:space="0" w:color="auto"/>
                <w:bottom w:val="none" w:sz="0" w:space="0" w:color="auto"/>
                <w:right w:val="none" w:sz="0" w:space="0" w:color="auto"/>
              </w:divBdr>
            </w:div>
            <w:div w:id="1825004925">
              <w:marLeft w:val="0"/>
              <w:marRight w:val="0"/>
              <w:marTop w:val="0"/>
              <w:marBottom w:val="0"/>
              <w:divBdr>
                <w:top w:val="none" w:sz="0" w:space="0" w:color="auto"/>
                <w:left w:val="none" w:sz="0" w:space="0" w:color="auto"/>
                <w:bottom w:val="none" w:sz="0" w:space="0" w:color="auto"/>
                <w:right w:val="none" w:sz="0" w:space="0" w:color="auto"/>
              </w:divBdr>
            </w:div>
          </w:divsChild>
        </w:div>
        <w:div w:id="256644463">
          <w:marLeft w:val="0"/>
          <w:marRight w:val="0"/>
          <w:marTop w:val="0"/>
          <w:marBottom w:val="0"/>
          <w:divBdr>
            <w:top w:val="none" w:sz="0" w:space="0" w:color="auto"/>
            <w:left w:val="none" w:sz="0" w:space="0" w:color="auto"/>
            <w:bottom w:val="none" w:sz="0" w:space="0" w:color="auto"/>
            <w:right w:val="none" w:sz="0" w:space="0" w:color="auto"/>
          </w:divBdr>
        </w:div>
        <w:div w:id="2055422213">
          <w:marLeft w:val="0"/>
          <w:marRight w:val="0"/>
          <w:marTop w:val="0"/>
          <w:marBottom w:val="0"/>
          <w:divBdr>
            <w:top w:val="none" w:sz="0" w:space="0" w:color="auto"/>
            <w:left w:val="none" w:sz="0" w:space="0" w:color="auto"/>
            <w:bottom w:val="none" w:sz="0" w:space="0" w:color="auto"/>
            <w:right w:val="none" w:sz="0" w:space="0" w:color="auto"/>
          </w:divBdr>
          <w:divsChild>
            <w:div w:id="1041637788">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157528253">
                  <w:marLeft w:val="0"/>
                  <w:marRight w:val="0"/>
                  <w:marTop w:val="0"/>
                  <w:marBottom w:val="0"/>
                  <w:divBdr>
                    <w:top w:val="none" w:sz="0" w:space="0" w:color="auto"/>
                    <w:left w:val="none" w:sz="0" w:space="0" w:color="auto"/>
                    <w:bottom w:val="none" w:sz="0" w:space="0" w:color="auto"/>
                    <w:right w:val="none" w:sz="0" w:space="0" w:color="auto"/>
                  </w:divBdr>
                </w:div>
                <w:div w:id="565451856">
                  <w:marLeft w:val="0"/>
                  <w:marRight w:val="0"/>
                  <w:marTop w:val="0"/>
                  <w:marBottom w:val="0"/>
                  <w:divBdr>
                    <w:top w:val="none" w:sz="0" w:space="0" w:color="auto"/>
                    <w:left w:val="none" w:sz="0" w:space="0" w:color="auto"/>
                    <w:bottom w:val="none" w:sz="0" w:space="0" w:color="auto"/>
                    <w:right w:val="none" w:sz="0" w:space="0" w:color="auto"/>
                  </w:divBdr>
                </w:div>
                <w:div w:id="336152602">
                  <w:marLeft w:val="0"/>
                  <w:marRight w:val="0"/>
                  <w:marTop w:val="332"/>
                  <w:marBottom w:val="332"/>
                  <w:divBdr>
                    <w:top w:val="none" w:sz="0" w:space="0" w:color="auto"/>
                    <w:left w:val="none" w:sz="0" w:space="0" w:color="auto"/>
                    <w:bottom w:val="none" w:sz="0" w:space="0" w:color="auto"/>
                    <w:right w:val="none" w:sz="0" w:space="0" w:color="auto"/>
                  </w:divBdr>
                  <w:divsChild>
                    <w:div w:id="1259098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5394141">
          <w:marLeft w:val="0"/>
          <w:marRight w:val="0"/>
          <w:marTop w:val="0"/>
          <w:marBottom w:val="0"/>
          <w:divBdr>
            <w:top w:val="none" w:sz="0" w:space="0" w:color="auto"/>
            <w:left w:val="none" w:sz="0" w:space="0" w:color="auto"/>
            <w:bottom w:val="none" w:sz="0" w:space="0" w:color="auto"/>
            <w:right w:val="none" w:sz="0" w:space="0" w:color="auto"/>
          </w:divBdr>
          <w:divsChild>
            <w:div w:id="36245431">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988707427">
                  <w:marLeft w:val="0"/>
                  <w:marRight w:val="0"/>
                  <w:marTop w:val="0"/>
                  <w:marBottom w:val="0"/>
                  <w:divBdr>
                    <w:top w:val="none" w:sz="0" w:space="0" w:color="auto"/>
                    <w:left w:val="none" w:sz="0" w:space="0" w:color="auto"/>
                    <w:bottom w:val="none" w:sz="0" w:space="0" w:color="auto"/>
                    <w:right w:val="none" w:sz="0" w:space="0" w:color="auto"/>
                  </w:divBdr>
                </w:div>
                <w:div w:id="485706242">
                  <w:marLeft w:val="0"/>
                  <w:marRight w:val="0"/>
                  <w:marTop w:val="0"/>
                  <w:marBottom w:val="0"/>
                  <w:divBdr>
                    <w:top w:val="none" w:sz="0" w:space="0" w:color="auto"/>
                    <w:left w:val="none" w:sz="0" w:space="0" w:color="auto"/>
                    <w:bottom w:val="none" w:sz="0" w:space="0" w:color="auto"/>
                    <w:right w:val="none" w:sz="0" w:space="0" w:color="auto"/>
                  </w:divBdr>
                </w:div>
                <w:div w:id="1737047838">
                  <w:marLeft w:val="0"/>
                  <w:marRight w:val="0"/>
                  <w:marTop w:val="332"/>
                  <w:marBottom w:val="332"/>
                  <w:divBdr>
                    <w:top w:val="none" w:sz="0" w:space="0" w:color="auto"/>
                    <w:left w:val="none" w:sz="0" w:space="0" w:color="auto"/>
                    <w:bottom w:val="none" w:sz="0" w:space="0" w:color="auto"/>
                    <w:right w:val="none" w:sz="0" w:space="0" w:color="auto"/>
                  </w:divBdr>
                  <w:divsChild>
                    <w:div w:id="1334842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9063721">
          <w:marLeft w:val="0"/>
          <w:marRight w:val="0"/>
          <w:marTop w:val="0"/>
          <w:marBottom w:val="0"/>
          <w:divBdr>
            <w:top w:val="none" w:sz="0" w:space="0" w:color="auto"/>
            <w:left w:val="none" w:sz="0" w:space="0" w:color="auto"/>
            <w:bottom w:val="none" w:sz="0" w:space="0" w:color="auto"/>
            <w:right w:val="none" w:sz="0" w:space="0" w:color="auto"/>
          </w:divBdr>
          <w:divsChild>
            <w:div w:id="7054925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45496112">
                  <w:marLeft w:val="0"/>
                  <w:marRight w:val="0"/>
                  <w:marTop w:val="0"/>
                  <w:marBottom w:val="0"/>
                  <w:divBdr>
                    <w:top w:val="none" w:sz="0" w:space="0" w:color="auto"/>
                    <w:left w:val="none" w:sz="0" w:space="0" w:color="auto"/>
                    <w:bottom w:val="none" w:sz="0" w:space="0" w:color="auto"/>
                    <w:right w:val="none" w:sz="0" w:space="0" w:color="auto"/>
                  </w:divBdr>
                </w:div>
                <w:div w:id="1869097415">
                  <w:marLeft w:val="0"/>
                  <w:marRight w:val="0"/>
                  <w:marTop w:val="0"/>
                  <w:marBottom w:val="0"/>
                  <w:divBdr>
                    <w:top w:val="none" w:sz="0" w:space="0" w:color="auto"/>
                    <w:left w:val="none" w:sz="0" w:space="0" w:color="auto"/>
                    <w:bottom w:val="none" w:sz="0" w:space="0" w:color="auto"/>
                    <w:right w:val="none" w:sz="0" w:space="0" w:color="auto"/>
                  </w:divBdr>
                </w:div>
                <w:div w:id="946616487">
                  <w:marLeft w:val="0"/>
                  <w:marRight w:val="0"/>
                  <w:marTop w:val="332"/>
                  <w:marBottom w:val="332"/>
                  <w:divBdr>
                    <w:top w:val="none" w:sz="0" w:space="0" w:color="auto"/>
                    <w:left w:val="none" w:sz="0" w:space="0" w:color="auto"/>
                    <w:bottom w:val="none" w:sz="0" w:space="0" w:color="auto"/>
                    <w:right w:val="none" w:sz="0" w:space="0" w:color="auto"/>
                  </w:divBdr>
                  <w:divsChild>
                    <w:div w:id="1028409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5572111">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2134902269">
                  <w:marLeft w:val="0"/>
                  <w:marRight w:val="0"/>
                  <w:marTop w:val="0"/>
                  <w:marBottom w:val="0"/>
                  <w:divBdr>
                    <w:top w:val="none" w:sz="0" w:space="0" w:color="auto"/>
                    <w:left w:val="none" w:sz="0" w:space="0" w:color="auto"/>
                    <w:bottom w:val="none" w:sz="0" w:space="0" w:color="auto"/>
                    <w:right w:val="none" w:sz="0" w:space="0" w:color="auto"/>
                  </w:divBdr>
                </w:div>
                <w:div w:id="567813250">
                  <w:marLeft w:val="0"/>
                  <w:marRight w:val="0"/>
                  <w:marTop w:val="0"/>
                  <w:marBottom w:val="0"/>
                  <w:divBdr>
                    <w:top w:val="none" w:sz="0" w:space="0" w:color="auto"/>
                    <w:left w:val="none" w:sz="0" w:space="0" w:color="auto"/>
                    <w:bottom w:val="none" w:sz="0" w:space="0" w:color="auto"/>
                    <w:right w:val="none" w:sz="0" w:space="0" w:color="auto"/>
                  </w:divBdr>
                </w:div>
                <w:div w:id="1531257596">
                  <w:marLeft w:val="0"/>
                  <w:marRight w:val="0"/>
                  <w:marTop w:val="332"/>
                  <w:marBottom w:val="332"/>
                  <w:divBdr>
                    <w:top w:val="none" w:sz="0" w:space="0" w:color="auto"/>
                    <w:left w:val="none" w:sz="0" w:space="0" w:color="auto"/>
                    <w:bottom w:val="none" w:sz="0" w:space="0" w:color="auto"/>
                    <w:right w:val="none" w:sz="0" w:space="0" w:color="auto"/>
                  </w:divBdr>
                  <w:divsChild>
                    <w:div w:id="652876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2804590">
          <w:marLeft w:val="0"/>
          <w:marRight w:val="0"/>
          <w:marTop w:val="0"/>
          <w:marBottom w:val="0"/>
          <w:divBdr>
            <w:top w:val="none" w:sz="0" w:space="0" w:color="auto"/>
            <w:left w:val="none" w:sz="0" w:space="0" w:color="auto"/>
            <w:bottom w:val="none" w:sz="0" w:space="0" w:color="auto"/>
            <w:right w:val="none" w:sz="0" w:space="0" w:color="auto"/>
          </w:divBdr>
        </w:div>
        <w:div w:id="2096437014">
          <w:marLeft w:val="0"/>
          <w:marRight w:val="0"/>
          <w:marTop w:val="0"/>
          <w:marBottom w:val="0"/>
          <w:divBdr>
            <w:top w:val="none" w:sz="0" w:space="0" w:color="auto"/>
            <w:left w:val="none" w:sz="0" w:space="0" w:color="auto"/>
            <w:bottom w:val="none" w:sz="0" w:space="0" w:color="auto"/>
            <w:right w:val="none" w:sz="0" w:space="0" w:color="auto"/>
          </w:divBdr>
          <w:divsChild>
            <w:div w:id="1807697837">
              <w:marLeft w:val="0"/>
              <w:marRight w:val="0"/>
              <w:marTop w:val="166"/>
              <w:marBottom w:val="166"/>
              <w:divBdr>
                <w:top w:val="none" w:sz="0" w:space="0" w:color="auto"/>
                <w:left w:val="none" w:sz="0" w:space="0" w:color="auto"/>
                <w:bottom w:val="none" w:sz="0" w:space="0" w:color="auto"/>
                <w:right w:val="none" w:sz="0" w:space="0" w:color="auto"/>
              </w:divBdr>
            </w:div>
            <w:div w:id="1142506674">
              <w:marLeft w:val="0"/>
              <w:marRight w:val="0"/>
              <w:marTop w:val="166"/>
              <w:marBottom w:val="166"/>
              <w:divBdr>
                <w:top w:val="none" w:sz="0" w:space="0" w:color="auto"/>
                <w:left w:val="none" w:sz="0" w:space="0" w:color="auto"/>
                <w:bottom w:val="none" w:sz="0" w:space="0" w:color="auto"/>
                <w:right w:val="none" w:sz="0" w:space="0" w:color="auto"/>
              </w:divBdr>
            </w:div>
            <w:div w:id="59597791">
              <w:marLeft w:val="0"/>
              <w:marRight w:val="0"/>
              <w:marTop w:val="166"/>
              <w:marBottom w:val="166"/>
              <w:divBdr>
                <w:top w:val="none" w:sz="0" w:space="0" w:color="auto"/>
                <w:left w:val="none" w:sz="0" w:space="0" w:color="auto"/>
                <w:bottom w:val="none" w:sz="0" w:space="0" w:color="auto"/>
                <w:right w:val="none" w:sz="0" w:space="0" w:color="auto"/>
              </w:divBdr>
            </w:div>
            <w:div w:id="285043581">
              <w:marLeft w:val="0"/>
              <w:marRight w:val="0"/>
              <w:marTop w:val="166"/>
              <w:marBottom w:val="166"/>
              <w:divBdr>
                <w:top w:val="none" w:sz="0" w:space="0" w:color="auto"/>
                <w:left w:val="none" w:sz="0" w:space="0" w:color="auto"/>
                <w:bottom w:val="none" w:sz="0" w:space="0" w:color="auto"/>
                <w:right w:val="none" w:sz="0" w:space="0" w:color="auto"/>
              </w:divBdr>
            </w:div>
            <w:div w:id="927274748">
              <w:marLeft w:val="0"/>
              <w:marRight w:val="0"/>
              <w:marTop w:val="166"/>
              <w:marBottom w:val="166"/>
              <w:divBdr>
                <w:top w:val="none" w:sz="0" w:space="0" w:color="auto"/>
                <w:left w:val="none" w:sz="0" w:space="0" w:color="auto"/>
                <w:bottom w:val="none" w:sz="0" w:space="0" w:color="auto"/>
                <w:right w:val="none" w:sz="0" w:space="0" w:color="auto"/>
              </w:divBdr>
            </w:div>
            <w:div w:id="1613781966">
              <w:marLeft w:val="0"/>
              <w:marRight w:val="0"/>
              <w:marTop w:val="166"/>
              <w:marBottom w:val="166"/>
              <w:divBdr>
                <w:top w:val="none" w:sz="0" w:space="0" w:color="auto"/>
                <w:left w:val="none" w:sz="0" w:space="0" w:color="auto"/>
                <w:bottom w:val="none" w:sz="0" w:space="0" w:color="auto"/>
                <w:right w:val="none" w:sz="0" w:space="0" w:color="auto"/>
              </w:divBdr>
            </w:div>
            <w:div w:id="97217478">
              <w:marLeft w:val="0"/>
              <w:marRight w:val="0"/>
              <w:marTop w:val="166"/>
              <w:marBottom w:val="166"/>
              <w:divBdr>
                <w:top w:val="none" w:sz="0" w:space="0" w:color="auto"/>
                <w:left w:val="none" w:sz="0" w:space="0" w:color="auto"/>
                <w:bottom w:val="none" w:sz="0" w:space="0" w:color="auto"/>
                <w:right w:val="none" w:sz="0" w:space="0" w:color="auto"/>
              </w:divBdr>
            </w:div>
            <w:div w:id="686954114">
              <w:marLeft w:val="0"/>
              <w:marRight w:val="0"/>
              <w:marTop w:val="166"/>
              <w:marBottom w:val="166"/>
              <w:divBdr>
                <w:top w:val="none" w:sz="0" w:space="0" w:color="auto"/>
                <w:left w:val="none" w:sz="0" w:space="0" w:color="auto"/>
                <w:bottom w:val="none" w:sz="0" w:space="0" w:color="auto"/>
                <w:right w:val="none" w:sz="0" w:space="0" w:color="auto"/>
              </w:divBdr>
            </w:div>
            <w:div w:id="62872500">
              <w:marLeft w:val="0"/>
              <w:marRight w:val="0"/>
              <w:marTop w:val="166"/>
              <w:marBottom w:val="166"/>
              <w:divBdr>
                <w:top w:val="none" w:sz="0" w:space="0" w:color="auto"/>
                <w:left w:val="none" w:sz="0" w:space="0" w:color="auto"/>
                <w:bottom w:val="none" w:sz="0" w:space="0" w:color="auto"/>
                <w:right w:val="none" w:sz="0" w:space="0" w:color="auto"/>
              </w:divBdr>
            </w:div>
            <w:div w:id="715666724">
              <w:marLeft w:val="0"/>
              <w:marRight w:val="0"/>
              <w:marTop w:val="166"/>
              <w:marBottom w:val="166"/>
              <w:divBdr>
                <w:top w:val="none" w:sz="0" w:space="0" w:color="auto"/>
                <w:left w:val="none" w:sz="0" w:space="0" w:color="auto"/>
                <w:bottom w:val="none" w:sz="0" w:space="0" w:color="auto"/>
                <w:right w:val="none" w:sz="0" w:space="0" w:color="auto"/>
              </w:divBdr>
            </w:div>
            <w:div w:id="1180972173">
              <w:marLeft w:val="0"/>
              <w:marRight w:val="0"/>
              <w:marTop w:val="166"/>
              <w:marBottom w:val="166"/>
              <w:divBdr>
                <w:top w:val="none" w:sz="0" w:space="0" w:color="auto"/>
                <w:left w:val="none" w:sz="0" w:space="0" w:color="auto"/>
                <w:bottom w:val="none" w:sz="0" w:space="0" w:color="auto"/>
                <w:right w:val="none" w:sz="0" w:space="0" w:color="auto"/>
              </w:divBdr>
            </w:div>
            <w:div w:id="348332523">
              <w:marLeft w:val="0"/>
              <w:marRight w:val="0"/>
              <w:marTop w:val="166"/>
              <w:marBottom w:val="166"/>
              <w:divBdr>
                <w:top w:val="none" w:sz="0" w:space="0" w:color="auto"/>
                <w:left w:val="none" w:sz="0" w:space="0" w:color="auto"/>
                <w:bottom w:val="none" w:sz="0" w:space="0" w:color="auto"/>
                <w:right w:val="none" w:sz="0" w:space="0" w:color="auto"/>
              </w:divBdr>
            </w:div>
            <w:div w:id="1039623488">
              <w:marLeft w:val="0"/>
              <w:marRight w:val="0"/>
              <w:marTop w:val="166"/>
              <w:marBottom w:val="166"/>
              <w:divBdr>
                <w:top w:val="none" w:sz="0" w:space="0" w:color="auto"/>
                <w:left w:val="none" w:sz="0" w:space="0" w:color="auto"/>
                <w:bottom w:val="none" w:sz="0" w:space="0" w:color="auto"/>
                <w:right w:val="none" w:sz="0" w:space="0" w:color="auto"/>
              </w:divBdr>
            </w:div>
            <w:div w:id="1913738721">
              <w:marLeft w:val="0"/>
              <w:marRight w:val="0"/>
              <w:marTop w:val="166"/>
              <w:marBottom w:val="166"/>
              <w:divBdr>
                <w:top w:val="none" w:sz="0" w:space="0" w:color="auto"/>
                <w:left w:val="none" w:sz="0" w:space="0" w:color="auto"/>
                <w:bottom w:val="none" w:sz="0" w:space="0" w:color="auto"/>
                <w:right w:val="none" w:sz="0" w:space="0" w:color="auto"/>
              </w:divBdr>
            </w:div>
            <w:div w:id="1278676437">
              <w:marLeft w:val="0"/>
              <w:marRight w:val="0"/>
              <w:marTop w:val="166"/>
              <w:marBottom w:val="166"/>
              <w:divBdr>
                <w:top w:val="none" w:sz="0" w:space="0" w:color="auto"/>
                <w:left w:val="none" w:sz="0" w:space="0" w:color="auto"/>
                <w:bottom w:val="none" w:sz="0" w:space="0" w:color="auto"/>
                <w:right w:val="none" w:sz="0" w:space="0" w:color="auto"/>
              </w:divBdr>
            </w:div>
            <w:div w:id="966548747">
              <w:marLeft w:val="0"/>
              <w:marRight w:val="0"/>
              <w:marTop w:val="166"/>
              <w:marBottom w:val="166"/>
              <w:divBdr>
                <w:top w:val="none" w:sz="0" w:space="0" w:color="auto"/>
                <w:left w:val="none" w:sz="0" w:space="0" w:color="auto"/>
                <w:bottom w:val="none" w:sz="0" w:space="0" w:color="auto"/>
                <w:right w:val="none" w:sz="0" w:space="0" w:color="auto"/>
              </w:divBdr>
            </w:div>
            <w:div w:id="234126940">
              <w:marLeft w:val="0"/>
              <w:marRight w:val="0"/>
              <w:marTop w:val="166"/>
              <w:marBottom w:val="166"/>
              <w:divBdr>
                <w:top w:val="none" w:sz="0" w:space="0" w:color="auto"/>
                <w:left w:val="none" w:sz="0" w:space="0" w:color="auto"/>
                <w:bottom w:val="none" w:sz="0" w:space="0" w:color="auto"/>
                <w:right w:val="none" w:sz="0" w:space="0" w:color="auto"/>
              </w:divBdr>
            </w:div>
            <w:div w:id="1332030627">
              <w:marLeft w:val="0"/>
              <w:marRight w:val="0"/>
              <w:marTop w:val="166"/>
              <w:marBottom w:val="166"/>
              <w:divBdr>
                <w:top w:val="none" w:sz="0" w:space="0" w:color="auto"/>
                <w:left w:val="none" w:sz="0" w:space="0" w:color="auto"/>
                <w:bottom w:val="none" w:sz="0" w:space="0" w:color="auto"/>
                <w:right w:val="none" w:sz="0" w:space="0" w:color="auto"/>
              </w:divBdr>
            </w:div>
            <w:div w:id="110634550">
              <w:marLeft w:val="0"/>
              <w:marRight w:val="0"/>
              <w:marTop w:val="166"/>
              <w:marBottom w:val="166"/>
              <w:divBdr>
                <w:top w:val="none" w:sz="0" w:space="0" w:color="auto"/>
                <w:left w:val="none" w:sz="0" w:space="0" w:color="auto"/>
                <w:bottom w:val="none" w:sz="0" w:space="0" w:color="auto"/>
                <w:right w:val="none" w:sz="0" w:space="0" w:color="auto"/>
              </w:divBdr>
            </w:div>
            <w:div w:id="1712997352">
              <w:marLeft w:val="0"/>
              <w:marRight w:val="0"/>
              <w:marTop w:val="166"/>
              <w:marBottom w:val="166"/>
              <w:divBdr>
                <w:top w:val="none" w:sz="0" w:space="0" w:color="auto"/>
                <w:left w:val="none" w:sz="0" w:space="0" w:color="auto"/>
                <w:bottom w:val="none" w:sz="0" w:space="0" w:color="auto"/>
                <w:right w:val="none" w:sz="0" w:space="0" w:color="auto"/>
              </w:divBdr>
            </w:div>
            <w:div w:id="801534442">
              <w:marLeft w:val="0"/>
              <w:marRight w:val="0"/>
              <w:marTop w:val="166"/>
              <w:marBottom w:val="166"/>
              <w:divBdr>
                <w:top w:val="none" w:sz="0" w:space="0" w:color="auto"/>
                <w:left w:val="none" w:sz="0" w:space="0" w:color="auto"/>
                <w:bottom w:val="none" w:sz="0" w:space="0" w:color="auto"/>
                <w:right w:val="none" w:sz="0" w:space="0" w:color="auto"/>
              </w:divBdr>
            </w:div>
            <w:div w:id="1187134235">
              <w:marLeft w:val="0"/>
              <w:marRight w:val="0"/>
              <w:marTop w:val="166"/>
              <w:marBottom w:val="166"/>
              <w:divBdr>
                <w:top w:val="none" w:sz="0" w:space="0" w:color="auto"/>
                <w:left w:val="none" w:sz="0" w:space="0" w:color="auto"/>
                <w:bottom w:val="none" w:sz="0" w:space="0" w:color="auto"/>
                <w:right w:val="none" w:sz="0" w:space="0" w:color="auto"/>
              </w:divBdr>
            </w:div>
            <w:div w:id="207227533">
              <w:marLeft w:val="0"/>
              <w:marRight w:val="0"/>
              <w:marTop w:val="166"/>
              <w:marBottom w:val="166"/>
              <w:divBdr>
                <w:top w:val="none" w:sz="0" w:space="0" w:color="auto"/>
                <w:left w:val="none" w:sz="0" w:space="0" w:color="auto"/>
                <w:bottom w:val="none" w:sz="0" w:space="0" w:color="auto"/>
                <w:right w:val="none" w:sz="0" w:space="0" w:color="auto"/>
              </w:divBdr>
            </w:div>
            <w:div w:id="1442914547">
              <w:marLeft w:val="0"/>
              <w:marRight w:val="0"/>
              <w:marTop w:val="166"/>
              <w:marBottom w:val="166"/>
              <w:divBdr>
                <w:top w:val="none" w:sz="0" w:space="0" w:color="auto"/>
                <w:left w:val="none" w:sz="0" w:space="0" w:color="auto"/>
                <w:bottom w:val="none" w:sz="0" w:space="0" w:color="auto"/>
                <w:right w:val="none" w:sz="0" w:space="0" w:color="auto"/>
              </w:divBdr>
            </w:div>
            <w:div w:id="569080187">
              <w:marLeft w:val="0"/>
              <w:marRight w:val="0"/>
              <w:marTop w:val="166"/>
              <w:marBottom w:val="166"/>
              <w:divBdr>
                <w:top w:val="none" w:sz="0" w:space="0" w:color="auto"/>
                <w:left w:val="none" w:sz="0" w:space="0" w:color="auto"/>
                <w:bottom w:val="none" w:sz="0" w:space="0" w:color="auto"/>
                <w:right w:val="none" w:sz="0" w:space="0" w:color="auto"/>
              </w:divBdr>
            </w:div>
            <w:div w:id="68577208">
              <w:marLeft w:val="0"/>
              <w:marRight w:val="0"/>
              <w:marTop w:val="166"/>
              <w:marBottom w:val="166"/>
              <w:divBdr>
                <w:top w:val="none" w:sz="0" w:space="0" w:color="auto"/>
                <w:left w:val="none" w:sz="0" w:space="0" w:color="auto"/>
                <w:bottom w:val="none" w:sz="0" w:space="0" w:color="auto"/>
                <w:right w:val="none" w:sz="0" w:space="0" w:color="auto"/>
              </w:divBdr>
            </w:div>
            <w:div w:id="935017826">
              <w:marLeft w:val="0"/>
              <w:marRight w:val="0"/>
              <w:marTop w:val="166"/>
              <w:marBottom w:val="166"/>
              <w:divBdr>
                <w:top w:val="none" w:sz="0" w:space="0" w:color="auto"/>
                <w:left w:val="none" w:sz="0" w:space="0" w:color="auto"/>
                <w:bottom w:val="none" w:sz="0" w:space="0" w:color="auto"/>
                <w:right w:val="none" w:sz="0" w:space="0" w:color="auto"/>
              </w:divBdr>
            </w:div>
            <w:div w:id="2087142618">
              <w:marLeft w:val="0"/>
              <w:marRight w:val="0"/>
              <w:marTop w:val="166"/>
              <w:marBottom w:val="166"/>
              <w:divBdr>
                <w:top w:val="none" w:sz="0" w:space="0" w:color="auto"/>
                <w:left w:val="none" w:sz="0" w:space="0" w:color="auto"/>
                <w:bottom w:val="none" w:sz="0" w:space="0" w:color="auto"/>
                <w:right w:val="none" w:sz="0" w:space="0" w:color="auto"/>
              </w:divBdr>
            </w:div>
            <w:div w:id="13851203">
              <w:marLeft w:val="0"/>
              <w:marRight w:val="0"/>
              <w:marTop w:val="166"/>
              <w:marBottom w:val="166"/>
              <w:divBdr>
                <w:top w:val="none" w:sz="0" w:space="0" w:color="auto"/>
                <w:left w:val="none" w:sz="0" w:space="0" w:color="auto"/>
                <w:bottom w:val="none" w:sz="0" w:space="0" w:color="auto"/>
                <w:right w:val="none" w:sz="0" w:space="0" w:color="auto"/>
              </w:divBdr>
            </w:div>
            <w:div w:id="1512378328">
              <w:marLeft w:val="0"/>
              <w:marRight w:val="0"/>
              <w:marTop w:val="166"/>
              <w:marBottom w:val="166"/>
              <w:divBdr>
                <w:top w:val="none" w:sz="0" w:space="0" w:color="auto"/>
                <w:left w:val="none" w:sz="0" w:space="0" w:color="auto"/>
                <w:bottom w:val="none" w:sz="0" w:space="0" w:color="auto"/>
                <w:right w:val="none" w:sz="0" w:space="0" w:color="auto"/>
              </w:divBdr>
            </w:div>
            <w:div w:id="1557165166">
              <w:marLeft w:val="0"/>
              <w:marRight w:val="0"/>
              <w:marTop w:val="166"/>
              <w:marBottom w:val="166"/>
              <w:divBdr>
                <w:top w:val="none" w:sz="0" w:space="0" w:color="auto"/>
                <w:left w:val="none" w:sz="0" w:space="0" w:color="auto"/>
                <w:bottom w:val="none" w:sz="0" w:space="0" w:color="auto"/>
                <w:right w:val="none" w:sz="0" w:space="0" w:color="auto"/>
              </w:divBdr>
            </w:div>
            <w:div w:id="1153377117">
              <w:marLeft w:val="0"/>
              <w:marRight w:val="0"/>
              <w:marTop w:val="166"/>
              <w:marBottom w:val="166"/>
              <w:divBdr>
                <w:top w:val="none" w:sz="0" w:space="0" w:color="auto"/>
                <w:left w:val="none" w:sz="0" w:space="0" w:color="auto"/>
                <w:bottom w:val="none" w:sz="0" w:space="0" w:color="auto"/>
                <w:right w:val="none" w:sz="0" w:space="0" w:color="auto"/>
              </w:divBdr>
            </w:div>
            <w:div w:id="1218393443">
              <w:marLeft w:val="0"/>
              <w:marRight w:val="0"/>
              <w:marTop w:val="166"/>
              <w:marBottom w:val="166"/>
              <w:divBdr>
                <w:top w:val="none" w:sz="0" w:space="0" w:color="auto"/>
                <w:left w:val="none" w:sz="0" w:space="0" w:color="auto"/>
                <w:bottom w:val="none" w:sz="0" w:space="0" w:color="auto"/>
                <w:right w:val="none" w:sz="0" w:space="0" w:color="auto"/>
              </w:divBdr>
            </w:div>
            <w:div w:id="715786690">
              <w:marLeft w:val="0"/>
              <w:marRight w:val="0"/>
              <w:marTop w:val="166"/>
              <w:marBottom w:val="166"/>
              <w:divBdr>
                <w:top w:val="none" w:sz="0" w:space="0" w:color="auto"/>
                <w:left w:val="none" w:sz="0" w:space="0" w:color="auto"/>
                <w:bottom w:val="none" w:sz="0" w:space="0" w:color="auto"/>
                <w:right w:val="none" w:sz="0" w:space="0" w:color="auto"/>
              </w:divBdr>
            </w:div>
            <w:div w:id="1933538909">
              <w:marLeft w:val="0"/>
              <w:marRight w:val="0"/>
              <w:marTop w:val="166"/>
              <w:marBottom w:val="166"/>
              <w:divBdr>
                <w:top w:val="none" w:sz="0" w:space="0" w:color="auto"/>
                <w:left w:val="none" w:sz="0" w:space="0" w:color="auto"/>
                <w:bottom w:val="none" w:sz="0" w:space="0" w:color="auto"/>
                <w:right w:val="none" w:sz="0" w:space="0" w:color="auto"/>
              </w:divBdr>
            </w:div>
            <w:div w:id="2119718848">
              <w:marLeft w:val="0"/>
              <w:marRight w:val="0"/>
              <w:marTop w:val="166"/>
              <w:marBottom w:val="166"/>
              <w:divBdr>
                <w:top w:val="none" w:sz="0" w:space="0" w:color="auto"/>
                <w:left w:val="none" w:sz="0" w:space="0" w:color="auto"/>
                <w:bottom w:val="none" w:sz="0" w:space="0" w:color="auto"/>
                <w:right w:val="none" w:sz="0" w:space="0" w:color="auto"/>
              </w:divBdr>
            </w:div>
            <w:div w:id="1980917257">
              <w:marLeft w:val="0"/>
              <w:marRight w:val="0"/>
              <w:marTop w:val="166"/>
              <w:marBottom w:val="166"/>
              <w:divBdr>
                <w:top w:val="none" w:sz="0" w:space="0" w:color="auto"/>
                <w:left w:val="none" w:sz="0" w:space="0" w:color="auto"/>
                <w:bottom w:val="none" w:sz="0" w:space="0" w:color="auto"/>
                <w:right w:val="none" w:sz="0" w:space="0" w:color="auto"/>
              </w:divBdr>
            </w:div>
            <w:div w:id="533494893">
              <w:marLeft w:val="0"/>
              <w:marRight w:val="0"/>
              <w:marTop w:val="166"/>
              <w:marBottom w:val="166"/>
              <w:divBdr>
                <w:top w:val="none" w:sz="0" w:space="0" w:color="auto"/>
                <w:left w:val="none" w:sz="0" w:space="0" w:color="auto"/>
                <w:bottom w:val="none" w:sz="0" w:space="0" w:color="auto"/>
                <w:right w:val="none" w:sz="0" w:space="0" w:color="auto"/>
              </w:divBdr>
            </w:div>
            <w:div w:id="72706392">
              <w:marLeft w:val="0"/>
              <w:marRight w:val="0"/>
              <w:marTop w:val="166"/>
              <w:marBottom w:val="166"/>
              <w:divBdr>
                <w:top w:val="none" w:sz="0" w:space="0" w:color="auto"/>
                <w:left w:val="none" w:sz="0" w:space="0" w:color="auto"/>
                <w:bottom w:val="none" w:sz="0" w:space="0" w:color="auto"/>
                <w:right w:val="none" w:sz="0" w:space="0" w:color="auto"/>
              </w:divBdr>
            </w:div>
            <w:div w:id="58139595">
              <w:marLeft w:val="0"/>
              <w:marRight w:val="0"/>
              <w:marTop w:val="166"/>
              <w:marBottom w:val="166"/>
              <w:divBdr>
                <w:top w:val="none" w:sz="0" w:space="0" w:color="auto"/>
                <w:left w:val="none" w:sz="0" w:space="0" w:color="auto"/>
                <w:bottom w:val="none" w:sz="0" w:space="0" w:color="auto"/>
                <w:right w:val="none" w:sz="0" w:space="0" w:color="auto"/>
              </w:divBdr>
            </w:div>
            <w:div w:id="843975686">
              <w:marLeft w:val="0"/>
              <w:marRight w:val="0"/>
              <w:marTop w:val="166"/>
              <w:marBottom w:val="166"/>
              <w:divBdr>
                <w:top w:val="none" w:sz="0" w:space="0" w:color="auto"/>
                <w:left w:val="none" w:sz="0" w:space="0" w:color="auto"/>
                <w:bottom w:val="none" w:sz="0" w:space="0" w:color="auto"/>
                <w:right w:val="none" w:sz="0" w:space="0" w:color="auto"/>
              </w:divBdr>
            </w:div>
            <w:div w:id="1305163278">
              <w:marLeft w:val="0"/>
              <w:marRight w:val="0"/>
              <w:marTop w:val="166"/>
              <w:marBottom w:val="166"/>
              <w:divBdr>
                <w:top w:val="none" w:sz="0" w:space="0" w:color="auto"/>
                <w:left w:val="none" w:sz="0" w:space="0" w:color="auto"/>
                <w:bottom w:val="none" w:sz="0" w:space="0" w:color="auto"/>
                <w:right w:val="none" w:sz="0" w:space="0" w:color="auto"/>
              </w:divBdr>
            </w:div>
            <w:div w:id="1493986169">
              <w:marLeft w:val="0"/>
              <w:marRight w:val="0"/>
              <w:marTop w:val="166"/>
              <w:marBottom w:val="166"/>
              <w:divBdr>
                <w:top w:val="none" w:sz="0" w:space="0" w:color="auto"/>
                <w:left w:val="none" w:sz="0" w:space="0" w:color="auto"/>
                <w:bottom w:val="none" w:sz="0" w:space="0" w:color="auto"/>
                <w:right w:val="none" w:sz="0" w:space="0" w:color="auto"/>
              </w:divBdr>
            </w:div>
            <w:div w:id="1007057051">
              <w:marLeft w:val="0"/>
              <w:marRight w:val="0"/>
              <w:marTop w:val="166"/>
              <w:marBottom w:val="166"/>
              <w:divBdr>
                <w:top w:val="none" w:sz="0" w:space="0" w:color="auto"/>
                <w:left w:val="none" w:sz="0" w:space="0" w:color="auto"/>
                <w:bottom w:val="none" w:sz="0" w:space="0" w:color="auto"/>
                <w:right w:val="none" w:sz="0" w:space="0" w:color="auto"/>
              </w:divBdr>
            </w:div>
            <w:div w:id="188448164">
              <w:marLeft w:val="0"/>
              <w:marRight w:val="0"/>
              <w:marTop w:val="166"/>
              <w:marBottom w:val="166"/>
              <w:divBdr>
                <w:top w:val="none" w:sz="0" w:space="0" w:color="auto"/>
                <w:left w:val="none" w:sz="0" w:space="0" w:color="auto"/>
                <w:bottom w:val="none" w:sz="0" w:space="0" w:color="auto"/>
                <w:right w:val="none" w:sz="0" w:space="0" w:color="auto"/>
              </w:divBdr>
            </w:div>
            <w:div w:id="721632806">
              <w:marLeft w:val="0"/>
              <w:marRight w:val="0"/>
              <w:marTop w:val="166"/>
              <w:marBottom w:val="166"/>
              <w:divBdr>
                <w:top w:val="none" w:sz="0" w:space="0" w:color="auto"/>
                <w:left w:val="none" w:sz="0" w:space="0" w:color="auto"/>
                <w:bottom w:val="none" w:sz="0" w:space="0" w:color="auto"/>
                <w:right w:val="none" w:sz="0" w:space="0" w:color="auto"/>
              </w:divBdr>
            </w:div>
            <w:div w:id="1444419456">
              <w:marLeft w:val="0"/>
              <w:marRight w:val="0"/>
              <w:marTop w:val="166"/>
              <w:marBottom w:val="166"/>
              <w:divBdr>
                <w:top w:val="none" w:sz="0" w:space="0" w:color="auto"/>
                <w:left w:val="none" w:sz="0" w:space="0" w:color="auto"/>
                <w:bottom w:val="none" w:sz="0" w:space="0" w:color="auto"/>
                <w:right w:val="none" w:sz="0" w:space="0" w:color="auto"/>
              </w:divBdr>
            </w:div>
            <w:div w:id="92096741">
              <w:marLeft w:val="0"/>
              <w:marRight w:val="0"/>
              <w:marTop w:val="166"/>
              <w:marBottom w:val="166"/>
              <w:divBdr>
                <w:top w:val="none" w:sz="0" w:space="0" w:color="auto"/>
                <w:left w:val="none" w:sz="0" w:space="0" w:color="auto"/>
                <w:bottom w:val="none" w:sz="0" w:space="0" w:color="auto"/>
                <w:right w:val="none" w:sz="0" w:space="0" w:color="auto"/>
              </w:divBdr>
            </w:div>
            <w:div w:id="402916712">
              <w:marLeft w:val="0"/>
              <w:marRight w:val="0"/>
              <w:marTop w:val="166"/>
              <w:marBottom w:val="166"/>
              <w:divBdr>
                <w:top w:val="none" w:sz="0" w:space="0" w:color="auto"/>
                <w:left w:val="none" w:sz="0" w:space="0" w:color="auto"/>
                <w:bottom w:val="none" w:sz="0" w:space="0" w:color="auto"/>
                <w:right w:val="none" w:sz="0" w:space="0" w:color="auto"/>
              </w:divBdr>
            </w:div>
            <w:div w:id="2053340082">
              <w:marLeft w:val="0"/>
              <w:marRight w:val="0"/>
              <w:marTop w:val="166"/>
              <w:marBottom w:val="166"/>
              <w:divBdr>
                <w:top w:val="none" w:sz="0" w:space="0" w:color="auto"/>
                <w:left w:val="none" w:sz="0" w:space="0" w:color="auto"/>
                <w:bottom w:val="none" w:sz="0" w:space="0" w:color="auto"/>
                <w:right w:val="none" w:sz="0" w:space="0" w:color="auto"/>
              </w:divBdr>
            </w:div>
            <w:div w:id="2110618107">
              <w:marLeft w:val="0"/>
              <w:marRight w:val="0"/>
              <w:marTop w:val="166"/>
              <w:marBottom w:val="166"/>
              <w:divBdr>
                <w:top w:val="none" w:sz="0" w:space="0" w:color="auto"/>
                <w:left w:val="none" w:sz="0" w:space="0" w:color="auto"/>
                <w:bottom w:val="none" w:sz="0" w:space="0" w:color="auto"/>
                <w:right w:val="none" w:sz="0" w:space="0" w:color="auto"/>
              </w:divBdr>
            </w:div>
            <w:div w:id="1333265087">
              <w:marLeft w:val="0"/>
              <w:marRight w:val="0"/>
              <w:marTop w:val="166"/>
              <w:marBottom w:val="166"/>
              <w:divBdr>
                <w:top w:val="none" w:sz="0" w:space="0" w:color="auto"/>
                <w:left w:val="none" w:sz="0" w:space="0" w:color="auto"/>
                <w:bottom w:val="none" w:sz="0" w:space="0" w:color="auto"/>
                <w:right w:val="none" w:sz="0" w:space="0" w:color="auto"/>
              </w:divBdr>
            </w:div>
            <w:div w:id="1580946047">
              <w:marLeft w:val="0"/>
              <w:marRight w:val="0"/>
              <w:marTop w:val="166"/>
              <w:marBottom w:val="166"/>
              <w:divBdr>
                <w:top w:val="none" w:sz="0" w:space="0" w:color="auto"/>
                <w:left w:val="none" w:sz="0" w:space="0" w:color="auto"/>
                <w:bottom w:val="none" w:sz="0" w:space="0" w:color="auto"/>
                <w:right w:val="none" w:sz="0" w:space="0" w:color="auto"/>
              </w:divBdr>
            </w:div>
          </w:divsChild>
        </w:div>
      </w:divsChild>
    </w:div>
    <w:div w:id="924339930">
      <w:bodyDiv w:val="1"/>
      <w:marLeft w:val="0"/>
      <w:marRight w:val="0"/>
      <w:marTop w:val="0"/>
      <w:marBottom w:val="0"/>
      <w:divBdr>
        <w:top w:val="none" w:sz="0" w:space="0" w:color="auto"/>
        <w:left w:val="none" w:sz="0" w:space="0" w:color="auto"/>
        <w:bottom w:val="none" w:sz="0" w:space="0" w:color="auto"/>
        <w:right w:val="none" w:sz="0" w:space="0" w:color="auto"/>
      </w:divBdr>
      <w:divsChild>
        <w:div w:id="1444955232">
          <w:marLeft w:val="0"/>
          <w:marRight w:val="0"/>
          <w:marTop w:val="0"/>
          <w:marBottom w:val="0"/>
          <w:divBdr>
            <w:top w:val="none" w:sz="0" w:space="0" w:color="auto"/>
            <w:left w:val="none" w:sz="0" w:space="0" w:color="auto"/>
            <w:bottom w:val="none" w:sz="0" w:space="0" w:color="auto"/>
            <w:right w:val="none" w:sz="0" w:space="0" w:color="auto"/>
          </w:divBdr>
          <w:divsChild>
            <w:div w:id="14639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5046481">
      <w:bodyDiv w:val="1"/>
      <w:marLeft w:val="0"/>
      <w:marRight w:val="0"/>
      <w:marTop w:val="0"/>
      <w:marBottom w:val="0"/>
      <w:divBdr>
        <w:top w:val="none" w:sz="0" w:space="0" w:color="auto"/>
        <w:left w:val="none" w:sz="0" w:space="0" w:color="auto"/>
        <w:bottom w:val="none" w:sz="0" w:space="0" w:color="auto"/>
        <w:right w:val="none" w:sz="0" w:space="0" w:color="auto"/>
      </w:divBdr>
      <w:divsChild>
        <w:div w:id="1089889637">
          <w:marLeft w:val="0"/>
          <w:marRight w:val="0"/>
          <w:marTop w:val="0"/>
          <w:marBottom w:val="0"/>
          <w:divBdr>
            <w:top w:val="none" w:sz="0" w:space="0" w:color="auto"/>
            <w:left w:val="none" w:sz="0" w:space="0" w:color="auto"/>
            <w:bottom w:val="none" w:sz="0" w:space="0" w:color="auto"/>
            <w:right w:val="none" w:sz="0" w:space="0" w:color="auto"/>
          </w:divBdr>
          <w:divsChild>
            <w:div w:id="280232989">
              <w:marLeft w:val="0"/>
              <w:marRight w:val="0"/>
              <w:marTop w:val="0"/>
              <w:marBottom w:val="120"/>
              <w:divBdr>
                <w:top w:val="none" w:sz="0" w:space="0" w:color="auto"/>
                <w:left w:val="none" w:sz="0" w:space="0" w:color="auto"/>
                <w:bottom w:val="none" w:sz="0" w:space="0" w:color="auto"/>
                <w:right w:val="none" w:sz="0" w:space="0" w:color="auto"/>
              </w:divBdr>
              <w:divsChild>
                <w:div w:id="2018999315">
                  <w:marLeft w:val="0"/>
                  <w:marRight w:val="0"/>
                  <w:marTop w:val="0"/>
                  <w:marBottom w:val="0"/>
                  <w:divBdr>
                    <w:top w:val="none" w:sz="0" w:space="0" w:color="auto"/>
                    <w:left w:val="none" w:sz="0" w:space="0" w:color="auto"/>
                    <w:bottom w:val="none" w:sz="0" w:space="0" w:color="auto"/>
                    <w:right w:val="none" w:sz="0" w:space="0" w:color="auto"/>
                  </w:divBdr>
                </w:div>
              </w:divsChild>
            </w:div>
            <w:div w:id="1846632830">
              <w:marLeft w:val="0"/>
              <w:marRight w:val="0"/>
              <w:marTop w:val="0"/>
              <w:marBottom w:val="120"/>
              <w:divBdr>
                <w:top w:val="none" w:sz="0" w:space="0" w:color="auto"/>
                <w:left w:val="none" w:sz="0" w:space="0" w:color="auto"/>
                <w:bottom w:val="none" w:sz="0" w:space="0" w:color="auto"/>
                <w:right w:val="none" w:sz="0" w:space="0" w:color="auto"/>
              </w:divBdr>
              <w:divsChild>
                <w:div w:id="256909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9417068">
          <w:marLeft w:val="0"/>
          <w:marRight w:val="0"/>
          <w:marTop w:val="0"/>
          <w:marBottom w:val="480"/>
          <w:divBdr>
            <w:top w:val="none" w:sz="0" w:space="0" w:color="auto"/>
            <w:left w:val="none" w:sz="0" w:space="0" w:color="auto"/>
            <w:bottom w:val="single" w:sz="12" w:space="24" w:color="EBEBEB"/>
            <w:right w:val="none" w:sz="0" w:space="0" w:color="auto"/>
          </w:divBdr>
          <w:divsChild>
            <w:div w:id="407576324">
              <w:marLeft w:val="0"/>
              <w:marRight w:val="0"/>
              <w:marTop w:val="0"/>
              <w:marBottom w:val="0"/>
              <w:divBdr>
                <w:top w:val="none" w:sz="0" w:space="0" w:color="auto"/>
                <w:left w:val="none" w:sz="0" w:space="0" w:color="auto"/>
                <w:bottom w:val="none" w:sz="0" w:space="0" w:color="auto"/>
                <w:right w:val="none" w:sz="0" w:space="0" w:color="auto"/>
              </w:divBdr>
              <w:divsChild>
                <w:div w:id="1033576616">
                  <w:marLeft w:val="0"/>
                  <w:marRight w:val="0"/>
                  <w:marTop w:val="0"/>
                  <w:marBottom w:val="0"/>
                  <w:divBdr>
                    <w:top w:val="none" w:sz="0" w:space="0" w:color="auto"/>
                    <w:left w:val="none" w:sz="0" w:space="0" w:color="auto"/>
                    <w:bottom w:val="none" w:sz="0" w:space="0" w:color="auto"/>
                    <w:right w:val="none" w:sz="0" w:space="0" w:color="auto"/>
                  </w:divBdr>
                </w:div>
                <w:div w:id="1541700878">
                  <w:marLeft w:val="0"/>
                  <w:marRight w:val="0"/>
                  <w:marTop w:val="0"/>
                  <w:marBottom w:val="0"/>
                  <w:divBdr>
                    <w:top w:val="none" w:sz="0" w:space="0" w:color="auto"/>
                    <w:left w:val="none" w:sz="0" w:space="0" w:color="auto"/>
                    <w:bottom w:val="none" w:sz="0" w:space="0" w:color="auto"/>
                    <w:right w:val="none" w:sz="0" w:space="0" w:color="auto"/>
                  </w:divBdr>
                </w:div>
                <w:div w:id="1059402632">
                  <w:marLeft w:val="0"/>
                  <w:marRight w:val="0"/>
                  <w:marTop w:val="0"/>
                  <w:marBottom w:val="0"/>
                  <w:divBdr>
                    <w:top w:val="none" w:sz="0" w:space="0" w:color="auto"/>
                    <w:left w:val="none" w:sz="0" w:space="0" w:color="auto"/>
                    <w:bottom w:val="none" w:sz="0" w:space="0" w:color="auto"/>
                    <w:right w:val="none" w:sz="0" w:space="0" w:color="auto"/>
                  </w:divBdr>
                </w:div>
                <w:div w:id="190921243">
                  <w:marLeft w:val="0"/>
                  <w:marRight w:val="0"/>
                  <w:marTop w:val="0"/>
                  <w:marBottom w:val="0"/>
                  <w:divBdr>
                    <w:top w:val="none" w:sz="0" w:space="0" w:color="auto"/>
                    <w:left w:val="none" w:sz="0" w:space="0" w:color="auto"/>
                    <w:bottom w:val="none" w:sz="0" w:space="0" w:color="auto"/>
                    <w:right w:val="none" w:sz="0" w:space="0" w:color="auto"/>
                  </w:divBdr>
                </w:div>
                <w:div w:id="1206715122">
                  <w:marLeft w:val="0"/>
                  <w:marRight w:val="0"/>
                  <w:marTop w:val="0"/>
                  <w:marBottom w:val="0"/>
                  <w:divBdr>
                    <w:top w:val="none" w:sz="0" w:space="0" w:color="auto"/>
                    <w:left w:val="none" w:sz="0" w:space="0" w:color="auto"/>
                    <w:bottom w:val="none" w:sz="0" w:space="0" w:color="auto"/>
                    <w:right w:val="none" w:sz="0" w:space="0" w:color="auto"/>
                  </w:divBdr>
                </w:div>
                <w:div w:id="2056808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1336785">
          <w:marLeft w:val="0"/>
          <w:marRight w:val="0"/>
          <w:marTop w:val="0"/>
          <w:marBottom w:val="0"/>
          <w:divBdr>
            <w:top w:val="none" w:sz="0" w:space="0" w:color="auto"/>
            <w:left w:val="none" w:sz="0" w:space="0" w:color="auto"/>
            <w:bottom w:val="none" w:sz="0" w:space="0" w:color="auto"/>
            <w:right w:val="none" w:sz="0" w:space="0" w:color="auto"/>
          </w:divBdr>
          <w:divsChild>
            <w:div w:id="1030372824">
              <w:marLeft w:val="0"/>
              <w:marRight w:val="0"/>
              <w:marTop w:val="0"/>
              <w:marBottom w:val="0"/>
              <w:divBdr>
                <w:top w:val="none" w:sz="0" w:space="0" w:color="auto"/>
                <w:left w:val="none" w:sz="0" w:space="0" w:color="auto"/>
                <w:bottom w:val="none" w:sz="0" w:space="0" w:color="auto"/>
                <w:right w:val="none" w:sz="0" w:space="0" w:color="auto"/>
              </w:divBdr>
              <w:divsChild>
                <w:div w:id="1872719370">
                  <w:marLeft w:val="0"/>
                  <w:marRight w:val="0"/>
                  <w:marTop w:val="0"/>
                  <w:marBottom w:val="0"/>
                  <w:divBdr>
                    <w:top w:val="none" w:sz="0" w:space="0" w:color="auto"/>
                    <w:left w:val="none" w:sz="0" w:space="0" w:color="auto"/>
                    <w:bottom w:val="none" w:sz="0" w:space="0" w:color="auto"/>
                    <w:right w:val="none" w:sz="0" w:space="0" w:color="auto"/>
                  </w:divBdr>
                  <w:divsChild>
                    <w:div w:id="640964377">
                      <w:marLeft w:val="0"/>
                      <w:marRight w:val="0"/>
                      <w:marTop w:val="240"/>
                      <w:marBottom w:val="240"/>
                      <w:divBdr>
                        <w:top w:val="single" w:sz="12" w:space="0" w:color="EBEBEB"/>
                        <w:left w:val="none" w:sz="0" w:space="0" w:color="auto"/>
                        <w:bottom w:val="single" w:sz="12" w:space="0" w:color="EBEBEB"/>
                        <w:right w:val="none" w:sz="0" w:space="0" w:color="auto"/>
                      </w:divBdr>
                      <w:divsChild>
                        <w:div w:id="41209399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040475269">
                  <w:marLeft w:val="0"/>
                  <w:marRight w:val="0"/>
                  <w:marTop w:val="0"/>
                  <w:marBottom w:val="0"/>
                  <w:divBdr>
                    <w:top w:val="none" w:sz="0" w:space="0" w:color="auto"/>
                    <w:left w:val="none" w:sz="0" w:space="0" w:color="auto"/>
                    <w:bottom w:val="none" w:sz="0" w:space="0" w:color="auto"/>
                    <w:right w:val="none" w:sz="0" w:space="0" w:color="auto"/>
                  </w:divBdr>
                </w:div>
                <w:div w:id="230122735">
                  <w:marLeft w:val="0"/>
                  <w:marRight w:val="0"/>
                  <w:marTop w:val="0"/>
                  <w:marBottom w:val="0"/>
                  <w:divBdr>
                    <w:top w:val="none" w:sz="0" w:space="0" w:color="auto"/>
                    <w:left w:val="none" w:sz="0" w:space="0" w:color="auto"/>
                    <w:bottom w:val="none" w:sz="0" w:space="0" w:color="auto"/>
                    <w:right w:val="none" w:sz="0" w:space="0" w:color="auto"/>
                  </w:divBdr>
                </w:div>
                <w:div w:id="1337222229">
                  <w:marLeft w:val="0"/>
                  <w:marRight w:val="0"/>
                  <w:marTop w:val="0"/>
                  <w:marBottom w:val="0"/>
                  <w:divBdr>
                    <w:top w:val="none" w:sz="0" w:space="0" w:color="auto"/>
                    <w:left w:val="none" w:sz="0" w:space="0" w:color="auto"/>
                    <w:bottom w:val="none" w:sz="0" w:space="0" w:color="auto"/>
                    <w:right w:val="none" w:sz="0" w:space="0" w:color="auto"/>
                  </w:divBdr>
                </w:div>
                <w:div w:id="1566915632">
                  <w:marLeft w:val="0"/>
                  <w:marRight w:val="0"/>
                  <w:marTop w:val="0"/>
                  <w:marBottom w:val="0"/>
                  <w:divBdr>
                    <w:top w:val="none" w:sz="0" w:space="0" w:color="auto"/>
                    <w:left w:val="none" w:sz="0" w:space="0" w:color="auto"/>
                    <w:bottom w:val="none" w:sz="0" w:space="0" w:color="auto"/>
                    <w:right w:val="none" w:sz="0" w:space="0" w:color="auto"/>
                  </w:divBdr>
                </w:div>
                <w:div w:id="1936131110">
                  <w:marLeft w:val="0"/>
                  <w:marRight w:val="0"/>
                  <w:marTop w:val="0"/>
                  <w:marBottom w:val="0"/>
                  <w:divBdr>
                    <w:top w:val="none" w:sz="0" w:space="0" w:color="auto"/>
                    <w:left w:val="none" w:sz="0" w:space="0" w:color="auto"/>
                    <w:bottom w:val="none" w:sz="0" w:space="0" w:color="auto"/>
                    <w:right w:val="none" w:sz="0" w:space="0" w:color="auto"/>
                  </w:divBdr>
                  <w:divsChild>
                    <w:div w:id="376274405">
                      <w:marLeft w:val="0"/>
                      <w:marRight w:val="0"/>
                      <w:marTop w:val="240"/>
                      <w:marBottom w:val="240"/>
                      <w:divBdr>
                        <w:top w:val="single" w:sz="12" w:space="0" w:color="EBEBEB"/>
                        <w:left w:val="none" w:sz="0" w:space="0" w:color="auto"/>
                        <w:bottom w:val="single" w:sz="12" w:space="0" w:color="EBEBEB"/>
                        <w:right w:val="none" w:sz="0" w:space="0" w:color="auto"/>
                      </w:divBdr>
                      <w:divsChild>
                        <w:div w:id="143747910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82367963">
                  <w:marLeft w:val="0"/>
                  <w:marRight w:val="0"/>
                  <w:marTop w:val="0"/>
                  <w:marBottom w:val="0"/>
                  <w:divBdr>
                    <w:top w:val="none" w:sz="0" w:space="0" w:color="auto"/>
                    <w:left w:val="none" w:sz="0" w:space="0" w:color="auto"/>
                    <w:bottom w:val="none" w:sz="0" w:space="0" w:color="auto"/>
                    <w:right w:val="none" w:sz="0" w:space="0" w:color="auto"/>
                  </w:divBdr>
                </w:div>
                <w:div w:id="803812340">
                  <w:marLeft w:val="0"/>
                  <w:marRight w:val="0"/>
                  <w:marTop w:val="0"/>
                  <w:marBottom w:val="0"/>
                  <w:divBdr>
                    <w:top w:val="none" w:sz="0" w:space="0" w:color="auto"/>
                    <w:left w:val="none" w:sz="0" w:space="0" w:color="auto"/>
                    <w:bottom w:val="none" w:sz="0" w:space="0" w:color="auto"/>
                    <w:right w:val="none" w:sz="0" w:space="0" w:color="auto"/>
                  </w:divBdr>
                </w:div>
                <w:div w:id="1403218075">
                  <w:marLeft w:val="0"/>
                  <w:marRight w:val="0"/>
                  <w:marTop w:val="0"/>
                  <w:marBottom w:val="0"/>
                  <w:divBdr>
                    <w:top w:val="none" w:sz="0" w:space="0" w:color="auto"/>
                    <w:left w:val="none" w:sz="0" w:space="0" w:color="auto"/>
                    <w:bottom w:val="none" w:sz="0" w:space="0" w:color="auto"/>
                    <w:right w:val="none" w:sz="0" w:space="0" w:color="auto"/>
                  </w:divBdr>
                </w:div>
                <w:div w:id="1860508468">
                  <w:marLeft w:val="0"/>
                  <w:marRight w:val="0"/>
                  <w:marTop w:val="0"/>
                  <w:marBottom w:val="0"/>
                  <w:divBdr>
                    <w:top w:val="none" w:sz="0" w:space="0" w:color="auto"/>
                    <w:left w:val="none" w:sz="0" w:space="0" w:color="auto"/>
                    <w:bottom w:val="none" w:sz="0" w:space="0" w:color="auto"/>
                    <w:right w:val="none" w:sz="0" w:space="0" w:color="auto"/>
                  </w:divBdr>
                </w:div>
                <w:div w:id="609552698">
                  <w:marLeft w:val="0"/>
                  <w:marRight w:val="0"/>
                  <w:marTop w:val="0"/>
                  <w:marBottom w:val="0"/>
                  <w:divBdr>
                    <w:top w:val="none" w:sz="0" w:space="0" w:color="auto"/>
                    <w:left w:val="none" w:sz="0" w:space="0" w:color="auto"/>
                    <w:bottom w:val="none" w:sz="0" w:space="0" w:color="auto"/>
                    <w:right w:val="none" w:sz="0" w:space="0" w:color="auto"/>
                  </w:divBdr>
                  <w:divsChild>
                    <w:div w:id="765031086">
                      <w:marLeft w:val="0"/>
                      <w:marRight w:val="0"/>
                      <w:marTop w:val="240"/>
                      <w:marBottom w:val="240"/>
                      <w:divBdr>
                        <w:top w:val="single" w:sz="12" w:space="0" w:color="EBEBEB"/>
                        <w:left w:val="none" w:sz="0" w:space="0" w:color="auto"/>
                        <w:bottom w:val="single" w:sz="12" w:space="0" w:color="EBEBEB"/>
                        <w:right w:val="none" w:sz="0" w:space="0" w:color="auto"/>
                      </w:divBdr>
                      <w:divsChild>
                        <w:div w:id="2426002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884872266">
                  <w:marLeft w:val="0"/>
                  <w:marRight w:val="0"/>
                  <w:marTop w:val="0"/>
                  <w:marBottom w:val="0"/>
                  <w:divBdr>
                    <w:top w:val="none" w:sz="0" w:space="0" w:color="auto"/>
                    <w:left w:val="none" w:sz="0" w:space="0" w:color="auto"/>
                    <w:bottom w:val="none" w:sz="0" w:space="0" w:color="auto"/>
                    <w:right w:val="none" w:sz="0" w:space="0" w:color="auto"/>
                  </w:divBdr>
                  <w:divsChild>
                    <w:div w:id="2141534073">
                      <w:marLeft w:val="0"/>
                      <w:marRight w:val="0"/>
                      <w:marTop w:val="240"/>
                      <w:marBottom w:val="240"/>
                      <w:divBdr>
                        <w:top w:val="single" w:sz="12" w:space="0" w:color="EBEBEB"/>
                        <w:left w:val="none" w:sz="0" w:space="0" w:color="auto"/>
                        <w:bottom w:val="single" w:sz="12" w:space="0" w:color="EBEBEB"/>
                        <w:right w:val="none" w:sz="0" w:space="0" w:color="auto"/>
                      </w:divBdr>
                      <w:divsChild>
                        <w:div w:id="190679632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30895494">
                  <w:marLeft w:val="0"/>
                  <w:marRight w:val="0"/>
                  <w:marTop w:val="0"/>
                  <w:marBottom w:val="0"/>
                  <w:divBdr>
                    <w:top w:val="none" w:sz="0" w:space="0" w:color="auto"/>
                    <w:left w:val="none" w:sz="0" w:space="0" w:color="auto"/>
                    <w:bottom w:val="none" w:sz="0" w:space="0" w:color="auto"/>
                    <w:right w:val="none" w:sz="0" w:space="0" w:color="auto"/>
                  </w:divBdr>
                </w:div>
              </w:divsChild>
            </w:div>
            <w:div w:id="655190209">
              <w:marLeft w:val="0"/>
              <w:marRight w:val="0"/>
              <w:marTop w:val="0"/>
              <w:marBottom w:val="0"/>
              <w:divBdr>
                <w:top w:val="none" w:sz="0" w:space="0" w:color="auto"/>
                <w:left w:val="none" w:sz="0" w:space="0" w:color="auto"/>
                <w:bottom w:val="none" w:sz="0" w:space="0" w:color="auto"/>
                <w:right w:val="none" w:sz="0" w:space="0" w:color="auto"/>
              </w:divBdr>
            </w:div>
          </w:divsChild>
        </w:div>
        <w:div w:id="520515187">
          <w:marLeft w:val="0"/>
          <w:marRight w:val="0"/>
          <w:marTop w:val="0"/>
          <w:marBottom w:val="0"/>
          <w:divBdr>
            <w:top w:val="none" w:sz="0" w:space="0" w:color="auto"/>
            <w:left w:val="none" w:sz="0" w:space="0" w:color="auto"/>
            <w:bottom w:val="none" w:sz="0" w:space="0" w:color="auto"/>
            <w:right w:val="none" w:sz="0" w:space="0" w:color="auto"/>
          </w:divBdr>
          <w:divsChild>
            <w:div w:id="54209540">
              <w:marLeft w:val="0"/>
              <w:marRight w:val="0"/>
              <w:marTop w:val="0"/>
              <w:marBottom w:val="0"/>
              <w:divBdr>
                <w:top w:val="none" w:sz="0" w:space="0" w:color="auto"/>
                <w:left w:val="none" w:sz="0" w:space="0" w:color="auto"/>
                <w:bottom w:val="none" w:sz="0" w:space="0" w:color="auto"/>
                <w:right w:val="none" w:sz="0" w:space="0" w:color="auto"/>
              </w:divBdr>
            </w:div>
          </w:divsChild>
        </w:div>
        <w:div w:id="1776249177">
          <w:marLeft w:val="0"/>
          <w:marRight w:val="0"/>
          <w:marTop w:val="0"/>
          <w:marBottom w:val="0"/>
          <w:divBdr>
            <w:top w:val="none" w:sz="0" w:space="0" w:color="auto"/>
            <w:left w:val="none" w:sz="0" w:space="0" w:color="auto"/>
            <w:bottom w:val="none" w:sz="0" w:space="0" w:color="auto"/>
            <w:right w:val="none" w:sz="0" w:space="0" w:color="auto"/>
          </w:divBdr>
        </w:div>
        <w:div w:id="398484559">
          <w:marLeft w:val="0"/>
          <w:marRight w:val="0"/>
          <w:marTop w:val="0"/>
          <w:marBottom w:val="0"/>
          <w:divBdr>
            <w:top w:val="none" w:sz="0" w:space="0" w:color="auto"/>
            <w:left w:val="none" w:sz="0" w:space="0" w:color="auto"/>
            <w:bottom w:val="none" w:sz="0" w:space="0" w:color="auto"/>
            <w:right w:val="none" w:sz="0" w:space="0" w:color="auto"/>
          </w:divBdr>
        </w:div>
        <w:div w:id="1189374461">
          <w:marLeft w:val="0"/>
          <w:marRight w:val="0"/>
          <w:marTop w:val="0"/>
          <w:marBottom w:val="0"/>
          <w:divBdr>
            <w:top w:val="none" w:sz="0" w:space="0" w:color="auto"/>
            <w:left w:val="none" w:sz="0" w:space="0" w:color="auto"/>
            <w:bottom w:val="none" w:sz="0" w:space="0" w:color="auto"/>
            <w:right w:val="none" w:sz="0" w:space="0" w:color="auto"/>
          </w:divBdr>
          <w:divsChild>
            <w:div w:id="1052458567">
              <w:marLeft w:val="0"/>
              <w:marRight w:val="0"/>
              <w:marTop w:val="0"/>
              <w:marBottom w:val="0"/>
              <w:divBdr>
                <w:top w:val="none" w:sz="0" w:space="0" w:color="auto"/>
                <w:left w:val="none" w:sz="0" w:space="0" w:color="auto"/>
                <w:bottom w:val="none" w:sz="0" w:space="0" w:color="auto"/>
                <w:right w:val="none" w:sz="0" w:space="0" w:color="auto"/>
              </w:divBdr>
            </w:div>
          </w:divsChild>
        </w:div>
        <w:div w:id="949705737">
          <w:marLeft w:val="0"/>
          <w:marRight w:val="0"/>
          <w:marTop w:val="0"/>
          <w:marBottom w:val="0"/>
          <w:divBdr>
            <w:top w:val="none" w:sz="0" w:space="0" w:color="auto"/>
            <w:left w:val="none" w:sz="0" w:space="0" w:color="auto"/>
            <w:bottom w:val="none" w:sz="0" w:space="0" w:color="auto"/>
            <w:right w:val="none" w:sz="0" w:space="0" w:color="auto"/>
          </w:divBdr>
        </w:div>
        <w:div w:id="2077167059">
          <w:marLeft w:val="0"/>
          <w:marRight w:val="0"/>
          <w:marTop w:val="0"/>
          <w:marBottom w:val="0"/>
          <w:divBdr>
            <w:top w:val="none" w:sz="0" w:space="0" w:color="auto"/>
            <w:left w:val="none" w:sz="0" w:space="0" w:color="auto"/>
            <w:bottom w:val="none" w:sz="0" w:space="0" w:color="auto"/>
            <w:right w:val="none" w:sz="0" w:space="0" w:color="auto"/>
          </w:divBdr>
          <w:divsChild>
            <w:div w:id="1700543132">
              <w:marLeft w:val="0"/>
              <w:marRight w:val="360"/>
              <w:marTop w:val="0"/>
              <w:marBottom w:val="0"/>
              <w:divBdr>
                <w:top w:val="none" w:sz="0" w:space="0" w:color="auto"/>
                <w:left w:val="none" w:sz="0" w:space="0" w:color="auto"/>
                <w:bottom w:val="none" w:sz="0" w:space="0" w:color="auto"/>
                <w:right w:val="none" w:sz="0" w:space="0" w:color="auto"/>
              </w:divBdr>
            </w:div>
          </w:divsChild>
        </w:div>
        <w:div w:id="1646351289">
          <w:marLeft w:val="0"/>
          <w:marRight w:val="0"/>
          <w:marTop w:val="0"/>
          <w:marBottom w:val="0"/>
          <w:divBdr>
            <w:top w:val="none" w:sz="0" w:space="0" w:color="auto"/>
            <w:left w:val="none" w:sz="0" w:space="0" w:color="auto"/>
            <w:bottom w:val="none" w:sz="0" w:space="0" w:color="auto"/>
            <w:right w:val="none" w:sz="0" w:space="0" w:color="auto"/>
          </w:divBdr>
          <w:divsChild>
            <w:div w:id="1980382101">
              <w:marLeft w:val="0"/>
              <w:marRight w:val="0"/>
              <w:marTop w:val="0"/>
              <w:marBottom w:val="0"/>
              <w:divBdr>
                <w:top w:val="none" w:sz="0" w:space="0" w:color="auto"/>
                <w:left w:val="none" w:sz="0" w:space="0" w:color="auto"/>
                <w:bottom w:val="none" w:sz="0" w:space="0" w:color="auto"/>
                <w:right w:val="none" w:sz="0" w:space="0" w:color="auto"/>
              </w:divBdr>
            </w:div>
          </w:divsChild>
        </w:div>
        <w:div w:id="320233838">
          <w:marLeft w:val="0"/>
          <w:marRight w:val="0"/>
          <w:marTop w:val="0"/>
          <w:marBottom w:val="0"/>
          <w:divBdr>
            <w:top w:val="none" w:sz="0" w:space="0" w:color="auto"/>
            <w:left w:val="none" w:sz="0" w:space="0" w:color="auto"/>
            <w:bottom w:val="none" w:sz="0" w:space="0" w:color="auto"/>
            <w:right w:val="none" w:sz="0" w:space="0" w:color="auto"/>
          </w:divBdr>
        </w:div>
        <w:div w:id="1357462666">
          <w:marLeft w:val="0"/>
          <w:marRight w:val="0"/>
          <w:marTop w:val="0"/>
          <w:marBottom w:val="0"/>
          <w:divBdr>
            <w:top w:val="none" w:sz="0" w:space="0" w:color="auto"/>
            <w:left w:val="none" w:sz="0" w:space="0" w:color="auto"/>
            <w:bottom w:val="none" w:sz="0" w:space="0" w:color="auto"/>
            <w:right w:val="none" w:sz="0" w:space="0" w:color="auto"/>
          </w:divBdr>
        </w:div>
        <w:div w:id="1296644447">
          <w:marLeft w:val="0"/>
          <w:marRight w:val="0"/>
          <w:marTop w:val="0"/>
          <w:marBottom w:val="0"/>
          <w:divBdr>
            <w:top w:val="none" w:sz="0" w:space="0" w:color="auto"/>
            <w:left w:val="none" w:sz="0" w:space="0" w:color="auto"/>
            <w:bottom w:val="none" w:sz="0" w:space="0" w:color="auto"/>
            <w:right w:val="none" w:sz="0" w:space="0" w:color="auto"/>
          </w:divBdr>
          <w:divsChild>
            <w:div w:id="230238983">
              <w:marLeft w:val="0"/>
              <w:marRight w:val="0"/>
              <w:marTop w:val="0"/>
              <w:marBottom w:val="0"/>
              <w:divBdr>
                <w:top w:val="none" w:sz="0" w:space="0" w:color="auto"/>
                <w:left w:val="none" w:sz="0" w:space="0" w:color="auto"/>
                <w:bottom w:val="none" w:sz="0" w:space="0" w:color="auto"/>
                <w:right w:val="none" w:sz="0" w:space="0" w:color="auto"/>
              </w:divBdr>
            </w:div>
          </w:divsChild>
        </w:div>
        <w:div w:id="2105494267">
          <w:marLeft w:val="0"/>
          <w:marRight w:val="0"/>
          <w:marTop w:val="0"/>
          <w:marBottom w:val="0"/>
          <w:divBdr>
            <w:top w:val="none" w:sz="0" w:space="0" w:color="auto"/>
            <w:left w:val="none" w:sz="0" w:space="0" w:color="auto"/>
            <w:bottom w:val="none" w:sz="0" w:space="0" w:color="auto"/>
            <w:right w:val="none" w:sz="0" w:space="0" w:color="auto"/>
          </w:divBdr>
        </w:div>
        <w:div w:id="506553574">
          <w:marLeft w:val="0"/>
          <w:marRight w:val="0"/>
          <w:marTop w:val="0"/>
          <w:marBottom w:val="0"/>
          <w:divBdr>
            <w:top w:val="none" w:sz="0" w:space="0" w:color="auto"/>
            <w:left w:val="none" w:sz="0" w:space="0" w:color="auto"/>
            <w:bottom w:val="none" w:sz="0" w:space="0" w:color="auto"/>
            <w:right w:val="none" w:sz="0" w:space="0" w:color="auto"/>
          </w:divBdr>
          <w:divsChild>
            <w:div w:id="248193461">
              <w:marLeft w:val="0"/>
              <w:marRight w:val="360"/>
              <w:marTop w:val="0"/>
              <w:marBottom w:val="0"/>
              <w:divBdr>
                <w:top w:val="none" w:sz="0" w:space="0" w:color="auto"/>
                <w:left w:val="none" w:sz="0" w:space="0" w:color="auto"/>
                <w:bottom w:val="none" w:sz="0" w:space="0" w:color="auto"/>
                <w:right w:val="none" w:sz="0" w:space="0" w:color="auto"/>
              </w:divBdr>
            </w:div>
          </w:divsChild>
        </w:div>
        <w:div w:id="708068302">
          <w:marLeft w:val="0"/>
          <w:marRight w:val="0"/>
          <w:marTop w:val="0"/>
          <w:marBottom w:val="0"/>
          <w:divBdr>
            <w:top w:val="none" w:sz="0" w:space="0" w:color="auto"/>
            <w:left w:val="none" w:sz="0" w:space="0" w:color="auto"/>
            <w:bottom w:val="none" w:sz="0" w:space="0" w:color="auto"/>
            <w:right w:val="none" w:sz="0" w:space="0" w:color="auto"/>
          </w:divBdr>
          <w:divsChild>
            <w:div w:id="6520515">
              <w:marLeft w:val="0"/>
              <w:marRight w:val="0"/>
              <w:marTop w:val="0"/>
              <w:marBottom w:val="0"/>
              <w:divBdr>
                <w:top w:val="none" w:sz="0" w:space="0" w:color="auto"/>
                <w:left w:val="none" w:sz="0" w:space="0" w:color="auto"/>
                <w:bottom w:val="none" w:sz="0" w:space="0" w:color="auto"/>
                <w:right w:val="none" w:sz="0" w:space="0" w:color="auto"/>
              </w:divBdr>
            </w:div>
          </w:divsChild>
        </w:div>
        <w:div w:id="1620381129">
          <w:marLeft w:val="0"/>
          <w:marRight w:val="0"/>
          <w:marTop w:val="0"/>
          <w:marBottom w:val="0"/>
          <w:divBdr>
            <w:top w:val="none" w:sz="0" w:space="0" w:color="auto"/>
            <w:left w:val="none" w:sz="0" w:space="0" w:color="auto"/>
            <w:bottom w:val="none" w:sz="0" w:space="0" w:color="auto"/>
            <w:right w:val="none" w:sz="0" w:space="0" w:color="auto"/>
          </w:divBdr>
        </w:div>
        <w:div w:id="230888016">
          <w:marLeft w:val="0"/>
          <w:marRight w:val="0"/>
          <w:marTop w:val="0"/>
          <w:marBottom w:val="0"/>
          <w:divBdr>
            <w:top w:val="none" w:sz="0" w:space="0" w:color="auto"/>
            <w:left w:val="none" w:sz="0" w:space="0" w:color="auto"/>
            <w:bottom w:val="none" w:sz="0" w:space="0" w:color="auto"/>
            <w:right w:val="none" w:sz="0" w:space="0" w:color="auto"/>
          </w:divBdr>
          <w:divsChild>
            <w:div w:id="1687252073">
              <w:marLeft w:val="0"/>
              <w:marRight w:val="360"/>
              <w:marTop w:val="0"/>
              <w:marBottom w:val="0"/>
              <w:divBdr>
                <w:top w:val="none" w:sz="0" w:space="0" w:color="auto"/>
                <w:left w:val="none" w:sz="0" w:space="0" w:color="auto"/>
                <w:bottom w:val="none" w:sz="0" w:space="0" w:color="auto"/>
                <w:right w:val="none" w:sz="0" w:space="0" w:color="auto"/>
              </w:divBdr>
            </w:div>
          </w:divsChild>
        </w:div>
        <w:div w:id="293020513">
          <w:marLeft w:val="0"/>
          <w:marRight w:val="0"/>
          <w:marTop w:val="0"/>
          <w:marBottom w:val="0"/>
          <w:divBdr>
            <w:top w:val="none" w:sz="0" w:space="0" w:color="auto"/>
            <w:left w:val="none" w:sz="0" w:space="0" w:color="auto"/>
            <w:bottom w:val="none" w:sz="0" w:space="0" w:color="auto"/>
            <w:right w:val="none" w:sz="0" w:space="0" w:color="auto"/>
          </w:divBdr>
          <w:divsChild>
            <w:div w:id="317081449">
              <w:marLeft w:val="0"/>
              <w:marRight w:val="0"/>
              <w:marTop w:val="0"/>
              <w:marBottom w:val="0"/>
              <w:divBdr>
                <w:top w:val="none" w:sz="0" w:space="0" w:color="auto"/>
                <w:left w:val="none" w:sz="0" w:space="0" w:color="auto"/>
                <w:bottom w:val="none" w:sz="0" w:space="0" w:color="auto"/>
                <w:right w:val="none" w:sz="0" w:space="0" w:color="auto"/>
              </w:divBdr>
            </w:div>
          </w:divsChild>
        </w:div>
        <w:div w:id="1307275088">
          <w:marLeft w:val="0"/>
          <w:marRight w:val="0"/>
          <w:marTop w:val="0"/>
          <w:marBottom w:val="0"/>
          <w:divBdr>
            <w:top w:val="none" w:sz="0" w:space="0" w:color="auto"/>
            <w:left w:val="none" w:sz="0" w:space="0" w:color="auto"/>
            <w:bottom w:val="none" w:sz="0" w:space="0" w:color="auto"/>
            <w:right w:val="none" w:sz="0" w:space="0" w:color="auto"/>
          </w:divBdr>
        </w:div>
        <w:div w:id="414279916">
          <w:marLeft w:val="0"/>
          <w:marRight w:val="0"/>
          <w:marTop w:val="0"/>
          <w:marBottom w:val="0"/>
          <w:divBdr>
            <w:top w:val="none" w:sz="0" w:space="0" w:color="auto"/>
            <w:left w:val="none" w:sz="0" w:space="0" w:color="auto"/>
            <w:bottom w:val="none" w:sz="0" w:space="0" w:color="auto"/>
            <w:right w:val="none" w:sz="0" w:space="0" w:color="auto"/>
          </w:divBdr>
          <w:divsChild>
            <w:div w:id="103309946">
              <w:marLeft w:val="0"/>
              <w:marRight w:val="360"/>
              <w:marTop w:val="0"/>
              <w:marBottom w:val="0"/>
              <w:divBdr>
                <w:top w:val="none" w:sz="0" w:space="0" w:color="auto"/>
                <w:left w:val="none" w:sz="0" w:space="0" w:color="auto"/>
                <w:bottom w:val="none" w:sz="0" w:space="0" w:color="auto"/>
                <w:right w:val="none" w:sz="0" w:space="0" w:color="auto"/>
              </w:divBdr>
            </w:div>
          </w:divsChild>
        </w:div>
        <w:div w:id="1914660405">
          <w:marLeft w:val="0"/>
          <w:marRight w:val="0"/>
          <w:marTop w:val="0"/>
          <w:marBottom w:val="0"/>
          <w:divBdr>
            <w:top w:val="none" w:sz="0" w:space="0" w:color="auto"/>
            <w:left w:val="none" w:sz="0" w:space="0" w:color="auto"/>
            <w:bottom w:val="none" w:sz="0" w:space="0" w:color="auto"/>
            <w:right w:val="none" w:sz="0" w:space="0" w:color="auto"/>
          </w:divBdr>
          <w:divsChild>
            <w:div w:id="1361053169">
              <w:marLeft w:val="0"/>
              <w:marRight w:val="0"/>
              <w:marTop w:val="0"/>
              <w:marBottom w:val="0"/>
              <w:divBdr>
                <w:top w:val="none" w:sz="0" w:space="0" w:color="auto"/>
                <w:left w:val="none" w:sz="0" w:space="0" w:color="auto"/>
                <w:bottom w:val="none" w:sz="0" w:space="0" w:color="auto"/>
                <w:right w:val="none" w:sz="0" w:space="0" w:color="auto"/>
              </w:divBdr>
            </w:div>
          </w:divsChild>
        </w:div>
        <w:div w:id="763691401">
          <w:marLeft w:val="0"/>
          <w:marRight w:val="0"/>
          <w:marTop w:val="0"/>
          <w:marBottom w:val="0"/>
          <w:divBdr>
            <w:top w:val="none" w:sz="0" w:space="0" w:color="auto"/>
            <w:left w:val="none" w:sz="0" w:space="0" w:color="auto"/>
            <w:bottom w:val="none" w:sz="0" w:space="0" w:color="auto"/>
            <w:right w:val="none" w:sz="0" w:space="0" w:color="auto"/>
          </w:divBdr>
        </w:div>
        <w:div w:id="1687320151">
          <w:marLeft w:val="0"/>
          <w:marRight w:val="0"/>
          <w:marTop w:val="0"/>
          <w:marBottom w:val="0"/>
          <w:divBdr>
            <w:top w:val="none" w:sz="0" w:space="0" w:color="auto"/>
            <w:left w:val="none" w:sz="0" w:space="0" w:color="auto"/>
            <w:bottom w:val="none" w:sz="0" w:space="0" w:color="auto"/>
            <w:right w:val="none" w:sz="0" w:space="0" w:color="auto"/>
          </w:divBdr>
        </w:div>
        <w:div w:id="1828938219">
          <w:marLeft w:val="0"/>
          <w:marRight w:val="0"/>
          <w:marTop w:val="0"/>
          <w:marBottom w:val="0"/>
          <w:divBdr>
            <w:top w:val="none" w:sz="0" w:space="0" w:color="auto"/>
            <w:left w:val="none" w:sz="0" w:space="0" w:color="auto"/>
            <w:bottom w:val="none" w:sz="0" w:space="0" w:color="auto"/>
            <w:right w:val="none" w:sz="0" w:space="0" w:color="auto"/>
          </w:divBdr>
          <w:divsChild>
            <w:div w:id="324670772">
              <w:marLeft w:val="0"/>
              <w:marRight w:val="0"/>
              <w:marTop w:val="0"/>
              <w:marBottom w:val="0"/>
              <w:divBdr>
                <w:top w:val="none" w:sz="0" w:space="0" w:color="auto"/>
                <w:left w:val="none" w:sz="0" w:space="0" w:color="auto"/>
                <w:bottom w:val="none" w:sz="0" w:space="0" w:color="auto"/>
                <w:right w:val="none" w:sz="0" w:space="0" w:color="auto"/>
              </w:divBdr>
            </w:div>
          </w:divsChild>
        </w:div>
        <w:div w:id="419833035">
          <w:marLeft w:val="0"/>
          <w:marRight w:val="0"/>
          <w:marTop w:val="0"/>
          <w:marBottom w:val="0"/>
          <w:divBdr>
            <w:top w:val="none" w:sz="0" w:space="0" w:color="auto"/>
            <w:left w:val="none" w:sz="0" w:space="0" w:color="auto"/>
            <w:bottom w:val="none" w:sz="0" w:space="0" w:color="auto"/>
            <w:right w:val="none" w:sz="0" w:space="0" w:color="auto"/>
          </w:divBdr>
        </w:div>
        <w:div w:id="598834706">
          <w:marLeft w:val="0"/>
          <w:marRight w:val="0"/>
          <w:marTop w:val="0"/>
          <w:marBottom w:val="0"/>
          <w:divBdr>
            <w:top w:val="none" w:sz="0" w:space="0" w:color="auto"/>
            <w:left w:val="none" w:sz="0" w:space="0" w:color="auto"/>
            <w:bottom w:val="none" w:sz="0" w:space="0" w:color="auto"/>
            <w:right w:val="none" w:sz="0" w:space="0" w:color="auto"/>
          </w:divBdr>
          <w:divsChild>
            <w:div w:id="585461999">
              <w:marLeft w:val="0"/>
              <w:marRight w:val="360"/>
              <w:marTop w:val="0"/>
              <w:marBottom w:val="0"/>
              <w:divBdr>
                <w:top w:val="none" w:sz="0" w:space="0" w:color="auto"/>
                <w:left w:val="none" w:sz="0" w:space="0" w:color="auto"/>
                <w:bottom w:val="none" w:sz="0" w:space="0" w:color="auto"/>
                <w:right w:val="none" w:sz="0" w:space="0" w:color="auto"/>
              </w:divBdr>
            </w:div>
          </w:divsChild>
        </w:div>
        <w:div w:id="1607808769">
          <w:marLeft w:val="0"/>
          <w:marRight w:val="0"/>
          <w:marTop w:val="0"/>
          <w:marBottom w:val="0"/>
          <w:divBdr>
            <w:top w:val="none" w:sz="0" w:space="0" w:color="auto"/>
            <w:left w:val="none" w:sz="0" w:space="0" w:color="auto"/>
            <w:bottom w:val="none" w:sz="0" w:space="0" w:color="auto"/>
            <w:right w:val="none" w:sz="0" w:space="0" w:color="auto"/>
          </w:divBdr>
          <w:divsChild>
            <w:div w:id="617949406">
              <w:marLeft w:val="0"/>
              <w:marRight w:val="0"/>
              <w:marTop w:val="0"/>
              <w:marBottom w:val="0"/>
              <w:divBdr>
                <w:top w:val="none" w:sz="0" w:space="0" w:color="auto"/>
                <w:left w:val="none" w:sz="0" w:space="0" w:color="auto"/>
                <w:bottom w:val="none" w:sz="0" w:space="0" w:color="auto"/>
                <w:right w:val="none" w:sz="0" w:space="0" w:color="auto"/>
              </w:divBdr>
            </w:div>
          </w:divsChild>
        </w:div>
        <w:div w:id="911890974">
          <w:marLeft w:val="0"/>
          <w:marRight w:val="0"/>
          <w:marTop w:val="0"/>
          <w:marBottom w:val="0"/>
          <w:divBdr>
            <w:top w:val="none" w:sz="0" w:space="0" w:color="auto"/>
            <w:left w:val="none" w:sz="0" w:space="0" w:color="auto"/>
            <w:bottom w:val="none" w:sz="0" w:space="0" w:color="auto"/>
            <w:right w:val="none" w:sz="0" w:space="0" w:color="auto"/>
          </w:divBdr>
        </w:div>
        <w:div w:id="1657874243">
          <w:marLeft w:val="0"/>
          <w:marRight w:val="0"/>
          <w:marTop w:val="0"/>
          <w:marBottom w:val="0"/>
          <w:divBdr>
            <w:top w:val="none" w:sz="0" w:space="0" w:color="auto"/>
            <w:left w:val="none" w:sz="0" w:space="0" w:color="auto"/>
            <w:bottom w:val="none" w:sz="0" w:space="0" w:color="auto"/>
            <w:right w:val="none" w:sz="0" w:space="0" w:color="auto"/>
          </w:divBdr>
        </w:div>
        <w:div w:id="1284649847">
          <w:marLeft w:val="0"/>
          <w:marRight w:val="0"/>
          <w:marTop w:val="0"/>
          <w:marBottom w:val="0"/>
          <w:divBdr>
            <w:top w:val="none" w:sz="0" w:space="0" w:color="auto"/>
            <w:left w:val="none" w:sz="0" w:space="0" w:color="auto"/>
            <w:bottom w:val="none" w:sz="0" w:space="0" w:color="auto"/>
            <w:right w:val="none" w:sz="0" w:space="0" w:color="auto"/>
          </w:divBdr>
          <w:divsChild>
            <w:div w:id="1225606718">
              <w:marLeft w:val="0"/>
              <w:marRight w:val="0"/>
              <w:marTop w:val="0"/>
              <w:marBottom w:val="0"/>
              <w:divBdr>
                <w:top w:val="none" w:sz="0" w:space="0" w:color="auto"/>
                <w:left w:val="none" w:sz="0" w:space="0" w:color="auto"/>
                <w:bottom w:val="none" w:sz="0" w:space="0" w:color="auto"/>
                <w:right w:val="none" w:sz="0" w:space="0" w:color="auto"/>
              </w:divBdr>
            </w:div>
          </w:divsChild>
        </w:div>
        <w:div w:id="2140030832">
          <w:marLeft w:val="0"/>
          <w:marRight w:val="0"/>
          <w:marTop w:val="0"/>
          <w:marBottom w:val="0"/>
          <w:divBdr>
            <w:top w:val="none" w:sz="0" w:space="0" w:color="auto"/>
            <w:left w:val="none" w:sz="0" w:space="0" w:color="auto"/>
            <w:bottom w:val="none" w:sz="0" w:space="0" w:color="auto"/>
            <w:right w:val="none" w:sz="0" w:space="0" w:color="auto"/>
          </w:divBdr>
        </w:div>
        <w:div w:id="700084425">
          <w:marLeft w:val="0"/>
          <w:marRight w:val="0"/>
          <w:marTop w:val="0"/>
          <w:marBottom w:val="0"/>
          <w:divBdr>
            <w:top w:val="none" w:sz="0" w:space="0" w:color="auto"/>
            <w:left w:val="none" w:sz="0" w:space="0" w:color="auto"/>
            <w:bottom w:val="none" w:sz="0" w:space="0" w:color="auto"/>
            <w:right w:val="none" w:sz="0" w:space="0" w:color="auto"/>
          </w:divBdr>
        </w:div>
        <w:div w:id="1868563591">
          <w:marLeft w:val="0"/>
          <w:marRight w:val="0"/>
          <w:marTop w:val="0"/>
          <w:marBottom w:val="0"/>
          <w:divBdr>
            <w:top w:val="none" w:sz="0" w:space="0" w:color="auto"/>
            <w:left w:val="none" w:sz="0" w:space="0" w:color="auto"/>
            <w:bottom w:val="none" w:sz="0" w:space="0" w:color="auto"/>
            <w:right w:val="none" w:sz="0" w:space="0" w:color="auto"/>
          </w:divBdr>
          <w:divsChild>
            <w:div w:id="142160462">
              <w:marLeft w:val="0"/>
              <w:marRight w:val="0"/>
              <w:marTop w:val="0"/>
              <w:marBottom w:val="0"/>
              <w:divBdr>
                <w:top w:val="none" w:sz="0" w:space="0" w:color="auto"/>
                <w:left w:val="none" w:sz="0" w:space="0" w:color="auto"/>
                <w:bottom w:val="none" w:sz="0" w:space="0" w:color="auto"/>
                <w:right w:val="none" w:sz="0" w:space="0" w:color="auto"/>
              </w:divBdr>
            </w:div>
          </w:divsChild>
        </w:div>
        <w:div w:id="1225751734">
          <w:marLeft w:val="0"/>
          <w:marRight w:val="0"/>
          <w:marTop w:val="0"/>
          <w:marBottom w:val="0"/>
          <w:divBdr>
            <w:top w:val="none" w:sz="0" w:space="0" w:color="auto"/>
            <w:left w:val="none" w:sz="0" w:space="0" w:color="auto"/>
            <w:bottom w:val="none" w:sz="0" w:space="0" w:color="auto"/>
            <w:right w:val="none" w:sz="0" w:space="0" w:color="auto"/>
          </w:divBdr>
        </w:div>
        <w:div w:id="126365714">
          <w:marLeft w:val="0"/>
          <w:marRight w:val="0"/>
          <w:marTop w:val="0"/>
          <w:marBottom w:val="0"/>
          <w:divBdr>
            <w:top w:val="none" w:sz="0" w:space="0" w:color="auto"/>
            <w:left w:val="none" w:sz="0" w:space="0" w:color="auto"/>
            <w:bottom w:val="none" w:sz="0" w:space="0" w:color="auto"/>
            <w:right w:val="none" w:sz="0" w:space="0" w:color="auto"/>
          </w:divBdr>
        </w:div>
        <w:div w:id="1817717257">
          <w:marLeft w:val="0"/>
          <w:marRight w:val="0"/>
          <w:marTop w:val="0"/>
          <w:marBottom w:val="0"/>
          <w:divBdr>
            <w:top w:val="none" w:sz="0" w:space="0" w:color="auto"/>
            <w:left w:val="none" w:sz="0" w:space="0" w:color="auto"/>
            <w:bottom w:val="none" w:sz="0" w:space="0" w:color="auto"/>
            <w:right w:val="none" w:sz="0" w:space="0" w:color="auto"/>
          </w:divBdr>
          <w:divsChild>
            <w:div w:id="900408395">
              <w:marLeft w:val="0"/>
              <w:marRight w:val="0"/>
              <w:marTop w:val="0"/>
              <w:marBottom w:val="0"/>
              <w:divBdr>
                <w:top w:val="none" w:sz="0" w:space="0" w:color="auto"/>
                <w:left w:val="none" w:sz="0" w:space="0" w:color="auto"/>
                <w:bottom w:val="none" w:sz="0" w:space="0" w:color="auto"/>
                <w:right w:val="none" w:sz="0" w:space="0" w:color="auto"/>
              </w:divBdr>
            </w:div>
          </w:divsChild>
        </w:div>
        <w:div w:id="879511122">
          <w:marLeft w:val="0"/>
          <w:marRight w:val="0"/>
          <w:marTop w:val="0"/>
          <w:marBottom w:val="0"/>
          <w:divBdr>
            <w:top w:val="none" w:sz="0" w:space="0" w:color="auto"/>
            <w:left w:val="none" w:sz="0" w:space="0" w:color="auto"/>
            <w:bottom w:val="none" w:sz="0" w:space="0" w:color="auto"/>
            <w:right w:val="none" w:sz="0" w:space="0" w:color="auto"/>
          </w:divBdr>
        </w:div>
        <w:div w:id="1776436454">
          <w:marLeft w:val="0"/>
          <w:marRight w:val="0"/>
          <w:marTop w:val="0"/>
          <w:marBottom w:val="0"/>
          <w:divBdr>
            <w:top w:val="none" w:sz="0" w:space="0" w:color="auto"/>
            <w:left w:val="none" w:sz="0" w:space="0" w:color="auto"/>
            <w:bottom w:val="none" w:sz="0" w:space="0" w:color="auto"/>
            <w:right w:val="none" w:sz="0" w:space="0" w:color="auto"/>
          </w:divBdr>
          <w:divsChild>
            <w:div w:id="1142192286">
              <w:marLeft w:val="0"/>
              <w:marRight w:val="360"/>
              <w:marTop w:val="0"/>
              <w:marBottom w:val="0"/>
              <w:divBdr>
                <w:top w:val="none" w:sz="0" w:space="0" w:color="auto"/>
                <w:left w:val="none" w:sz="0" w:space="0" w:color="auto"/>
                <w:bottom w:val="none" w:sz="0" w:space="0" w:color="auto"/>
                <w:right w:val="none" w:sz="0" w:space="0" w:color="auto"/>
              </w:divBdr>
            </w:div>
          </w:divsChild>
        </w:div>
        <w:div w:id="133958293">
          <w:marLeft w:val="0"/>
          <w:marRight w:val="0"/>
          <w:marTop w:val="0"/>
          <w:marBottom w:val="0"/>
          <w:divBdr>
            <w:top w:val="none" w:sz="0" w:space="0" w:color="auto"/>
            <w:left w:val="none" w:sz="0" w:space="0" w:color="auto"/>
            <w:bottom w:val="none" w:sz="0" w:space="0" w:color="auto"/>
            <w:right w:val="none" w:sz="0" w:space="0" w:color="auto"/>
          </w:divBdr>
          <w:divsChild>
            <w:div w:id="1404138384">
              <w:marLeft w:val="0"/>
              <w:marRight w:val="0"/>
              <w:marTop w:val="0"/>
              <w:marBottom w:val="0"/>
              <w:divBdr>
                <w:top w:val="none" w:sz="0" w:space="0" w:color="auto"/>
                <w:left w:val="none" w:sz="0" w:space="0" w:color="auto"/>
                <w:bottom w:val="none" w:sz="0" w:space="0" w:color="auto"/>
                <w:right w:val="none" w:sz="0" w:space="0" w:color="auto"/>
              </w:divBdr>
            </w:div>
          </w:divsChild>
        </w:div>
        <w:div w:id="152836302">
          <w:marLeft w:val="0"/>
          <w:marRight w:val="0"/>
          <w:marTop w:val="0"/>
          <w:marBottom w:val="0"/>
          <w:divBdr>
            <w:top w:val="none" w:sz="0" w:space="0" w:color="auto"/>
            <w:left w:val="none" w:sz="0" w:space="0" w:color="auto"/>
            <w:bottom w:val="none" w:sz="0" w:space="0" w:color="auto"/>
            <w:right w:val="none" w:sz="0" w:space="0" w:color="auto"/>
          </w:divBdr>
        </w:div>
        <w:div w:id="1341734357">
          <w:marLeft w:val="0"/>
          <w:marRight w:val="0"/>
          <w:marTop w:val="0"/>
          <w:marBottom w:val="0"/>
          <w:divBdr>
            <w:top w:val="none" w:sz="0" w:space="0" w:color="auto"/>
            <w:left w:val="none" w:sz="0" w:space="0" w:color="auto"/>
            <w:bottom w:val="none" w:sz="0" w:space="0" w:color="auto"/>
            <w:right w:val="none" w:sz="0" w:space="0" w:color="auto"/>
          </w:divBdr>
          <w:divsChild>
            <w:div w:id="417408281">
              <w:marLeft w:val="0"/>
              <w:marRight w:val="360"/>
              <w:marTop w:val="0"/>
              <w:marBottom w:val="0"/>
              <w:divBdr>
                <w:top w:val="none" w:sz="0" w:space="0" w:color="auto"/>
                <w:left w:val="none" w:sz="0" w:space="0" w:color="auto"/>
                <w:bottom w:val="none" w:sz="0" w:space="0" w:color="auto"/>
                <w:right w:val="none" w:sz="0" w:space="0" w:color="auto"/>
              </w:divBdr>
            </w:div>
          </w:divsChild>
        </w:div>
        <w:div w:id="1745373999">
          <w:marLeft w:val="0"/>
          <w:marRight w:val="0"/>
          <w:marTop w:val="0"/>
          <w:marBottom w:val="0"/>
          <w:divBdr>
            <w:top w:val="none" w:sz="0" w:space="0" w:color="auto"/>
            <w:left w:val="none" w:sz="0" w:space="0" w:color="auto"/>
            <w:bottom w:val="none" w:sz="0" w:space="0" w:color="auto"/>
            <w:right w:val="none" w:sz="0" w:space="0" w:color="auto"/>
          </w:divBdr>
          <w:divsChild>
            <w:div w:id="1001856755">
              <w:marLeft w:val="0"/>
              <w:marRight w:val="0"/>
              <w:marTop w:val="0"/>
              <w:marBottom w:val="0"/>
              <w:divBdr>
                <w:top w:val="none" w:sz="0" w:space="0" w:color="auto"/>
                <w:left w:val="none" w:sz="0" w:space="0" w:color="auto"/>
                <w:bottom w:val="none" w:sz="0" w:space="0" w:color="auto"/>
                <w:right w:val="none" w:sz="0" w:space="0" w:color="auto"/>
              </w:divBdr>
            </w:div>
          </w:divsChild>
        </w:div>
        <w:div w:id="1750078018">
          <w:marLeft w:val="0"/>
          <w:marRight w:val="0"/>
          <w:marTop w:val="0"/>
          <w:marBottom w:val="0"/>
          <w:divBdr>
            <w:top w:val="none" w:sz="0" w:space="0" w:color="auto"/>
            <w:left w:val="none" w:sz="0" w:space="0" w:color="auto"/>
            <w:bottom w:val="none" w:sz="0" w:space="0" w:color="auto"/>
            <w:right w:val="none" w:sz="0" w:space="0" w:color="auto"/>
          </w:divBdr>
        </w:div>
        <w:div w:id="1715738302">
          <w:marLeft w:val="0"/>
          <w:marRight w:val="0"/>
          <w:marTop w:val="0"/>
          <w:marBottom w:val="0"/>
          <w:divBdr>
            <w:top w:val="none" w:sz="0" w:space="0" w:color="auto"/>
            <w:left w:val="none" w:sz="0" w:space="0" w:color="auto"/>
            <w:bottom w:val="none" w:sz="0" w:space="0" w:color="auto"/>
            <w:right w:val="none" w:sz="0" w:space="0" w:color="auto"/>
          </w:divBdr>
          <w:divsChild>
            <w:div w:id="35394454">
              <w:marLeft w:val="0"/>
              <w:marRight w:val="360"/>
              <w:marTop w:val="0"/>
              <w:marBottom w:val="0"/>
              <w:divBdr>
                <w:top w:val="none" w:sz="0" w:space="0" w:color="auto"/>
                <w:left w:val="none" w:sz="0" w:space="0" w:color="auto"/>
                <w:bottom w:val="none" w:sz="0" w:space="0" w:color="auto"/>
                <w:right w:val="none" w:sz="0" w:space="0" w:color="auto"/>
              </w:divBdr>
            </w:div>
          </w:divsChild>
        </w:div>
        <w:div w:id="1934705937">
          <w:marLeft w:val="0"/>
          <w:marRight w:val="0"/>
          <w:marTop w:val="0"/>
          <w:marBottom w:val="0"/>
          <w:divBdr>
            <w:top w:val="none" w:sz="0" w:space="0" w:color="auto"/>
            <w:left w:val="none" w:sz="0" w:space="0" w:color="auto"/>
            <w:bottom w:val="none" w:sz="0" w:space="0" w:color="auto"/>
            <w:right w:val="none" w:sz="0" w:space="0" w:color="auto"/>
          </w:divBdr>
          <w:divsChild>
            <w:div w:id="100609747">
              <w:marLeft w:val="0"/>
              <w:marRight w:val="0"/>
              <w:marTop w:val="0"/>
              <w:marBottom w:val="0"/>
              <w:divBdr>
                <w:top w:val="none" w:sz="0" w:space="0" w:color="auto"/>
                <w:left w:val="none" w:sz="0" w:space="0" w:color="auto"/>
                <w:bottom w:val="none" w:sz="0" w:space="0" w:color="auto"/>
                <w:right w:val="none" w:sz="0" w:space="0" w:color="auto"/>
              </w:divBdr>
            </w:div>
          </w:divsChild>
        </w:div>
        <w:div w:id="1075980619">
          <w:marLeft w:val="0"/>
          <w:marRight w:val="0"/>
          <w:marTop w:val="0"/>
          <w:marBottom w:val="0"/>
          <w:divBdr>
            <w:top w:val="none" w:sz="0" w:space="0" w:color="auto"/>
            <w:left w:val="none" w:sz="0" w:space="0" w:color="auto"/>
            <w:bottom w:val="none" w:sz="0" w:space="0" w:color="auto"/>
            <w:right w:val="none" w:sz="0" w:space="0" w:color="auto"/>
          </w:divBdr>
        </w:div>
        <w:div w:id="549197096">
          <w:marLeft w:val="0"/>
          <w:marRight w:val="0"/>
          <w:marTop w:val="0"/>
          <w:marBottom w:val="0"/>
          <w:divBdr>
            <w:top w:val="none" w:sz="0" w:space="0" w:color="auto"/>
            <w:left w:val="none" w:sz="0" w:space="0" w:color="auto"/>
            <w:bottom w:val="none" w:sz="0" w:space="0" w:color="auto"/>
            <w:right w:val="none" w:sz="0" w:space="0" w:color="auto"/>
          </w:divBdr>
          <w:divsChild>
            <w:div w:id="1204488400">
              <w:marLeft w:val="0"/>
              <w:marRight w:val="360"/>
              <w:marTop w:val="0"/>
              <w:marBottom w:val="0"/>
              <w:divBdr>
                <w:top w:val="none" w:sz="0" w:space="0" w:color="auto"/>
                <w:left w:val="none" w:sz="0" w:space="0" w:color="auto"/>
                <w:bottom w:val="none" w:sz="0" w:space="0" w:color="auto"/>
                <w:right w:val="none" w:sz="0" w:space="0" w:color="auto"/>
              </w:divBdr>
            </w:div>
          </w:divsChild>
        </w:div>
        <w:div w:id="1524316886">
          <w:marLeft w:val="0"/>
          <w:marRight w:val="0"/>
          <w:marTop w:val="0"/>
          <w:marBottom w:val="0"/>
          <w:divBdr>
            <w:top w:val="none" w:sz="0" w:space="0" w:color="auto"/>
            <w:left w:val="none" w:sz="0" w:space="0" w:color="auto"/>
            <w:bottom w:val="none" w:sz="0" w:space="0" w:color="auto"/>
            <w:right w:val="none" w:sz="0" w:space="0" w:color="auto"/>
          </w:divBdr>
          <w:divsChild>
            <w:div w:id="991366748">
              <w:marLeft w:val="0"/>
              <w:marRight w:val="0"/>
              <w:marTop w:val="0"/>
              <w:marBottom w:val="0"/>
              <w:divBdr>
                <w:top w:val="none" w:sz="0" w:space="0" w:color="auto"/>
                <w:left w:val="none" w:sz="0" w:space="0" w:color="auto"/>
                <w:bottom w:val="none" w:sz="0" w:space="0" w:color="auto"/>
                <w:right w:val="none" w:sz="0" w:space="0" w:color="auto"/>
              </w:divBdr>
            </w:div>
          </w:divsChild>
        </w:div>
        <w:div w:id="1085028603">
          <w:marLeft w:val="0"/>
          <w:marRight w:val="0"/>
          <w:marTop w:val="0"/>
          <w:marBottom w:val="0"/>
          <w:divBdr>
            <w:top w:val="none" w:sz="0" w:space="0" w:color="auto"/>
            <w:left w:val="none" w:sz="0" w:space="0" w:color="auto"/>
            <w:bottom w:val="none" w:sz="0" w:space="0" w:color="auto"/>
            <w:right w:val="none" w:sz="0" w:space="0" w:color="auto"/>
          </w:divBdr>
        </w:div>
        <w:div w:id="668560286">
          <w:marLeft w:val="0"/>
          <w:marRight w:val="0"/>
          <w:marTop w:val="0"/>
          <w:marBottom w:val="0"/>
          <w:divBdr>
            <w:top w:val="none" w:sz="0" w:space="0" w:color="auto"/>
            <w:left w:val="none" w:sz="0" w:space="0" w:color="auto"/>
            <w:bottom w:val="none" w:sz="0" w:space="0" w:color="auto"/>
            <w:right w:val="none" w:sz="0" w:space="0" w:color="auto"/>
          </w:divBdr>
          <w:divsChild>
            <w:div w:id="17706442">
              <w:marLeft w:val="0"/>
              <w:marRight w:val="360"/>
              <w:marTop w:val="0"/>
              <w:marBottom w:val="0"/>
              <w:divBdr>
                <w:top w:val="none" w:sz="0" w:space="0" w:color="auto"/>
                <w:left w:val="none" w:sz="0" w:space="0" w:color="auto"/>
                <w:bottom w:val="none" w:sz="0" w:space="0" w:color="auto"/>
                <w:right w:val="none" w:sz="0" w:space="0" w:color="auto"/>
              </w:divBdr>
            </w:div>
          </w:divsChild>
        </w:div>
        <w:div w:id="314573711">
          <w:marLeft w:val="0"/>
          <w:marRight w:val="0"/>
          <w:marTop w:val="0"/>
          <w:marBottom w:val="0"/>
          <w:divBdr>
            <w:top w:val="none" w:sz="0" w:space="0" w:color="auto"/>
            <w:left w:val="none" w:sz="0" w:space="0" w:color="auto"/>
            <w:bottom w:val="none" w:sz="0" w:space="0" w:color="auto"/>
            <w:right w:val="none" w:sz="0" w:space="0" w:color="auto"/>
          </w:divBdr>
          <w:divsChild>
            <w:div w:id="897323230">
              <w:marLeft w:val="0"/>
              <w:marRight w:val="0"/>
              <w:marTop w:val="0"/>
              <w:marBottom w:val="0"/>
              <w:divBdr>
                <w:top w:val="none" w:sz="0" w:space="0" w:color="auto"/>
                <w:left w:val="none" w:sz="0" w:space="0" w:color="auto"/>
                <w:bottom w:val="none" w:sz="0" w:space="0" w:color="auto"/>
                <w:right w:val="none" w:sz="0" w:space="0" w:color="auto"/>
              </w:divBdr>
            </w:div>
          </w:divsChild>
        </w:div>
        <w:div w:id="360056543">
          <w:marLeft w:val="0"/>
          <w:marRight w:val="0"/>
          <w:marTop w:val="0"/>
          <w:marBottom w:val="0"/>
          <w:divBdr>
            <w:top w:val="none" w:sz="0" w:space="0" w:color="auto"/>
            <w:left w:val="none" w:sz="0" w:space="0" w:color="auto"/>
            <w:bottom w:val="none" w:sz="0" w:space="0" w:color="auto"/>
            <w:right w:val="none" w:sz="0" w:space="0" w:color="auto"/>
          </w:divBdr>
        </w:div>
        <w:div w:id="1579709302">
          <w:marLeft w:val="0"/>
          <w:marRight w:val="0"/>
          <w:marTop w:val="0"/>
          <w:marBottom w:val="0"/>
          <w:divBdr>
            <w:top w:val="none" w:sz="0" w:space="0" w:color="auto"/>
            <w:left w:val="none" w:sz="0" w:space="0" w:color="auto"/>
            <w:bottom w:val="none" w:sz="0" w:space="0" w:color="auto"/>
            <w:right w:val="none" w:sz="0" w:space="0" w:color="auto"/>
          </w:divBdr>
          <w:divsChild>
            <w:div w:id="690450542">
              <w:marLeft w:val="0"/>
              <w:marRight w:val="360"/>
              <w:marTop w:val="0"/>
              <w:marBottom w:val="0"/>
              <w:divBdr>
                <w:top w:val="none" w:sz="0" w:space="0" w:color="auto"/>
                <w:left w:val="none" w:sz="0" w:space="0" w:color="auto"/>
                <w:bottom w:val="none" w:sz="0" w:space="0" w:color="auto"/>
                <w:right w:val="none" w:sz="0" w:space="0" w:color="auto"/>
              </w:divBdr>
            </w:div>
          </w:divsChild>
        </w:div>
        <w:div w:id="883566685">
          <w:marLeft w:val="0"/>
          <w:marRight w:val="0"/>
          <w:marTop w:val="0"/>
          <w:marBottom w:val="0"/>
          <w:divBdr>
            <w:top w:val="none" w:sz="0" w:space="0" w:color="auto"/>
            <w:left w:val="none" w:sz="0" w:space="0" w:color="auto"/>
            <w:bottom w:val="none" w:sz="0" w:space="0" w:color="auto"/>
            <w:right w:val="none" w:sz="0" w:space="0" w:color="auto"/>
          </w:divBdr>
          <w:divsChild>
            <w:div w:id="851457739">
              <w:marLeft w:val="0"/>
              <w:marRight w:val="0"/>
              <w:marTop w:val="0"/>
              <w:marBottom w:val="0"/>
              <w:divBdr>
                <w:top w:val="none" w:sz="0" w:space="0" w:color="auto"/>
                <w:left w:val="none" w:sz="0" w:space="0" w:color="auto"/>
                <w:bottom w:val="none" w:sz="0" w:space="0" w:color="auto"/>
                <w:right w:val="none" w:sz="0" w:space="0" w:color="auto"/>
              </w:divBdr>
            </w:div>
          </w:divsChild>
        </w:div>
        <w:div w:id="62066612">
          <w:marLeft w:val="0"/>
          <w:marRight w:val="0"/>
          <w:marTop w:val="0"/>
          <w:marBottom w:val="0"/>
          <w:divBdr>
            <w:top w:val="none" w:sz="0" w:space="0" w:color="auto"/>
            <w:left w:val="none" w:sz="0" w:space="0" w:color="auto"/>
            <w:bottom w:val="none" w:sz="0" w:space="0" w:color="auto"/>
            <w:right w:val="none" w:sz="0" w:space="0" w:color="auto"/>
          </w:divBdr>
        </w:div>
        <w:div w:id="1784301652">
          <w:marLeft w:val="0"/>
          <w:marRight w:val="0"/>
          <w:marTop w:val="0"/>
          <w:marBottom w:val="0"/>
          <w:divBdr>
            <w:top w:val="none" w:sz="0" w:space="0" w:color="auto"/>
            <w:left w:val="none" w:sz="0" w:space="0" w:color="auto"/>
            <w:bottom w:val="none" w:sz="0" w:space="0" w:color="auto"/>
            <w:right w:val="none" w:sz="0" w:space="0" w:color="auto"/>
          </w:divBdr>
        </w:div>
        <w:div w:id="1890803530">
          <w:marLeft w:val="0"/>
          <w:marRight w:val="0"/>
          <w:marTop w:val="0"/>
          <w:marBottom w:val="0"/>
          <w:divBdr>
            <w:top w:val="none" w:sz="0" w:space="0" w:color="auto"/>
            <w:left w:val="none" w:sz="0" w:space="0" w:color="auto"/>
            <w:bottom w:val="none" w:sz="0" w:space="0" w:color="auto"/>
            <w:right w:val="none" w:sz="0" w:space="0" w:color="auto"/>
          </w:divBdr>
          <w:divsChild>
            <w:div w:id="1264000392">
              <w:marLeft w:val="0"/>
              <w:marRight w:val="0"/>
              <w:marTop w:val="0"/>
              <w:marBottom w:val="0"/>
              <w:divBdr>
                <w:top w:val="none" w:sz="0" w:space="0" w:color="auto"/>
                <w:left w:val="none" w:sz="0" w:space="0" w:color="auto"/>
                <w:bottom w:val="none" w:sz="0" w:space="0" w:color="auto"/>
                <w:right w:val="none" w:sz="0" w:space="0" w:color="auto"/>
              </w:divBdr>
            </w:div>
          </w:divsChild>
        </w:div>
        <w:div w:id="1366247844">
          <w:marLeft w:val="0"/>
          <w:marRight w:val="0"/>
          <w:marTop w:val="0"/>
          <w:marBottom w:val="0"/>
          <w:divBdr>
            <w:top w:val="none" w:sz="0" w:space="0" w:color="auto"/>
            <w:left w:val="none" w:sz="0" w:space="0" w:color="auto"/>
            <w:bottom w:val="none" w:sz="0" w:space="0" w:color="auto"/>
            <w:right w:val="none" w:sz="0" w:space="0" w:color="auto"/>
          </w:divBdr>
        </w:div>
        <w:div w:id="926886837">
          <w:marLeft w:val="0"/>
          <w:marRight w:val="0"/>
          <w:marTop w:val="0"/>
          <w:marBottom w:val="0"/>
          <w:divBdr>
            <w:top w:val="none" w:sz="0" w:space="0" w:color="auto"/>
            <w:left w:val="none" w:sz="0" w:space="0" w:color="auto"/>
            <w:bottom w:val="none" w:sz="0" w:space="0" w:color="auto"/>
            <w:right w:val="none" w:sz="0" w:space="0" w:color="auto"/>
          </w:divBdr>
        </w:div>
        <w:div w:id="1486629701">
          <w:marLeft w:val="0"/>
          <w:marRight w:val="0"/>
          <w:marTop w:val="0"/>
          <w:marBottom w:val="0"/>
          <w:divBdr>
            <w:top w:val="none" w:sz="0" w:space="0" w:color="auto"/>
            <w:left w:val="none" w:sz="0" w:space="0" w:color="auto"/>
            <w:bottom w:val="none" w:sz="0" w:space="0" w:color="auto"/>
            <w:right w:val="none" w:sz="0" w:space="0" w:color="auto"/>
          </w:divBdr>
          <w:divsChild>
            <w:div w:id="1626891096">
              <w:marLeft w:val="0"/>
              <w:marRight w:val="0"/>
              <w:marTop w:val="0"/>
              <w:marBottom w:val="0"/>
              <w:divBdr>
                <w:top w:val="none" w:sz="0" w:space="0" w:color="auto"/>
                <w:left w:val="none" w:sz="0" w:space="0" w:color="auto"/>
                <w:bottom w:val="none" w:sz="0" w:space="0" w:color="auto"/>
                <w:right w:val="none" w:sz="0" w:space="0" w:color="auto"/>
              </w:divBdr>
            </w:div>
          </w:divsChild>
        </w:div>
        <w:div w:id="83109055">
          <w:marLeft w:val="0"/>
          <w:marRight w:val="0"/>
          <w:marTop w:val="0"/>
          <w:marBottom w:val="0"/>
          <w:divBdr>
            <w:top w:val="none" w:sz="0" w:space="0" w:color="auto"/>
            <w:left w:val="none" w:sz="0" w:space="0" w:color="auto"/>
            <w:bottom w:val="none" w:sz="0" w:space="0" w:color="auto"/>
            <w:right w:val="none" w:sz="0" w:space="0" w:color="auto"/>
          </w:divBdr>
        </w:div>
        <w:div w:id="1241864598">
          <w:marLeft w:val="0"/>
          <w:marRight w:val="0"/>
          <w:marTop w:val="0"/>
          <w:marBottom w:val="0"/>
          <w:divBdr>
            <w:top w:val="none" w:sz="0" w:space="0" w:color="auto"/>
            <w:left w:val="none" w:sz="0" w:space="0" w:color="auto"/>
            <w:bottom w:val="none" w:sz="0" w:space="0" w:color="auto"/>
            <w:right w:val="none" w:sz="0" w:space="0" w:color="auto"/>
          </w:divBdr>
        </w:div>
        <w:div w:id="663049715">
          <w:marLeft w:val="0"/>
          <w:marRight w:val="0"/>
          <w:marTop w:val="0"/>
          <w:marBottom w:val="0"/>
          <w:divBdr>
            <w:top w:val="none" w:sz="0" w:space="0" w:color="auto"/>
            <w:left w:val="none" w:sz="0" w:space="0" w:color="auto"/>
            <w:bottom w:val="none" w:sz="0" w:space="0" w:color="auto"/>
            <w:right w:val="none" w:sz="0" w:space="0" w:color="auto"/>
          </w:divBdr>
          <w:divsChild>
            <w:div w:id="1736930587">
              <w:marLeft w:val="0"/>
              <w:marRight w:val="0"/>
              <w:marTop w:val="0"/>
              <w:marBottom w:val="0"/>
              <w:divBdr>
                <w:top w:val="none" w:sz="0" w:space="0" w:color="auto"/>
                <w:left w:val="none" w:sz="0" w:space="0" w:color="auto"/>
                <w:bottom w:val="none" w:sz="0" w:space="0" w:color="auto"/>
                <w:right w:val="none" w:sz="0" w:space="0" w:color="auto"/>
              </w:divBdr>
            </w:div>
          </w:divsChild>
        </w:div>
        <w:div w:id="1886523753">
          <w:marLeft w:val="0"/>
          <w:marRight w:val="0"/>
          <w:marTop w:val="0"/>
          <w:marBottom w:val="0"/>
          <w:divBdr>
            <w:top w:val="none" w:sz="0" w:space="0" w:color="auto"/>
            <w:left w:val="none" w:sz="0" w:space="0" w:color="auto"/>
            <w:bottom w:val="none" w:sz="0" w:space="0" w:color="auto"/>
            <w:right w:val="none" w:sz="0" w:space="0" w:color="auto"/>
          </w:divBdr>
        </w:div>
        <w:div w:id="1708067618">
          <w:marLeft w:val="0"/>
          <w:marRight w:val="0"/>
          <w:marTop w:val="0"/>
          <w:marBottom w:val="0"/>
          <w:divBdr>
            <w:top w:val="none" w:sz="0" w:space="0" w:color="auto"/>
            <w:left w:val="none" w:sz="0" w:space="0" w:color="auto"/>
            <w:bottom w:val="none" w:sz="0" w:space="0" w:color="auto"/>
            <w:right w:val="none" w:sz="0" w:space="0" w:color="auto"/>
          </w:divBdr>
        </w:div>
        <w:div w:id="860630465">
          <w:marLeft w:val="0"/>
          <w:marRight w:val="0"/>
          <w:marTop w:val="0"/>
          <w:marBottom w:val="0"/>
          <w:divBdr>
            <w:top w:val="none" w:sz="0" w:space="0" w:color="auto"/>
            <w:left w:val="none" w:sz="0" w:space="0" w:color="auto"/>
            <w:bottom w:val="none" w:sz="0" w:space="0" w:color="auto"/>
            <w:right w:val="none" w:sz="0" w:space="0" w:color="auto"/>
          </w:divBdr>
          <w:divsChild>
            <w:div w:id="379862385">
              <w:marLeft w:val="0"/>
              <w:marRight w:val="0"/>
              <w:marTop w:val="0"/>
              <w:marBottom w:val="0"/>
              <w:divBdr>
                <w:top w:val="none" w:sz="0" w:space="0" w:color="auto"/>
                <w:left w:val="none" w:sz="0" w:space="0" w:color="auto"/>
                <w:bottom w:val="none" w:sz="0" w:space="0" w:color="auto"/>
                <w:right w:val="none" w:sz="0" w:space="0" w:color="auto"/>
              </w:divBdr>
            </w:div>
          </w:divsChild>
        </w:div>
        <w:div w:id="1458376330">
          <w:marLeft w:val="0"/>
          <w:marRight w:val="0"/>
          <w:marTop w:val="0"/>
          <w:marBottom w:val="0"/>
          <w:divBdr>
            <w:top w:val="none" w:sz="0" w:space="0" w:color="auto"/>
            <w:left w:val="none" w:sz="0" w:space="0" w:color="auto"/>
            <w:bottom w:val="none" w:sz="0" w:space="0" w:color="auto"/>
            <w:right w:val="none" w:sz="0" w:space="0" w:color="auto"/>
          </w:divBdr>
        </w:div>
        <w:div w:id="1191259308">
          <w:marLeft w:val="0"/>
          <w:marRight w:val="0"/>
          <w:marTop w:val="0"/>
          <w:marBottom w:val="0"/>
          <w:divBdr>
            <w:top w:val="none" w:sz="0" w:space="0" w:color="auto"/>
            <w:left w:val="none" w:sz="0" w:space="0" w:color="auto"/>
            <w:bottom w:val="none" w:sz="0" w:space="0" w:color="auto"/>
            <w:right w:val="none" w:sz="0" w:space="0" w:color="auto"/>
          </w:divBdr>
        </w:div>
        <w:div w:id="1701785943">
          <w:marLeft w:val="0"/>
          <w:marRight w:val="0"/>
          <w:marTop w:val="0"/>
          <w:marBottom w:val="0"/>
          <w:divBdr>
            <w:top w:val="none" w:sz="0" w:space="0" w:color="auto"/>
            <w:left w:val="none" w:sz="0" w:space="0" w:color="auto"/>
            <w:bottom w:val="none" w:sz="0" w:space="0" w:color="auto"/>
            <w:right w:val="none" w:sz="0" w:space="0" w:color="auto"/>
          </w:divBdr>
          <w:divsChild>
            <w:div w:id="1455054831">
              <w:marLeft w:val="0"/>
              <w:marRight w:val="0"/>
              <w:marTop w:val="0"/>
              <w:marBottom w:val="0"/>
              <w:divBdr>
                <w:top w:val="none" w:sz="0" w:space="0" w:color="auto"/>
                <w:left w:val="none" w:sz="0" w:space="0" w:color="auto"/>
                <w:bottom w:val="none" w:sz="0" w:space="0" w:color="auto"/>
                <w:right w:val="none" w:sz="0" w:space="0" w:color="auto"/>
              </w:divBdr>
            </w:div>
          </w:divsChild>
        </w:div>
        <w:div w:id="1636987295">
          <w:marLeft w:val="0"/>
          <w:marRight w:val="0"/>
          <w:marTop w:val="0"/>
          <w:marBottom w:val="0"/>
          <w:divBdr>
            <w:top w:val="none" w:sz="0" w:space="0" w:color="auto"/>
            <w:left w:val="none" w:sz="0" w:space="0" w:color="auto"/>
            <w:bottom w:val="none" w:sz="0" w:space="0" w:color="auto"/>
            <w:right w:val="none" w:sz="0" w:space="0" w:color="auto"/>
          </w:divBdr>
        </w:div>
        <w:div w:id="1564289446">
          <w:marLeft w:val="0"/>
          <w:marRight w:val="0"/>
          <w:marTop w:val="0"/>
          <w:marBottom w:val="0"/>
          <w:divBdr>
            <w:top w:val="none" w:sz="0" w:space="0" w:color="auto"/>
            <w:left w:val="none" w:sz="0" w:space="0" w:color="auto"/>
            <w:bottom w:val="none" w:sz="0" w:space="0" w:color="auto"/>
            <w:right w:val="none" w:sz="0" w:space="0" w:color="auto"/>
          </w:divBdr>
          <w:divsChild>
            <w:div w:id="391925401">
              <w:marLeft w:val="0"/>
              <w:marRight w:val="360"/>
              <w:marTop w:val="0"/>
              <w:marBottom w:val="0"/>
              <w:divBdr>
                <w:top w:val="none" w:sz="0" w:space="0" w:color="auto"/>
                <w:left w:val="none" w:sz="0" w:space="0" w:color="auto"/>
                <w:bottom w:val="none" w:sz="0" w:space="0" w:color="auto"/>
                <w:right w:val="none" w:sz="0" w:space="0" w:color="auto"/>
              </w:divBdr>
            </w:div>
          </w:divsChild>
        </w:div>
        <w:div w:id="1127774056">
          <w:marLeft w:val="0"/>
          <w:marRight w:val="0"/>
          <w:marTop w:val="0"/>
          <w:marBottom w:val="0"/>
          <w:divBdr>
            <w:top w:val="none" w:sz="0" w:space="0" w:color="auto"/>
            <w:left w:val="none" w:sz="0" w:space="0" w:color="auto"/>
            <w:bottom w:val="none" w:sz="0" w:space="0" w:color="auto"/>
            <w:right w:val="none" w:sz="0" w:space="0" w:color="auto"/>
          </w:divBdr>
          <w:divsChild>
            <w:div w:id="1721972058">
              <w:marLeft w:val="0"/>
              <w:marRight w:val="0"/>
              <w:marTop w:val="0"/>
              <w:marBottom w:val="0"/>
              <w:divBdr>
                <w:top w:val="none" w:sz="0" w:space="0" w:color="auto"/>
                <w:left w:val="none" w:sz="0" w:space="0" w:color="auto"/>
                <w:bottom w:val="none" w:sz="0" w:space="0" w:color="auto"/>
                <w:right w:val="none" w:sz="0" w:space="0" w:color="auto"/>
              </w:divBdr>
            </w:div>
          </w:divsChild>
        </w:div>
        <w:div w:id="2106883013">
          <w:marLeft w:val="0"/>
          <w:marRight w:val="0"/>
          <w:marTop w:val="0"/>
          <w:marBottom w:val="0"/>
          <w:divBdr>
            <w:top w:val="none" w:sz="0" w:space="0" w:color="auto"/>
            <w:left w:val="none" w:sz="0" w:space="0" w:color="auto"/>
            <w:bottom w:val="none" w:sz="0" w:space="0" w:color="auto"/>
            <w:right w:val="none" w:sz="0" w:space="0" w:color="auto"/>
          </w:divBdr>
        </w:div>
        <w:div w:id="1473785692">
          <w:marLeft w:val="0"/>
          <w:marRight w:val="0"/>
          <w:marTop w:val="0"/>
          <w:marBottom w:val="0"/>
          <w:divBdr>
            <w:top w:val="none" w:sz="0" w:space="0" w:color="auto"/>
            <w:left w:val="none" w:sz="0" w:space="0" w:color="auto"/>
            <w:bottom w:val="none" w:sz="0" w:space="0" w:color="auto"/>
            <w:right w:val="none" w:sz="0" w:space="0" w:color="auto"/>
          </w:divBdr>
        </w:div>
        <w:div w:id="1953585599">
          <w:marLeft w:val="0"/>
          <w:marRight w:val="0"/>
          <w:marTop w:val="0"/>
          <w:marBottom w:val="0"/>
          <w:divBdr>
            <w:top w:val="none" w:sz="0" w:space="0" w:color="auto"/>
            <w:left w:val="none" w:sz="0" w:space="0" w:color="auto"/>
            <w:bottom w:val="none" w:sz="0" w:space="0" w:color="auto"/>
            <w:right w:val="none" w:sz="0" w:space="0" w:color="auto"/>
          </w:divBdr>
          <w:divsChild>
            <w:div w:id="1978294675">
              <w:marLeft w:val="0"/>
              <w:marRight w:val="0"/>
              <w:marTop w:val="0"/>
              <w:marBottom w:val="0"/>
              <w:divBdr>
                <w:top w:val="none" w:sz="0" w:space="0" w:color="auto"/>
                <w:left w:val="none" w:sz="0" w:space="0" w:color="auto"/>
                <w:bottom w:val="none" w:sz="0" w:space="0" w:color="auto"/>
                <w:right w:val="none" w:sz="0" w:space="0" w:color="auto"/>
              </w:divBdr>
            </w:div>
          </w:divsChild>
        </w:div>
        <w:div w:id="340355928">
          <w:marLeft w:val="0"/>
          <w:marRight w:val="0"/>
          <w:marTop w:val="0"/>
          <w:marBottom w:val="0"/>
          <w:divBdr>
            <w:top w:val="none" w:sz="0" w:space="0" w:color="auto"/>
            <w:left w:val="none" w:sz="0" w:space="0" w:color="auto"/>
            <w:bottom w:val="none" w:sz="0" w:space="0" w:color="auto"/>
            <w:right w:val="none" w:sz="0" w:space="0" w:color="auto"/>
          </w:divBdr>
        </w:div>
        <w:div w:id="964385326">
          <w:marLeft w:val="0"/>
          <w:marRight w:val="0"/>
          <w:marTop w:val="0"/>
          <w:marBottom w:val="0"/>
          <w:divBdr>
            <w:top w:val="none" w:sz="0" w:space="0" w:color="auto"/>
            <w:left w:val="none" w:sz="0" w:space="0" w:color="auto"/>
            <w:bottom w:val="none" w:sz="0" w:space="0" w:color="auto"/>
            <w:right w:val="none" w:sz="0" w:space="0" w:color="auto"/>
          </w:divBdr>
        </w:div>
        <w:div w:id="1048189782">
          <w:marLeft w:val="0"/>
          <w:marRight w:val="0"/>
          <w:marTop w:val="0"/>
          <w:marBottom w:val="0"/>
          <w:divBdr>
            <w:top w:val="none" w:sz="0" w:space="0" w:color="auto"/>
            <w:left w:val="none" w:sz="0" w:space="0" w:color="auto"/>
            <w:bottom w:val="none" w:sz="0" w:space="0" w:color="auto"/>
            <w:right w:val="none" w:sz="0" w:space="0" w:color="auto"/>
          </w:divBdr>
          <w:divsChild>
            <w:div w:id="1245991153">
              <w:marLeft w:val="0"/>
              <w:marRight w:val="0"/>
              <w:marTop w:val="0"/>
              <w:marBottom w:val="0"/>
              <w:divBdr>
                <w:top w:val="none" w:sz="0" w:space="0" w:color="auto"/>
                <w:left w:val="none" w:sz="0" w:space="0" w:color="auto"/>
                <w:bottom w:val="none" w:sz="0" w:space="0" w:color="auto"/>
                <w:right w:val="none" w:sz="0" w:space="0" w:color="auto"/>
              </w:divBdr>
            </w:div>
          </w:divsChild>
        </w:div>
        <w:div w:id="1148588845">
          <w:marLeft w:val="0"/>
          <w:marRight w:val="0"/>
          <w:marTop w:val="0"/>
          <w:marBottom w:val="0"/>
          <w:divBdr>
            <w:top w:val="none" w:sz="0" w:space="0" w:color="auto"/>
            <w:left w:val="none" w:sz="0" w:space="0" w:color="auto"/>
            <w:bottom w:val="none" w:sz="0" w:space="0" w:color="auto"/>
            <w:right w:val="none" w:sz="0" w:space="0" w:color="auto"/>
          </w:divBdr>
        </w:div>
        <w:div w:id="763038933">
          <w:marLeft w:val="0"/>
          <w:marRight w:val="0"/>
          <w:marTop w:val="0"/>
          <w:marBottom w:val="0"/>
          <w:divBdr>
            <w:top w:val="none" w:sz="0" w:space="0" w:color="auto"/>
            <w:left w:val="none" w:sz="0" w:space="0" w:color="auto"/>
            <w:bottom w:val="none" w:sz="0" w:space="0" w:color="auto"/>
            <w:right w:val="none" w:sz="0" w:space="0" w:color="auto"/>
          </w:divBdr>
        </w:div>
        <w:div w:id="189415194">
          <w:marLeft w:val="0"/>
          <w:marRight w:val="0"/>
          <w:marTop w:val="0"/>
          <w:marBottom w:val="0"/>
          <w:divBdr>
            <w:top w:val="none" w:sz="0" w:space="0" w:color="auto"/>
            <w:left w:val="none" w:sz="0" w:space="0" w:color="auto"/>
            <w:bottom w:val="none" w:sz="0" w:space="0" w:color="auto"/>
            <w:right w:val="none" w:sz="0" w:space="0" w:color="auto"/>
          </w:divBdr>
          <w:divsChild>
            <w:div w:id="1547834573">
              <w:marLeft w:val="0"/>
              <w:marRight w:val="0"/>
              <w:marTop w:val="0"/>
              <w:marBottom w:val="0"/>
              <w:divBdr>
                <w:top w:val="none" w:sz="0" w:space="0" w:color="auto"/>
                <w:left w:val="none" w:sz="0" w:space="0" w:color="auto"/>
                <w:bottom w:val="none" w:sz="0" w:space="0" w:color="auto"/>
                <w:right w:val="none" w:sz="0" w:space="0" w:color="auto"/>
              </w:divBdr>
            </w:div>
          </w:divsChild>
        </w:div>
        <w:div w:id="1938055653">
          <w:marLeft w:val="0"/>
          <w:marRight w:val="0"/>
          <w:marTop w:val="0"/>
          <w:marBottom w:val="0"/>
          <w:divBdr>
            <w:top w:val="none" w:sz="0" w:space="0" w:color="auto"/>
            <w:left w:val="none" w:sz="0" w:space="0" w:color="auto"/>
            <w:bottom w:val="none" w:sz="0" w:space="0" w:color="auto"/>
            <w:right w:val="none" w:sz="0" w:space="0" w:color="auto"/>
          </w:divBdr>
        </w:div>
        <w:div w:id="799037815">
          <w:marLeft w:val="0"/>
          <w:marRight w:val="0"/>
          <w:marTop w:val="0"/>
          <w:marBottom w:val="0"/>
          <w:divBdr>
            <w:top w:val="none" w:sz="0" w:space="0" w:color="auto"/>
            <w:left w:val="none" w:sz="0" w:space="0" w:color="auto"/>
            <w:bottom w:val="none" w:sz="0" w:space="0" w:color="auto"/>
            <w:right w:val="none" w:sz="0" w:space="0" w:color="auto"/>
          </w:divBdr>
        </w:div>
        <w:div w:id="1346975266">
          <w:marLeft w:val="0"/>
          <w:marRight w:val="0"/>
          <w:marTop w:val="0"/>
          <w:marBottom w:val="0"/>
          <w:divBdr>
            <w:top w:val="none" w:sz="0" w:space="0" w:color="auto"/>
            <w:left w:val="none" w:sz="0" w:space="0" w:color="auto"/>
            <w:bottom w:val="none" w:sz="0" w:space="0" w:color="auto"/>
            <w:right w:val="none" w:sz="0" w:space="0" w:color="auto"/>
          </w:divBdr>
          <w:divsChild>
            <w:div w:id="1238830790">
              <w:marLeft w:val="0"/>
              <w:marRight w:val="0"/>
              <w:marTop w:val="0"/>
              <w:marBottom w:val="0"/>
              <w:divBdr>
                <w:top w:val="none" w:sz="0" w:space="0" w:color="auto"/>
                <w:left w:val="none" w:sz="0" w:space="0" w:color="auto"/>
                <w:bottom w:val="none" w:sz="0" w:space="0" w:color="auto"/>
                <w:right w:val="none" w:sz="0" w:space="0" w:color="auto"/>
              </w:divBdr>
            </w:div>
          </w:divsChild>
        </w:div>
        <w:div w:id="1624728593">
          <w:marLeft w:val="0"/>
          <w:marRight w:val="0"/>
          <w:marTop w:val="0"/>
          <w:marBottom w:val="0"/>
          <w:divBdr>
            <w:top w:val="none" w:sz="0" w:space="0" w:color="auto"/>
            <w:left w:val="none" w:sz="0" w:space="0" w:color="auto"/>
            <w:bottom w:val="none" w:sz="0" w:space="0" w:color="auto"/>
            <w:right w:val="none" w:sz="0" w:space="0" w:color="auto"/>
          </w:divBdr>
        </w:div>
        <w:div w:id="260259461">
          <w:marLeft w:val="0"/>
          <w:marRight w:val="0"/>
          <w:marTop w:val="0"/>
          <w:marBottom w:val="0"/>
          <w:divBdr>
            <w:top w:val="none" w:sz="0" w:space="0" w:color="auto"/>
            <w:left w:val="none" w:sz="0" w:space="0" w:color="auto"/>
            <w:bottom w:val="none" w:sz="0" w:space="0" w:color="auto"/>
            <w:right w:val="none" w:sz="0" w:space="0" w:color="auto"/>
          </w:divBdr>
        </w:div>
        <w:div w:id="502360818">
          <w:marLeft w:val="0"/>
          <w:marRight w:val="0"/>
          <w:marTop w:val="0"/>
          <w:marBottom w:val="0"/>
          <w:divBdr>
            <w:top w:val="none" w:sz="0" w:space="0" w:color="auto"/>
            <w:left w:val="none" w:sz="0" w:space="0" w:color="auto"/>
            <w:bottom w:val="none" w:sz="0" w:space="0" w:color="auto"/>
            <w:right w:val="none" w:sz="0" w:space="0" w:color="auto"/>
          </w:divBdr>
          <w:divsChild>
            <w:div w:id="161161549">
              <w:marLeft w:val="0"/>
              <w:marRight w:val="0"/>
              <w:marTop w:val="0"/>
              <w:marBottom w:val="0"/>
              <w:divBdr>
                <w:top w:val="none" w:sz="0" w:space="0" w:color="auto"/>
                <w:left w:val="none" w:sz="0" w:space="0" w:color="auto"/>
                <w:bottom w:val="none" w:sz="0" w:space="0" w:color="auto"/>
                <w:right w:val="none" w:sz="0" w:space="0" w:color="auto"/>
              </w:divBdr>
            </w:div>
          </w:divsChild>
        </w:div>
        <w:div w:id="1573925855">
          <w:marLeft w:val="0"/>
          <w:marRight w:val="0"/>
          <w:marTop w:val="0"/>
          <w:marBottom w:val="0"/>
          <w:divBdr>
            <w:top w:val="none" w:sz="0" w:space="0" w:color="auto"/>
            <w:left w:val="none" w:sz="0" w:space="0" w:color="auto"/>
            <w:bottom w:val="none" w:sz="0" w:space="0" w:color="auto"/>
            <w:right w:val="none" w:sz="0" w:space="0" w:color="auto"/>
          </w:divBdr>
        </w:div>
        <w:div w:id="290016038">
          <w:marLeft w:val="0"/>
          <w:marRight w:val="0"/>
          <w:marTop w:val="0"/>
          <w:marBottom w:val="0"/>
          <w:divBdr>
            <w:top w:val="none" w:sz="0" w:space="0" w:color="auto"/>
            <w:left w:val="none" w:sz="0" w:space="0" w:color="auto"/>
            <w:bottom w:val="none" w:sz="0" w:space="0" w:color="auto"/>
            <w:right w:val="none" w:sz="0" w:space="0" w:color="auto"/>
          </w:divBdr>
        </w:div>
        <w:div w:id="618336844">
          <w:marLeft w:val="0"/>
          <w:marRight w:val="0"/>
          <w:marTop w:val="0"/>
          <w:marBottom w:val="0"/>
          <w:divBdr>
            <w:top w:val="none" w:sz="0" w:space="0" w:color="auto"/>
            <w:left w:val="none" w:sz="0" w:space="0" w:color="auto"/>
            <w:bottom w:val="none" w:sz="0" w:space="0" w:color="auto"/>
            <w:right w:val="none" w:sz="0" w:space="0" w:color="auto"/>
          </w:divBdr>
          <w:divsChild>
            <w:div w:id="424809387">
              <w:marLeft w:val="0"/>
              <w:marRight w:val="0"/>
              <w:marTop w:val="0"/>
              <w:marBottom w:val="0"/>
              <w:divBdr>
                <w:top w:val="none" w:sz="0" w:space="0" w:color="auto"/>
                <w:left w:val="none" w:sz="0" w:space="0" w:color="auto"/>
                <w:bottom w:val="none" w:sz="0" w:space="0" w:color="auto"/>
                <w:right w:val="none" w:sz="0" w:space="0" w:color="auto"/>
              </w:divBdr>
            </w:div>
          </w:divsChild>
        </w:div>
        <w:div w:id="102383271">
          <w:marLeft w:val="0"/>
          <w:marRight w:val="0"/>
          <w:marTop w:val="0"/>
          <w:marBottom w:val="0"/>
          <w:divBdr>
            <w:top w:val="none" w:sz="0" w:space="0" w:color="auto"/>
            <w:left w:val="none" w:sz="0" w:space="0" w:color="auto"/>
            <w:bottom w:val="none" w:sz="0" w:space="0" w:color="auto"/>
            <w:right w:val="none" w:sz="0" w:space="0" w:color="auto"/>
          </w:divBdr>
        </w:div>
        <w:div w:id="690761297">
          <w:marLeft w:val="0"/>
          <w:marRight w:val="0"/>
          <w:marTop w:val="0"/>
          <w:marBottom w:val="0"/>
          <w:divBdr>
            <w:top w:val="none" w:sz="0" w:space="0" w:color="auto"/>
            <w:left w:val="none" w:sz="0" w:space="0" w:color="auto"/>
            <w:bottom w:val="none" w:sz="0" w:space="0" w:color="auto"/>
            <w:right w:val="none" w:sz="0" w:space="0" w:color="auto"/>
          </w:divBdr>
        </w:div>
        <w:div w:id="696782743">
          <w:marLeft w:val="0"/>
          <w:marRight w:val="0"/>
          <w:marTop w:val="0"/>
          <w:marBottom w:val="0"/>
          <w:divBdr>
            <w:top w:val="none" w:sz="0" w:space="0" w:color="auto"/>
            <w:left w:val="none" w:sz="0" w:space="0" w:color="auto"/>
            <w:bottom w:val="none" w:sz="0" w:space="0" w:color="auto"/>
            <w:right w:val="none" w:sz="0" w:space="0" w:color="auto"/>
          </w:divBdr>
          <w:divsChild>
            <w:div w:id="1899510205">
              <w:marLeft w:val="0"/>
              <w:marRight w:val="0"/>
              <w:marTop w:val="0"/>
              <w:marBottom w:val="0"/>
              <w:divBdr>
                <w:top w:val="none" w:sz="0" w:space="0" w:color="auto"/>
                <w:left w:val="none" w:sz="0" w:space="0" w:color="auto"/>
                <w:bottom w:val="none" w:sz="0" w:space="0" w:color="auto"/>
                <w:right w:val="none" w:sz="0" w:space="0" w:color="auto"/>
              </w:divBdr>
            </w:div>
          </w:divsChild>
        </w:div>
        <w:div w:id="593587849">
          <w:marLeft w:val="0"/>
          <w:marRight w:val="0"/>
          <w:marTop w:val="0"/>
          <w:marBottom w:val="0"/>
          <w:divBdr>
            <w:top w:val="none" w:sz="0" w:space="0" w:color="auto"/>
            <w:left w:val="none" w:sz="0" w:space="0" w:color="auto"/>
            <w:bottom w:val="none" w:sz="0" w:space="0" w:color="auto"/>
            <w:right w:val="none" w:sz="0" w:space="0" w:color="auto"/>
          </w:divBdr>
        </w:div>
        <w:div w:id="840581718">
          <w:marLeft w:val="0"/>
          <w:marRight w:val="0"/>
          <w:marTop w:val="0"/>
          <w:marBottom w:val="0"/>
          <w:divBdr>
            <w:top w:val="none" w:sz="0" w:space="0" w:color="auto"/>
            <w:left w:val="none" w:sz="0" w:space="0" w:color="auto"/>
            <w:bottom w:val="none" w:sz="0" w:space="0" w:color="auto"/>
            <w:right w:val="none" w:sz="0" w:space="0" w:color="auto"/>
          </w:divBdr>
        </w:div>
        <w:div w:id="757597241">
          <w:marLeft w:val="0"/>
          <w:marRight w:val="0"/>
          <w:marTop w:val="0"/>
          <w:marBottom w:val="0"/>
          <w:divBdr>
            <w:top w:val="none" w:sz="0" w:space="0" w:color="auto"/>
            <w:left w:val="none" w:sz="0" w:space="0" w:color="auto"/>
            <w:bottom w:val="none" w:sz="0" w:space="0" w:color="auto"/>
            <w:right w:val="none" w:sz="0" w:space="0" w:color="auto"/>
          </w:divBdr>
          <w:divsChild>
            <w:div w:id="2113934615">
              <w:marLeft w:val="0"/>
              <w:marRight w:val="0"/>
              <w:marTop w:val="0"/>
              <w:marBottom w:val="0"/>
              <w:divBdr>
                <w:top w:val="none" w:sz="0" w:space="0" w:color="auto"/>
                <w:left w:val="none" w:sz="0" w:space="0" w:color="auto"/>
                <w:bottom w:val="none" w:sz="0" w:space="0" w:color="auto"/>
                <w:right w:val="none" w:sz="0" w:space="0" w:color="auto"/>
              </w:divBdr>
            </w:div>
          </w:divsChild>
        </w:div>
        <w:div w:id="2024698279">
          <w:marLeft w:val="0"/>
          <w:marRight w:val="0"/>
          <w:marTop w:val="0"/>
          <w:marBottom w:val="0"/>
          <w:divBdr>
            <w:top w:val="none" w:sz="0" w:space="0" w:color="auto"/>
            <w:left w:val="none" w:sz="0" w:space="0" w:color="auto"/>
            <w:bottom w:val="none" w:sz="0" w:space="0" w:color="auto"/>
            <w:right w:val="none" w:sz="0" w:space="0" w:color="auto"/>
          </w:divBdr>
        </w:div>
        <w:div w:id="873201872">
          <w:marLeft w:val="0"/>
          <w:marRight w:val="0"/>
          <w:marTop w:val="0"/>
          <w:marBottom w:val="0"/>
          <w:divBdr>
            <w:top w:val="none" w:sz="0" w:space="0" w:color="auto"/>
            <w:left w:val="none" w:sz="0" w:space="0" w:color="auto"/>
            <w:bottom w:val="none" w:sz="0" w:space="0" w:color="auto"/>
            <w:right w:val="none" w:sz="0" w:space="0" w:color="auto"/>
          </w:divBdr>
        </w:div>
        <w:div w:id="828206448">
          <w:marLeft w:val="0"/>
          <w:marRight w:val="0"/>
          <w:marTop w:val="0"/>
          <w:marBottom w:val="0"/>
          <w:divBdr>
            <w:top w:val="none" w:sz="0" w:space="0" w:color="auto"/>
            <w:left w:val="none" w:sz="0" w:space="0" w:color="auto"/>
            <w:bottom w:val="none" w:sz="0" w:space="0" w:color="auto"/>
            <w:right w:val="none" w:sz="0" w:space="0" w:color="auto"/>
          </w:divBdr>
          <w:divsChild>
            <w:div w:id="832641731">
              <w:marLeft w:val="0"/>
              <w:marRight w:val="0"/>
              <w:marTop w:val="0"/>
              <w:marBottom w:val="0"/>
              <w:divBdr>
                <w:top w:val="none" w:sz="0" w:space="0" w:color="auto"/>
                <w:left w:val="none" w:sz="0" w:space="0" w:color="auto"/>
                <w:bottom w:val="none" w:sz="0" w:space="0" w:color="auto"/>
                <w:right w:val="none" w:sz="0" w:space="0" w:color="auto"/>
              </w:divBdr>
            </w:div>
          </w:divsChild>
        </w:div>
        <w:div w:id="224491286">
          <w:marLeft w:val="0"/>
          <w:marRight w:val="0"/>
          <w:marTop w:val="0"/>
          <w:marBottom w:val="0"/>
          <w:divBdr>
            <w:top w:val="none" w:sz="0" w:space="0" w:color="auto"/>
            <w:left w:val="none" w:sz="0" w:space="0" w:color="auto"/>
            <w:bottom w:val="none" w:sz="0" w:space="0" w:color="auto"/>
            <w:right w:val="none" w:sz="0" w:space="0" w:color="auto"/>
          </w:divBdr>
        </w:div>
        <w:div w:id="989290864">
          <w:marLeft w:val="0"/>
          <w:marRight w:val="0"/>
          <w:marTop w:val="0"/>
          <w:marBottom w:val="0"/>
          <w:divBdr>
            <w:top w:val="none" w:sz="0" w:space="0" w:color="auto"/>
            <w:left w:val="none" w:sz="0" w:space="0" w:color="auto"/>
            <w:bottom w:val="none" w:sz="0" w:space="0" w:color="auto"/>
            <w:right w:val="none" w:sz="0" w:space="0" w:color="auto"/>
          </w:divBdr>
        </w:div>
        <w:div w:id="1603368342">
          <w:marLeft w:val="0"/>
          <w:marRight w:val="0"/>
          <w:marTop w:val="0"/>
          <w:marBottom w:val="0"/>
          <w:divBdr>
            <w:top w:val="none" w:sz="0" w:space="0" w:color="auto"/>
            <w:left w:val="none" w:sz="0" w:space="0" w:color="auto"/>
            <w:bottom w:val="none" w:sz="0" w:space="0" w:color="auto"/>
            <w:right w:val="none" w:sz="0" w:space="0" w:color="auto"/>
          </w:divBdr>
          <w:divsChild>
            <w:div w:id="837962810">
              <w:marLeft w:val="0"/>
              <w:marRight w:val="0"/>
              <w:marTop w:val="0"/>
              <w:marBottom w:val="0"/>
              <w:divBdr>
                <w:top w:val="none" w:sz="0" w:space="0" w:color="auto"/>
                <w:left w:val="none" w:sz="0" w:space="0" w:color="auto"/>
                <w:bottom w:val="none" w:sz="0" w:space="0" w:color="auto"/>
                <w:right w:val="none" w:sz="0" w:space="0" w:color="auto"/>
              </w:divBdr>
            </w:div>
          </w:divsChild>
        </w:div>
        <w:div w:id="776674635">
          <w:marLeft w:val="0"/>
          <w:marRight w:val="0"/>
          <w:marTop w:val="0"/>
          <w:marBottom w:val="0"/>
          <w:divBdr>
            <w:top w:val="none" w:sz="0" w:space="0" w:color="auto"/>
            <w:left w:val="none" w:sz="0" w:space="0" w:color="auto"/>
            <w:bottom w:val="none" w:sz="0" w:space="0" w:color="auto"/>
            <w:right w:val="none" w:sz="0" w:space="0" w:color="auto"/>
          </w:divBdr>
        </w:div>
        <w:div w:id="1580401379">
          <w:marLeft w:val="0"/>
          <w:marRight w:val="0"/>
          <w:marTop w:val="0"/>
          <w:marBottom w:val="0"/>
          <w:divBdr>
            <w:top w:val="none" w:sz="0" w:space="0" w:color="auto"/>
            <w:left w:val="none" w:sz="0" w:space="0" w:color="auto"/>
            <w:bottom w:val="none" w:sz="0" w:space="0" w:color="auto"/>
            <w:right w:val="none" w:sz="0" w:space="0" w:color="auto"/>
          </w:divBdr>
          <w:divsChild>
            <w:div w:id="1640188485">
              <w:marLeft w:val="0"/>
              <w:marRight w:val="360"/>
              <w:marTop w:val="0"/>
              <w:marBottom w:val="0"/>
              <w:divBdr>
                <w:top w:val="none" w:sz="0" w:space="0" w:color="auto"/>
                <w:left w:val="none" w:sz="0" w:space="0" w:color="auto"/>
                <w:bottom w:val="none" w:sz="0" w:space="0" w:color="auto"/>
                <w:right w:val="none" w:sz="0" w:space="0" w:color="auto"/>
              </w:divBdr>
            </w:div>
          </w:divsChild>
        </w:div>
        <w:div w:id="574321663">
          <w:marLeft w:val="0"/>
          <w:marRight w:val="0"/>
          <w:marTop w:val="0"/>
          <w:marBottom w:val="0"/>
          <w:divBdr>
            <w:top w:val="none" w:sz="0" w:space="0" w:color="auto"/>
            <w:left w:val="none" w:sz="0" w:space="0" w:color="auto"/>
            <w:bottom w:val="none" w:sz="0" w:space="0" w:color="auto"/>
            <w:right w:val="none" w:sz="0" w:space="0" w:color="auto"/>
          </w:divBdr>
          <w:divsChild>
            <w:div w:id="1421562483">
              <w:marLeft w:val="0"/>
              <w:marRight w:val="0"/>
              <w:marTop w:val="0"/>
              <w:marBottom w:val="0"/>
              <w:divBdr>
                <w:top w:val="none" w:sz="0" w:space="0" w:color="auto"/>
                <w:left w:val="none" w:sz="0" w:space="0" w:color="auto"/>
                <w:bottom w:val="none" w:sz="0" w:space="0" w:color="auto"/>
                <w:right w:val="none" w:sz="0" w:space="0" w:color="auto"/>
              </w:divBdr>
            </w:div>
          </w:divsChild>
        </w:div>
        <w:div w:id="866452867">
          <w:marLeft w:val="0"/>
          <w:marRight w:val="0"/>
          <w:marTop w:val="0"/>
          <w:marBottom w:val="0"/>
          <w:divBdr>
            <w:top w:val="none" w:sz="0" w:space="0" w:color="auto"/>
            <w:left w:val="none" w:sz="0" w:space="0" w:color="auto"/>
            <w:bottom w:val="none" w:sz="0" w:space="0" w:color="auto"/>
            <w:right w:val="none" w:sz="0" w:space="0" w:color="auto"/>
          </w:divBdr>
        </w:div>
        <w:div w:id="165444505">
          <w:marLeft w:val="0"/>
          <w:marRight w:val="0"/>
          <w:marTop w:val="0"/>
          <w:marBottom w:val="0"/>
          <w:divBdr>
            <w:top w:val="none" w:sz="0" w:space="0" w:color="auto"/>
            <w:left w:val="none" w:sz="0" w:space="0" w:color="auto"/>
            <w:bottom w:val="none" w:sz="0" w:space="0" w:color="auto"/>
            <w:right w:val="none" w:sz="0" w:space="0" w:color="auto"/>
          </w:divBdr>
        </w:div>
        <w:div w:id="1573462040">
          <w:marLeft w:val="0"/>
          <w:marRight w:val="0"/>
          <w:marTop w:val="0"/>
          <w:marBottom w:val="0"/>
          <w:divBdr>
            <w:top w:val="none" w:sz="0" w:space="0" w:color="auto"/>
            <w:left w:val="none" w:sz="0" w:space="0" w:color="auto"/>
            <w:bottom w:val="none" w:sz="0" w:space="0" w:color="auto"/>
            <w:right w:val="none" w:sz="0" w:space="0" w:color="auto"/>
          </w:divBdr>
          <w:divsChild>
            <w:div w:id="1028946037">
              <w:marLeft w:val="0"/>
              <w:marRight w:val="0"/>
              <w:marTop w:val="0"/>
              <w:marBottom w:val="0"/>
              <w:divBdr>
                <w:top w:val="none" w:sz="0" w:space="0" w:color="auto"/>
                <w:left w:val="none" w:sz="0" w:space="0" w:color="auto"/>
                <w:bottom w:val="none" w:sz="0" w:space="0" w:color="auto"/>
                <w:right w:val="none" w:sz="0" w:space="0" w:color="auto"/>
              </w:divBdr>
            </w:div>
          </w:divsChild>
        </w:div>
        <w:div w:id="1428381062">
          <w:marLeft w:val="0"/>
          <w:marRight w:val="0"/>
          <w:marTop w:val="0"/>
          <w:marBottom w:val="0"/>
          <w:divBdr>
            <w:top w:val="none" w:sz="0" w:space="0" w:color="auto"/>
            <w:left w:val="none" w:sz="0" w:space="0" w:color="auto"/>
            <w:bottom w:val="none" w:sz="0" w:space="0" w:color="auto"/>
            <w:right w:val="none" w:sz="0" w:space="0" w:color="auto"/>
          </w:divBdr>
        </w:div>
        <w:div w:id="2074161302">
          <w:marLeft w:val="0"/>
          <w:marRight w:val="0"/>
          <w:marTop w:val="0"/>
          <w:marBottom w:val="0"/>
          <w:divBdr>
            <w:top w:val="none" w:sz="0" w:space="0" w:color="auto"/>
            <w:left w:val="none" w:sz="0" w:space="0" w:color="auto"/>
            <w:bottom w:val="none" w:sz="0" w:space="0" w:color="auto"/>
            <w:right w:val="none" w:sz="0" w:space="0" w:color="auto"/>
          </w:divBdr>
        </w:div>
        <w:div w:id="2013799970">
          <w:marLeft w:val="0"/>
          <w:marRight w:val="0"/>
          <w:marTop w:val="0"/>
          <w:marBottom w:val="0"/>
          <w:divBdr>
            <w:top w:val="none" w:sz="0" w:space="0" w:color="auto"/>
            <w:left w:val="none" w:sz="0" w:space="0" w:color="auto"/>
            <w:bottom w:val="none" w:sz="0" w:space="0" w:color="auto"/>
            <w:right w:val="none" w:sz="0" w:space="0" w:color="auto"/>
          </w:divBdr>
        </w:div>
        <w:div w:id="838931295">
          <w:marLeft w:val="0"/>
          <w:marRight w:val="0"/>
          <w:marTop w:val="0"/>
          <w:marBottom w:val="0"/>
          <w:divBdr>
            <w:top w:val="none" w:sz="0" w:space="0" w:color="auto"/>
            <w:left w:val="none" w:sz="0" w:space="0" w:color="auto"/>
            <w:bottom w:val="none" w:sz="0" w:space="0" w:color="auto"/>
            <w:right w:val="none" w:sz="0" w:space="0" w:color="auto"/>
          </w:divBdr>
          <w:divsChild>
            <w:div w:id="1812747808">
              <w:marLeft w:val="0"/>
              <w:marRight w:val="0"/>
              <w:marTop w:val="0"/>
              <w:marBottom w:val="0"/>
              <w:divBdr>
                <w:top w:val="none" w:sz="0" w:space="0" w:color="auto"/>
                <w:left w:val="none" w:sz="0" w:space="0" w:color="auto"/>
                <w:bottom w:val="none" w:sz="0" w:space="0" w:color="auto"/>
                <w:right w:val="none" w:sz="0" w:space="0" w:color="auto"/>
              </w:divBdr>
            </w:div>
          </w:divsChild>
        </w:div>
        <w:div w:id="547110260">
          <w:marLeft w:val="0"/>
          <w:marRight w:val="0"/>
          <w:marTop w:val="0"/>
          <w:marBottom w:val="0"/>
          <w:divBdr>
            <w:top w:val="none" w:sz="0" w:space="0" w:color="auto"/>
            <w:left w:val="none" w:sz="0" w:space="0" w:color="auto"/>
            <w:bottom w:val="none" w:sz="0" w:space="0" w:color="auto"/>
            <w:right w:val="none" w:sz="0" w:space="0" w:color="auto"/>
          </w:divBdr>
        </w:div>
        <w:div w:id="1036273497">
          <w:marLeft w:val="0"/>
          <w:marRight w:val="0"/>
          <w:marTop w:val="0"/>
          <w:marBottom w:val="0"/>
          <w:divBdr>
            <w:top w:val="none" w:sz="0" w:space="0" w:color="auto"/>
            <w:left w:val="none" w:sz="0" w:space="0" w:color="auto"/>
            <w:bottom w:val="none" w:sz="0" w:space="0" w:color="auto"/>
            <w:right w:val="none" w:sz="0" w:space="0" w:color="auto"/>
          </w:divBdr>
          <w:divsChild>
            <w:div w:id="819230706">
              <w:marLeft w:val="0"/>
              <w:marRight w:val="360"/>
              <w:marTop w:val="0"/>
              <w:marBottom w:val="0"/>
              <w:divBdr>
                <w:top w:val="none" w:sz="0" w:space="0" w:color="auto"/>
                <w:left w:val="none" w:sz="0" w:space="0" w:color="auto"/>
                <w:bottom w:val="none" w:sz="0" w:space="0" w:color="auto"/>
                <w:right w:val="none" w:sz="0" w:space="0" w:color="auto"/>
              </w:divBdr>
            </w:div>
          </w:divsChild>
        </w:div>
        <w:div w:id="924534314">
          <w:marLeft w:val="0"/>
          <w:marRight w:val="0"/>
          <w:marTop w:val="0"/>
          <w:marBottom w:val="0"/>
          <w:divBdr>
            <w:top w:val="none" w:sz="0" w:space="0" w:color="auto"/>
            <w:left w:val="none" w:sz="0" w:space="0" w:color="auto"/>
            <w:bottom w:val="none" w:sz="0" w:space="0" w:color="auto"/>
            <w:right w:val="none" w:sz="0" w:space="0" w:color="auto"/>
          </w:divBdr>
          <w:divsChild>
            <w:div w:id="1008019136">
              <w:marLeft w:val="0"/>
              <w:marRight w:val="0"/>
              <w:marTop w:val="0"/>
              <w:marBottom w:val="0"/>
              <w:divBdr>
                <w:top w:val="none" w:sz="0" w:space="0" w:color="auto"/>
                <w:left w:val="none" w:sz="0" w:space="0" w:color="auto"/>
                <w:bottom w:val="none" w:sz="0" w:space="0" w:color="auto"/>
                <w:right w:val="none" w:sz="0" w:space="0" w:color="auto"/>
              </w:divBdr>
            </w:div>
          </w:divsChild>
        </w:div>
        <w:div w:id="1503541556">
          <w:marLeft w:val="0"/>
          <w:marRight w:val="0"/>
          <w:marTop w:val="0"/>
          <w:marBottom w:val="0"/>
          <w:divBdr>
            <w:top w:val="none" w:sz="0" w:space="0" w:color="auto"/>
            <w:left w:val="none" w:sz="0" w:space="0" w:color="auto"/>
            <w:bottom w:val="none" w:sz="0" w:space="0" w:color="auto"/>
            <w:right w:val="none" w:sz="0" w:space="0" w:color="auto"/>
          </w:divBdr>
        </w:div>
        <w:div w:id="760374673">
          <w:marLeft w:val="0"/>
          <w:marRight w:val="0"/>
          <w:marTop w:val="0"/>
          <w:marBottom w:val="0"/>
          <w:divBdr>
            <w:top w:val="none" w:sz="0" w:space="0" w:color="auto"/>
            <w:left w:val="none" w:sz="0" w:space="0" w:color="auto"/>
            <w:bottom w:val="none" w:sz="0" w:space="0" w:color="auto"/>
            <w:right w:val="none" w:sz="0" w:space="0" w:color="auto"/>
          </w:divBdr>
          <w:divsChild>
            <w:div w:id="523787815">
              <w:marLeft w:val="0"/>
              <w:marRight w:val="360"/>
              <w:marTop w:val="0"/>
              <w:marBottom w:val="0"/>
              <w:divBdr>
                <w:top w:val="none" w:sz="0" w:space="0" w:color="auto"/>
                <w:left w:val="none" w:sz="0" w:space="0" w:color="auto"/>
                <w:bottom w:val="none" w:sz="0" w:space="0" w:color="auto"/>
                <w:right w:val="none" w:sz="0" w:space="0" w:color="auto"/>
              </w:divBdr>
            </w:div>
          </w:divsChild>
        </w:div>
        <w:div w:id="1719624208">
          <w:marLeft w:val="0"/>
          <w:marRight w:val="0"/>
          <w:marTop w:val="0"/>
          <w:marBottom w:val="0"/>
          <w:divBdr>
            <w:top w:val="none" w:sz="0" w:space="0" w:color="auto"/>
            <w:left w:val="none" w:sz="0" w:space="0" w:color="auto"/>
            <w:bottom w:val="none" w:sz="0" w:space="0" w:color="auto"/>
            <w:right w:val="none" w:sz="0" w:space="0" w:color="auto"/>
          </w:divBdr>
          <w:divsChild>
            <w:div w:id="581722432">
              <w:marLeft w:val="0"/>
              <w:marRight w:val="0"/>
              <w:marTop w:val="0"/>
              <w:marBottom w:val="0"/>
              <w:divBdr>
                <w:top w:val="none" w:sz="0" w:space="0" w:color="auto"/>
                <w:left w:val="none" w:sz="0" w:space="0" w:color="auto"/>
                <w:bottom w:val="none" w:sz="0" w:space="0" w:color="auto"/>
                <w:right w:val="none" w:sz="0" w:space="0" w:color="auto"/>
              </w:divBdr>
            </w:div>
          </w:divsChild>
        </w:div>
        <w:div w:id="568006023">
          <w:marLeft w:val="0"/>
          <w:marRight w:val="0"/>
          <w:marTop w:val="0"/>
          <w:marBottom w:val="0"/>
          <w:divBdr>
            <w:top w:val="none" w:sz="0" w:space="0" w:color="auto"/>
            <w:left w:val="none" w:sz="0" w:space="0" w:color="auto"/>
            <w:bottom w:val="none" w:sz="0" w:space="0" w:color="auto"/>
            <w:right w:val="none" w:sz="0" w:space="0" w:color="auto"/>
          </w:divBdr>
        </w:div>
        <w:div w:id="1502769348">
          <w:marLeft w:val="0"/>
          <w:marRight w:val="0"/>
          <w:marTop w:val="0"/>
          <w:marBottom w:val="0"/>
          <w:divBdr>
            <w:top w:val="none" w:sz="0" w:space="0" w:color="auto"/>
            <w:left w:val="none" w:sz="0" w:space="0" w:color="auto"/>
            <w:bottom w:val="none" w:sz="0" w:space="0" w:color="auto"/>
            <w:right w:val="none" w:sz="0" w:space="0" w:color="auto"/>
          </w:divBdr>
        </w:div>
        <w:div w:id="707336080">
          <w:marLeft w:val="0"/>
          <w:marRight w:val="0"/>
          <w:marTop w:val="0"/>
          <w:marBottom w:val="0"/>
          <w:divBdr>
            <w:top w:val="none" w:sz="0" w:space="0" w:color="auto"/>
            <w:left w:val="none" w:sz="0" w:space="0" w:color="auto"/>
            <w:bottom w:val="none" w:sz="0" w:space="0" w:color="auto"/>
            <w:right w:val="none" w:sz="0" w:space="0" w:color="auto"/>
          </w:divBdr>
          <w:divsChild>
            <w:div w:id="795954773">
              <w:marLeft w:val="0"/>
              <w:marRight w:val="0"/>
              <w:marTop w:val="0"/>
              <w:marBottom w:val="0"/>
              <w:divBdr>
                <w:top w:val="none" w:sz="0" w:space="0" w:color="auto"/>
                <w:left w:val="none" w:sz="0" w:space="0" w:color="auto"/>
                <w:bottom w:val="none" w:sz="0" w:space="0" w:color="auto"/>
                <w:right w:val="none" w:sz="0" w:space="0" w:color="auto"/>
              </w:divBdr>
            </w:div>
          </w:divsChild>
        </w:div>
        <w:div w:id="1903518564">
          <w:marLeft w:val="0"/>
          <w:marRight w:val="0"/>
          <w:marTop w:val="0"/>
          <w:marBottom w:val="0"/>
          <w:divBdr>
            <w:top w:val="none" w:sz="0" w:space="0" w:color="auto"/>
            <w:left w:val="none" w:sz="0" w:space="0" w:color="auto"/>
            <w:bottom w:val="none" w:sz="0" w:space="0" w:color="auto"/>
            <w:right w:val="none" w:sz="0" w:space="0" w:color="auto"/>
          </w:divBdr>
        </w:div>
        <w:div w:id="335764477">
          <w:marLeft w:val="0"/>
          <w:marRight w:val="0"/>
          <w:marTop w:val="0"/>
          <w:marBottom w:val="0"/>
          <w:divBdr>
            <w:top w:val="none" w:sz="0" w:space="0" w:color="auto"/>
            <w:left w:val="none" w:sz="0" w:space="0" w:color="auto"/>
            <w:bottom w:val="none" w:sz="0" w:space="0" w:color="auto"/>
            <w:right w:val="none" w:sz="0" w:space="0" w:color="auto"/>
          </w:divBdr>
        </w:div>
        <w:div w:id="1544558775">
          <w:marLeft w:val="0"/>
          <w:marRight w:val="0"/>
          <w:marTop w:val="0"/>
          <w:marBottom w:val="0"/>
          <w:divBdr>
            <w:top w:val="none" w:sz="0" w:space="0" w:color="auto"/>
            <w:left w:val="none" w:sz="0" w:space="0" w:color="auto"/>
            <w:bottom w:val="none" w:sz="0" w:space="0" w:color="auto"/>
            <w:right w:val="none" w:sz="0" w:space="0" w:color="auto"/>
          </w:divBdr>
          <w:divsChild>
            <w:div w:id="196241484">
              <w:marLeft w:val="0"/>
              <w:marRight w:val="0"/>
              <w:marTop w:val="0"/>
              <w:marBottom w:val="0"/>
              <w:divBdr>
                <w:top w:val="none" w:sz="0" w:space="0" w:color="auto"/>
                <w:left w:val="none" w:sz="0" w:space="0" w:color="auto"/>
                <w:bottom w:val="none" w:sz="0" w:space="0" w:color="auto"/>
                <w:right w:val="none" w:sz="0" w:space="0" w:color="auto"/>
              </w:divBdr>
            </w:div>
          </w:divsChild>
        </w:div>
        <w:div w:id="1008949813">
          <w:marLeft w:val="0"/>
          <w:marRight w:val="0"/>
          <w:marTop w:val="0"/>
          <w:marBottom w:val="0"/>
          <w:divBdr>
            <w:top w:val="none" w:sz="0" w:space="0" w:color="auto"/>
            <w:left w:val="none" w:sz="0" w:space="0" w:color="auto"/>
            <w:bottom w:val="none" w:sz="0" w:space="0" w:color="auto"/>
            <w:right w:val="none" w:sz="0" w:space="0" w:color="auto"/>
          </w:divBdr>
        </w:div>
        <w:div w:id="976684365">
          <w:marLeft w:val="0"/>
          <w:marRight w:val="0"/>
          <w:marTop w:val="0"/>
          <w:marBottom w:val="0"/>
          <w:divBdr>
            <w:top w:val="none" w:sz="0" w:space="0" w:color="auto"/>
            <w:left w:val="none" w:sz="0" w:space="0" w:color="auto"/>
            <w:bottom w:val="none" w:sz="0" w:space="0" w:color="auto"/>
            <w:right w:val="none" w:sz="0" w:space="0" w:color="auto"/>
          </w:divBdr>
        </w:div>
        <w:div w:id="1865361807">
          <w:marLeft w:val="0"/>
          <w:marRight w:val="0"/>
          <w:marTop w:val="0"/>
          <w:marBottom w:val="0"/>
          <w:divBdr>
            <w:top w:val="none" w:sz="0" w:space="0" w:color="auto"/>
            <w:left w:val="none" w:sz="0" w:space="0" w:color="auto"/>
            <w:bottom w:val="none" w:sz="0" w:space="0" w:color="auto"/>
            <w:right w:val="none" w:sz="0" w:space="0" w:color="auto"/>
          </w:divBdr>
          <w:divsChild>
            <w:div w:id="1367485446">
              <w:marLeft w:val="0"/>
              <w:marRight w:val="0"/>
              <w:marTop w:val="0"/>
              <w:marBottom w:val="0"/>
              <w:divBdr>
                <w:top w:val="none" w:sz="0" w:space="0" w:color="auto"/>
                <w:left w:val="none" w:sz="0" w:space="0" w:color="auto"/>
                <w:bottom w:val="none" w:sz="0" w:space="0" w:color="auto"/>
                <w:right w:val="none" w:sz="0" w:space="0" w:color="auto"/>
              </w:divBdr>
            </w:div>
          </w:divsChild>
        </w:div>
        <w:div w:id="1918128725">
          <w:marLeft w:val="0"/>
          <w:marRight w:val="0"/>
          <w:marTop w:val="0"/>
          <w:marBottom w:val="0"/>
          <w:divBdr>
            <w:top w:val="none" w:sz="0" w:space="0" w:color="auto"/>
            <w:left w:val="none" w:sz="0" w:space="0" w:color="auto"/>
            <w:bottom w:val="none" w:sz="0" w:space="0" w:color="auto"/>
            <w:right w:val="none" w:sz="0" w:space="0" w:color="auto"/>
          </w:divBdr>
        </w:div>
        <w:div w:id="727609643">
          <w:marLeft w:val="0"/>
          <w:marRight w:val="0"/>
          <w:marTop w:val="0"/>
          <w:marBottom w:val="0"/>
          <w:divBdr>
            <w:top w:val="none" w:sz="0" w:space="0" w:color="auto"/>
            <w:left w:val="none" w:sz="0" w:space="0" w:color="auto"/>
            <w:bottom w:val="none" w:sz="0" w:space="0" w:color="auto"/>
            <w:right w:val="none" w:sz="0" w:space="0" w:color="auto"/>
          </w:divBdr>
        </w:div>
        <w:div w:id="442965076">
          <w:marLeft w:val="0"/>
          <w:marRight w:val="0"/>
          <w:marTop w:val="0"/>
          <w:marBottom w:val="0"/>
          <w:divBdr>
            <w:top w:val="none" w:sz="0" w:space="0" w:color="auto"/>
            <w:left w:val="none" w:sz="0" w:space="0" w:color="auto"/>
            <w:bottom w:val="none" w:sz="0" w:space="0" w:color="auto"/>
            <w:right w:val="none" w:sz="0" w:space="0" w:color="auto"/>
          </w:divBdr>
          <w:divsChild>
            <w:div w:id="511068102">
              <w:marLeft w:val="0"/>
              <w:marRight w:val="0"/>
              <w:marTop w:val="0"/>
              <w:marBottom w:val="0"/>
              <w:divBdr>
                <w:top w:val="none" w:sz="0" w:space="0" w:color="auto"/>
                <w:left w:val="none" w:sz="0" w:space="0" w:color="auto"/>
                <w:bottom w:val="none" w:sz="0" w:space="0" w:color="auto"/>
                <w:right w:val="none" w:sz="0" w:space="0" w:color="auto"/>
              </w:divBdr>
            </w:div>
          </w:divsChild>
        </w:div>
        <w:div w:id="1446608789">
          <w:marLeft w:val="0"/>
          <w:marRight w:val="0"/>
          <w:marTop w:val="0"/>
          <w:marBottom w:val="0"/>
          <w:divBdr>
            <w:top w:val="none" w:sz="0" w:space="0" w:color="auto"/>
            <w:left w:val="none" w:sz="0" w:space="0" w:color="auto"/>
            <w:bottom w:val="none" w:sz="0" w:space="0" w:color="auto"/>
            <w:right w:val="none" w:sz="0" w:space="0" w:color="auto"/>
          </w:divBdr>
        </w:div>
        <w:div w:id="1659263049">
          <w:marLeft w:val="0"/>
          <w:marRight w:val="0"/>
          <w:marTop w:val="0"/>
          <w:marBottom w:val="0"/>
          <w:divBdr>
            <w:top w:val="none" w:sz="0" w:space="0" w:color="auto"/>
            <w:left w:val="none" w:sz="0" w:space="0" w:color="auto"/>
            <w:bottom w:val="none" w:sz="0" w:space="0" w:color="auto"/>
            <w:right w:val="none" w:sz="0" w:space="0" w:color="auto"/>
          </w:divBdr>
          <w:divsChild>
            <w:div w:id="856652094">
              <w:marLeft w:val="0"/>
              <w:marRight w:val="360"/>
              <w:marTop w:val="0"/>
              <w:marBottom w:val="0"/>
              <w:divBdr>
                <w:top w:val="none" w:sz="0" w:space="0" w:color="auto"/>
                <w:left w:val="none" w:sz="0" w:space="0" w:color="auto"/>
                <w:bottom w:val="none" w:sz="0" w:space="0" w:color="auto"/>
                <w:right w:val="none" w:sz="0" w:space="0" w:color="auto"/>
              </w:divBdr>
            </w:div>
          </w:divsChild>
        </w:div>
        <w:div w:id="1581475867">
          <w:marLeft w:val="0"/>
          <w:marRight w:val="0"/>
          <w:marTop w:val="0"/>
          <w:marBottom w:val="0"/>
          <w:divBdr>
            <w:top w:val="none" w:sz="0" w:space="0" w:color="auto"/>
            <w:left w:val="none" w:sz="0" w:space="0" w:color="auto"/>
            <w:bottom w:val="none" w:sz="0" w:space="0" w:color="auto"/>
            <w:right w:val="none" w:sz="0" w:space="0" w:color="auto"/>
          </w:divBdr>
          <w:divsChild>
            <w:div w:id="495725797">
              <w:marLeft w:val="0"/>
              <w:marRight w:val="0"/>
              <w:marTop w:val="0"/>
              <w:marBottom w:val="0"/>
              <w:divBdr>
                <w:top w:val="none" w:sz="0" w:space="0" w:color="auto"/>
                <w:left w:val="none" w:sz="0" w:space="0" w:color="auto"/>
                <w:bottom w:val="none" w:sz="0" w:space="0" w:color="auto"/>
                <w:right w:val="none" w:sz="0" w:space="0" w:color="auto"/>
              </w:divBdr>
            </w:div>
          </w:divsChild>
        </w:div>
        <w:div w:id="107548477">
          <w:marLeft w:val="0"/>
          <w:marRight w:val="0"/>
          <w:marTop w:val="0"/>
          <w:marBottom w:val="0"/>
          <w:divBdr>
            <w:top w:val="none" w:sz="0" w:space="0" w:color="auto"/>
            <w:left w:val="none" w:sz="0" w:space="0" w:color="auto"/>
            <w:bottom w:val="none" w:sz="0" w:space="0" w:color="auto"/>
            <w:right w:val="none" w:sz="0" w:space="0" w:color="auto"/>
          </w:divBdr>
        </w:div>
        <w:div w:id="366372101">
          <w:marLeft w:val="0"/>
          <w:marRight w:val="0"/>
          <w:marTop w:val="0"/>
          <w:marBottom w:val="0"/>
          <w:divBdr>
            <w:top w:val="none" w:sz="0" w:space="0" w:color="auto"/>
            <w:left w:val="none" w:sz="0" w:space="0" w:color="auto"/>
            <w:bottom w:val="none" w:sz="0" w:space="0" w:color="auto"/>
            <w:right w:val="none" w:sz="0" w:space="0" w:color="auto"/>
          </w:divBdr>
        </w:div>
        <w:div w:id="245964807">
          <w:marLeft w:val="0"/>
          <w:marRight w:val="0"/>
          <w:marTop w:val="0"/>
          <w:marBottom w:val="0"/>
          <w:divBdr>
            <w:top w:val="none" w:sz="0" w:space="0" w:color="auto"/>
            <w:left w:val="none" w:sz="0" w:space="0" w:color="auto"/>
            <w:bottom w:val="none" w:sz="0" w:space="0" w:color="auto"/>
            <w:right w:val="none" w:sz="0" w:space="0" w:color="auto"/>
          </w:divBdr>
        </w:div>
        <w:div w:id="1342469687">
          <w:marLeft w:val="0"/>
          <w:marRight w:val="0"/>
          <w:marTop w:val="0"/>
          <w:marBottom w:val="0"/>
          <w:divBdr>
            <w:top w:val="none" w:sz="0" w:space="0" w:color="auto"/>
            <w:left w:val="none" w:sz="0" w:space="0" w:color="auto"/>
            <w:bottom w:val="none" w:sz="0" w:space="0" w:color="auto"/>
            <w:right w:val="none" w:sz="0" w:space="0" w:color="auto"/>
          </w:divBdr>
          <w:divsChild>
            <w:div w:id="1143353696">
              <w:marLeft w:val="0"/>
              <w:marRight w:val="0"/>
              <w:marTop w:val="0"/>
              <w:marBottom w:val="0"/>
              <w:divBdr>
                <w:top w:val="none" w:sz="0" w:space="0" w:color="auto"/>
                <w:left w:val="none" w:sz="0" w:space="0" w:color="auto"/>
                <w:bottom w:val="none" w:sz="0" w:space="0" w:color="auto"/>
                <w:right w:val="none" w:sz="0" w:space="0" w:color="auto"/>
              </w:divBdr>
            </w:div>
          </w:divsChild>
        </w:div>
        <w:div w:id="1263952148">
          <w:marLeft w:val="0"/>
          <w:marRight w:val="0"/>
          <w:marTop w:val="0"/>
          <w:marBottom w:val="0"/>
          <w:divBdr>
            <w:top w:val="none" w:sz="0" w:space="0" w:color="auto"/>
            <w:left w:val="none" w:sz="0" w:space="0" w:color="auto"/>
            <w:bottom w:val="none" w:sz="0" w:space="0" w:color="auto"/>
            <w:right w:val="none" w:sz="0" w:space="0" w:color="auto"/>
          </w:divBdr>
        </w:div>
        <w:div w:id="1564102350">
          <w:marLeft w:val="0"/>
          <w:marRight w:val="0"/>
          <w:marTop w:val="0"/>
          <w:marBottom w:val="0"/>
          <w:divBdr>
            <w:top w:val="none" w:sz="0" w:space="0" w:color="auto"/>
            <w:left w:val="none" w:sz="0" w:space="0" w:color="auto"/>
            <w:bottom w:val="none" w:sz="0" w:space="0" w:color="auto"/>
            <w:right w:val="none" w:sz="0" w:space="0" w:color="auto"/>
          </w:divBdr>
        </w:div>
        <w:div w:id="1476487269">
          <w:marLeft w:val="0"/>
          <w:marRight w:val="0"/>
          <w:marTop w:val="0"/>
          <w:marBottom w:val="0"/>
          <w:divBdr>
            <w:top w:val="none" w:sz="0" w:space="0" w:color="auto"/>
            <w:left w:val="none" w:sz="0" w:space="0" w:color="auto"/>
            <w:bottom w:val="none" w:sz="0" w:space="0" w:color="auto"/>
            <w:right w:val="none" w:sz="0" w:space="0" w:color="auto"/>
          </w:divBdr>
        </w:div>
        <w:div w:id="1889340781">
          <w:marLeft w:val="0"/>
          <w:marRight w:val="0"/>
          <w:marTop w:val="0"/>
          <w:marBottom w:val="0"/>
          <w:divBdr>
            <w:top w:val="none" w:sz="0" w:space="0" w:color="auto"/>
            <w:left w:val="none" w:sz="0" w:space="0" w:color="auto"/>
            <w:bottom w:val="none" w:sz="0" w:space="0" w:color="auto"/>
            <w:right w:val="none" w:sz="0" w:space="0" w:color="auto"/>
          </w:divBdr>
          <w:divsChild>
            <w:div w:id="261030098">
              <w:marLeft w:val="0"/>
              <w:marRight w:val="0"/>
              <w:marTop w:val="0"/>
              <w:marBottom w:val="0"/>
              <w:divBdr>
                <w:top w:val="none" w:sz="0" w:space="0" w:color="auto"/>
                <w:left w:val="none" w:sz="0" w:space="0" w:color="auto"/>
                <w:bottom w:val="none" w:sz="0" w:space="0" w:color="auto"/>
                <w:right w:val="none" w:sz="0" w:space="0" w:color="auto"/>
              </w:divBdr>
            </w:div>
          </w:divsChild>
        </w:div>
        <w:div w:id="644941421">
          <w:marLeft w:val="0"/>
          <w:marRight w:val="0"/>
          <w:marTop w:val="0"/>
          <w:marBottom w:val="0"/>
          <w:divBdr>
            <w:top w:val="none" w:sz="0" w:space="0" w:color="auto"/>
            <w:left w:val="none" w:sz="0" w:space="0" w:color="auto"/>
            <w:bottom w:val="none" w:sz="0" w:space="0" w:color="auto"/>
            <w:right w:val="none" w:sz="0" w:space="0" w:color="auto"/>
          </w:divBdr>
        </w:div>
        <w:div w:id="398938298">
          <w:marLeft w:val="0"/>
          <w:marRight w:val="0"/>
          <w:marTop w:val="0"/>
          <w:marBottom w:val="0"/>
          <w:divBdr>
            <w:top w:val="none" w:sz="0" w:space="0" w:color="auto"/>
            <w:left w:val="none" w:sz="0" w:space="0" w:color="auto"/>
            <w:bottom w:val="none" w:sz="0" w:space="0" w:color="auto"/>
            <w:right w:val="none" w:sz="0" w:space="0" w:color="auto"/>
          </w:divBdr>
        </w:div>
        <w:div w:id="17632402">
          <w:marLeft w:val="0"/>
          <w:marRight w:val="0"/>
          <w:marTop w:val="0"/>
          <w:marBottom w:val="0"/>
          <w:divBdr>
            <w:top w:val="none" w:sz="0" w:space="0" w:color="auto"/>
            <w:left w:val="none" w:sz="0" w:space="0" w:color="auto"/>
            <w:bottom w:val="none" w:sz="0" w:space="0" w:color="auto"/>
            <w:right w:val="none" w:sz="0" w:space="0" w:color="auto"/>
          </w:divBdr>
          <w:divsChild>
            <w:div w:id="346447378">
              <w:marLeft w:val="0"/>
              <w:marRight w:val="0"/>
              <w:marTop w:val="0"/>
              <w:marBottom w:val="0"/>
              <w:divBdr>
                <w:top w:val="none" w:sz="0" w:space="0" w:color="auto"/>
                <w:left w:val="none" w:sz="0" w:space="0" w:color="auto"/>
                <w:bottom w:val="none" w:sz="0" w:space="0" w:color="auto"/>
                <w:right w:val="none" w:sz="0" w:space="0" w:color="auto"/>
              </w:divBdr>
            </w:div>
          </w:divsChild>
        </w:div>
        <w:div w:id="1357191428">
          <w:marLeft w:val="0"/>
          <w:marRight w:val="0"/>
          <w:marTop w:val="0"/>
          <w:marBottom w:val="0"/>
          <w:divBdr>
            <w:top w:val="none" w:sz="0" w:space="0" w:color="auto"/>
            <w:left w:val="none" w:sz="0" w:space="0" w:color="auto"/>
            <w:bottom w:val="none" w:sz="0" w:space="0" w:color="auto"/>
            <w:right w:val="none" w:sz="0" w:space="0" w:color="auto"/>
          </w:divBdr>
        </w:div>
        <w:div w:id="1166632340">
          <w:marLeft w:val="0"/>
          <w:marRight w:val="0"/>
          <w:marTop w:val="0"/>
          <w:marBottom w:val="0"/>
          <w:divBdr>
            <w:top w:val="none" w:sz="0" w:space="0" w:color="auto"/>
            <w:left w:val="none" w:sz="0" w:space="0" w:color="auto"/>
            <w:bottom w:val="none" w:sz="0" w:space="0" w:color="auto"/>
            <w:right w:val="none" w:sz="0" w:space="0" w:color="auto"/>
          </w:divBdr>
        </w:div>
        <w:div w:id="289093062">
          <w:marLeft w:val="0"/>
          <w:marRight w:val="0"/>
          <w:marTop w:val="0"/>
          <w:marBottom w:val="0"/>
          <w:divBdr>
            <w:top w:val="none" w:sz="0" w:space="0" w:color="auto"/>
            <w:left w:val="none" w:sz="0" w:space="0" w:color="auto"/>
            <w:bottom w:val="none" w:sz="0" w:space="0" w:color="auto"/>
            <w:right w:val="none" w:sz="0" w:space="0" w:color="auto"/>
          </w:divBdr>
        </w:div>
        <w:div w:id="705330436">
          <w:marLeft w:val="0"/>
          <w:marRight w:val="0"/>
          <w:marTop w:val="0"/>
          <w:marBottom w:val="0"/>
          <w:divBdr>
            <w:top w:val="none" w:sz="0" w:space="0" w:color="auto"/>
            <w:left w:val="none" w:sz="0" w:space="0" w:color="auto"/>
            <w:bottom w:val="none" w:sz="0" w:space="0" w:color="auto"/>
            <w:right w:val="none" w:sz="0" w:space="0" w:color="auto"/>
          </w:divBdr>
          <w:divsChild>
            <w:div w:id="371424276">
              <w:marLeft w:val="0"/>
              <w:marRight w:val="0"/>
              <w:marTop w:val="0"/>
              <w:marBottom w:val="0"/>
              <w:divBdr>
                <w:top w:val="none" w:sz="0" w:space="0" w:color="auto"/>
                <w:left w:val="none" w:sz="0" w:space="0" w:color="auto"/>
                <w:bottom w:val="none" w:sz="0" w:space="0" w:color="auto"/>
                <w:right w:val="none" w:sz="0" w:space="0" w:color="auto"/>
              </w:divBdr>
            </w:div>
          </w:divsChild>
        </w:div>
        <w:div w:id="597720333">
          <w:marLeft w:val="0"/>
          <w:marRight w:val="0"/>
          <w:marTop w:val="0"/>
          <w:marBottom w:val="0"/>
          <w:divBdr>
            <w:top w:val="none" w:sz="0" w:space="0" w:color="auto"/>
            <w:left w:val="none" w:sz="0" w:space="0" w:color="auto"/>
            <w:bottom w:val="none" w:sz="0" w:space="0" w:color="auto"/>
            <w:right w:val="none" w:sz="0" w:space="0" w:color="auto"/>
          </w:divBdr>
        </w:div>
        <w:div w:id="105738293">
          <w:marLeft w:val="0"/>
          <w:marRight w:val="0"/>
          <w:marTop w:val="0"/>
          <w:marBottom w:val="0"/>
          <w:divBdr>
            <w:top w:val="none" w:sz="0" w:space="0" w:color="auto"/>
            <w:left w:val="none" w:sz="0" w:space="0" w:color="auto"/>
            <w:bottom w:val="none" w:sz="0" w:space="0" w:color="auto"/>
            <w:right w:val="none" w:sz="0" w:space="0" w:color="auto"/>
          </w:divBdr>
        </w:div>
        <w:div w:id="1843351667">
          <w:marLeft w:val="0"/>
          <w:marRight w:val="0"/>
          <w:marTop w:val="0"/>
          <w:marBottom w:val="0"/>
          <w:divBdr>
            <w:top w:val="none" w:sz="0" w:space="0" w:color="auto"/>
            <w:left w:val="none" w:sz="0" w:space="0" w:color="auto"/>
            <w:bottom w:val="none" w:sz="0" w:space="0" w:color="auto"/>
            <w:right w:val="none" w:sz="0" w:space="0" w:color="auto"/>
          </w:divBdr>
          <w:divsChild>
            <w:div w:id="1394036317">
              <w:marLeft w:val="0"/>
              <w:marRight w:val="0"/>
              <w:marTop w:val="0"/>
              <w:marBottom w:val="0"/>
              <w:divBdr>
                <w:top w:val="none" w:sz="0" w:space="0" w:color="auto"/>
                <w:left w:val="none" w:sz="0" w:space="0" w:color="auto"/>
                <w:bottom w:val="none" w:sz="0" w:space="0" w:color="auto"/>
                <w:right w:val="none" w:sz="0" w:space="0" w:color="auto"/>
              </w:divBdr>
            </w:div>
          </w:divsChild>
        </w:div>
        <w:div w:id="1641153368">
          <w:marLeft w:val="0"/>
          <w:marRight w:val="0"/>
          <w:marTop w:val="0"/>
          <w:marBottom w:val="0"/>
          <w:divBdr>
            <w:top w:val="none" w:sz="0" w:space="0" w:color="auto"/>
            <w:left w:val="none" w:sz="0" w:space="0" w:color="auto"/>
            <w:bottom w:val="none" w:sz="0" w:space="0" w:color="auto"/>
            <w:right w:val="none" w:sz="0" w:space="0" w:color="auto"/>
          </w:divBdr>
        </w:div>
        <w:div w:id="1996906512">
          <w:marLeft w:val="0"/>
          <w:marRight w:val="0"/>
          <w:marTop w:val="0"/>
          <w:marBottom w:val="0"/>
          <w:divBdr>
            <w:top w:val="none" w:sz="0" w:space="0" w:color="auto"/>
            <w:left w:val="none" w:sz="0" w:space="0" w:color="auto"/>
            <w:bottom w:val="none" w:sz="0" w:space="0" w:color="auto"/>
            <w:right w:val="none" w:sz="0" w:space="0" w:color="auto"/>
          </w:divBdr>
          <w:divsChild>
            <w:div w:id="1511987592">
              <w:marLeft w:val="0"/>
              <w:marRight w:val="360"/>
              <w:marTop w:val="0"/>
              <w:marBottom w:val="0"/>
              <w:divBdr>
                <w:top w:val="none" w:sz="0" w:space="0" w:color="auto"/>
                <w:left w:val="none" w:sz="0" w:space="0" w:color="auto"/>
                <w:bottom w:val="none" w:sz="0" w:space="0" w:color="auto"/>
                <w:right w:val="none" w:sz="0" w:space="0" w:color="auto"/>
              </w:divBdr>
            </w:div>
          </w:divsChild>
        </w:div>
        <w:div w:id="1822844837">
          <w:marLeft w:val="0"/>
          <w:marRight w:val="0"/>
          <w:marTop w:val="0"/>
          <w:marBottom w:val="0"/>
          <w:divBdr>
            <w:top w:val="none" w:sz="0" w:space="0" w:color="auto"/>
            <w:left w:val="none" w:sz="0" w:space="0" w:color="auto"/>
            <w:bottom w:val="none" w:sz="0" w:space="0" w:color="auto"/>
            <w:right w:val="none" w:sz="0" w:space="0" w:color="auto"/>
          </w:divBdr>
          <w:divsChild>
            <w:div w:id="1664384175">
              <w:marLeft w:val="0"/>
              <w:marRight w:val="0"/>
              <w:marTop w:val="0"/>
              <w:marBottom w:val="0"/>
              <w:divBdr>
                <w:top w:val="none" w:sz="0" w:space="0" w:color="auto"/>
                <w:left w:val="none" w:sz="0" w:space="0" w:color="auto"/>
                <w:bottom w:val="none" w:sz="0" w:space="0" w:color="auto"/>
                <w:right w:val="none" w:sz="0" w:space="0" w:color="auto"/>
              </w:divBdr>
            </w:div>
          </w:divsChild>
        </w:div>
        <w:div w:id="1444882694">
          <w:marLeft w:val="0"/>
          <w:marRight w:val="0"/>
          <w:marTop w:val="0"/>
          <w:marBottom w:val="0"/>
          <w:divBdr>
            <w:top w:val="none" w:sz="0" w:space="0" w:color="auto"/>
            <w:left w:val="none" w:sz="0" w:space="0" w:color="auto"/>
            <w:bottom w:val="none" w:sz="0" w:space="0" w:color="auto"/>
            <w:right w:val="none" w:sz="0" w:space="0" w:color="auto"/>
          </w:divBdr>
        </w:div>
        <w:div w:id="1507749547">
          <w:marLeft w:val="0"/>
          <w:marRight w:val="0"/>
          <w:marTop w:val="0"/>
          <w:marBottom w:val="0"/>
          <w:divBdr>
            <w:top w:val="none" w:sz="0" w:space="0" w:color="auto"/>
            <w:left w:val="none" w:sz="0" w:space="0" w:color="auto"/>
            <w:bottom w:val="none" w:sz="0" w:space="0" w:color="auto"/>
            <w:right w:val="none" w:sz="0" w:space="0" w:color="auto"/>
          </w:divBdr>
        </w:div>
        <w:div w:id="1005127494">
          <w:marLeft w:val="0"/>
          <w:marRight w:val="0"/>
          <w:marTop w:val="0"/>
          <w:marBottom w:val="0"/>
          <w:divBdr>
            <w:top w:val="none" w:sz="0" w:space="0" w:color="auto"/>
            <w:left w:val="none" w:sz="0" w:space="0" w:color="auto"/>
            <w:bottom w:val="none" w:sz="0" w:space="0" w:color="auto"/>
            <w:right w:val="none" w:sz="0" w:space="0" w:color="auto"/>
          </w:divBdr>
        </w:div>
        <w:div w:id="314184702">
          <w:marLeft w:val="0"/>
          <w:marRight w:val="0"/>
          <w:marTop w:val="0"/>
          <w:marBottom w:val="0"/>
          <w:divBdr>
            <w:top w:val="none" w:sz="0" w:space="0" w:color="auto"/>
            <w:left w:val="none" w:sz="0" w:space="0" w:color="auto"/>
            <w:bottom w:val="none" w:sz="0" w:space="0" w:color="auto"/>
            <w:right w:val="none" w:sz="0" w:space="0" w:color="auto"/>
          </w:divBdr>
          <w:divsChild>
            <w:div w:id="123011443">
              <w:marLeft w:val="0"/>
              <w:marRight w:val="0"/>
              <w:marTop w:val="0"/>
              <w:marBottom w:val="0"/>
              <w:divBdr>
                <w:top w:val="none" w:sz="0" w:space="0" w:color="auto"/>
                <w:left w:val="none" w:sz="0" w:space="0" w:color="auto"/>
                <w:bottom w:val="none" w:sz="0" w:space="0" w:color="auto"/>
                <w:right w:val="none" w:sz="0" w:space="0" w:color="auto"/>
              </w:divBdr>
            </w:div>
          </w:divsChild>
        </w:div>
        <w:div w:id="391468314">
          <w:marLeft w:val="0"/>
          <w:marRight w:val="0"/>
          <w:marTop w:val="0"/>
          <w:marBottom w:val="0"/>
          <w:divBdr>
            <w:top w:val="none" w:sz="0" w:space="0" w:color="auto"/>
            <w:left w:val="none" w:sz="0" w:space="0" w:color="auto"/>
            <w:bottom w:val="none" w:sz="0" w:space="0" w:color="auto"/>
            <w:right w:val="none" w:sz="0" w:space="0" w:color="auto"/>
          </w:divBdr>
        </w:div>
        <w:div w:id="1981155293">
          <w:marLeft w:val="0"/>
          <w:marRight w:val="0"/>
          <w:marTop w:val="0"/>
          <w:marBottom w:val="0"/>
          <w:divBdr>
            <w:top w:val="none" w:sz="0" w:space="0" w:color="auto"/>
            <w:left w:val="none" w:sz="0" w:space="0" w:color="auto"/>
            <w:bottom w:val="none" w:sz="0" w:space="0" w:color="auto"/>
            <w:right w:val="none" w:sz="0" w:space="0" w:color="auto"/>
          </w:divBdr>
        </w:div>
        <w:div w:id="1709798111">
          <w:marLeft w:val="0"/>
          <w:marRight w:val="0"/>
          <w:marTop w:val="0"/>
          <w:marBottom w:val="0"/>
          <w:divBdr>
            <w:top w:val="none" w:sz="0" w:space="0" w:color="auto"/>
            <w:left w:val="none" w:sz="0" w:space="0" w:color="auto"/>
            <w:bottom w:val="none" w:sz="0" w:space="0" w:color="auto"/>
            <w:right w:val="none" w:sz="0" w:space="0" w:color="auto"/>
          </w:divBdr>
          <w:divsChild>
            <w:div w:id="710571956">
              <w:marLeft w:val="0"/>
              <w:marRight w:val="0"/>
              <w:marTop w:val="0"/>
              <w:marBottom w:val="0"/>
              <w:divBdr>
                <w:top w:val="none" w:sz="0" w:space="0" w:color="auto"/>
                <w:left w:val="none" w:sz="0" w:space="0" w:color="auto"/>
                <w:bottom w:val="none" w:sz="0" w:space="0" w:color="auto"/>
                <w:right w:val="none" w:sz="0" w:space="0" w:color="auto"/>
              </w:divBdr>
            </w:div>
          </w:divsChild>
        </w:div>
        <w:div w:id="202834461">
          <w:marLeft w:val="0"/>
          <w:marRight w:val="0"/>
          <w:marTop w:val="0"/>
          <w:marBottom w:val="0"/>
          <w:divBdr>
            <w:top w:val="none" w:sz="0" w:space="0" w:color="auto"/>
            <w:left w:val="none" w:sz="0" w:space="0" w:color="auto"/>
            <w:bottom w:val="none" w:sz="0" w:space="0" w:color="auto"/>
            <w:right w:val="none" w:sz="0" w:space="0" w:color="auto"/>
          </w:divBdr>
        </w:div>
        <w:div w:id="1842043739">
          <w:marLeft w:val="0"/>
          <w:marRight w:val="0"/>
          <w:marTop w:val="0"/>
          <w:marBottom w:val="0"/>
          <w:divBdr>
            <w:top w:val="none" w:sz="0" w:space="0" w:color="auto"/>
            <w:left w:val="none" w:sz="0" w:space="0" w:color="auto"/>
            <w:bottom w:val="none" w:sz="0" w:space="0" w:color="auto"/>
            <w:right w:val="none" w:sz="0" w:space="0" w:color="auto"/>
          </w:divBdr>
          <w:divsChild>
            <w:div w:id="352849290">
              <w:marLeft w:val="0"/>
              <w:marRight w:val="360"/>
              <w:marTop w:val="0"/>
              <w:marBottom w:val="0"/>
              <w:divBdr>
                <w:top w:val="none" w:sz="0" w:space="0" w:color="auto"/>
                <w:left w:val="none" w:sz="0" w:space="0" w:color="auto"/>
                <w:bottom w:val="none" w:sz="0" w:space="0" w:color="auto"/>
                <w:right w:val="none" w:sz="0" w:space="0" w:color="auto"/>
              </w:divBdr>
            </w:div>
          </w:divsChild>
        </w:div>
        <w:div w:id="767778902">
          <w:marLeft w:val="0"/>
          <w:marRight w:val="0"/>
          <w:marTop w:val="0"/>
          <w:marBottom w:val="0"/>
          <w:divBdr>
            <w:top w:val="none" w:sz="0" w:space="0" w:color="auto"/>
            <w:left w:val="none" w:sz="0" w:space="0" w:color="auto"/>
            <w:bottom w:val="none" w:sz="0" w:space="0" w:color="auto"/>
            <w:right w:val="none" w:sz="0" w:space="0" w:color="auto"/>
          </w:divBdr>
          <w:divsChild>
            <w:div w:id="1698308033">
              <w:marLeft w:val="0"/>
              <w:marRight w:val="0"/>
              <w:marTop w:val="0"/>
              <w:marBottom w:val="0"/>
              <w:divBdr>
                <w:top w:val="none" w:sz="0" w:space="0" w:color="auto"/>
                <w:left w:val="none" w:sz="0" w:space="0" w:color="auto"/>
                <w:bottom w:val="none" w:sz="0" w:space="0" w:color="auto"/>
                <w:right w:val="none" w:sz="0" w:space="0" w:color="auto"/>
              </w:divBdr>
            </w:div>
          </w:divsChild>
        </w:div>
        <w:div w:id="1749383829">
          <w:marLeft w:val="0"/>
          <w:marRight w:val="0"/>
          <w:marTop w:val="0"/>
          <w:marBottom w:val="0"/>
          <w:divBdr>
            <w:top w:val="none" w:sz="0" w:space="0" w:color="auto"/>
            <w:left w:val="none" w:sz="0" w:space="0" w:color="auto"/>
            <w:bottom w:val="none" w:sz="0" w:space="0" w:color="auto"/>
            <w:right w:val="none" w:sz="0" w:space="0" w:color="auto"/>
          </w:divBdr>
        </w:div>
        <w:div w:id="1428426921">
          <w:marLeft w:val="0"/>
          <w:marRight w:val="0"/>
          <w:marTop w:val="0"/>
          <w:marBottom w:val="0"/>
          <w:divBdr>
            <w:top w:val="none" w:sz="0" w:space="0" w:color="auto"/>
            <w:left w:val="none" w:sz="0" w:space="0" w:color="auto"/>
            <w:bottom w:val="none" w:sz="0" w:space="0" w:color="auto"/>
            <w:right w:val="none" w:sz="0" w:space="0" w:color="auto"/>
          </w:divBdr>
        </w:div>
        <w:div w:id="654188532">
          <w:marLeft w:val="0"/>
          <w:marRight w:val="0"/>
          <w:marTop w:val="0"/>
          <w:marBottom w:val="0"/>
          <w:divBdr>
            <w:top w:val="none" w:sz="0" w:space="0" w:color="auto"/>
            <w:left w:val="none" w:sz="0" w:space="0" w:color="auto"/>
            <w:bottom w:val="none" w:sz="0" w:space="0" w:color="auto"/>
            <w:right w:val="none" w:sz="0" w:space="0" w:color="auto"/>
          </w:divBdr>
        </w:div>
        <w:div w:id="851577827">
          <w:marLeft w:val="0"/>
          <w:marRight w:val="0"/>
          <w:marTop w:val="0"/>
          <w:marBottom w:val="0"/>
          <w:divBdr>
            <w:top w:val="none" w:sz="0" w:space="0" w:color="auto"/>
            <w:left w:val="none" w:sz="0" w:space="0" w:color="auto"/>
            <w:bottom w:val="none" w:sz="0" w:space="0" w:color="auto"/>
            <w:right w:val="none" w:sz="0" w:space="0" w:color="auto"/>
          </w:divBdr>
          <w:divsChild>
            <w:div w:id="1616248953">
              <w:marLeft w:val="0"/>
              <w:marRight w:val="0"/>
              <w:marTop w:val="0"/>
              <w:marBottom w:val="0"/>
              <w:divBdr>
                <w:top w:val="none" w:sz="0" w:space="0" w:color="auto"/>
                <w:left w:val="none" w:sz="0" w:space="0" w:color="auto"/>
                <w:bottom w:val="none" w:sz="0" w:space="0" w:color="auto"/>
                <w:right w:val="none" w:sz="0" w:space="0" w:color="auto"/>
              </w:divBdr>
            </w:div>
          </w:divsChild>
        </w:div>
        <w:div w:id="282808572">
          <w:marLeft w:val="0"/>
          <w:marRight w:val="0"/>
          <w:marTop w:val="0"/>
          <w:marBottom w:val="0"/>
          <w:divBdr>
            <w:top w:val="none" w:sz="0" w:space="0" w:color="auto"/>
            <w:left w:val="none" w:sz="0" w:space="0" w:color="auto"/>
            <w:bottom w:val="none" w:sz="0" w:space="0" w:color="auto"/>
            <w:right w:val="none" w:sz="0" w:space="0" w:color="auto"/>
          </w:divBdr>
        </w:div>
        <w:div w:id="1816409925">
          <w:marLeft w:val="0"/>
          <w:marRight w:val="0"/>
          <w:marTop w:val="0"/>
          <w:marBottom w:val="0"/>
          <w:divBdr>
            <w:top w:val="none" w:sz="0" w:space="0" w:color="auto"/>
            <w:left w:val="none" w:sz="0" w:space="0" w:color="auto"/>
            <w:bottom w:val="none" w:sz="0" w:space="0" w:color="auto"/>
            <w:right w:val="none" w:sz="0" w:space="0" w:color="auto"/>
          </w:divBdr>
        </w:div>
        <w:div w:id="1805855123">
          <w:marLeft w:val="0"/>
          <w:marRight w:val="0"/>
          <w:marTop w:val="0"/>
          <w:marBottom w:val="0"/>
          <w:divBdr>
            <w:top w:val="none" w:sz="0" w:space="0" w:color="auto"/>
            <w:left w:val="none" w:sz="0" w:space="0" w:color="auto"/>
            <w:bottom w:val="none" w:sz="0" w:space="0" w:color="auto"/>
            <w:right w:val="none" w:sz="0" w:space="0" w:color="auto"/>
          </w:divBdr>
          <w:divsChild>
            <w:div w:id="1561405435">
              <w:marLeft w:val="0"/>
              <w:marRight w:val="0"/>
              <w:marTop w:val="0"/>
              <w:marBottom w:val="0"/>
              <w:divBdr>
                <w:top w:val="none" w:sz="0" w:space="0" w:color="auto"/>
                <w:left w:val="none" w:sz="0" w:space="0" w:color="auto"/>
                <w:bottom w:val="none" w:sz="0" w:space="0" w:color="auto"/>
                <w:right w:val="none" w:sz="0" w:space="0" w:color="auto"/>
              </w:divBdr>
            </w:div>
          </w:divsChild>
        </w:div>
        <w:div w:id="2120371968">
          <w:marLeft w:val="0"/>
          <w:marRight w:val="0"/>
          <w:marTop w:val="0"/>
          <w:marBottom w:val="0"/>
          <w:divBdr>
            <w:top w:val="none" w:sz="0" w:space="0" w:color="auto"/>
            <w:left w:val="none" w:sz="0" w:space="0" w:color="auto"/>
            <w:bottom w:val="none" w:sz="0" w:space="0" w:color="auto"/>
            <w:right w:val="none" w:sz="0" w:space="0" w:color="auto"/>
          </w:divBdr>
        </w:div>
        <w:div w:id="1237862667">
          <w:marLeft w:val="0"/>
          <w:marRight w:val="0"/>
          <w:marTop w:val="0"/>
          <w:marBottom w:val="0"/>
          <w:divBdr>
            <w:top w:val="none" w:sz="0" w:space="0" w:color="auto"/>
            <w:left w:val="none" w:sz="0" w:space="0" w:color="auto"/>
            <w:bottom w:val="none" w:sz="0" w:space="0" w:color="auto"/>
            <w:right w:val="none" w:sz="0" w:space="0" w:color="auto"/>
          </w:divBdr>
          <w:divsChild>
            <w:div w:id="1353799688">
              <w:marLeft w:val="0"/>
              <w:marRight w:val="360"/>
              <w:marTop w:val="0"/>
              <w:marBottom w:val="0"/>
              <w:divBdr>
                <w:top w:val="none" w:sz="0" w:space="0" w:color="auto"/>
                <w:left w:val="none" w:sz="0" w:space="0" w:color="auto"/>
                <w:bottom w:val="none" w:sz="0" w:space="0" w:color="auto"/>
                <w:right w:val="none" w:sz="0" w:space="0" w:color="auto"/>
              </w:divBdr>
            </w:div>
          </w:divsChild>
        </w:div>
        <w:div w:id="1080519783">
          <w:marLeft w:val="0"/>
          <w:marRight w:val="0"/>
          <w:marTop w:val="0"/>
          <w:marBottom w:val="0"/>
          <w:divBdr>
            <w:top w:val="none" w:sz="0" w:space="0" w:color="auto"/>
            <w:left w:val="none" w:sz="0" w:space="0" w:color="auto"/>
            <w:bottom w:val="none" w:sz="0" w:space="0" w:color="auto"/>
            <w:right w:val="none" w:sz="0" w:space="0" w:color="auto"/>
          </w:divBdr>
          <w:divsChild>
            <w:div w:id="1457522627">
              <w:marLeft w:val="0"/>
              <w:marRight w:val="0"/>
              <w:marTop w:val="0"/>
              <w:marBottom w:val="0"/>
              <w:divBdr>
                <w:top w:val="none" w:sz="0" w:space="0" w:color="auto"/>
                <w:left w:val="none" w:sz="0" w:space="0" w:color="auto"/>
                <w:bottom w:val="none" w:sz="0" w:space="0" w:color="auto"/>
                <w:right w:val="none" w:sz="0" w:space="0" w:color="auto"/>
              </w:divBdr>
            </w:div>
          </w:divsChild>
        </w:div>
        <w:div w:id="1651714729">
          <w:marLeft w:val="0"/>
          <w:marRight w:val="0"/>
          <w:marTop w:val="0"/>
          <w:marBottom w:val="0"/>
          <w:divBdr>
            <w:top w:val="none" w:sz="0" w:space="0" w:color="auto"/>
            <w:left w:val="none" w:sz="0" w:space="0" w:color="auto"/>
            <w:bottom w:val="none" w:sz="0" w:space="0" w:color="auto"/>
            <w:right w:val="none" w:sz="0" w:space="0" w:color="auto"/>
          </w:divBdr>
        </w:div>
        <w:div w:id="624048763">
          <w:marLeft w:val="0"/>
          <w:marRight w:val="0"/>
          <w:marTop w:val="0"/>
          <w:marBottom w:val="0"/>
          <w:divBdr>
            <w:top w:val="none" w:sz="0" w:space="0" w:color="auto"/>
            <w:left w:val="none" w:sz="0" w:space="0" w:color="auto"/>
            <w:bottom w:val="none" w:sz="0" w:space="0" w:color="auto"/>
            <w:right w:val="none" w:sz="0" w:space="0" w:color="auto"/>
          </w:divBdr>
        </w:div>
        <w:div w:id="743839188">
          <w:marLeft w:val="0"/>
          <w:marRight w:val="0"/>
          <w:marTop w:val="0"/>
          <w:marBottom w:val="0"/>
          <w:divBdr>
            <w:top w:val="none" w:sz="0" w:space="0" w:color="auto"/>
            <w:left w:val="none" w:sz="0" w:space="0" w:color="auto"/>
            <w:bottom w:val="none" w:sz="0" w:space="0" w:color="auto"/>
            <w:right w:val="none" w:sz="0" w:space="0" w:color="auto"/>
          </w:divBdr>
        </w:div>
        <w:div w:id="2016612351">
          <w:marLeft w:val="0"/>
          <w:marRight w:val="0"/>
          <w:marTop w:val="480"/>
          <w:marBottom w:val="480"/>
          <w:divBdr>
            <w:top w:val="none" w:sz="0" w:space="0" w:color="auto"/>
            <w:left w:val="none" w:sz="0" w:space="0" w:color="auto"/>
            <w:bottom w:val="none" w:sz="0" w:space="0" w:color="auto"/>
            <w:right w:val="none" w:sz="0" w:space="0" w:color="auto"/>
          </w:divBdr>
        </w:div>
      </w:divsChild>
    </w:div>
    <w:div w:id="965621552">
      <w:bodyDiv w:val="1"/>
      <w:marLeft w:val="0"/>
      <w:marRight w:val="0"/>
      <w:marTop w:val="0"/>
      <w:marBottom w:val="0"/>
      <w:divBdr>
        <w:top w:val="none" w:sz="0" w:space="0" w:color="auto"/>
        <w:left w:val="none" w:sz="0" w:space="0" w:color="auto"/>
        <w:bottom w:val="none" w:sz="0" w:space="0" w:color="auto"/>
        <w:right w:val="none" w:sz="0" w:space="0" w:color="auto"/>
      </w:divBdr>
      <w:divsChild>
        <w:div w:id="1310014680">
          <w:marLeft w:val="0"/>
          <w:marRight w:val="0"/>
          <w:marTop w:val="0"/>
          <w:marBottom w:val="0"/>
          <w:divBdr>
            <w:top w:val="none" w:sz="0" w:space="0" w:color="auto"/>
            <w:left w:val="none" w:sz="0" w:space="0" w:color="auto"/>
            <w:bottom w:val="none" w:sz="0" w:space="0" w:color="auto"/>
            <w:right w:val="none" w:sz="0" w:space="0" w:color="auto"/>
          </w:divBdr>
          <w:divsChild>
            <w:div w:id="1237591101">
              <w:marLeft w:val="0"/>
              <w:marRight w:val="0"/>
              <w:marTop w:val="0"/>
              <w:marBottom w:val="0"/>
              <w:divBdr>
                <w:top w:val="none" w:sz="0" w:space="0" w:color="auto"/>
                <w:left w:val="none" w:sz="0" w:space="0" w:color="auto"/>
                <w:bottom w:val="none" w:sz="0" w:space="0" w:color="auto"/>
                <w:right w:val="none" w:sz="0" w:space="0" w:color="auto"/>
              </w:divBdr>
              <w:divsChild>
                <w:div w:id="663972046">
                  <w:marLeft w:val="0"/>
                  <w:marRight w:val="0"/>
                  <w:marTop w:val="0"/>
                  <w:marBottom w:val="0"/>
                  <w:divBdr>
                    <w:top w:val="none" w:sz="0" w:space="0" w:color="auto"/>
                    <w:left w:val="none" w:sz="0" w:space="0" w:color="auto"/>
                    <w:bottom w:val="none" w:sz="0" w:space="0" w:color="auto"/>
                    <w:right w:val="none" w:sz="0" w:space="0" w:color="auto"/>
                  </w:divBdr>
                  <w:divsChild>
                    <w:div w:id="1592660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02666">
          <w:marLeft w:val="0"/>
          <w:marRight w:val="0"/>
          <w:marTop w:val="0"/>
          <w:marBottom w:val="0"/>
          <w:divBdr>
            <w:top w:val="none" w:sz="0" w:space="0" w:color="auto"/>
            <w:left w:val="none" w:sz="0" w:space="0" w:color="auto"/>
            <w:bottom w:val="none" w:sz="0" w:space="0" w:color="auto"/>
            <w:right w:val="none" w:sz="0" w:space="0" w:color="auto"/>
          </w:divBdr>
          <w:divsChild>
            <w:div w:id="1045064952">
              <w:marLeft w:val="0"/>
              <w:marRight w:val="0"/>
              <w:marTop w:val="0"/>
              <w:marBottom w:val="0"/>
              <w:divBdr>
                <w:top w:val="none" w:sz="0" w:space="0" w:color="auto"/>
                <w:left w:val="none" w:sz="0" w:space="0" w:color="auto"/>
                <w:bottom w:val="none" w:sz="0" w:space="0" w:color="auto"/>
                <w:right w:val="none" w:sz="0" w:space="0" w:color="auto"/>
              </w:divBdr>
              <w:divsChild>
                <w:div w:id="2145848709">
                  <w:marLeft w:val="0"/>
                  <w:marRight w:val="0"/>
                  <w:marTop w:val="0"/>
                  <w:marBottom w:val="0"/>
                  <w:divBdr>
                    <w:top w:val="none" w:sz="0" w:space="0" w:color="auto"/>
                    <w:left w:val="none" w:sz="0" w:space="0" w:color="auto"/>
                    <w:bottom w:val="none" w:sz="0" w:space="0" w:color="auto"/>
                    <w:right w:val="none" w:sz="0" w:space="0" w:color="auto"/>
                  </w:divBdr>
                  <w:divsChild>
                    <w:div w:id="377126774">
                      <w:marLeft w:val="0"/>
                      <w:marRight w:val="0"/>
                      <w:marTop w:val="0"/>
                      <w:marBottom w:val="0"/>
                      <w:divBdr>
                        <w:top w:val="none" w:sz="0" w:space="0" w:color="auto"/>
                        <w:left w:val="none" w:sz="0" w:space="0" w:color="auto"/>
                        <w:bottom w:val="none" w:sz="0" w:space="0" w:color="auto"/>
                        <w:right w:val="none" w:sz="0" w:space="0" w:color="auto"/>
                      </w:divBdr>
                      <w:divsChild>
                        <w:div w:id="1580478758">
                          <w:marLeft w:val="0"/>
                          <w:marRight w:val="0"/>
                          <w:marTop w:val="0"/>
                          <w:marBottom w:val="0"/>
                          <w:divBdr>
                            <w:top w:val="none" w:sz="0" w:space="0" w:color="auto"/>
                            <w:left w:val="none" w:sz="0" w:space="0" w:color="auto"/>
                            <w:bottom w:val="none" w:sz="0" w:space="0" w:color="auto"/>
                            <w:right w:val="none" w:sz="0" w:space="0" w:color="auto"/>
                          </w:divBdr>
                          <w:divsChild>
                            <w:div w:id="754474325">
                              <w:marLeft w:val="0"/>
                              <w:marRight w:val="0"/>
                              <w:marTop w:val="0"/>
                              <w:marBottom w:val="0"/>
                              <w:divBdr>
                                <w:top w:val="none" w:sz="0" w:space="0" w:color="auto"/>
                                <w:left w:val="none" w:sz="0" w:space="0" w:color="auto"/>
                                <w:bottom w:val="none" w:sz="0" w:space="0" w:color="auto"/>
                                <w:right w:val="none" w:sz="0" w:space="0" w:color="auto"/>
                              </w:divBdr>
                            </w:div>
                            <w:div w:id="830022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4968393">
                  <w:marLeft w:val="0"/>
                  <w:marRight w:val="0"/>
                  <w:marTop w:val="150"/>
                  <w:marBottom w:val="0"/>
                  <w:divBdr>
                    <w:top w:val="single" w:sz="6" w:space="0" w:color="E8E7E4"/>
                    <w:left w:val="none" w:sz="0" w:space="0" w:color="auto"/>
                    <w:bottom w:val="none" w:sz="0" w:space="0" w:color="auto"/>
                    <w:right w:val="none" w:sz="0" w:space="0" w:color="auto"/>
                  </w:divBdr>
                  <w:divsChild>
                    <w:div w:id="1143424313">
                      <w:marLeft w:val="0"/>
                      <w:marRight w:val="0"/>
                      <w:marTop w:val="0"/>
                      <w:marBottom w:val="960"/>
                      <w:divBdr>
                        <w:top w:val="none" w:sz="0" w:space="0" w:color="auto"/>
                        <w:left w:val="none" w:sz="0" w:space="0" w:color="auto"/>
                        <w:bottom w:val="none" w:sz="0" w:space="0" w:color="auto"/>
                        <w:right w:val="none" w:sz="0" w:space="0" w:color="auto"/>
                      </w:divBdr>
                    </w:div>
                    <w:div w:id="1229535294">
                      <w:marLeft w:val="0"/>
                      <w:marRight w:val="0"/>
                      <w:marTop w:val="0"/>
                      <w:marBottom w:val="960"/>
                      <w:divBdr>
                        <w:top w:val="none" w:sz="0" w:space="0" w:color="auto"/>
                        <w:left w:val="none" w:sz="0" w:space="0" w:color="auto"/>
                        <w:bottom w:val="none" w:sz="0" w:space="0" w:color="auto"/>
                        <w:right w:val="none" w:sz="0" w:space="0" w:color="auto"/>
                      </w:divBdr>
                    </w:div>
                    <w:div w:id="676231835">
                      <w:marLeft w:val="0"/>
                      <w:marRight w:val="0"/>
                      <w:marTop w:val="0"/>
                      <w:marBottom w:val="960"/>
                      <w:divBdr>
                        <w:top w:val="none" w:sz="0" w:space="0" w:color="auto"/>
                        <w:left w:val="none" w:sz="0" w:space="0" w:color="auto"/>
                        <w:bottom w:val="none" w:sz="0" w:space="0" w:color="auto"/>
                        <w:right w:val="none" w:sz="0" w:space="0" w:color="auto"/>
                      </w:divBdr>
                      <w:divsChild>
                        <w:div w:id="1408261768">
                          <w:blockQuote w:val="1"/>
                          <w:marLeft w:val="0"/>
                          <w:marRight w:val="0"/>
                          <w:marTop w:val="240"/>
                          <w:marBottom w:val="240"/>
                          <w:divBdr>
                            <w:top w:val="none" w:sz="0" w:space="0" w:color="auto"/>
                            <w:left w:val="single" w:sz="6" w:space="0" w:color="CACACA"/>
                            <w:bottom w:val="none" w:sz="0" w:space="0" w:color="auto"/>
                            <w:right w:val="none" w:sz="0" w:space="0" w:color="auto"/>
                          </w:divBdr>
                          <w:divsChild>
                            <w:div w:id="1150252339">
                              <w:marLeft w:val="3600"/>
                              <w:marRight w:val="0"/>
                              <w:marTop w:val="0"/>
                              <w:marBottom w:val="0"/>
                              <w:divBdr>
                                <w:top w:val="none" w:sz="0" w:space="0" w:color="auto"/>
                                <w:left w:val="none" w:sz="0" w:space="0" w:color="auto"/>
                                <w:bottom w:val="none" w:sz="0" w:space="0" w:color="auto"/>
                                <w:right w:val="none" w:sz="0" w:space="0" w:color="auto"/>
                              </w:divBdr>
                            </w:div>
                          </w:divsChild>
                        </w:div>
                      </w:divsChild>
                    </w:div>
                    <w:div w:id="124278439">
                      <w:marLeft w:val="0"/>
                      <w:marRight w:val="0"/>
                      <w:marTop w:val="0"/>
                      <w:marBottom w:val="960"/>
                      <w:divBdr>
                        <w:top w:val="none" w:sz="0" w:space="0" w:color="auto"/>
                        <w:left w:val="none" w:sz="0" w:space="0" w:color="auto"/>
                        <w:bottom w:val="none" w:sz="0" w:space="0" w:color="auto"/>
                        <w:right w:val="none" w:sz="0" w:space="0" w:color="auto"/>
                      </w:divBdr>
                      <w:divsChild>
                        <w:div w:id="1831555121">
                          <w:blockQuote w:val="1"/>
                          <w:marLeft w:val="0"/>
                          <w:marRight w:val="0"/>
                          <w:marTop w:val="240"/>
                          <w:marBottom w:val="240"/>
                          <w:divBdr>
                            <w:top w:val="none" w:sz="0" w:space="0" w:color="auto"/>
                            <w:left w:val="single" w:sz="6" w:space="0" w:color="CACACA"/>
                            <w:bottom w:val="none" w:sz="0" w:space="0" w:color="auto"/>
                            <w:right w:val="none" w:sz="0" w:space="0" w:color="auto"/>
                          </w:divBdr>
                          <w:divsChild>
                            <w:div w:id="923077672">
                              <w:marLeft w:val="3600"/>
                              <w:marRight w:val="0"/>
                              <w:marTop w:val="0"/>
                              <w:marBottom w:val="0"/>
                              <w:divBdr>
                                <w:top w:val="none" w:sz="0" w:space="0" w:color="auto"/>
                                <w:left w:val="none" w:sz="0" w:space="0" w:color="auto"/>
                                <w:bottom w:val="none" w:sz="0" w:space="0" w:color="auto"/>
                                <w:right w:val="none" w:sz="0" w:space="0" w:color="auto"/>
                              </w:divBdr>
                            </w:div>
                          </w:divsChild>
                        </w:div>
                      </w:divsChild>
                    </w:div>
                    <w:div w:id="1764639927">
                      <w:marLeft w:val="0"/>
                      <w:marRight w:val="0"/>
                      <w:marTop w:val="0"/>
                      <w:marBottom w:val="960"/>
                      <w:divBdr>
                        <w:top w:val="none" w:sz="0" w:space="0" w:color="auto"/>
                        <w:left w:val="none" w:sz="0" w:space="0" w:color="auto"/>
                        <w:bottom w:val="none" w:sz="0" w:space="0" w:color="auto"/>
                        <w:right w:val="none" w:sz="0" w:space="0" w:color="auto"/>
                      </w:divBdr>
                      <w:divsChild>
                        <w:div w:id="1428966048">
                          <w:blockQuote w:val="1"/>
                          <w:marLeft w:val="0"/>
                          <w:marRight w:val="0"/>
                          <w:marTop w:val="240"/>
                          <w:marBottom w:val="240"/>
                          <w:divBdr>
                            <w:top w:val="none" w:sz="0" w:space="0" w:color="auto"/>
                            <w:left w:val="single" w:sz="6" w:space="0" w:color="CACACA"/>
                            <w:bottom w:val="none" w:sz="0" w:space="0" w:color="auto"/>
                            <w:right w:val="none" w:sz="0" w:space="0" w:color="auto"/>
                          </w:divBdr>
                          <w:divsChild>
                            <w:div w:id="1699549591">
                              <w:marLeft w:val="36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6328546">
                  <w:marLeft w:val="0"/>
                  <w:marRight w:val="0"/>
                  <w:marTop w:val="240"/>
                  <w:marBottom w:val="240"/>
                  <w:divBdr>
                    <w:top w:val="single" w:sz="6" w:space="12" w:color="E8E7E4"/>
                    <w:left w:val="none" w:sz="0" w:space="0" w:color="auto"/>
                    <w:bottom w:val="none" w:sz="0" w:space="0" w:color="auto"/>
                    <w:right w:val="none" w:sz="0" w:space="0" w:color="auto"/>
                  </w:divBdr>
                  <w:divsChild>
                    <w:div w:id="42406154">
                      <w:marLeft w:val="0"/>
                      <w:marRight w:val="0"/>
                      <w:marTop w:val="0"/>
                      <w:marBottom w:val="0"/>
                      <w:divBdr>
                        <w:top w:val="none" w:sz="0" w:space="0" w:color="auto"/>
                        <w:left w:val="none" w:sz="0" w:space="0" w:color="auto"/>
                        <w:bottom w:val="none" w:sz="0" w:space="0" w:color="auto"/>
                        <w:right w:val="none" w:sz="0" w:space="0" w:color="auto"/>
                      </w:divBdr>
                      <w:divsChild>
                        <w:div w:id="990325640">
                          <w:marLeft w:val="0"/>
                          <w:marRight w:val="0"/>
                          <w:marTop w:val="240"/>
                          <w:marBottom w:val="0"/>
                          <w:divBdr>
                            <w:top w:val="none" w:sz="0" w:space="0" w:color="auto"/>
                            <w:left w:val="none" w:sz="0" w:space="0" w:color="auto"/>
                            <w:bottom w:val="none" w:sz="0" w:space="0" w:color="auto"/>
                            <w:right w:val="none" w:sz="0" w:space="0" w:color="auto"/>
                          </w:divBdr>
                        </w:div>
                      </w:divsChild>
                    </w:div>
                    <w:div w:id="1505047550">
                      <w:marLeft w:val="0"/>
                      <w:marRight w:val="0"/>
                      <w:marTop w:val="0"/>
                      <w:marBottom w:val="0"/>
                      <w:divBdr>
                        <w:top w:val="none" w:sz="0" w:space="0" w:color="auto"/>
                        <w:left w:val="none" w:sz="0" w:space="0" w:color="auto"/>
                        <w:bottom w:val="none" w:sz="0" w:space="0" w:color="auto"/>
                        <w:right w:val="none" w:sz="0" w:space="0" w:color="auto"/>
                      </w:divBdr>
                      <w:divsChild>
                        <w:div w:id="959650040">
                          <w:marLeft w:val="0"/>
                          <w:marRight w:val="0"/>
                          <w:marTop w:val="0"/>
                          <w:marBottom w:val="0"/>
                          <w:divBdr>
                            <w:top w:val="none" w:sz="0" w:space="0" w:color="auto"/>
                            <w:left w:val="none" w:sz="0" w:space="0" w:color="auto"/>
                            <w:bottom w:val="none" w:sz="0" w:space="0" w:color="auto"/>
                            <w:right w:val="none" w:sz="0" w:space="0" w:color="auto"/>
                          </w:divBdr>
                        </w:div>
                        <w:div w:id="1813869304">
                          <w:marLeft w:val="0"/>
                          <w:marRight w:val="0"/>
                          <w:marTop w:val="0"/>
                          <w:marBottom w:val="0"/>
                          <w:divBdr>
                            <w:top w:val="none" w:sz="0" w:space="0" w:color="auto"/>
                            <w:left w:val="none" w:sz="0" w:space="0" w:color="auto"/>
                            <w:bottom w:val="none" w:sz="0" w:space="0" w:color="auto"/>
                            <w:right w:val="none" w:sz="0" w:space="0" w:color="auto"/>
                          </w:divBdr>
                        </w:div>
                        <w:div w:id="981276125">
                          <w:marLeft w:val="0"/>
                          <w:marRight w:val="0"/>
                          <w:marTop w:val="0"/>
                          <w:marBottom w:val="0"/>
                          <w:divBdr>
                            <w:top w:val="none" w:sz="0" w:space="0" w:color="auto"/>
                            <w:left w:val="none" w:sz="0" w:space="0" w:color="auto"/>
                            <w:bottom w:val="none" w:sz="0" w:space="0" w:color="auto"/>
                            <w:right w:val="none" w:sz="0" w:space="0" w:color="auto"/>
                          </w:divBdr>
                        </w:div>
                        <w:div w:id="1052270218">
                          <w:marLeft w:val="0"/>
                          <w:marRight w:val="0"/>
                          <w:marTop w:val="0"/>
                          <w:marBottom w:val="0"/>
                          <w:divBdr>
                            <w:top w:val="none" w:sz="0" w:space="0" w:color="auto"/>
                            <w:left w:val="none" w:sz="0" w:space="0" w:color="auto"/>
                            <w:bottom w:val="none" w:sz="0" w:space="0" w:color="auto"/>
                            <w:right w:val="none" w:sz="0" w:space="0" w:color="auto"/>
                          </w:divBdr>
                        </w:div>
                        <w:div w:id="107966517">
                          <w:marLeft w:val="0"/>
                          <w:marRight w:val="0"/>
                          <w:marTop w:val="0"/>
                          <w:marBottom w:val="0"/>
                          <w:divBdr>
                            <w:top w:val="none" w:sz="0" w:space="0" w:color="auto"/>
                            <w:left w:val="none" w:sz="0" w:space="0" w:color="auto"/>
                            <w:bottom w:val="none" w:sz="0" w:space="0" w:color="auto"/>
                            <w:right w:val="none" w:sz="0" w:space="0" w:color="auto"/>
                          </w:divBdr>
                        </w:div>
                        <w:div w:id="1105885974">
                          <w:marLeft w:val="0"/>
                          <w:marRight w:val="0"/>
                          <w:marTop w:val="0"/>
                          <w:marBottom w:val="0"/>
                          <w:divBdr>
                            <w:top w:val="none" w:sz="0" w:space="0" w:color="auto"/>
                            <w:left w:val="none" w:sz="0" w:space="0" w:color="auto"/>
                            <w:bottom w:val="none" w:sz="0" w:space="0" w:color="auto"/>
                            <w:right w:val="none" w:sz="0" w:space="0" w:color="auto"/>
                          </w:divBdr>
                        </w:div>
                        <w:div w:id="664818521">
                          <w:marLeft w:val="0"/>
                          <w:marRight w:val="0"/>
                          <w:marTop w:val="0"/>
                          <w:marBottom w:val="0"/>
                          <w:divBdr>
                            <w:top w:val="none" w:sz="0" w:space="0" w:color="auto"/>
                            <w:left w:val="none" w:sz="0" w:space="0" w:color="auto"/>
                            <w:bottom w:val="none" w:sz="0" w:space="0" w:color="auto"/>
                            <w:right w:val="none" w:sz="0" w:space="0" w:color="auto"/>
                          </w:divBdr>
                        </w:div>
                        <w:div w:id="519054258">
                          <w:marLeft w:val="0"/>
                          <w:marRight w:val="0"/>
                          <w:marTop w:val="0"/>
                          <w:marBottom w:val="0"/>
                          <w:divBdr>
                            <w:top w:val="none" w:sz="0" w:space="0" w:color="auto"/>
                            <w:left w:val="none" w:sz="0" w:space="0" w:color="auto"/>
                            <w:bottom w:val="none" w:sz="0" w:space="0" w:color="auto"/>
                            <w:right w:val="none" w:sz="0" w:space="0" w:color="auto"/>
                          </w:divBdr>
                        </w:div>
                        <w:div w:id="18703860">
                          <w:marLeft w:val="0"/>
                          <w:marRight w:val="0"/>
                          <w:marTop w:val="0"/>
                          <w:marBottom w:val="0"/>
                          <w:divBdr>
                            <w:top w:val="none" w:sz="0" w:space="0" w:color="auto"/>
                            <w:left w:val="none" w:sz="0" w:space="0" w:color="auto"/>
                            <w:bottom w:val="none" w:sz="0" w:space="0" w:color="auto"/>
                            <w:right w:val="none" w:sz="0" w:space="0" w:color="auto"/>
                          </w:divBdr>
                        </w:div>
                        <w:div w:id="1725834682">
                          <w:marLeft w:val="0"/>
                          <w:marRight w:val="0"/>
                          <w:marTop w:val="0"/>
                          <w:marBottom w:val="0"/>
                          <w:divBdr>
                            <w:top w:val="none" w:sz="0" w:space="0" w:color="auto"/>
                            <w:left w:val="none" w:sz="0" w:space="0" w:color="auto"/>
                            <w:bottom w:val="none" w:sz="0" w:space="0" w:color="auto"/>
                            <w:right w:val="none" w:sz="0" w:space="0" w:color="auto"/>
                          </w:divBdr>
                        </w:div>
                        <w:div w:id="1833913442">
                          <w:marLeft w:val="0"/>
                          <w:marRight w:val="0"/>
                          <w:marTop w:val="0"/>
                          <w:marBottom w:val="0"/>
                          <w:divBdr>
                            <w:top w:val="none" w:sz="0" w:space="0" w:color="auto"/>
                            <w:left w:val="none" w:sz="0" w:space="0" w:color="auto"/>
                            <w:bottom w:val="none" w:sz="0" w:space="0" w:color="auto"/>
                            <w:right w:val="none" w:sz="0" w:space="0" w:color="auto"/>
                          </w:divBdr>
                        </w:div>
                        <w:div w:id="1902330949">
                          <w:marLeft w:val="0"/>
                          <w:marRight w:val="0"/>
                          <w:marTop w:val="0"/>
                          <w:marBottom w:val="0"/>
                          <w:divBdr>
                            <w:top w:val="none" w:sz="0" w:space="0" w:color="auto"/>
                            <w:left w:val="none" w:sz="0" w:space="0" w:color="auto"/>
                            <w:bottom w:val="none" w:sz="0" w:space="0" w:color="auto"/>
                            <w:right w:val="none" w:sz="0" w:space="0" w:color="auto"/>
                          </w:divBdr>
                        </w:div>
                        <w:div w:id="907836964">
                          <w:marLeft w:val="0"/>
                          <w:marRight w:val="0"/>
                          <w:marTop w:val="0"/>
                          <w:marBottom w:val="0"/>
                          <w:divBdr>
                            <w:top w:val="none" w:sz="0" w:space="0" w:color="auto"/>
                            <w:left w:val="none" w:sz="0" w:space="0" w:color="auto"/>
                            <w:bottom w:val="none" w:sz="0" w:space="0" w:color="auto"/>
                            <w:right w:val="none" w:sz="0" w:space="0" w:color="auto"/>
                          </w:divBdr>
                        </w:div>
                        <w:div w:id="1200313495">
                          <w:marLeft w:val="0"/>
                          <w:marRight w:val="0"/>
                          <w:marTop w:val="0"/>
                          <w:marBottom w:val="0"/>
                          <w:divBdr>
                            <w:top w:val="none" w:sz="0" w:space="0" w:color="auto"/>
                            <w:left w:val="none" w:sz="0" w:space="0" w:color="auto"/>
                            <w:bottom w:val="none" w:sz="0" w:space="0" w:color="auto"/>
                            <w:right w:val="none" w:sz="0" w:space="0" w:color="auto"/>
                          </w:divBdr>
                        </w:div>
                        <w:div w:id="995651093">
                          <w:marLeft w:val="0"/>
                          <w:marRight w:val="0"/>
                          <w:marTop w:val="0"/>
                          <w:marBottom w:val="0"/>
                          <w:divBdr>
                            <w:top w:val="none" w:sz="0" w:space="0" w:color="auto"/>
                            <w:left w:val="none" w:sz="0" w:space="0" w:color="auto"/>
                            <w:bottom w:val="none" w:sz="0" w:space="0" w:color="auto"/>
                            <w:right w:val="none" w:sz="0" w:space="0" w:color="auto"/>
                          </w:divBdr>
                        </w:div>
                        <w:div w:id="1308628822">
                          <w:marLeft w:val="0"/>
                          <w:marRight w:val="0"/>
                          <w:marTop w:val="0"/>
                          <w:marBottom w:val="0"/>
                          <w:divBdr>
                            <w:top w:val="none" w:sz="0" w:space="0" w:color="auto"/>
                            <w:left w:val="none" w:sz="0" w:space="0" w:color="auto"/>
                            <w:bottom w:val="none" w:sz="0" w:space="0" w:color="auto"/>
                            <w:right w:val="none" w:sz="0" w:space="0" w:color="auto"/>
                          </w:divBdr>
                        </w:div>
                        <w:div w:id="1384719343">
                          <w:marLeft w:val="0"/>
                          <w:marRight w:val="0"/>
                          <w:marTop w:val="0"/>
                          <w:marBottom w:val="0"/>
                          <w:divBdr>
                            <w:top w:val="none" w:sz="0" w:space="0" w:color="auto"/>
                            <w:left w:val="none" w:sz="0" w:space="0" w:color="auto"/>
                            <w:bottom w:val="none" w:sz="0" w:space="0" w:color="auto"/>
                            <w:right w:val="none" w:sz="0" w:space="0" w:color="auto"/>
                          </w:divBdr>
                        </w:div>
                        <w:div w:id="411436265">
                          <w:marLeft w:val="0"/>
                          <w:marRight w:val="0"/>
                          <w:marTop w:val="0"/>
                          <w:marBottom w:val="0"/>
                          <w:divBdr>
                            <w:top w:val="none" w:sz="0" w:space="0" w:color="auto"/>
                            <w:left w:val="none" w:sz="0" w:space="0" w:color="auto"/>
                            <w:bottom w:val="none" w:sz="0" w:space="0" w:color="auto"/>
                            <w:right w:val="none" w:sz="0" w:space="0" w:color="auto"/>
                          </w:divBdr>
                        </w:div>
                        <w:div w:id="1760179356">
                          <w:marLeft w:val="0"/>
                          <w:marRight w:val="0"/>
                          <w:marTop w:val="0"/>
                          <w:marBottom w:val="0"/>
                          <w:divBdr>
                            <w:top w:val="none" w:sz="0" w:space="0" w:color="auto"/>
                            <w:left w:val="none" w:sz="0" w:space="0" w:color="auto"/>
                            <w:bottom w:val="none" w:sz="0" w:space="0" w:color="auto"/>
                            <w:right w:val="none" w:sz="0" w:space="0" w:color="auto"/>
                          </w:divBdr>
                        </w:div>
                        <w:div w:id="1419017820">
                          <w:marLeft w:val="0"/>
                          <w:marRight w:val="0"/>
                          <w:marTop w:val="0"/>
                          <w:marBottom w:val="0"/>
                          <w:divBdr>
                            <w:top w:val="none" w:sz="0" w:space="0" w:color="auto"/>
                            <w:left w:val="none" w:sz="0" w:space="0" w:color="auto"/>
                            <w:bottom w:val="none" w:sz="0" w:space="0" w:color="auto"/>
                            <w:right w:val="none" w:sz="0" w:space="0" w:color="auto"/>
                          </w:divBdr>
                        </w:div>
                        <w:div w:id="1049453879">
                          <w:marLeft w:val="0"/>
                          <w:marRight w:val="0"/>
                          <w:marTop w:val="0"/>
                          <w:marBottom w:val="0"/>
                          <w:divBdr>
                            <w:top w:val="none" w:sz="0" w:space="0" w:color="auto"/>
                            <w:left w:val="none" w:sz="0" w:space="0" w:color="auto"/>
                            <w:bottom w:val="none" w:sz="0" w:space="0" w:color="auto"/>
                            <w:right w:val="none" w:sz="0" w:space="0" w:color="auto"/>
                          </w:divBdr>
                        </w:div>
                        <w:div w:id="200754190">
                          <w:marLeft w:val="0"/>
                          <w:marRight w:val="0"/>
                          <w:marTop w:val="0"/>
                          <w:marBottom w:val="0"/>
                          <w:divBdr>
                            <w:top w:val="none" w:sz="0" w:space="0" w:color="auto"/>
                            <w:left w:val="none" w:sz="0" w:space="0" w:color="auto"/>
                            <w:bottom w:val="none" w:sz="0" w:space="0" w:color="auto"/>
                            <w:right w:val="none" w:sz="0" w:space="0" w:color="auto"/>
                          </w:divBdr>
                        </w:div>
                        <w:div w:id="1520700782">
                          <w:marLeft w:val="0"/>
                          <w:marRight w:val="0"/>
                          <w:marTop w:val="0"/>
                          <w:marBottom w:val="0"/>
                          <w:divBdr>
                            <w:top w:val="none" w:sz="0" w:space="0" w:color="auto"/>
                            <w:left w:val="none" w:sz="0" w:space="0" w:color="auto"/>
                            <w:bottom w:val="none" w:sz="0" w:space="0" w:color="auto"/>
                            <w:right w:val="none" w:sz="0" w:space="0" w:color="auto"/>
                          </w:divBdr>
                        </w:div>
                        <w:div w:id="1204640171">
                          <w:marLeft w:val="0"/>
                          <w:marRight w:val="0"/>
                          <w:marTop w:val="0"/>
                          <w:marBottom w:val="0"/>
                          <w:divBdr>
                            <w:top w:val="none" w:sz="0" w:space="0" w:color="auto"/>
                            <w:left w:val="none" w:sz="0" w:space="0" w:color="auto"/>
                            <w:bottom w:val="none" w:sz="0" w:space="0" w:color="auto"/>
                            <w:right w:val="none" w:sz="0" w:space="0" w:color="auto"/>
                          </w:divBdr>
                        </w:div>
                        <w:div w:id="669678950">
                          <w:marLeft w:val="0"/>
                          <w:marRight w:val="0"/>
                          <w:marTop w:val="0"/>
                          <w:marBottom w:val="0"/>
                          <w:divBdr>
                            <w:top w:val="none" w:sz="0" w:space="0" w:color="auto"/>
                            <w:left w:val="none" w:sz="0" w:space="0" w:color="auto"/>
                            <w:bottom w:val="none" w:sz="0" w:space="0" w:color="auto"/>
                            <w:right w:val="none" w:sz="0" w:space="0" w:color="auto"/>
                          </w:divBdr>
                        </w:div>
                        <w:div w:id="1720473268">
                          <w:marLeft w:val="0"/>
                          <w:marRight w:val="0"/>
                          <w:marTop w:val="0"/>
                          <w:marBottom w:val="0"/>
                          <w:divBdr>
                            <w:top w:val="none" w:sz="0" w:space="0" w:color="auto"/>
                            <w:left w:val="none" w:sz="0" w:space="0" w:color="auto"/>
                            <w:bottom w:val="none" w:sz="0" w:space="0" w:color="auto"/>
                            <w:right w:val="none" w:sz="0" w:space="0" w:color="auto"/>
                          </w:divBdr>
                        </w:div>
                        <w:div w:id="1412508981">
                          <w:marLeft w:val="0"/>
                          <w:marRight w:val="0"/>
                          <w:marTop w:val="0"/>
                          <w:marBottom w:val="0"/>
                          <w:divBdr>
                            <w:top w:val="none" w:sz="0" w:space="0" w:color="auto"/>
                            <w:left w:val="none" w:sz="0" w:space="0" w:color="auto"/>
                            <w:bottom w:val="none" w:sz="0" w:space="0" w:color="auto"/>
                            <w:right w:val="none" w:sz="0" w:space="0" w:color="auto"/>
                          </w:divBdr>
                        </w:div>
                        <w:div w:id="1407723943">
                          <w:marLeft w:val="0"/>
                          <w:marRight w:val="0"/>
                          <w:marTop w:val="0"/>
                          <w:marBottom w:val="0"/>
                          <w:divBdr>
                            <w:top w:val="none" w:sz="0" w:space="0" w:color="auto"/>
                            <w:left w:val="none" w:sz="0" w:space="0" w:color="auto"/>
                            <w:bottom w:val="none" w:sz="0" w:space="0" w:color="auto"/>
                            <w:right w:val="none" w:sz="0" w:space="0" w:color="auto"/>
                          </w:divBdr>
                        </w:div>
                        <w:div w:id="101075423">
                          <w:marLeft w:val="0"/>
                          <w:marRight w:val="0"/>
                          <w:marTop w:val="0"/>
                          <w:marBottom w:val="0"/>
                          <w:divBdr>
                            <w:top w:val="none" w:sz="0" w:space="0" w:color="auto"/>
                            <w:left w:val="none" w:sz="0" w:space="0" w:color="auto"/>
                            <w:bottom w:val="none" w:sz="0" w:space="0" w:color="auto"/>
                            <w:right w:val="none" w:sz="0" w:space="0" w:color="auto"/>
                          </w:divBdr>
                        </w:div>
                        <w:div w:id="35282946">
                          <w:marLeft w:val="0"/>
                          <w:marRight w:val="0"/>
                          <w:marTop w:val="0"/>
                          <w:marBottom w:val="0"/>
                          <w:divBdr>
                            <w:top w:val="none" w:sz="0" w:space="0" w:color="auto"/>
                            <w:left w:val="none" w:sz="0" w:space="0" w:color="auto"/>
                            <w:bottom w:val="none" w:sz="0" w:space="0" w:color="auto"/>
                            <w:right w:val="none" w:sz="0" w:space="0" w:color="auto"/>
                          </w:divBdr>
                        </w:div>
                        <w:div w:id="1354384200">
                          <w:marLeft w:val="0"/>
                          <w:marRight w:val="0"/>
                          <w:marTop w:val="0"/>
                          <w:marBottom w:val="0"/>
                          <w:divBdr>
                            <w:top w:val="none" w:sz="0" w:space="0" w:color="auto"/>
                            <w:left w:val="none" w:sz="0" w:space="0" w:color="auto"/>
                            <w:bottom w:val="none" w:sz="0" w:space="0" w:color="auto"/>
                            <w:right w:val="none" w:sz="0" w:space="0" w:color="auto"/>
                          </w:divBdr>
                        </w:div>
                        <w:div w:id="1346790118">
                          <w:marLeft w:val="0"/>
                          <w:marRight w:val="0"/>
                          <w:marTop w:val="0"/>
                          <w:marBottom w:val="0"/>
                          <w:divBdr>
                            <w:top w:val="none" w:sz="0" w:space="0" w:color="auto"/>
                            <w:left w:val="none" w:sz="0" w:space="0" w:color="auto"/>
                            <w:bottom w:val="none" w:sz="0" w:space="0" w:color="auto"/>
                            <w:right w:val="none" w:sz="0" w:space="0" w:color="auto"/>
                          </w:divBdr>
                        </w:div>
                        <w:div w:id="778371837">
                          <w:marLeft w:val="0"/>
                          <w:marRight w:val="0"/>
                          <w:marTop w:val="0"/>
                          <w:marBottom w:val="0"/>
                          <w:divBdr>
                            <w:top w:val="none" w:sz="0" w:space="0" w:color="auto"/>
                            <w:left w:val="none" w:sz="0" w:space="0" w:color="auto"/>
                            <w:bottom w:val="none" w:sz="0" w:space="0" w:color="auto"/>
                            <w:right w:val="none" w:sz="0" w:space="0" w:color="auto"/>
                          </w:divBdr>
                        </w:div>
                        <w:div w:id="844630026">
                          <w:marLeft w:val="0"/>
                          <w:marRight w:val="0"/>
                          <w:marTop w:val="0"/>
                          <w:marBottom w:val="0"/>
                          <w:divBdr>
                            <w:top w:val="none" w:sz="0" w:space="0" w:color="auto"/>
                            <w:left w:val="none" w:sz="0" w:space="0" w:color="auto"/>
                            <w:bottom w:val="none" w:sz="0" w:space="0" w:color="auto"/>
                            <w:right w:val="none" w:sz="0" w:space="0" w:color="auto"/>
                          </w:divBdr>
                        </w:div>
                        <w:div w:id="2013533897">
                          <w:marLeft w:val="0"/>
                          <w:marRight w:val="0"/>
                          <w:marTop w:val="0"/>
                          <w:marBottom w:val="0"/>
                          <w:divBdr>
                            <w:top w:val="none" w:sz="0" w:space="0" w:color="auto"/>
                            <w:left w:val="none" w:sz="0" w:space="0" w:color="auto"/>
                            <w:bottom w:val="none" w:sz="0" w:space="0" w:color="auto"/>
                            <w:right w:val="none" w:sz="0" w:space="0" w:color="auto"/>
                          </w:divBdr>
                        </w:div>
                        <w:div w:id="515387334">
                          <w:marLeft w:val="0"/>
                          <w:marRight w:val="0"/>
                          <w:marTop w:val="0"/>
                          <w:marBottom w:val="0"/>
                          <w:divBdr>
                            <w:top w:val="none" w:sz="0" w:space="0" w:color="auto"/>
                            <w:left w:val="none" w:sz="0" w:space="0" w:color="auto"/>
                            <w:bottom w:val="none" w:sz="0" w:space="0" w:color="auto"/>
                            <w:right w:val="none" w:sz="0" w:space="0" w:color="auto"/>
                          </w:divBdr>
                        </w:div>
                        <w:div w:id="1553426637">
                          <w:marLeft w:val="0"/>
                          <w:marRight w:val="0"/>
                          <w:marTop w:val="0"/>
                          <w:marBottom w:val="0"/>
                          <w:divBdr>
                            <w:top w:val="none" w:sz="0" w:space="0" w:color="auto"/>
                            <w:left w:val="none" w:sz="0" w:space="0" w:color="auto"/>
                            <w:bottom w:val="none" w:sz="0" w:space="0" w:color="auto"/>
                            <w:right w:val="none" w:sz="0" w:space="0" w:color="auto"/>
                          </w:divBdr>
                        </w:div>
                        <w:div w:id="769550033">
                          <w:marLeft w:val="0"/>
                          <w:marRight w:val="0"/>
                          <w:marTop w:val="0"/>
                          <w:marBottom w:val="0"/>
                          <w:divBdr>
                            <w:top w:val="none" w:sz="0" w:space="0" w:color="auto"/>
                            <w:left w:val="none" w:sz="0" w:space="0" w:color="auto"/>
                            <w:bottom w:val="none" w:sz="0" w:space="0" w:color="auto"/>
                            <w:right w:val="none" w:sz="0" w:space="0" w:color="auto"/>
                          </w:divBdr>
                        </w:div>
                        <w:div w:id="407382383">
                          <w:marLeft w:val="0"/>
                          <w:marRight w:val="0"/>
                          <w:marTop w:val="0"/>
                          <w:marBottom w:val="0"/>
                          <w:divBdr>
                            <w:top w:val="none" w:sz="0" w:space="0" w:color="auto"/>
                            <w:left w:val="none" w:sz="0" w:space="0" w:color="auto"/>
                            <w:bottom w:val="none" w:sz="0" w:space="0" w:color="auto"/>
                            <w:right w:val="none" w:sz="0" w:space="0" w:color="auto"/>
                          </w:divBdr>
                        </w:div>
                        <w:div w:id="509754430">
                          <w:marLeft w:val="0"/>
                          <w:marRight w:val="0"/>
                          <w:marTop w:val="0"/>
                          <w:marBottom w:val="0"/>
                          <w:divBdr>
                            <w:top w:val="none" w:sz="0" w:space="0" w:color="auto"/>
                            <w:left w:val="none" w:sz="0" w:space="0" w:color="auto"/>
                            <w:bottom w:val="none" w:sz="0" w:space="0" w:color="auto"/>
                            <w:right w:val="none" w:sz="0" w:space="0" w:color="auto"/>
                          </w:divBdr>
                        </w:div>
                        <w:div w:id="869418206">
                          <w:marLeft w:val="0"/>
                          <w:marRight w:val="0"/>
                          <w:marTop w:val="0"/>
                          <w:marBottom w:val="0"/>
                          <w:divBdr>
                            <w:top w:val="none" w:sz="0" w:space="0" w:color="auto"/>
                            <w:left w:val="none" w:sz="0" w:space="0" w:color="auto"/>
                            <w:bottom w:val="none" w:sz="0" w:space="0" w:color="auto"/>
                            <w:right w:val="none" w:sz="0" w:space="0" w:color="auto"/>
                          </w:divBdr>
                        </w:div>
                        <w:div w:id="331883487">
                          <w:marLeft w:val="0"/>
                          <w:marRight w:val="0"/>
                          <w:marTop w:val="0"/>
                          <w:marBottom w:val="0"/>
                          <w:divBdr>
                            <w:top w:val="none" w:sz="0" w:space="0" w:color="auto"/>
                            <w:left w:val="none" w:sz="0" w:space="0" w:color="auto"/>
                            <w:bottom w:val="none" w:sz="0" w:space="0" w:color="auto"/>
                            <w:right w:val="none" w:sz="0" w:space="0" w:color="auto"/>
                          </w:divBdr>
                        </w:div>
                        <w:div w:id="1034041323">
                          <w:marLeft w:val="0"/>
                          <w:marRight w:val="0"/>
                          <w:marTop w:val="0"/>
                          <w:marBottom w:val="0"/>
                          <w:divBdr>
                            <w:top w:val="none" w:sz="0" w:space="0" w:color="auto"/>
                            <w:left w:val="none" w:sz="0" w:space="0" w:color="auto"/>
                            <w:bottom w:val="none" w:sz="0" w:space="0" w:color="auto"/>
                            <w:right w:val="none" w:sz="0" w:space="0" w:color="auto"/>
                          </w:divBdr>
                        </w:div>
                        <w:div w:id="1197355399">
                          <w:marLeft w:val="0"/>
                          <w:marRight w:val="0"/>
                          <w:marTop w:val="0"/>
                          <w:marBottom w:val="0"/>
                          <w:divBdr>
                            <w:top w:val="none" w:sz="0" w:space="0" w:color="auto"/>
                            <w:left w:val="none" w:sz="0" w:space="0" w:color="auto"/>
                            <w:bottom w:val="none" w:sz="0" w:space="0" w:color="auto"/>
                            <w:right w:val="none" w:sz="0" w:space="0" w:color="auto"/>
                          </w:divBdr>
                        </w:div>
                        <w:div w:id="271059031">
                          <w:marLeft w:val="0"/>
                          <w:marRight w:val="0"/>
                          <w:marTop w:val="0"/>
                          <w:marBottom w:val="0"/>
                          <w:divBdr>
                            <w:top w:val="none" w:sz="0" w:space="0" w:color="auto"/>
                            <w:left w:val="none" w:sz="0" w:space="0" w:color="auto"/>
                            <w:bottom w:val="none" w:sz="0" w:space="0" w:color="auto"/>
                            <w:right w:val="none" w:sz="0" w:space="0" w:color="auto"/>
                          </w:divBdr>
                        </w:div>
                        <w:div w:id="2105178566">
                          <w:marLeft w:val="0"/>
                          <w:marRight w:val="0"/>
                          <w:marTop w:val="0"/>
                          <w:marBottom w:val="0"/>
                          <w:divBdr>
                            <w:top w:val="none" w:sz="0" w:space="0" w:color="auto"/>
                            <w:left w:val="none" w:sz="0" w:space="0" w:color="auto"/>
                            <w:bottom w:val="none" w:sz="0" w:space="0" w:color="auto"/>
                            <w:right w:val="none" w:sz="0" w:space="0" w:color="auto"/>
                          </w:divBdr>
                        </w:div>
                        <w:div w:id="1191604867">
                          <w:marLeft w:val="0"/>
                          <w:marRight w:val="0"/>
                          <w:marTop w:val="0"/>
                          <w:marBottom w:val="0"/>
                          <w:divBdr>
                            <w:top w:val="none" w:sz="0" w:space="0" w:color="auto"/>
                            <w:left w:val="none" w:sz="0" w:space="0" w:color="auto"/>
                            <w:bottom w:val="none" w:sz="0" w:space="0" w:color="auto"/>
                            <w:right w:val="none" w:sz="0" w:space="0" w:color="auto"/>
                          </w:divBdr>
                        </w:div>
                        <w:div w:id="971397758">
                          <w:marLeft w:val="0"/>
                          <w:marRight w:val="0"/>
                          <w:marTop w:val="0"/>
                          <w:marBottom w:val="0"/>
                          <w:divBdr>
                            <w:top w:val="none" w:sz="0" w:space="0" w:color="auto"/>
                            <w:left w:val="none" w:sz="0" w:space="0" w:color="auto"/>
                            <w:bottom w:val="none" w:sz="0" w:space="0" w:color="auto"/>
                            <w:right w:val="none" w:sz="0" w:space="0" w:color="auto"/>
                          </w:divBdr>
                        </w:div>
                        <w:div w:id="612980966">
                          <w:marLeft w:val="0"/>
                          <w:marRight w:val="0"/>
                          <w:marTop w:val="0"/>
                          <w:marBottom w:val="0"/>
                          <w:divBdr>
                            <w:top w:val="none" w:sz="0" w:space="0" w:color="auto"/>
                            <w:left w:val="none" w:sz="0" w:space="0" w:color="auto"/>
                            <w:bottom w:val="none" w:sz="0" w:space="0" w:color="auto"/>
                            <w:right w:val="none" w:sz="0" w:space="0" w:color="auto"/>
                          </w:divBdr>
                        </w:div>
                        <w:div w:id="162671666">
                          <w:marLeft w:val="0"/>
                          <w:marRight w:val="0"/>
                          <w:marTop w:val="0"/>
                          <w:marBottom w:val="0"/>
                          <w:divBdr>
                            <w:top w:val="none" w:sz="0" w:space="0" w:color="auto"/>
                            <w:left w:val="none" w:sz="0" w:space="0" w:color="auto"/>
                            <w:bottom w:val="none" w:sz="0" w:space="0" w:color="auto"/>
                            <w:right w:val="none" w:sz="0" w:space="0" w:color="auto"/>
                          </w:divBdr>
                        </w:div>
                        <w:div w:id="181169480">
                          <w:marLeft w:val="0"/>
                          <w:marRight w:val="0"/>
                          <w:marTop w:val="0"/>
                          <w:marBottom w:val="0"/>
                          <w:divBdr>
                            <w:top w:val="none" w:sz="0" w:space="0" w:color="auto"/>
                            <w:left w:val="none" w:sz="0" w:space="0" w:color="auto"/>
                            <w:bottom w:val="none" w:sz="0" w:space="0" w:color="auto"/>
                            <w:right w:val="none" w:sz="0" w:space="0" w:color="auto"/>
                          </w:divBdr>
                        </w:div>
                        <w:div w:id="363869484">
                          <w:marLeft w:val="0"/>
                          <w:marRight w:val="0"/>
                          <w:marTop w:val="0"/>
                          <w:marBottom w:val="0"/>
                          <w:divBdr>
                            <w:top w:val="none" w:sz="0" w:space="0" w:color="auto"/>
                            <w:left w:val="none" w:sz="0" w:space="0" w:color="auto"/>
                            <w:bottom w:val="none" w:sz="0" w:space="0" w:color="auto"/>
                            <w:right w:val="none" w:sz="0" w:space="0" w:color="auto"/>
                          </w:divBdr>
                        </w:div>
                        <w:div w:id="54742301">
                          <w:marLeft w:val="0"/>
                          <w:marRight w:val="0"/>
                          <w:marTop w:val="0"/>
                          <w:marBottom w:val="0"/>
                          <w:divBdr>
                            <w:top w:val="none" w:sz="0" w:space="0" w:color="auto"/>
                            <w:left w:val="none" w:sz="0" w:space="0" w:color="auto"/>
                            <w:bottom w:val="none" w:sz="0" w:space="0" w:color="auto"/>
                            <w:right w:val="none" w:sz="0" w:space="0" w:color="auto"/>
                          </w:divBdr>
                        </w:div>
                        <w:div w:id="31925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4629109">
      <w:bodyDiv w:val="1"/>
      <w:marLeft w:val="0"/>
      <w:marRight w:val="0"/>
      <w:marTop w:val="0"/>
      <w:marBottom w:val="0"/>
      <w:divBdr>
        <w:top w:val="none" w:sz="0" w:space="0" w:color="auto"/>
        <w:left w:val="none" w:sz="0" w:space="0" w:color="auto"/>
        <w:bottom w:val="none" w:sz="0" w:space="0" w:color="auto"/>
        <w:right w:val="none" w:sz="0" w:space="0" w:color="auto"/>
      </w:divBdr>
      <w:divsChild>
        <w:div w:id="1307584261">
          <w:marLeft w:val="0"/>
          <w:marRight w:val="0"/>
          <w:marTop w:val="0"/>
          <w:marBottom w:val="0"/>
          <w:divBdr>
            <w:top w:val="none" w:sz="0" w:space="0" w:color="auto"/>
            <w:left w:val="none" w:sz="0" w:space="0" w:color="auto"/>
            <w:bottom w:val="none" w:sz="0" w:space="0" w:color="auto"/>
            <w:right w:val="none" w:sz="0" w:space="0" w:color="auto"/>
          </w:divBdr>
        </w:div>
        <w:div w:id="1951744967">
          <w:marLeft w:val="0"/>
          <w:marRight w:val="0"/>
          <w:marTop w:val="0"/>
          <w:marBottom w:val="0"/>
          <w:divBdr>
            <w:top w:val="none" w:sz="0" w:space="0" w:color="auto"/>
            <w:left w:val="none" w:sz="0" w:space="0" w:color="auto"/>
            <w:bottom w:val="none" w:sz="0" w:space="0" w:color="auto"/>
            <w:right w:val="none" w:sz="0" w:space="0" w:color="auto"/>
          </w:divBdr>
        </w:div>
      </w:divsChild>
    </w:div>
    <w:div w:id="991906681">
      <w:bodyDiv w:val="1"/>
      <w:marLeft w:val="0"/>
      <w:marRight w:val="0"/>
      <w:marTop w:val="0"/>
      <w:marBottom w:val="0"/>
      <w:divBdr>
        <w:top w:val="none" w:sz="0" w:space="0" w:color="auto"/>
        <w:left w:val="none" w:sz="0" w:space="0" w:color="auto"/>
        <w:bottom w:val="none" w:sz="0" w:space="0" w:color="auto"/>
        <w:right w:val="none" w:sz="0" w:space="0" w:color="auto"/>
      </w:divBdr>
      <w:divsChild>
        <w:div w:id="541671896">
          <w:marLeft w:val="0"/>
          <w:marRight w:val="0"/>
          <w:marTop w:val="0"/>
          <w:marBottom w:val="0"/>
          <w:divBdr>
            <w:top w:val="none" w:sz="0" w:space="0" w:color="auto"/>
            <w:left w:val="none" w:sz="0" w:space="0" w:color="auto"/>
            <w:bottom w:val="none" w:sz="0" w:space="0" w:color="auto"/>
            <w:right w:val="none" w:sz="0" w:space="0" w:color="auto"/>
          </w:divBdr>
          <w:divsChild>
            <w:div w:id="1552688481">
              <w:marLeft w:val="0"/>
              <w:marRight w:val="0"/>
              <w:marTop w:val="0"/>
              <w:marBottom w:val="0"/>
              <w:divBdr>
                <w:top w:val="none" w:sz="0" w:space="0" w:color="auto"/>
                <w:left w:val="none" w:sz="0" w:space="0" w:color="auto"/>
                <w:bottom w:val="none" w:sz="0" w:space="0" w:color="auto"/>
                <w:right w:val="none" w:sz="0" w:space="0" w:color="auto"/>
              </w:divBdr>
              <w:divsChild>
                <w:div w:id="651980610">
                  <w:marLeft w:val="0"/>
                  <w:marRight w:val="0"/>
                  <w:marTop w:val="0"/>
                  <w:marBottom w:val="0"/>
                  <w:divBdr>
                    <w:top w:val="none" w:sz="0" w:space="0" w:color="auto"/>
                    <w:left w:val="none" w:sz="0" w:space="0" w:color="auto"/>
                    <w:bottom w:val="none" w:sz="0" w:space="0" w:color="auto"/>
                    <w:right w:val="none" w:sz="0" w:space="0" w:color="auto"/>
                  </w:divBdr>
                  <w:divsChild>
                    <w:div w:id="819737027">
                      <w:marLeft w:val="0"/>
                      <w:marRight w:val="0"/>
                      <w:marTop w:val="0"/>
                      <w:marBottom w:val="0"/>
                      <w:divBdr>
                        <w:top w:val="none" w:sz="0" w:space="0" w:color="auto"/>
                        <w:left w:val="none" w:sz="0" w:space="0" w:color="auto"/>
                        <w:bottom w:val="none" w:sz="0" w:space="0" w:color="auto"/>
                        <w:right w:val="none" w:sz="0" w:space="0" w:color="auto"/>
                      </w:divBdr>
                      <w:divsChild>
                        <w:div w:id="1783382046">
                          <w:marLeft w:val="0"/>
                          <w:marRight w:val="0"/>
                          <w:marTop w:val="72"/>
                          <w:marBottom w:val="0"/>
                          <w:divBdr>
                            <w:top w:val="none" w:sz="0" w:space="0" w:color="auto"/>
                            <w:left w:val="none" w:sz="0" w:space="0" w:color="auto"/>
                            <w:bottom w:val="none" w:sz="0" w:space="0" w:color="auto"/>
                            <w:right w:val="none" w:sz="0" w:space="0" w:color="auto"/>
                          </w:divBdr>
                        </w:div>
                        <w:div w:id="1677489887">
                          <w:marLeft w:val="0"/>
                          <w:marRight w:val="0"/>
                          <w:marTop w:val="0"/>
                          <w:marBottom w:val="0"/>
                          <w:divBdr>
                            <w:top w:val="none" w:sz="0" w:space="0" w:color="auto"/>
                            <w:left w:val="none" w:sz="0" w:space="0" w:color="auto"/>
                            <w:bottom w:val="none" w:sz="0" w:space="0" w:color="auto"/>
                            <w:right w:val="none" w:sz="0" w:space="0" w:color="auto"/>
                          </w:divBdr>
                        </w:div>
                        <w:div w:id="1279141758">
                          <w:marLeft w:val="0"/>
                          <w:marRight w:val="0"/>
                          <w:marTop w:val="0"/>
                          <w:marBottom w:val="0"/>
                          <w:divBdr>
                            <w:top w:val="none" w:sz="0" w:space="0" w:color="auto"/>
                            <w:left w:val="none" w:sz="0" w:space="0" w:color="auto"/>
                            <w:bottom w:val="none" w:sz="0" w:space="0" w:color="auto"/>
                            <w:right w:val="none" w:sz="0" w:space="0" w:color="auto"/>
                          </w:divBdr>
                          <w:divsChild>
                            <w:div w:id="375131039">
                              <w:marLeft w:val="420"/>
                              <w:marRight w:val="0"/>
                              <w:marTop w:val="0"/>
                              <w:marBottom w:val="0"/>
                              <w:divBdr>
                                <w:top w:val="none" w:sz="0" w:space="0" w:color="auto"/>
                                <w:left w:val="none" w:sz="0" w:space="0" w:color="auto"/>
                                <w:bottom w:val="none" w:sz="0" w:space="0" w:color="auto"/>
                                <w:right w:val="none" w:sz="0" w:space="0" w:color="auto"/>
                              </w:divBdr>
                              <w:divsChild>
                                <w:div w:id="852305499">
                                  <w:marLeft w:val="0"/>
                                  <w:marRight w:val="0"/>
                                  <w:marTop w:val="0"/>
                                  <w:marBottom w:val="0"/>
                                  <w:divBdr>
                                    <w:top w:val="none" w:sz="0" w:space="0" w:color="auto"/>
                                    <w:left w:val="none" w:sz="0" w:space="0" w:color="auto"/>
                                    <w:bottom w:val="none" w:sz="0" w:space="0" w:color="auto"/>
                                    <w:right w:val="none" w:sz="0" w:space="0" w:color="auto"/>
                                  </w:divBdr>
                                  <w:divsChild>
                                    <w:div w:id="1780953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5238849">
          <w:marLeft w:val="0"/>
          <w:marRight w:val="0"/>
          <w:marTop w:val="0"/>
          <w:marBottom w:val="0"/>
          <w:divBdr>
            <w:top w:val="none" w:sz="0" w:space="0" w:color="auto"/>
            <w:left w:val="none" w:sz="0" w:space="0" w:color="auto"/>
            <w:bottom w:val="none" w:sz="0" w:space="0" w:color="auto"/>
            <w:right w:val="none" w:sz="0" w:space="0" w:color="auto"/>
          </w:divBdr>
          <w:divsChild>
            <w:div w:id="254637008">
              <w:marLeft w:val="0"/>
              <w:marRight w:val="0"/>
              <w:marTop w:val="0"/>
              <w:marBottom w:val="0"/>
              <w:divBdr>
                <w:top w:val="none" w:sz="0" w:space="0" w:color="auto"/>
                <w:left w:val="none" w:sz="0" w:space="0" w:color="auto"/>
                <w:bottom w:val="none" w:sz="0" w:space="0" w:color="auto"/>
                <w:right w:val="none" w:sz="0" w:space="0" w:color="auto"/>
              </w:divBdr>
              <w:divsChild>
                <w:div w:id="743573528">
                  <w:marLeft w:val="0"/>
                  <w:marRight w:val="0"/>
                  <w:marTop w:val="0"/>
                  <w:marBottom w:val="0"/>
                  <w:divBdr>
                    <w:top w:val="none" w:sz="0" w:space="0" w:color="auto"/>
                    <w:left w:val="none" w:sz="0" w:space="0" w:color="auto"/>
                    <w:bottom w:val="none" w:sz="0" w:space="0" w:color="auto"/>
                    <w:right w:val="none" w:sz="0" w:space="0" w:color="auto"/>
                  </w:divBdr>
                  <w:divsChild>
                    <w:div w:id="620771033">
                      <w:marLeft w:val="0"/>
                      <w:marRight w:val="0"/>
                      <w:marTop w:val="0"/>
                      <w:marBottom w:val="0"/>
                      <w:divBdr>
                        <w:top w:val="none" w:sz="0" w:space="0" w:color="auto"/>
                        <w:left w:val="none" w:sz="0" w:space="0" w:color="auto"/>
                        <w:bottom w:val="none" w:sz="0" w:space="0" w:color="auto"/>
                        <w:right w:val="none" w:sz="0" w:space="0" w:color="auto"/>
                      </w:divBdr>
                      <w:divsChild>
                        <w:div w:id="229123184">
                          <w:marLeft w:val="0"/>
                          <w:marRight w:val="0"/>
                          <w:marTop w:val="0"/>
                          <w:marBottom w:val="0"/>
                          <w:divBdr>
                            <w:top w:val="none" w:sz="0" w:space="0" w:color="auto"/>
                            <w:left w:val="none" w:sz="0" w:space="0" w:color="auto"/>
                            <w:bottom w:val="none" w:sz="0" w:space="0" w:color="auto"/>
                            <w:right w:val="none" w:sz="0" w:space="0" w:color="auto"/>
                          </w:divBdr>
                          <w:divsChild>
                            <w:div w:id="106974644">
                              <w:marLeft w:val="0"/>
                              <w:marRight w:val="0"/>
                              <w:marTop w:val="0"/>
                              <w:marBottom w:val="0"/>
                              <w:divBdr>
                                <w:top w:val="none" w:sz="0" w:space="0" w:color="auto"/>
                                <w:left w:val="none" w:sz="0" w:space="0" w:color="auto"/>
                                <w:bottom w:val="none" w:sz="0" w:space="0" w:color="auto"/>
                                <w:right w:val="none" w:sz="0" w:space="0" w:color="auto"/>
                              </w:divBdr>
                              <w:divsChild>
                                <w:div w:id="1368489870">
                                  <w:marLeft w:val="0"/>
                                  <w:marRight w:val="0"/>
                                  <w:marTop w:val="0"/>
                                  <w:marBottom w:val="0"/>
                                  <w:divBdr>
                                    <w:top w:val="none" w:sz="0" w:space="0" w:color="auto"/>
                                    <w:left w:val="none" w:sz="0" w:space="0" w:color="auto"/>
                                    <w:bottom w:val="none" w:sz="0" w:space="0" w:color="auto"/>
                                    <w:right w:val="none" w:sz="0" w:space="0" w:color="auto"/>
                                  </w:divBdr>
                                  <w:divsChild>
                                    <w:div w:id="1588227285">
                                      <w:marLeft w:val="0"/>
                                      <w:marRight w:val="0"/>
                                      <w:marTop w:val="0"/>
                                      <w:marBottom w:val="0"/>
                                      <w:divBdr>
                                        <w:top w:val="none" w:sz="0" w:space="0" w:color="auto"/>
                                        <w:left w:val="none" w:sz="0" w:space="0" w:color="auto"/>
                                        <w:bottom w:val="none" w:sz="0" w:space="0" w:color="auto"/>
                                        <w:right w:val="none" w:sz="0" w:space="0" w:color="auto"/>
                                      </w:divBdr>
                                      <w:divsChild>
                                        <w:div w:id="415715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93596058">
                          <w:marLeft w:val="0"/>
                          <w:marRight w:val="0"/>
                          <w:marTop w:val="0"/>
                          <w:marBottom w:val="0"/>
                          <w:divBdr>
                            <w:top w:val="none" w:sz="0" w:space="0" w:color="auto"/>
                            <w:left w:val="none" w:sz="0" w:space="0" w:color="auto"/>
                            <w:bottom w:val="none" w:sz="0" w:space="0" w:color="auto"/>
                            <w:right w:val="none" w:sz="0" w:space="0" w:color="auto"/>
                          </w:divBdr>
                          <w:divsChild>
                            <w:div w:id="1827041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02704094">
      <w:bodyDiv w:val="1"/>
      <w:marLeft w:val="0"/>
      <w:marRight w:val="0"/>
      <w:marTop w:val="0"/>
      <w:marBottom w:val="0"/>
      <w:divBdr>
        <w:top w:val="none" w:sz="0" w:space="0" w:color="auto"/>
        <w:left w:val="none" w:sz="0" w:space="0" w:color="auto"/>
        <w:bottom w:val="none" w:sz="0" w:space="0" w:color="auto"/>
        <w:right w:val="none" w:sz="0" w:space="0" w:color="auto"/>
      </w:divBdr>
      <w:divsChild>
        <w:div w:id="867643930">
          <w:marLeft w:val="0"/>
          <w:marRight w:val="0"/>
          <w:marTop w:val="0"/>
          <w:marBottom w:val="0"/>
          <w:divBdr>
            <w:top w:val="none" w:sz="0" w:space="0" w:color="auto"/>
            <w:left w:val="none" w:sz="0" w:space="0" w:color="auto"/>
            <w:bottom w:val="single" w:sz="6" w:space="12" w:color="DDDDDD"/>
            <w:right w:val="none" w:sz="0" w:space="0" w:color="auto"/>
          </w:divBdr>
          <w:divsChild>
            <w:div w:id="243271328">
              <w:marLeft w:val="0"/>
              <w:marRight w:val="0"/>
              <w:marTop w:val="0"/>
              <w:marBottom w:val="0"/>
              <w:divBdr>
                <w:top w:val="none" w:sz="0" w:space="0" w:color="auto"/>
                <w:left w:val="none" w:sz="0" w:space="0" w:color="auto"/>
                <w:bottom w:val="none" w:sz="0" w:space="0" w:color="auto"/>
                <w:right w:val="none" w:sz="0" w:space="0" w:color="auto"/>
              </w:divBdr>
              <w:divsChild>
                <w:div w:id="1276248962">
                  <w:marLeft w:val="0"/>
                  <w:marRight w:val="0"/>
                  <w:marTop w:val="0"/>
                  <w:marBottom w:val="0"/>
                  <w:divBdr>
                    <w:top w:val="none" w:sz="0" w:space="0" w:color="auto"/>
                    <w:left w:val="none" w:sz="0" w:space="0" w:color="auto"/>
                    <w:bottom w:val="none" w:sz="0" w:space="0" w:color="auto"/>
                    <w:right w:val="none" w:sz="0" w:space="0" w:color="auto"/>
                  </w:divBdr>
                  <w:divsChild>
                    <w:div w:id="1697148581">
                      <w:marLeft w:val="0"/>
                      <w:marRight w:val="0"/>
                      <w:marTop w:val="0"/>
                      <w:marBottom w:val="0"/>
                      <w:divBdr>
                        <w:top w:val="none" w:sz="0" w:space="0" w:color="auto"/>
                        <w:left w:val="none" w:sz="0" w:space="0" w:color="auto"/>
                        <w:bottom w:val="none" w:sz="0" w:space="0" w:color="auto"/>
                        <w:right w:val="none" w:sz="0" w:space="0" w:color="auto"/>
                      </w:divBdr>
                      <w:divsChild>
                        <w:div w:id="1965193129">
                          <w:marLeft w:val="0"/>
                          <w:marRight w:val="0"/>
                          <w:marTop w:val="0"/>
                          <w:marBottom w:val="0"/>
                          <w:divBdr>
                            <w:top w:val="none" w:sz="0" w:space="0" w:color="auto"/>
                            <w:left w:val="none" w:sz="0" w:space="0" w:color="auto"/>
                            <w:bottom w:val="none" w:sz="0" w:space="0" w:color="auto"/>
                            <w:right w:val="none" w:sz="0" w:space="0" w:color="auto"/>
                          </w:divBdr>
                        </w:div>
                        <w:div w:id="1377966575">
                          <w:marLeft w:val="0"/>
                          <w:marRight w:val="0"/>
                          <w:marTop w:val="0"/>
                          <w:marBottom w:val="0"/>
                          <w:divBdr>
                            <w:top w:val="none" w:sz="0" w:space="0" w:color="auto"/>
                            <w:left w:val="none" w:sz="0" w:space="0" w:color="auto"/>
                            <w:bottom w:val="none" w:sz="0" w:space="0" w:color="auto"/>
                            <w:right w:val="none" w:sz="0" w:space="0" w:color="auto"/>
                          </w:divBdr>
                          <w:divsChild>
                            <w:div w:id="678123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3518241">
          <w:marLeft w:val="0"/>
          <w:marRight w:val="0"/>
          <w:marTop w:val="0"/>
          <w:marBottom w:val="0"/>
          <w:divBdr>
            <w:top w:val="none" w:sz="0" w:space="0" w:color="auto"/>
            <w:left w:val="none" w:sz="0" w:space="0" w:color="auto"/>
            <w:bottom w:val="single" w:sz="6" w:space="12" w:color="DDDDDD"/>
            <w:right w:val="none" w:sz="0" w:space="0" w:color="auto"/>
          </w:divBdr>
          <w:divsChild>
            <w:div w:id="1044019265">
              <w:marLeft w:val="0"/>
              <w:marRight w:val="0"/>
              <w:marTop w:val="0"/>
              <w:marBottom w:val="0"/>
              <w:divBdr>
                <w:top w:val="none" w:sz="0" w:space="0" w:color="auto"/>
                <w:left w:val="none" w:sz="0" w:space="0" w:color="auto"/>
                <w:bottom w:val="none" w:sz="0" w:space="0" w:color="auto"/>
                <w:right w:val="none" w:sz="0" w:space="0" w:color="auto"/>
              </w:divBdr>
              <w:divsChild>
                <w:div w:id="1330868160">
                  <w:marLeft w:val="0"/>
                  <w:marRight w:val="0"/>
                  <w:marTop w:val="0"/>
                  <w:marBottom w:val="0"/>
                  <w:divBdr>
                    <w:top w:val="none" w:sz="0" w:space="0" w:color="auto"/>
                    <w:left w:val="none" w:sz="0" w:space="0" w:color="auto"/>
                    <w:bottom w:val="none" w:sz="0" w:space="0" w:color="auto"/>
                    <w:right w:val="none" w:sz="0" w:space="0" w:color="auto"/>
                  </w:divBdr>
                  <w:divsChild>
                    <w:div w:id="462309970">
                      <w:marLeft w:val="0"/>
                      <w:marRight w:val="0"/>
                      <w:marTop w:val="0"/>
                      <w:marBottom w:val="0"/>
                      <w:divBdr>
                        <w:top w:val="none" w:sz="0" w:space="0" w:color="auto"/>
                        <w:left w:val="none" w:sz="0" w:space="0" w:color="auto"/>
                        <w:bottom w:val="none" w:sz="0" w:space="0" w:color="auto"/>
                        <w:right w:val="none" w:sz="0" w:space="0" w:color="auto"/>
                      </w:divBdr>
                      <w:divsChild>
                        <w:div w:id="633826852">
                          <w:marLeft w:val="0"/>
                          <w:marRight w:val="0"/>
                          <w:marTop w:val="0"/>
                          <w:marBottom w:val="0"/>
                          <w:divBdr>
                            <w:top w:val="none" w:sz="0" w:space="0" w:color="auto"/>
                            <w:left w:val="none" w:sz="0" w:space="0" w:color="auto"/>
                            <w:bottom w:val="none" w:sz="0" w:space="0" w:color="auto"/>
                            <w:right w:val="none" w:sz="0" w:space="0" w:color="auto"/>
                          </w:divBdr>
                        </w:div>
                        <w:div w:id="2135908186">
                          <w:marLeft w:val="0"/>
                          <w:marRight w:val="0"/>
                          <w:marTop w:val="0"/>
                          <w:marBottom w:val="0"/>
                          <w:divBdr>
                            <w:top w:val="none" w:sz="0" w:space="0" w:color="auto"/>
                            <w:left w:val="none" w:sz="0" w:space="0" w:color="auto"/>
                            <w:bottom w:val="none" w:sz="0" w:space="0" w:color="auto"/>
                            <w:right w:val="none" w:sz="0" w:space="0" w:color="auto"/>
                          </w:divBdr>
                          <w:divsChild>
                            <w:div w:id="2000772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96644683">
          <w:marLeft w:val="0"/>
          <w:marRight w:val="0"/>
          <w:marTop w:val="0"/>
          <w:marBottom w:val="0"/>
          <w:divBdr>
            <w:top w:val="none" w:sz="0" w:space="0" w:color="auto"/>
            <w:left w:val="none" w:sz="0" w:space="0" w:color="auto"/>
            <w:bottom w:val="single" w:sz="6" w:space="12" w:color="DDDDDD"/>
            <w:right w:val="none" w:sz="0" w:space="0" w:color="auto"/>
          </w:divBdr>
          <w:divsChild>
            <w:div w:id="1412434113">
              <w:marLeft w:val="0"/>
              <w:marRight w:val="0"/>
              <w:marTop w:val="0"/>
              <w:marBottom w:val="0"/>
              <w:divBdr>
                <w:top w:val="none" w:sz="0" w:space="0" w:color="auto"/>
                <w:left w:val="none" w:sz="0" w:space="0" w:color="auto"/>
                <w:bottom w:val="none" w:sz="0" w:space="0" w:color="auto"/>
                <w:right w:val="none" w:sz="0" w:space="0" w:color="auto"/>
              </w:divBdr>
              <w:divsChild>
                <w:div w:id="1467745362">
                  <w:marLeft w:val="0"/>
                  <w:marRight w:val="0"/>
                  <w:marTop w:val="0"/>
                  <w:marBottom w:val="0"/>
                  <w:divBdr>
                    <w:top w:val="none" w:sz="0" w:space="0" w:color="auto"/>
                    <w:left w:val="none" w:sz="0" w:space="0" w:color="auto"/>
                    <w:bottom w:val="none" w:sz="0" w:space="0" w:color="auto"/>
                    <w:right w:val="none" w:sz="0" w:space="0" w:color="auto"/>
                  </w:divBdr>
                  <w:divsChild>
                    <w:div w:id="117458784">
                      <w:marLeft w:val="0"/>
                      <w:marRight w:val="0"/>
                      <w:marTop w:val="0"/>
                      <w:marBottom w:val="0"/>
                      <w:divBdr>
                        <w:top w:val="none" w:sz="0" w:space="0" w:color="auto"/>
                        <w:left w:val="none" w:sz="0" w:space="0" w:color="auto"/>
                        <w:bottom w:val="none" w:sz="0" w:space="0" w:color="auto"/>
                        <w:right w:val="none" w:sz="0" w:space="0" w:color="auto"/>
                      </w:divBdr>
                      <w:divsChild>
                        <w:div w:id="695157832">
                          <w:marLeft w:val="0"/>
                          <w:marRight w:val="0"/>
                          <w:marTop w:val="0"/>
                          <w:marBottom w:val="0"/>
                          <w:divBdr>
                            <w:top w:val="none" w:sz="0" w:space="0" w:color="auto"/>
                            <w:left w:val="none" w:sz="0" w:space="0" w:color="auto"/>
                            <w:bottom w:val="none" w:sz="0" w:space="0" w:color="auto"/>
                            <w:right w:val="none" w:sz="0" w:space="0" w:color="auto"/>
                          </w:divBdr>
                        </w:div>
                        <w:div w:id="1140879088">
                          <w:marLeft w:val="0"/>
                          <w:marRight w:val="0"/>
                          <w:marTop w:val="0"/>
                          <w:marBottom w:val="0"/>
                          <w:divBdr>
                            <w:top w:val="none" w:sz="0" w:space="0" w:color="auto"/>
                            <w:left w:val="none" w:sz="0" w:space="0" w:color="auto"/>
                            <w:bottom w:val="none" w:sz="0" w:space="0" w:color="auto"/>
                            <w:right w:val="none" w:sz="0" w:space="0" w:color="auto"/>
                          </w:divBdr>
                          <w:divsChild>
                            <w:div w:id="46500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6015459">
          <w:marLeft w:val="0"/>
          <w:marRight w:val="0"/>
          <w:marTop w:val="0"/>
          <w:marBottom w:val="0"/>
          <w:divBdr>
            <w:top w:val="none" w:sz="0" w:space="0" w:color="auto"/>
            <w:left w:val="none" w:sz="0" w:space="0" w:color="auto"/>
            <w:bottom w:val="none" w:sz="0" w:space="0" w:color="auto"/>
            <w:right w:val="none" w:sz="0" w:space="0" w:color="auto"/>
          </w:divBdr>
          <w:divsChild>
            <w:div w:id="1438601046">
              <w:marLeft w:val="0"/>
              <w:marRight w:val="0"/>
              <w:marTop w:val="0"/>
              <w:marBottom w:val="0"/>
              <w:divBdr>
                <w:top w:val="none" w:sz="0" w:space="0" w:color="auto"/>
                <w:left w:val="none" w:sz="0" w:space="0" w:color="auto"/>
                <w:bottom w:val="none" w:sz="0" w:space="0" w:color="auto"/>
                <w:right w:val="none" w:sz="0" w:space="0" w:color="auto"/>
              </w:divBdr>
              <w:divsChild>
                <w:div w:id="1403024257">
                  <w:marLeft w:val="0"/>
                  <w:marRight w:val="0"/>
                  <w:marTop w:val="0"/>
                  <w:marBottom w:val="0"/>
                  <w:divBdr>
                    <w:top w:val="none" w:sz="0" w:space="0" w:color="auto"/>
                    <w:left w:val="none" w:sz="0" w:space="0" w:color="auto"/>
                    <w:bottom w:val="none" w:sz="0" w:space="0" w:color="auto"/>
                    <w:right w:val="none" w:sz="0" w:space="0" w:color="auto"/>
                  </w:divBdr>
                  <w:divsChild>
                    <w:div w:id="2097893263">
                      <w:marLeft w:val="0"/>
                      <w:marRight w:val="0"/>
                      <w:marTop w:val="0"/>
                      <w:marBottom w:val="0"/>
                      <w:divBdr>
                        <w:top w:val="none" w:sz="0" w:space="0" w:color="auto"/>
                        <w:left w:val="none" w:sz="0" w:space="0" w:color="auto"/>
                        <w:bottom w:val="none" w:sz="0" w:space="0" w:color="auto"/>
                        <w:right w:val="none" w:sz="0" w:space="0" w:color="auto"/>
                      </w:divBdr>
                      <w:divsChild>
                        <w:div w:id="1704941517">
                          <w:marLeft w:val="0"/>
                          <w:marRight w:val="0"/>
                          <w:marTop w:val="0"/>
                          <w:marBottom w:val="0"/>
                          <w:divBdr>
                            <w:top w:val="none" w:sz="0" w:space="0" w:color="auto"/>
                            <w:left w:val="none" w:sz="0" w:space="0" w:color="auto"/>
                            <w:bottom w:val="none" w:sz="0" w:space="0" w:color="auto"/>
                            <w:right w:val="none" w:sz="0" w:space="0" w:color="auto"/>
                          </w:divBdr>
                        </w:div>
                        <w:div w:id="1379010213">
                          <w:marLeft w:val="0"/>
                          <w:marRight w:val="0"/>
                          <w:marTop w:val="0"/>
                          <w:marBottom w:val="0"/>
                          <w:divBdr>
                            <w:top w:val="none" w:sz="0" w:space="0" w:color="auto"/>
                            <w:left w:val="none" w:sz="0" w:space="0" w:color="auto"/>
                            <w:bottom w:val="none" w:sz="0" w:space="0" w:color="auto"/>
                            <w:right w:val="none" w:sz="0" w:space="0" w:color="auto"/>
                          </w:divBdr>
                          <w:divsChild>
                            <w:div w:id="1844776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13147850">
      <w:bodyDiv w:val="1"/>
      <w:marLeft w:val="0"/>
      <w:marRight w:val="0"/>
      <w:marTop w:val="0"/>
      <w:marBottom w:val="0"/>
      <w:divBdr>
        <w:top w:val="none" w:sz="0" w:space="0" w:color="auto"/>
        <w:left w:val="none" w:sz="0" w:space="0" w:color="auto"/>
        <w:bottom w:val="none" w:sz="0" w:space="0" w:color="auto"/>
        <w:right w:val="none" w:sz="0" w:space="0" w:color="auto"/>
      </w:divBdr>
      <w:divsChild>
        <w:div w:id="2097440910">
          <w:marLeft w:val="0"/>
          <w:marRight w:val="0"/>
          <w:marTop w:val="0"/>
          <w:marBottom w:val="450"/>
          <w:divBdr>
            <w:top w:val="none" w:sz="0" w:space="0" w:color="auto"/>
            <w:left w:val="none" w:sz="0" w:space="0" w:color="auto"/>
            <w:bottom w:val="none" w:sz="0" w:space="0" w:color="auto"/>
            <w:right w:val="none" w:sz="0" w:space="0" w:color="auto"/>
          </w:divBdr>
          <w:divsChild>
            <w:div w:id="317658753">
              <w:marLeft w:val="0"/>
              <w:marRight w:val="0"/>
              <w:marTop w:val="225"/>
              <w:marBottom w:val="0"/>
              <w:divBdr>
                <w:top w:val="none" w:sz="0" w:space="0" w:color="auto"/>
                <w:left w:val="none" w:sz="0" w:space="0" w:color="auto"/>
                <w:bottom w:val="none" w:sz="0" w:space="0" w:color="auto"/>
                <w:right w:val="none" w:sz="0" w:space="0" w:color="auto"/>
              </w:divBdr>
            </w:div>
            <w:div w:id="892152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1229659">
      <w:bodyDiv w:val="1"/>
      <w:marLeft w:val="0"/>
      <w:marRight w:val="0"/>
      <w:marTop w:val="0"/>
      <w:marBottom w:val="0"/>
      <w:divBdr>
        <w:top w:val="none" w:sz="0" w:space="0" w:color="auto"/>
        <w:left w:val="none" w:sz="0" w:space="0" w:color="auto"/>
        <w:bottom w:val="none" w:sz="0" w:space="0" w:color="auto"/>
        <w:right w:val="none" w:sz="0" w:space="0" w:color="auto"/>
      </w:divBdr>
    </w:div>
    <w:div w:id="1035740631">
      <w:bodyDiv w:val="1"/>
      <w:marLeft w:val="0"/>
      <w:marRight w:val="0"/>
      <w:marTop w:val="0"/>
      <w:marBottom w:val="0"/>
      <w:divBdr>
        <w:top w:val="none" w:sz="0" w:space="0" w:color="auto"/>
        <w:left w:val="none" w:sz="0" w:space="0" w:color="auto"/>
        <w:bottom w:val="none" w:sz="0" w:space="0" w:color="auto"/>
        <w:right w:val="none" w:sz="0" w:space="0" w:color="auto"/>
      </w:divBdr>
      <w:divsChild>
        <w:div w:id="1792939907">
          <w:marLeft w:val="0"/>
          <w:marRight w:val="0"/>
          <w:marTop w:val="0"/>
          <w:marBottom w:val="0"/>
          <w:divBdr>
            <w:top w:val="none" w:sz="0" w:space="0" w:color="auto"/>
            <w:left w:val="none" w:sz="0" w:space="0" w:color="auto"/>
            <w:bottom w:val="none" w:sz="0" w:space="0" w:color="auto"/>
            <w:right w:val="none" w:sz="0" w:space="0" w:color="auto"/>
          </w:divBdr>
          <w:divsChild>
            <w:div w:id="1935938355">
              <w:marLeft w:val="1200"/>
              <w:marRight w:val="0"/>
              <w:marTop w:val="240"/>
              <w:marBottom w:val="240"/>
              <w:divBdr>
                <w:top w:val="none" w:sz="0" w:space="0" w:color="auto"/>
                <w:left w:val="none" w:sz="0" w:space="0" w:color="auto"/>
                <w:bottom w:val="none" w:sz="0" w:space="0" w:color="auto"/>
                <w:right w:val="none" w:sz="0" w:space="0" w:color="auto"/>
              </w:divBdr>
            </w:div>
            <w:div w:id="303899633">
              <w:marLeft w:val="1200"/>
              <w:marRight w:val="0"/>
              <w:marTop w:val="240"/>
              <w:marBottom w:val="240"/>
              <w:divBdr>
                <w:top w:val="none" w:sz="0" w:space="0" w:color="auto"/>
                <w:left w:val="none" w:sz="0" w:space="0" w:color="auto"/>
                <w:bottom w:val="none" w:sz="0" w:space="0" w:color="auto"/>
                <w:right w:val="none" w:sz="0" w:space="0" w:color="auto"/>
              </w:divBdr>
            </w:div>
          </w:divsChild>
        </w:div>
        <w:div w:id="2124569043">
          <w:marLeft w:val="0"/>
          <w:marRight w:val="0"/>
          <w:marTop w:val="0"/>
          <w:marBottom w:val="0"/>
          <w:divBdr>
            <w:top w:val="none" w:sz="0" w:space="0" w:color="auto"/>
            <w:left w:val="none" w:sz="0" w:space="0" w:color="auto"/>
            <w:bottom w:val="none" w:sz="0" w:space="0" w:color="auto"/>
            <w:right w:val="none" w:sz="0" w:space="0" w:color="auto"/>
          </w:divBdr>
        </w:div>
        <w:div w:id="368188039">
          <w:marLeft w:val="0"/>
          <w:marRight w:val="0"/>
          <w:marTop w:val="0"/>
          <w:marBottom w:val="0"/>
          <w:divBdr>
            <w:top w:val="none" w:sz="0" w:space="0" w:color="auto"/>
            <w:left w:val="none" w:sz="0" w:space="0" w:color="auto"/>
            <w:bottom w:val="none" w:sz="0" w:space="0" w:color="auto"/>
            <w:right w:val="none" w:sz="0" w:space="0" w:color="auto"/>
          </w:divBdr>
        </w:div>
        <w:div w:id="684602199">
          <w:marLeft w:val="0"/>
          <w:marRight w:val="0"/>
          <w:marTop w:val="0"/>
          <w:marBottom w:val="0"/>
          <w:divBdr>
            <w:top w:val="none" w:sz="0" w:space="0" w:color="auto"/>
            <w:left w:val="none" w:sz="0" w:space="0" w:color="auto"/>
            <w:bottom w:val="none" w:sz="0" w:space="0" w:color="auto"/>
            <w:right w:val="none" w:sz="0" w:space="0" w:color="auto"/>
          </w:divBdr>
          <w:divsChild>
            <w:div w:id="1476264507">
              <w:marLeft w:val="0"/>
              <w:marRight w:val="0"/>
              <w:marTop w:val="0"/>
              <w:marBottom w:val="0"/>
              <w:divBdr>
                <w:top w:val="none" w:sz="0" w:space="0" w:color="auto"/>
                <w:left w:val="none" w:sz="0" w:space="0" w:color="auto"/>
                <w:bottom w:val="none" w:sz="0" w:space="0" w:color="auto"/>
                <w:right w:val="none" w:sz="0" w:space="0" w:color="auto"/>
              </w:divBdr>
              <w:divsChild>
                <w:div w:id="1285120406">
                  <w:marLeft w:val="0"/>
                  <w:marRight w:val="0"/>
                  <w:marTop w:val="0"/>
                  <w:marBottom w:val="0"/>
                  <w:divBdr>
                    <w:top w:val="none" w:sz="0" w:space="0" w:color="auto"/>
                    <w:left w:val="none" w:sz="0" w:space="0" w:color="auto"/>
                    <w:bottom w:val="none" w:sz="0" w:space="0" w:color="auto"/>
                    <w:right w:val="none" w:sz="0" w:space="0" w:color="auto"/>
                  </w:divBdr>
                  <w:divsChild>
                    <w:div w:id="1159615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39090526">
      <w:bodyDiv w:val="1"/>
      <w:marLeft w:val="0"/>
      <w:marRight w:val="0"/>
      <w:marTop w:val="0"/>
      <w:marBottom w:val="0"/>
      <w:divBdr>
        <w:top w:val="none" w:sz="0" w:space="0" w:color="auto"/>
        <w:left w:val="none" w:sz="0" w:space="0" w:color="auto"/>
        <w:bottom w:val="none" w:sz="0" w:space="0" w:color="auto"/>
        <w:right w:val="none" w:sz="0" w:space="0" w:color="auto"/>
      </w:divBdr>
      <w:divsChild>
        <w:div w:id="800882234">
          <w:marLeft w:val="0"/>
          <w:marRight w:val="0"/>
          <w:marTop w:val="0"/>
          <w:marBottom w:val="0"/>
          <w:divBdr>
            <w:top w:val="none" w:sz="0" w:space="0" w:color="auto"/>
            <w:left w:val="none" w:sz="0" w:space="0" w:color="auto"/>
            <w:bottom w:val="none" w:sz="0" w:space="0" w:color="auto"/>
            <w:right w:val="none" w:sz="0" w:space="0" w:color="auto"/>
          </w:divBdr>
          <w:divsChild>
            <w:div w:id="758252643">
              <w:marLeft w:val="0"/>
              <w:marRight w:val="0"/>
              <w:marTop w:val="0"/>
              <w:marBottom w:val="0"/>
              <w:divBdr>
                <w:top w:val="none" w:sz="0" w:space="0" w:color="auto"/>
                <w:left w:val="none" w:sz="0" w:space="0" w:color="auto"/>
                <w:bottom w:val="none" w:sz="0" w:space="0" w:color="auto"/>
                <w:right w:val="none" w:sz="0" w:space="0" w:color="auto"/>
              </w:divBdr>
            </w:div>
            <w:div w:id="1156649479">
              <w:marLeft w:val="0"/>
              <w:marRight w:val="0"/>
              <w:marTop w:val="0"/>
              <w:marBottom w:val="0"/>
              <w:divBdr>
                <w:top w:val="none" w:sz="0" w:space="0" w:color="auto"/>
                <w:left w:val="none" w:sz="0" w:space="0" w:color="auto"/>
                <w:bottom w:val="none" w:sz="0" w:space="0" w:color="auto"/>
                <w:right w:val="none" w:sz="0" w:space="0" w:color="auto"/>
              </w:divBdr>
            </w:div>
          </w:divsChild>
        </w:div>
        <w:div w:id="652683784">
          <w:marLeft w:val="0"/>
          <w:marRight w:val="0"/>
          <w:marTop w:val="0"/>
          <w:marBottom w:val="0"/>
          <w:divBdr>
            <w:top w:val="none" w:sz="0" w:space="0" w:color="auto"/>
            <w:left w:val="none" w:sz="0" w:space="0" w:color="auto"/>
            <w:bottom w:val="none" w:sz="0" w:space="0" w:color="auto"/>
            <w:right w:val="none" w:sz="0" w:space="0" w:color="auto"/>
          </w:divBdr>
          <w:divsChild>
            <w:div w:id="431051603">
              <w:marLeft w:val="0"/>
              <w:marRight w:val="0"/>
              <w:marTop w:val="0"/>
              <w:marBottom w:val="0"/>
              <w:divBdr>
                <w:top w:val="none" w:sz="0" w:space="0" w:color="auto"/>
                <w:left w:val="none" w:sz="0" w:space="0" w:color="auto"/>
                <w:bottom w:val="none" w:sz="0" w:space="0" w:color="auto"/>
                <w:right w:val="none" w:sz="0" w:space="0" w:color="auto"/>
              </w:divBdr>
            </w:div>
          </w:divsChild>
        </w:div>
        <w:div w:id="932471479">
          <w:marLeft w:val="0"/>
          <w:marRight w:val="0"/>
          <w:marTop w:val="0"/>
          <w:marBottom w:val="0"/>
          <w:divBdr>
            <w:top w:val="none" w:sz="0" w:space="0" w:color="auto"/>
            <w:left w:val="none" w:sz="0" w:space="0" w:color="auto"/>
            <w:bottom w:val="none" w:sz="0" w:space="0" w:color="auto"/>
            <w:right w:val="none" w:sz="0" w:space="0" w:color="auto"/>
          </w:divBdr>
          <w:divsChild>
            <w:div w:id="999967131">
              <w:marLeft w:val="0"/>
              <w:marRight w:val="0"/>
              <w:marTop w:val="0"/>
              <w:marBottom w:val="0"/>
              <w:divBdr>
                <w:top w:val="none" w:sz="0" w:space="0" w:color="auto"/>
                <w:left w:val="none" w:sz="0" w:space="0" w:color="auto"/>
                <w:bottom w:val="none" w:sz="0" w:space="0" w:color="auto"/>
                <w:right w:val="none" w:sz="0" w:space="0" w:color="auto"/>
              </w:divBdr>
              <w:divsChild>
                <w:div w:id="2070761394">
                  <w:marLeft w:val="0"/>
                  <w:marRight w:val="0"/>
                  <w:marTop w:val="0"/>
                  <w:marBottom w:val="0"/>
                  <w:divBdr>
                    <w:top w:val="none" w:sz="0" w:space="0" w:color="auto"/>
                    <w:left w:val="none" w:sz="0" w:space="0" w:color="auto"/>
                    <w:bottom w:val="none" w:sz="0" w:space="0" w:color="auto"/>
                    <w:right w:val="none" w:sz="0" w:space="0" w:color="auto"/>
                  </w:divBdr>
                </w:div>
                <w:div w:id="2083522385">
                  <w:marLeft w:val="0"/>
                  <w:marRight w:val="0"/>
                  <w:marTop w:val="0"/>
                  <w:marBottom w:val="0"/>
                  <w:divBdr>
                    <w:top w:val="none" w:sz="0" w:space="0" w:color="auto"/>
                    <w:left w:val="none" w:sz="0" w:space="0" w:color="auto"/>
                    <w:bottom w:val="none" w:sz="0" w:space="0" w:color="auto"/>
                    <w:right w:val="none" w:sz="0" w:space="0" w:color="auto"/>
                  </w:divBdr>
                  <w:divsChild>
                    <w:div w:id="12731520">
                      <w:marLeft w:val="0"/>
                      <w:marRight w:val="0"/>
                      <w:marTop w:val="0"/>
                      <w:marBottom w:val="0"/>
                      <w:divBdr>
                        <w:top w:val="none" w:sz="0" w:space="0" w:color="auto"/>
                        <w:left w:val="none" w:sz="0" w:space="0" w:color="auto"/>
                        <w:bottom w:val="none" w:sz="0" w:space="0" w:color="auto"/>
                        <w:right w:val="none" w:sz="0" w:space="0" w:color="auto"/>
                      </w:divBdr>
                    </w:div>
                  </w:divsChild>
                </w:div>
                <w:div w:id="80957169">
                  <w:marLeft w:val="0"/>
                  <w:marRight w:val="0"/>
                  <w:marTop w:val="0"/>
                  <w:marBottom w:val="0"/>
                  <w:divBdr>
                    <w:top w:val="none" w:sz="0" w:space="0" w:color="auto"/>
                    <w:left w:val="none" w:sz="0" w:space="0" w:color="auto"/>
                    <w:bottom w:val="none" w:sz="0" w:space="0" w:color="auto"/>
                    <w:right w:val="none" w:sz="0" w:space="0" w:color="auto"/>
                  </w:divBdr>
                  <w:divsChild>
                    <w:div w:id="700665421">
                      <w:marLeft w:val="0"/>
                      <w:marRight w:val="0"/>
                      <w:marTop w:val="0"/>
                      <w:marBottom w:val="0"/>
                      <w:divBdr>
                        <w:top w:val="none" w:sz="0" w:space="0" w:color="auto"/>
                        <w:left w:val="none" w:sz="0" w:space="0" w:color="auto"/>
                        <w:bottom w:val="none" w:sz="0" w:space="0" w:color="auto"/>
                        <w:right w:val="none" w:sz="0" w:space="0" w:color="auto"/>
                      </w:divBdr>
                    </w:div>
                  </w:divsChild>
                </w:div>
                <w:div w:id="272785503">
                  <w:marLeft w:val="0"/>
                  <w:marRight w:val="0"/>
                  <w:marTop w:val="0"/>
                  <w:marBottom w:val="0"/>
                  <w:divBdr>
                    <w:top w:val="none" w:sz="0" w:space="0" w:color="auto"/>
                    <w:left w:val="none" w:sz="0" w:space="0" w:color="auto"/>
                    <w:bottom w:val="none" w:sz="0" w:space="0" w:color="auto"/>
                    <w:right w:val="none" w:sz="0" w:space="0" w:color="auto"/>
                  </w:divBdr>
                  <w:divsChild>
                    <w:div w:id="627975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1665426">
              <w:marLeft w:val="0"/>
              <w:marRight w:val="0"/>
              <w:marTop w:val="0"/>
              <w:marBottom w:val="0"/>
              <w:divBdr>
                <w:top w:val="none" w:sz="0" w:space="0" w:color="auto"/>
                <w:left w:val="none" w:sz="0" w:space="0" w:color="auto"/>
                <w:bottom w:val="none" w:sz="0" w:space="0" w:color="auto"/>
                <w:right w:val="none" w:sz="0" w:space="0" w:color="auto"/>
              </w:divBdr>
              <w:divsChild>
                <w:div w:id="1658607341">
                  <w:marLeft w:val="0"/>
                  <w:marRight w:val="0"/>
                  <w:marTop w:val="0"/>
                  <w:marBottom w:val="0"/>
                  <w:divBdr>
                    <w:top w:val="none" w:sz="0" w:space="0" w:color="auto"/>
                    <w:left w:val="none" w:sz="0" w:space="0" w:color="auto"/>
                    <w:bottom w:val="none" w:sz="0" w:space="0" w:color="auto"/>
                    <w:right w:val="none" w:sz="0" w:space="0" w:color="auto"/>
                  </w:divBdr>
                </w:div>
                <w:div w:id="1411544563">
                  <w:marLeft w:val="0"/>
                  <w:marRight w:val="0"/>
                  <w:marTop w:val="0"/>
                  <w:marBottom w:val="0"/>
                  <w:divBdr>
                    <w:top w:val="none" w:sz="0" w:space="0" w:color="auto"/>
                    <w:left w:val="none" w:sz="0" w:space="0" w:color="auto"/>
                    <w:bottom w:val="none" w:sz="0" w:space="0" w:color="auto"/>
                    <w:right w:val="none" w:sz="0" w:space="0" w:color="auto"/>
                  </w:divBdr>
                  <w:divsChild>
                    <w:div w:id="1536695337">
                      <w:marLeft w:val="0"/>
                      <w:marRight w:val="0"/>
                      <w:marTop w:val="0"/>
                      <w:marBottom w:val="0"/>
                      <w:divBdr>
                        <w:top w:val="none" w:sz="0" w:space="0" w:color="auto"/>
                        <w:left w:val="none" w:sz="0" w:space="0" w:color="auto"/>
                        <w:bottom w:val="none" w:sz="0" w:space="0" w:color="auto"/>
                        <w:right w:val="none" w:sz="0" w:space="0" w:color="auto"/>
                      </w:divBdr>
                    </w:div>
                  </w:divsChild>
                </w:div>
                <w:div w:id="86969330">
                  <w:marLeft w:val="0"/>
                  <w:marRight w:val="0"/>
                  <w:marTop w:val="0"/>
                  <w:marBottom w:val="0"/>
                  <w:divBdr>
                    <w:top w:val="none" w:sz="0" w:space="0" w:color="auto"/>
                    <w:left w:val="none" w:sz="0" w:space="0" w:color="auto"/>
                    <w:bottom w:val="none" w:sz="0" w:space="0" w:color="auto"/>
                    <w:right w:val="none" w:sz="0" w:space="0" w:color="auto"/>
                  </w:divBdr>
                  <w:divsChild>
                    <w:div w:id="84495212">
                      <w:marLeft w:val="0"/>
                      <w:marRight w:val="0"/>
                      <w:marTop w:val="0"/>
                      <w:marBottom w:val="0"/>
                      <w:divBdr>
                        <w:top w:val="none" w:sz="0" w:space="0" w:color="auto"/>
                        <w:left w:val="none" w:sz="0" w:space="0" w:color="auto"/>
                        <w:bottom w:val="none" w:sz="0" w:space="0" w:color="auto"/>
                        <w:right w:val="none" w:sz="0" w:space="0" w:color="auto"/>
                      </w:divBdr>
                    </w:div>
                  </w:divsChild>
                </w:div>
                <w:div w:id="812871614">
                  <w:marLeft w:val="0"/>
                  <w:marRight w:val="0"/>
                  <w:marTop w:val="0"/>
                  <w:marBottom w:val="0"/>
                  <w:divBdr>
                    <w:top w:val="none" w:sz="0" w:space="0" w:color="auto"/>
                    <w:left w:val="none" w:sz="0" w:space="0" w:color="auto"/>
                    <w:bottom w:val="none" w:sz="0" w:space="0" w:color="auto"/>
                    <w:right w:val="none" w:sz="0" w:space="0" w:color="auto"/>
                  </w:divBdr>
                  <w:divsChild>
                    <w:div w:id="1155755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5702622">
              <w:marLeft w:val="0"/>
              <w:marRight w:val="0"/>
              <w:marTop w:val="0"/>
              <w:marBottom w:val="0"/>
              <w:divBdr>
                <w:top w:val="none" w:sz="0" w:space="0" w:color="auto"/>
                <w:left w:val="none" w:sz="0" w:space="0" w:color="auto"/>
                <w:bottom w:val="none" w:sz="0" w:space="0" w:color="auto"/>
                <w:right w:val="none" w:sz="0" w:space="0" w:color="auto"/>
              </w:divBdr>
              <w:divsChild>
                <w:div w:id="522862008">
                  <w:marLeft w:val="0"/>
                  <w:marRight w:val="0"/>
                  <w:marTop w:val="0"/>
                  <w:marBottom w:val="0"/>
                  <w:divBdr>
                    <w:top w:val="none" w:sz="0" w:space="0" w:color="auto"/>
                    <w:left w:val="none" w:sz="0" w:space="0" w:color="auto"/>
                    <w:bottom w:val="none" w:sz="0" w:space="0" w:color="auto"/>
                    <w:right w:val="none" w:sz="0" w:space="0" w:color="auto"/>
                  </w:divBdr>
                </w:div>
                <w:div w:id="615066266">
                  <w:marLeft w:val="0"/>
                  <w:marRight w:val="0"/>
                  <w:marTop w:val="0"/>
                  <w:marBottom w:val="0"/>
                  <w:divBdr>
                    <w:top w:val="none" w:sz="0" w:space="0" w:color="auto"/>
                    <w:left w:val="none" w:sz="0" w:space="0" w:color="auto"/>
                    <w:bottom w:val="none" w:sz="0" w:space="0" w:color="auto"/>
                    <w:right w:val="none" w:sz="0" w:space="0" w:color="auto"/>
                  </w:divBdr>
                  <w:divsChild>
                    <w:div w:id="1497913621">
                      <w:marLeft w:val="0"/>
                      <w:marRight w:val="0"/>
                      <w:marTop w:val="0"/>
                      <w:marBottom w:val="0"/>
                      <w:divBdr>
                        <w:top w:val="none" w:sz="0" w:space="0" w:color="auto"/>
                        <w:left w:val="none" w:sz="0" w:space="0" w:color="auto"/>
                        <w:bottom w:val="none" w:sz="0" w:space="0" w:color="auto"/>
                        <w:right w:val="none" w:sz="0" w:space="0" w:color="auto"/>
                      </w:divBdr>
                    </w:div>
                  </w:divsChild>
                </w:div>
                <w:div w:id="572011302">
                  <w:marLeft w:val="0"/>
                  <w:marRight w:val="0"/>
                  <w:marTop w:val="0"/>
                  <w:marBottom w:val="0"/>
                  <w:divBdr>
                    <w:top w:val="none" w:sz="0" w:space="0" w:color="auto"/>
                    <w:left w:val="none" w:sz="0" w:space="0" w:color="auto"/>
                    <w:bottom w:val="none" w:sz="0" w:space="0" w:color="auto"/>
                    <w:right w:val="none" w:sz="0" w:space="0" w:color="auto"/>
                  </w:divBdr>
                  <w:divsChild>
                    <w:div w:id="1969162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9466086">
              <w:marLeft w:val="0"/>
              <w:marRight w:val="0"/>
              <w:marTop w:val="0"/>
              <w:marBottom w:val="0"/>
              <w:divBdr>
                <w:top w:val="none" w:sz="0" w:space="0" w:color="auto"/>
                <w:left w:val="none" w:sz="0" w:space="0" w:color="auto"/>
                <w:bottom w:val="none" w:sz="0" w:space="0" w:color="auto"/>
                <w:right w:val="none" w:sz="0" w:space="0" w:color="auto"/>
              </w:divBdr>
              <w:divsChild>
                <w:div w:id="142084311">
                  <w:marLeft w:val="0"/>
                  <w:marRight w:val="0"/>
                  <w:marTop w:val="0"/>
                  <w:marBottom w:val="0"/>
                  <w:divBdr>
                    <w:top w:val="none" w:sz="0" w:space="0" w:color="auto"/>
                    <w:left w:val="none" w:sz="0" w:space="0" w:color="auto"/>
                    <w:bottom w:val="none" w:sz="0" w:space="0" w:color="auto"/>
                    <w:right w:val="none" w:sz="0" w:space="0" w:color="auto"/>
                  </w:divBdr>
                </w:div>
              </w:divsChild>
            </w:div>
            <w:div w:id="182863890">
              <w:marLeft w:val="0"/>
              <w:marRight w:val="0"/>
              <w:marTop w:val="0"/>
              <w:marBottom w:val="0"/>
              <w:divBdr>
                <w:top w:val="none" w:sz="0" w:space="0" w:color="auto"/>
                <w:left w:val="none" w:sz="0" w:space="0" w:color="auto"/>
                <w:bottom w:val="none" w:sz="0" w:space="0" w:color="auto"/>
                <w:right w:val="none" w:sz="0" w:space="0" w:color="auto"/>
              </w:divBdr>
              <w:divsChild>
                <w:div w:id="230578266">
                  <w:marLeft w:val="0"/>
                  <w:marRight w:val="0"/>
                  <w:marTop w:val="0"/>
                  <w:marBottom w:val="0"/>
                  <w:divBdr>
                    <w:top w:val="none" w:sz="0" w:space="0" w:color="auto"/>
                    <w:left w:val="none" w:sz="0" w:space="0" w:color="auto"/>
                    <w:bottom w:val="none" w:sz="0" w:space="0" w:color="auto"/>
                    <w:right w:val="none" w:sz="0" w:space="0" w:color="auto"/>
                  </w:divBdr>
                </w:div>
              </w:divsChild>
            </w:div>
            <w:div w:id="113213116">
              <w:marLeft w:val="0"/>
              <w:marRight w:val="0"/>
              <w:marTop w:val="0"/>
              <w:marBottom w:val="0"/>
              <w:divBdr>
                <w:top w:val="none" w:sz="0" w:space="0" w:color="auto"/>
                <w:left w:val="none" w:sz="0" w:space="0" w:color="auto"/>
                <w:bottom w:val="none" w:sz="0" w:space="0" w:color="auto"/>
                <w:right w:val="none" w:sz="0" w:space="0" w:color="auto"/>
              </w:divBdr>
            </w:div>
            <w:div w:id="570312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9937857">
      <w:bodyDiv w:val="1"/>
      <w:marLeft w:val="0"/>
      <w:marRight w:val="0"/>
      <w:marTop w:val="0"/>
      <w:marBottom w:val="0"/>
      <w:divBdr>
        <w:top w:val="none" w:sz="0" w:space="0" w:color="auto"/>
        <w:left w:val="none" w:sz="0" w:space="0" w:color="auto"/>
        <w:bottom w:val="none" w:sz="0" w:space="0" w:color="auto"/>
        <w:right w:val="none" w:sz="0" w:space="0" w:color="auto"/>
      </w:divBdr>
      <w:divsChild>
        <w:div w:id="1625847078">
          <w:marLeft w:val="0"/>
          <w:marRight w:val="0"/>
          <w:marTop w:val="0"/>
          <w:marBottom w:val="0"/>
          <w:divBdr>
            <w:top w:val="none" w:sz="0" w:space="0" w:color="auto"/>
            <w:left w:val="none" w:sz="0" w:space="0" w:color="auto"/>
            <w:bottom w:val="none" w:sz="0" w:space="0" w:color="auto"/>
            <w:right w:val="none" w:sz="0" w:space="0" w:color="auto"/>
          </w:divBdr>
          <w:divsChild>
            <w:div w:id="2004621226">
              <w:marLeft w:val="0"/>
              <w:marRight w:val="0"/>
              <w:marTop w:val="0"/>
              <w:marBottom w:val="600"/>
              <w:divBdr>
                <w:top w:val="none" w:sz="0" w:space="0" w:color="auto"/>
                <w:left w:val="none" w:sz="0" w:space="0" w:color="auto"/>
                <w:bottom w:val="none" w:sz="0" w:space="0" w:color="auto"/>
                <w:right w:val="none" w:sz="0" w:space="0" w:color="auto"/>
              </w:divBdr>
            </w:div>
          </w:divsChild>
        </w:div>
        <w:div w:id="819229290">
          <w:marLeft w:val="0"/>
          <w:marRight w:val="0"/>
          <w:marTop w:val="0"/>
          <w:marBottom w:val="0"/>
          <w:divBdr>
            <w:top w:val="none" w:sz="0" w:space="0" w:color="auto"/>
            <w:left w:val="none" w:sz="0" w:space="0" w:color="auto"/>
            <w:bottom w:val="none" w:sz="0" w:space="0" w:color="auto"/>
            <w:right w:val="none" w:sz="0" w:space="0" w:color="auto"/>
          </w:divBdr>
          <w:divsChild>
            <w:div w:id="1540239882">
              <w:marLeft w:val="0"/>
              <w:marRight w:val="0"/>
              <w:marTop w:val="0"/>
              <w:marBottom w:val="600"/>
              <w:divBdr>
                <w:top w:val="none" w:sz="0" w:space="0" w:color="auto"/>
                <w:left w:val="none" w:sz="0" w:space="0" w:color="auto"/>
                <w:bottom w:val="none" w:sz="0" w:space="0" w:color="auto"/>
                <w:right w:val="none" w:sz="0" w:space="0" w:color="auto"/>
              </w:divBdr>
            </w:div>
          </w:divsChild>
        </w:div>
        <w:div w:id="1001590299">
          <w:marLeft w:val="0"/>
          <w:marRight w:val="0"/>
          <w:marTop w:val="0"/>
          <w:marBottom w:val="0"/>
          <w:divBdr>
            <w:top w:val="none" w:sz="0" w:space="0" w:color="auto"/>
            <w:left w:val="none" w:sz="0" w:space="0" w:color="auto"/>
            <w:bottom w:val="none" w:sz="0" w:space="0" w:color="auto"/>
            <w:right w:val="none" w:sz="0" w:space="0" w:color="auto"/>
          </w:divBdr>
          <w:divsChild>
            <w:div w:id="25446987">
              <w:marLeft w:val="0"/>
              <w:marRight w:val="0"/>
              <w:marTop w:val="0"/>
              <w:marBottom w:val="600"/>
              <w:divBdr>
                <w:top w:val="none" w:sz="0" w:space="0" w:color="auto"/>
                <w:left w:val="none" w:sz="0" w:space="0" w:color="auto"/>
                <w:bottom w:val="none" w:sz="0" w:space="0" w:color="auto"/>
                <w:right w:val="none" w:sz="0" w:space="0" w:color="auto"/>
              </w:divBdr>
            </w:div>
          </w:divsChild>
        </w:div>
        <w:div w:id="617297800">
          <w:marLeft w:val="0"/>
          <w:marRight w:val="0"/>
          <w:marTop w:val="0"/>
          <w:marBottom w:val="0"/>
          <w:divBdr>
            <w:top w:val="none" w:sz="0" w:space="0" w:color="auto"/>
            <w:left w:val="none" w:sz="0" w:space="0" w:color="auto"/>
            <w:bottom w:val="none" w:sz="0" w:space="0" w:color="auto"/>
            <w:right w:val="none" w:sz="0" w:space="0" w:color="auto"/>
          </w:divBdr>
          <w:divsChild>
            <w:div w:id="1274820372">
              <w:marLeft w:val="0"/>
              <w:marRight w:val="0"/>
              <w:marTop w:val="0"/>
              <w:marBottom w:val="600"/>
              <w:divBdr>
                <w:top w:val="none" w:sz="0" w:space="0" w:color="auto"/>
                <w:left w:val="none" w:sz="0" w:space="0" w:color="auto"/>
                <w:bottom w:val="none" w:sz="0" w:space="0" w:color="auto"/>
                <w:right w:val="none" w:sz="0" w:space="0" w:color="auto"/>
              </w:divBdr>
              <w:divsChild>
                <w:div w:id="60178915">
                  <w:marLeft w:val="0"/>
                  <w:marRight w:val="0"/>
                  <w:marTop w:val="0"/>
                  <w:marBottom w:val="360"/>
                  <w:divBdr>
                    <w:top w:val="none" w:sz="0" w:space="0" w:color="auto"/>
                    <w:left w:val="none" w:sz="0" w:space="0" w:color="auto"/>
                    <w:bottom w:val="none" w:sz="0" w:space="0" w:color="auto"/>
                    <w:right w:val="none" w:sz="0" w:space="0" w:color="auto"/>
                  </w:divBdr>
                  <w:divsChild>
                    <w:div w:id="663557742">
                      <w:marLeft w:val="0"/>
                      <w:marRight w:val="0"/>
                      <w:marTop w:val="180"/>
                      <w:marBottom w:val="240"/>
                      <w:divBdr>
                        <w:top w:val="none" w:sz="0" w:space="0" w:color="auto"/>
                        <w:left w:val="none" w:sz="0" w:space="0" w:color="auto"/>
                        <w:bottom w:val="none" w:sz="0" w:space="0" w:color="auto"/>
                        <w:right w:val="none" w:sz="0" w:space="0" w:color="auto"/>
                      </w:divBdr>
                    </w:div>
                  </w:divsChild>
                </w:div>
                <w:div w:id="1368337357">
                  <w:marLeft w:val="0"/>
                  <w:marRight w:val="0"/>
                  <w:marTop w:val="0"/>
                  <w:marBottom w:val="360"/>
                  <w:divBdr>
                    <w:top w:val="none" w:sz="0" w:space="0" w:color="auto"/>
                    <w:left w:val="none" w:sz="0" w:space="0" w:color="auto"/>
                    <w:bottom w:val="none" w:sz="0" w:space="0" w:color="auto"/>
                    <w:right w:val="none" w:sz="0" w:space="0" w:color="auto"/>
                  </w:divBdr>
                  <w:divsChild>
                    <w:div w:id="897939697">
                      <w:marLeft w:val="0"/>
                      <w:marRight w:val="0"/>
                      <w:marTop w:val="180"/>
                      <w:marBottom w:val="240"/>
                      <w:divBdr>
                        <w:top w:val="none" w:sz="0" w:space="0" w:color="auto"/>
                        <w:left w:val="none" w:sz="0" w:space="0" w:color="auto"/>
                        <w:bottom w:val="none" w:sz="0" w:space="0" w:color="auto"/>
                        <w:right w:val="none" w:sz="0" w:space="0" w:color="auto"/>
                      </w:divBdr>
                    </w:div>
                  </w:divsChild>
                </w:div>
                <w:div w:id="109056134">
                  <w:marLeft w:val="0"/>
                  <w:marRight w:val="0"/>
                  <w:marTop w:val="0"/>
                  <w:marBottom w:val="360"/>
                  <w:divBdr>
                    <w:top w:val="none" w:sz="0" w:space="0" w:color="auto"/>
                    <w:left w:val="none" w:sz="0" w:space="0" w:color="auto"/>
                    <w:bottom w:val="none" w:sz="0" w:space="0" w:color="auto"/>
                    <w:right w:val="none" w:sz="0" w:space="0" w:color="auto"/>
                  </w:divBdr>
                  <w:divsChild>
                    <w:div w:id="2129661629">
                      <w:marLeft w:val="0"/>
                      <w:marRight w:val="0"/>
                      <w:marTop w:val="180"/>
                      <w:marBottom w:val="240"/>
                      <w:divBdr>
                        <w:top w:val="none" w:sz="0" w:space="0" w:color="auto"/>
                        <w:left w:val="none" w:sz="0" w:space="0" w:color="auto"/>
                        <w:bottom w:val="none" w:sz="0" w:space="0" w:color="auto"/>
                        <w:right w:val="none" w:sz="0" w:space="0" w:color="auto"/>
                      </w:divBdr>
                    </w:div>
                  </w:divsChild>
                </w:div>
                <w:div w:id="348065686">
                  <w:marLeft w:val="0"/>
                  <w:marRight w:val="0"/>
                  <w:marTop w:val="0"/>
                  <w:marBottom w:val="360"/>
                  <w:divBdr>
                    <w:top w:val="none" w:sz="0" w:space="0" w:color="auto"/>
                    <w:left w:val="none" w:sz="0" w:space="0" w:color="auto"/>
                    <w:bottom w:val="none" w:sz="0" w:space="0" w:color="auto"/>
                    <w:right w:val="none" w:sz="0" w:space="0" w:color="auto"/>
                  </w:divBdr>
                  <w:divsChild>
                    <w:div w:id="2064795093">
                      <w:marLeft w:val="0"/>
                      <w:marRight w:val="0"/>
                      <w:marTop w:val="180"/>
                      <w:marBottom w:val="240"/>
                      <w:divBdr>
                        <w:top w:val="none" w:sz="0" w:space="0" w:color="auto"/>
                        <w:left w:val="none" w:sz="0" w:space="0" w:color="auto"/>
                        <w:bottom w:val="none" w:sz="0" w:space="0" w:color="auto"/>
                        <w:right w:val="none" w:sz="0" w:space="0" w:color="auto"/>
                      </w:divBdr>
                    </w:div>
                  </w:divsChild>
                </w:div>
                <w:div w:id="1160578070">
                  <w:marLeft w:val="0"/>
                  <w:marRight w:val="0"/>
                  <w:marTop w:val="0"/>
                  <w:marBottom w:val="360"/>
                  <w:divBdr>
                    <w:top w:val="none" w:sz="0" w:space="0" w:color="auto"/>
                    <w:left w:val="none" w:sz="0" w:space="0" w:color="auto"/>
                    <w:bottom w:val="none" w:sz="0" w:space="0" w:color="auto"/>
                    <w:right w:val="none" w:sz="0" w:space="0" w:color="auto"/>
                  </w:divBdr>
                  <w:divsChild>
                    <w:div w:id="2033416692">
                      <w:marLeft w:val="0"/>
                      <w:marRight w:val="0"/>
                      <w:marTop w:val="180"/>
                      <w:marBottom w:val="240"/>
                      <w:divBdr>
                        <w:top w:val="none" w:sz="0" w:space="0" w:color="auto"/>
                        <w:left w:val="none" w:sz="0" w:space="0" w:color="auto"/>
                        <w:bottom w:val="none" w:sz="0" w:space="0" w:color="auto"/>
                        <w:right w:val="none" w:sz="0" w:space="0" w:color="auto"/>
                      </w:divBdr>
                    </w:div>
                  </w:divsChild>
                </w:div>
                <w:div w:id="1476996158">
                  <w:marLeft w:val="0"/>
                  <w:marRight w:val="0"/>
                  <w:marTop w:val="0"/>
                  <w:marBottom w:val="360"/>
                  <w:divBdr>
                    <w:top w:val="none" w:sz="0" w:space="0" w:color="auto"/>
                    <w:left w:val="none" w:sz="0" w:space="0" w:color="auto"/>
                    <w:bottom w:val="none" w:sz="0" w:space="0" w:color="auto"/>
                    <w:right w:val="none" w:sz="0" w:space="0" w:color="auto"/>
                  </w:divBdr>
                  <w:divsChild>
                    <w:div w:id="987632847">
                      <w:marLeft w:val="0"/>
                      <w:marRight w:val="0"/>
                      <w:marTop w:val="180"/>
                      <w:marBottom w:val="240"/>
                      <w:divBdr>
                        <w:top w:val="none" w:sz="0" w:space="0" w:color="auto"/>
                        <w:left w:val="none" w:sz="0" w:space="0" w:color="auto"/>
                        <w:bottom w:val="none" w:sz="0" w:space="0" w:color="auto"/>
                        <w:right w:val="none" w:sz="0" w:space="0" w:color="auto"/>
                      </w:divBdr>
                    </w:div>
                  </w:divsChild>
                </w:div>
                <w:div w:id="846093212">
                  <w:marLeft w:val="0"/>
                  <w:marRight w:val="0"/>
                  <w:marTop w:val="0"/>
                  <w:marBottom w:val="360"/>
                  <w:divBdr>
                    <w:top w:val="none" w:sz="0" w:space="0" w:color="auto"/>
                    <w:left w:val="none" w:sz="0" w:space="0" w:color="auto"/>
                    <w:bottom w:val="none" w:sz="0" w:space="0" w:color="auto"/>
                    <w:right w:val="none" w:sz="0" w:space="0" w:color="auto"/>
                  </w:divBdr>
                  <w:divsChild>
                    <w:div w:id="1829592275">
                      <w:marLeft w:val="0"/>
                      <w:marRight w:val="0"/>
                      <w:marTop w:val="180"/>
                      <w:marBottom w:val="240"/>
                      <w:divBdr>
                        <w:top w:val="none" w:sz="0" w:space="0" w:color="auto"/>
                        <w:left w:val="none" w:sz="0" w:space="0" w:color="auto"/>
                        <w:bottom w:val="none" w:sz="0" w:space="0" w:color="auto"/>
                        <w:right w:val="none" w:sz="0" w:space="0" w:color="auto"/>
                      </w:divBdr>
                    </w:div>
                  </w:divsChild>
                </w:div>
                <w:div w:id="98456418">
                  <w:marLeft w:val="0"/>
                  <w:marRight w:val="0"/>
                  <w:marTop w:val="0"/>
                  <w:marBottom w:val="360"/>
                  <w:divBdr>
                    <w:top w:val="single" w:sz="36" w:space="15" w:color="D5D5D5"/>
                    <w:left w:val="single" w:sz="36" w:space="8" w:color="D5D5D5"/>
                    <w:bottom w:val="single" w:sz="36" w:space="15" w:color="D5D5D5"/>
                    <w:right w:val="single" w:sz="36" w:space="8" w:color="D5D5D5"/>
                  </w:divBdr>
                </w:div>
                <w:div w:id="1213693257">
                  <w:marLeft w:val="0"/>
                  <w:marRight w:val="0"/>
                  <w:marTop w:val="0"/>
                  <w:marBottom w:val="360"/>
                  <w:divBdr>
                    <w:top w:val="none" w:sz="0" w:space="0" w:color="auto"/>
                    <w:left w:val="none" w:sz="0" w:space="0" w:color="auto"/>
                    <w:bottom w:val="none" w:sz="0" w:space="0" w:color="auto"/>
                    <w:right w:val="none" w:sz="0" w:space="0" w:color="auto"/>
                  </w:divBdr>
                  <w:divsChild>
                    <w:div w:id="1883906723">
                      <w:marLeft w:val="0"/>
                      <w:marRight w:val="0"/>
                      <w:marTop w:val="180"/>
                      <w:marBottom w:val="240"/>
                      <w:divBdr>
                        <w:top w:val="none" w:sz="0" w:space="0" w:color="auto"/>
                        <w:left w:val="none" w:sz="0" w:space="0" w:color="auto"/>
                        <w:bottom w:val="none" w:sz="0" w:space="0" w:color="auto"/>
                        <w:right w:val="none" w:sz="0" w:space="0" w:color="auto"/>
                      </w:divBdr>
                    </w:div>
                  </w:divsChild>
                </w:div>
                <w:div w:id="960958359">
                  <w:marLeft w:val="0"/>
                  <w:marRight w:val="0"/>
                  <w:marTop w:val="0"/>
                  <w:marBottom w:val="360"/>
                  <w:divBdr>
                    <w:top w:val="none" w:sz="0" w:space="0" w:color="auto"/>
                    <w:left w:val="none" w:sz="0" w:space="0" w:color="auto"/>
                    <w:bottom w:val="none" w:sz="0" w:space="0" w:color="auto"/>
                    <w:right w:val="none" w:sz="0" w:space="0" w:color="auto"/>
                  </w:divBdr>
                  <w:divsChild>
                    <w:div w:id="359015815">
                      <w:marLeft w:val="0"/>
                      <w:marRight w:val="0"/>
                      <w:marTop w:val="180"/>
                      <w:marBottom w:val="240"/>
                      <w:divBdr>
                        <w:top w:val="none" w:sz="0" w:space="0" w:color="auto"/>
                        <w:left w:val="none" w:sz="0" w:space="0" w:color="auto"/>
                        <w:bottom w:val="none" w:sz="0" w:space="0" w:color="auto"/>
                        <w:right w:val="none" w:sz="0" w:space="0" w:color="auto"/>
                      </w:divBdr>
                    </w:div>
                  </w:divsChild>
                </w:div>
                <w:div w:id="289557190">
                  <w:marLeft w:val="0"/>
                  <w:marRight w:val="0"/>
                  <w:marTop w:val="0"/>
                  <w:marBottom w:val="360"/>
                  <w:divBdr>
                    <w:top w:val="none" w:sz="0" w:space="0" w:color="auto"/>
                    <w:left w:val="none" w:sz="0" w:space="0" w:color="auto"/>
                    <w:bottom w:val="none" w:sz="0" w:space="0" w:color="auto"/>
                    <w:right w:val="none" w:sz="0" w:space="0" w:color="auto"/>
                  </w:divBdr>
                  <w:divsChild>
                    <w:div w:id="841624573">
                      <w:marLeft w:val="0"/>
                      <w:marRight w:val="0"/>
                      <w:marTop w:val="180"/>
                      <w:marBottom w:val="240"/>
                      <w:divBdr>
                        <w:top w:val="none" w:sz="0" w:space="0" w:color="auto"/>
                        <w:left w:val="none" w:sz="0" w:space="0" w:color="auto"/>
                        <w:bottom w:val="none" w:sz="0" w:space="0" w:color="auto"/>
                        <w:right w:val="none" w:sz="0" w:space="0" w:color="auto"/>
                      </w:divBdr>
                    </w:div>
                  </w:divsChild>
                </w:div>
                <w:div w:id="985547344">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816994603">
                      <w:marLeft w:val="0"/>
                      <w:marRight w:val="0"/>
                      <w:marTop w:val="0"/>
                      <w:marBottom w:val="240"/>
                      <w:divBdr>
                        <w:top w:val="none" w:sz="0" w:space="0" w:color="auto"/>
                        <w:left w:val="none" w:sz="0" w:space="0" w:color="auto"/>
                        <w:bottom w:val="none" w:sz="0" w:space="0" w:color="auto"/>
                        <w:right w:val="none" w:sz="0" w:space="0" w:color="auto"/>
                      </w:divBdr>
                      <w:divsChild>
                        <w:div w:id="475294687">
                          <w:marLeft w:val="0"/>
                          <w:marRight w:val="0"/>
                          <w:marTop w:val="0"/>
                          <w:marBottom w:val="0"/>
                          <w:divBdr>
                            <w:top w:val="none" w:sz="0" w:space="0" w:color="auto"/>
                            <w:left w:val="none" w:sz="0" w:space="0" w:color="auto"/>
                            <w:bottom w:val="none" w:sz="0" w:space="0" w:color="auto"/>
                            <w:right w:val="none" w:sz="0" w:space="0" w:color="auto"/>
                          </w:divBdr>
                        </w:div>
                        <w:div w:id="2077196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5541203">
                  <w:marLeft w:val="0"/>
                  <w:marRight w:val="0"/>
                  <w:marTop w:val="0"/>
                  <w:marBottom w:val="360"/>
                  <w:divBdr>
                    <w:top w:val="none" w:sz="0" w:space="0" w:color="auto"/>
                    <w:left w:val="none" w:sz="0" w:space="0" w:color="auto"/>
                    <w:bottom w:val="none" w:sz="0" w:space="0" w:color="auto"/>
                    <w:right w:val="none" w:sz="0" w:space="0" w:color="auto"/>
                  </w:divBdr>
                  <w:divsChild>
                    <w:div w:id="604847369">
                      <w:marLeft w:val="0"/>
                      <w:marRight w:val="0"/>
                      <w:marTop w:val="180"/>
                      <w:marBottom w:val="240"/>
                      <w:divBdr>
                        <w:top w:val="none" w:sz="0" w:space="0" w:color="auto"/>
                        <w:left w:val="none" w:sz="0" w:space="0" w:color="auto"/>
                        <w:bottom w:val="none" w:sz="0" w:space="0" w:color="auto"/>
                        <w:right w:val="none" w:sz="0" w:space="0" w:color="auto"/>
                      </w:divBdr>
                    </w:div>
                  </w:divsChild>
                </w:div>
                <w:div w:id="884414961">
                  <w:marLeft w:val="0"/>
                  <w:marRight w:val="0"/>
                  <w:marTop w:val="0"/>
                  <w:marBottom w:val="360"/>
                  <w:divBdr>
                    <w:top w:val="none" w:sz="0" w:space="0" w:color="auto"/>
                    <w:left w:val="none" w:sz="0" w:space="0" w:color="auto"/>
                    <w:bottom w:val="none" w:sz="0" w:space="0" w:color="auto"/>
                    <w:right w:val="none" w:sz="0" w:space="0" w:color="auto"/>
                  </w:divBdr>
                  <w:divsChild>
                    <w:div w:id="783378684">
                      <w:marLeft w:val="0"/>
                      <w:marRight w:val="0"/>
                      <w:marTop w:val="180"/>
                      <w:marBottom w:val="240"/>
                      <w:divBdr>
                        <w:top w:val="none" w:sz="0" w:space="0" w:color="auto"/>
                        <w:left w:val="none" w:sz="0" w:space="0" w:color="auto"/>
                        <w:bottom w:val="none" w:sz="0" w:space="0" w:color="auto"/>
                        <w:right w:val="none" w:sz="0" w:space="0" w:color="auto"/>
                      </w:divBdr>
                    </w:div>
                  </w:divsChild>
                </w:div>
                <w:div w:id="1567300747">
                  <w:marLeft w:val="0"/>
                  <w:marRight w:val="0"/>
                  <w:marTop w:val="0"/>
                  <w:marBottom w:val="360"/>
                  <w:divBdr>
                    <w:top w:val="none" w:sz="0" w:space="0" w:color="auto"/>
                    <w:left w:val="none" w:sz="0" w:space="0" w:color="auto"/>
                    <w:bottom w:val="none" w:sz="0" w:space="0" w:color="auto"/>
                    <w:right w:val="none" w:sz="0" w:space="0" w:color="auto"/>
                  </w:divBdr>
                  <w:divsChild>
                    <w:div w:id="837185599">
                      <w:marLeft w:val="0"/>
                      <w:marRight w:val="0"/>
                      <w:marTop w:val="180"/>
                      <w:marBottom w:val="240"/>
                      <w:divBdr>
                        <w:top w:val="none" w:sz="0" w:space="0" w:color="auto"/>
                        <w:left w:val="none" w:sz="0" w:space="0" w:color="auto"/>
                        <w:bottom w:val="none" w:sz="0" w:space="0" w:color="auto"/>
                        <w:right w:val="none" w:sz="0" w:space="0" w:color="auto"/>
                      </w:divBdr>
                    </w:div>
                  </w:divsChild>
                </w:div>
                <w:div w:id="1898472105">
                  <w:marLeft w:val="0"/>
                  <w:marRight w:val="0"/>
                  <w:marTop w:val="0"/>
                  <w:marBottom w:val="360"/>
                  <w:divBdr>
                    <w:top w:val="none" w:sz="0" w:space="0" w:color="auto"/>
                    <w:left w:val="none" w:sz="0" w:space="0" w:color="auto"/>
                    <w:bottom w:val="none" w:sz="0" w:space="0" w:color="auto"/>
                    <w:right w:val="none" w:sz="0" w:space="0" w:color="auto"/>
                  </w:divBdr>
                  <w:divsChild>
                    <w:div w:id="439492833">
                      <w:marLeft w:val="0"/>
                      <w:marRight w:val="0"/>
                      <w:marTop w:val="180"/>
                      <w:marBottom w:val="240"/>
                      <w:divBdr>
                        <w:top w:val="none" w:sz="0" w:space="0" w:color="auto"/>
                        <w:left w:val="none" w:sz="0" w:space="0" w:color="auto"/>
                        <w:bottom w:val="none" w:sz="0" w:space="0" w:color="auto"/>
                        <w:right w:val="none" w:sz="0" w:space="0" w:color="auto"/>
                      </w:divBdr>
                    </w:div>
                  </w:divsChild>
                </w:div>
                <w:div w:id="34358100">
                  <w:marLeft w:val="0"/>
                  <w:marRight w:val="0"/>
                  <w:marTop w:val="0"/>
                  <w:marBottom w:val="360"/>
                  <w:divBdr>
                    <w:top w:val="none" w:sz="0" w:space="0" w:color="auto"/>
                    <w:left w:val="none" w:sz="0" w:space="0" w:color="auto"/>
                    <w:bottom w:val="none" w:sz="0" w:space="0" w:color="auto"/>
                    <w:right w:val="none" w:sz="0" w:space="0" w:color="auto"/>
                  </w:divBdr>
                  <w:divsChild>
                    <w:div w:id="303195613">
                      <w:marLeft w:val="0"/>
                      <w:marRight w:val="0"/>
                      <w:marTop w:val="180"/>
                      <w:marBottom w:val="240"/>
                      <w:divBdr>
                        <w:top w:val="none" w:sz="0" w:space="0" w:color="auto"/>
                        <w:left w:val="none" w:sz="0" w:space="0" w:color="auto"/>
                        <w:bottom w:val="none" w:sz="0" w:space="0" w:color="auto"/>
                        <w:right w:val="none" w:sz="0" w:space="0" w:color="auto"/>
                      </w:divBdr>
                    </w:div>
                  </w:divsChild>
                </w:div>
                <w:div w:id="1936286773">
                  <w:marLeft w:val="0"/>
                  <w:marRight w:val="0"/>
                  <w:marTop w:val="0"/>
                  <w:marBottom w:val="360"/>
                  <w:divBdr>
                    <w:top w:val="none" w:sz="0" w:space="0" w:color="auto"/>
                    <w:left w:val="none" w:sz="0" w:space="0" w:color="auto"/>
                    <w:bottom w:val="none" w:sz="0" w:space="0" w:color="auto"/>
                    <w:right w:val="none" w:sz="0" w:space="0" w:color="auto"/>
                  </w:divBdr>
                  <w:divsChild>
                    <w:div w:id="1998533412">
                      <w:marLeft w:val="0"/>
                      <w:marRight w:val="0"/>
                      <w:marTop w:val="180"/>
                      <w:marBottom w:val="240"/>
                      <w:divBdr>
                        <w:top w:val="none" w:sz="0" w:space="0" w:color="auto"/>
                        <w:left w:val="none" w:sz="0" w:space="0" w:color="auto"/>
                        <w:bottom w:val="none" w:sz="0" w:space="0" w:color="auto"/>
                        <w:right w:val="none" w:sz="0" w:space="0" w:color="auto"/>
                      </w:divBdr>
                    </w:div>
                  </w:divsChild>
                </w:div>
                <w:div w:id="1028219240">
                  <w:marLeft w:val="0"/>
                  <w:marRight w:val="0"/>
                  <w:marTop w:val="0"/>
                  <w:marBottom w:val="360"/>
                  <w:divBdr>
                    <w:top w:val="none" w:sz="0" w:space="0" w:color="auto"/>
                    <w:left w:val="none" w:sz="0" w:space="0" w:color="auto"/>
                    <w:bottom w:val="none" w:sz="0" w:space="0" w:color="auto"/>
                    <w:right w:val="none" w:sz="0" w:space="0" w:color="auto"/>
                  </w:divBdr>
                  <w:divsChild>
                    <w:div w:id="1639720764">
                      <w:marLeft w:val="0"/>
                      <w:marRight w:val="0"/>
                      <w:marTop w:val="180"/>
                      <w:marBottom w:val="240"/>
                      <w:divBdr>
                        <w:top w:val="none" w:sz="0" w:space="0" w:color="auto"/>
                        <w:left w:val="none" w:sz="0" w:space="0" w:color="auto"/>
                        <w:bottom w:val="none" w:sz="0" w:space="0" w:color="auto"/>
                        <w:right w:val="none" w:sz="0" w:space="0" w:color="auto"/>
                      </w:divBdr>
                    </w:div>
                  </w:divsChild>
                </w:div>
                <w:div w:id="1847286795">
                  <w:marLeft w:val="0"/>
                  <w:marRight w:val="0"/>
                  <w:marTop w:val="0"/>
                  <w:marBottom w:val="360"/>
                  <w:divBdr>
                    <w:top w:val="none" w:sz="0" w:space="0" w:color="auto"/>
                    <w:left w:val="none" w:sz="0" w:space="0" w:color="auto"/>
                    <w:bottom w:val="none" w:sz="0" w:space="0" w:color="auto"/>
                    <w:right w:val="none" w:sz="0" w:space="0" w:color="auto"/>
                  </w:divBdr>
                  <w:divsChild>
                    <w:div w:id="28382756">
                      <w:marLeft w:val="0"/>
                      <w:marRight w:val="0"/>
                      <w:marTop w:val="180"/>
                      <w:marBottom w:val="240"/>
                      <w:divBdr>
                        <w:top w:val="none" w:sz="0" w:space="0" w:color="auto"/>
                        <w:left w:val="none" w:sz="0" w:space="0" w:color="auto"/>
                        <w:bottom w:val="none" w:sz="0" w:space="0" w:color="auto"/>
                        <w:right w:val="none" w:sz="0" w:space="0" w:color="auto"/>
                      </w:divBdr>
                    </w:div>
                  </w:divsChild>
                </w:div>
                <w:div w:id="1470440153">
                  <w:marLeft w:val="0"/>
                  <w:marRight w:val="0"/>
                  <w:marTop w:val="0"/>
                  <w:marBottom w:val="360"/>
                  <w:divBdr>
                    <w:top w:val="none" w:sz="0" w:space="0" w:color="auto"/>
                    <w:left w:val="none" w:sz="0" w:space="0" w:color="auto"/>
                    <w:bottom w:val="none" w:sz="0" w:space="0" w:color="auto"/>
                    <w:right w:val="none" w:sz="0" w:space="0" w:color="auto"/>
                  </w:divBdr>
                  <w:divsChild>
                    <w:div w:id="1169373634">
                      <w:marLeft w:val="0"/>
                      <w:marRight w:val="0"/>
                      <w:marTop w:val="180"/>
                      <w:marBottom w:val="240"/>
                      <w:divBdr>
                        <w:top w:val="none" w:sz="0" w:space="0" w:color="auto"/>
                        <w:left w:val="none" w:sz="0" w:space="0" w:color="auto"/>
                        <w:bottom w:val="none" w:sz="0" w:space="0" w:color="auto"/>
                        <w:right w:val="none" w:sz="0" w:space="0" w:color="auto"/>
                      </w:divBdr>
                    </w:div>
                  </w:divsChild>
                </w:div>
                <w:div w:id="770052039">
                  <w:marLeft w:val="0"/>
                  <w:marRight w:val="0"/>
                  <w:marTop w:val="0"/>
                  <w:marBottom w:val="360"/>
                  <w:divBdr>
                    <w:top w:val="none" w:sz="0" w:space="0" w:color="auto"/>
                    <w:left w:val="none" w:sz="0" w:space="0" w:color="auto"/>
                    <w:bottom w:val="none" w:sz="0" w:space="0" w:color="auto"/>
                    <w:right w:val="none" w:sz="0" w:space="0" w:color="auto"/>
                  </w:divBdr>
                  <w:divsChild>
                    <w:div w:id="24642434">
                      <w:marLeft w:val="0"/>
                      <w:marRight w:val="0"/>
                      <w:marTop w:val="180"/>
                      <w:marBottom w:val="240"/>
                      <w:divBdr>
                        <w:top w:val="none" w:sz="0" w:space="0" w:color="auto"/>
                        <w:left w:val="none" w:sz="0" w:space="0" w:color="auto"/>
                        <w:bottom w:val="none" w:sz="0" w:space="0" w:color="auto"/>
                        <w:right w:val="none" w:sz="0" w:space="0" w:color="auto"/>
                      </w:divBdr>
                    </w:div>
                  </w:divsChild>
                </w:div>
                <w:div w:id="1144548291">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597565634">
                      <w:marLeft w:val="0"/>
                      <w:marRight w:val="0"/>
                      <w:marTop w:val="0"/>
                      <w:marBottom w:val="240"/>
                      <w:divBdr>
                        <w:top w:val="none" w:sz="0" w:space="0" w:color="auto"/>
                        <w:left w:val="none" w:sz="0" w:space="0" w:color="auto"/>
                        <w:bottom w:val="none" w:sz="0" w:space="0" w:color="auto"/>
                        <w:right w:val="none" w:sz="0" w:space="0" w:color="auto"/>
                      </w:divBdr>
                      <w:divsChild>
                        <w:div w:id="1196164194">
                          <w:marLeft w:val="0"/>
                          <w:marRight w:val="0"/>
                          <w:marTop w:val="0"/>
                          <w:marBottom w:val="0"/>
                          <w:divBdr>
                            <w:top w:val="none" w:sz="0" w:space="0" w:color="auto"/>
                            <w:left w:val="none" w:sz="0" w:space="0" w:color="auto"/>
                            <w:bottom w:val="none" w:sz="0" w:space="0" w:color="auto"/>
                            <w:right w:val="none" w:sz="0" w:space="0" w:color="auto"/>
                          </w:divBdr>
                        </w:div>
                        <w:div w:id="642732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2160569">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577205331">
                      <w:marLeft w:val="0"/>
                      <w:marRight w:val="0"/>
                      <w:marTop w:val="0"/>
                      <w:marBottom w:val="240"/>
                      <w:divBdr>
                        <w:top w:val="none" w:sz="0" w:space="0" w:color="auto"/>
                        <w:left w:val="none" w:sz="0" w:space="0" w:color="auto"/>
                        <w:bottom w:val="none" w:sz="0" w:space="0" w:color="auto"/>
                        <w:right w:val="none" w:sz="0" w:space="0" w:color="auto"/>
                      </w:divBdr>
                      <w:divsChild>
                        <w:div w:id="1335569697">
                          <w:marLeft w:val="0"/>
                          <w:marRight w:val="0"/>
                          <w:marTop w:val="0"/>
                          <w:marBottom w:val="0"/>
                          <w:divBdr>
                            <w:top w:val="none" w:sz="0" w:space="0" w:color="auto"/>
                            <w:left w:val="none" w:sz="0" w:space="0" w:color="auto"/>
                            <w:bottom w:val="none" w:sz="0" w:space="0" w:color="auto"/>
                            <w:right w:val="none" w:sz="0" w:space="0" w:color="auto"/>
                          </w:divBdr>
                        </w:div>
                        <w:div w:id="1417168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67495202">
          <w:marLeft w:val="0"/>
          <w:marRight w:val="0"/>
          <w:marTop w:val="0"/>
          <w:marBottom w:val="0"/>
          <w:divBdr>
            <w:top w:val="none" w:sz="0" w:space="0" w:color="auto"/>
            <w:left w:val="none" w:sz="0" w:space="0" w:color="auto"/>
            <w:bottom w:val="none" w:sz="0" w:space="0" w:color="auto"/>
            <w:right w:val="none" w:sz="0" w:space="0" w:color="auto"/>
          </w:divBdr>
          <w:divsChild>
            <w:div w:id="826940472">
              <w:marLeft w:val="0"/>
              <w:marRight w:val="0"/>
              <w:marTop w:val="0"/>
              <w:marBottom w:val="600"/>
              <w:divBdr>
                <w:top w:val="none" w:sz="0" w:space="0" w:color="auto"/>
                <w:left w:val="none" w:sz="0" w:space="0" w:color="auto"/>
                <w:bottom w:val="none" w:sz="0" w:space="0" w:color="auto"/>
                <w:right w:val="none" w:sz="0" w:space="0" w:color="auto"/>
              </w:divBdr>
              <w:divsChild>
                <w:div w:id="950280964">
                  <w:marLeft w:val="0"/>
                  <w:marRight w:val="0"/>
                  <w:marTop w:val="0"/>
                  <w:marBottom w:val="360"/>
                  <w:divBdr>
                    <w:top w:val="none" w:sz="0" w:space="0" w:color="auto"/>
                    <w:left w:val="none" w:sz="0" w:space="0" w:color="auto"/>
                    <w:bottom w:val="none" w:sz="0" w:space="0" w:color="auto"/>
                    <w:right w:val="none" w:sz="0" w:space="0" w:color="auto"/>
                  </w:divBdr>
                  <w:divsChild>
                    <w:div w:id="2037343808">
                      <w:marLeft w:val="0"/>
                      <w:marRight w:val="0"/>
                      <w:marTop w:val="180"/>
                      <w:marBottom w:val="240"/>
                      <w:divBdr>
                        <w:top w:val="none" w:sz="0" w:space="0" w:color="auto"/>
                        <w:left w:val="none" w:sz="0" w:space="0" w:color="auto"/>
                        <w:bottom w:val="none" w:sz="0" w:space="0" w:color="auto"/>
                        <w:right w:val="none" w:sz="0" w:space="0" w:color="auto"/>
                      </w:divBdr>
                    </w:div>
                  </w:divsChild>
                </w:div>
                <w:div w:id="81240382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416170517">
                      <w:marLeft w:val="0"/>
                      <w:marRight w:val="0"/>
                      <w:marTop w:val="0"/>
                      <w:marBottom w:val="240"/>
                      <w:divBdr>
                        <w:top w:val="none" w:sz="0" w:space="0" w:color="auto"/>
                        <w:left w:val="none" w:sz="0" w:space="0" w:color="auto"/>
                        <w:bottom w:val="none" w:sz="0" w:space="0" w:color="auto"/>
                        <w:right w:val="none" w:sz="0" w:space="0" w:color="auto"/>
                      </w:divBdr>
                      <w:divsChild>
                        <w:div w:id="1489899384">
                          <w:marLeft w:val="0"/>
                          <w:marRight w:val="0"/>
                          <w:marTop w:val="0"/>
                          <w:marBottom w:val="0"/>
                          <w:divBdr>
                            <w:top w:val="none" w:sz="0" w:space="0" w:color="auto"/>
                            <w:left w:val="none" w:sz="0" w:space="0" w:color="auto"/>
                            <w:bottom w:val="none" w:sz="0" w:space="0" w:color="auto"/>
                            <w:right w:val="none" w:sz="0" w:space="0" w:color="auto"/>
                          </w:divBdr>
                        </w:div>
                        <w:div w:id="79108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7089458">
                  <w:marLeft w:val="0"/>
                  <w:marRight w:val="0"/>
                  <w:marTop w:val="0"/>
                  <w:marBottom w:val="360"/>
                  <w:divBdr>
                    <w:top w:val="none" w:sz="0" w:space="0" w:color="auto"/>
                    <w:left w:val="none" w:sz="0" w:space="0" w:color="auto"/>
                    <w:bottom w:val="none" w:sz="0" w:space="0" w:color="auto"/>
                    <w:right w:val="none" w:sz="0" w:space="0" w:color="auto"/>
                  </w:divBdr>
                  <w:divsChild>
                    <w:div w:id="1561941787">
                      <w:marLeft w:val="0"/>
                      <w:marRight w:val="0"/>
                      <w:marTop w:val="180"/>
                      <w:marBottom w:val="240"/>
                      <w:divBdr>
                        <w:top w:val="none" w:sz="0" w:space="0" w:color="auto"/>
                        <w:left w:val="none" w:sz="0" w:space="0" w:color="auto"/>
                        <w:bottom w:val="none" w:sz="0" w:space="0" w:color="auto"/>
                        <w:right w:val="none" w:sz="0" w:space="0" w:color="auto"/>
                      </w:divBdr>
                    </w:div>
                  </w:divsChild>
                </w:div>
                <w:div w:id="1398166185">
                  <w:marLeft w:val="0"/>
                  <w:marRight w:val="0"/>
                  <w:marTop w:val="0"/>
                  <w:marBottom w:val="360"/>
                  <w:divBdr>
                    <w:top w:val="none" w:sz="0" w:space="0" w:color="auto"/>
                    <w:left w:val="none" w:sz="0" w:space="0" w:color="auto"/>
                    <w:bottom w:val="none" w:sz="0" w:space="0" w:color="auto"/>
                    <w:right w:val="none" w:sz="0" w:space="0" w:color="auto"/>
                  </w:divBdr>
                  <w:divsChild>
                    <w:div w:id="1166092506">
                      <w:marLeft w:val="0"/>
                      <w:marRight w:val="0"/>
                      <w:marTop w:val="180"/>
                      <w:marBottom w:val="240"/>
                      <w:divBdr>
                        <w:top w:val="none" w:sz="0" w:space="0" w:color="auto"/>
                        <w:left w:val="none" w:sz="0" w:space="0" w:color="auto"/>
                        <w:bottom w:val="none" w:sz="0" w:space="0" w:color="auto"/>
                        <w:right w:val="none" w:sz="0" w:space="0" w:color="auto"/>
                      </w:divBdr>
                    </w:div>
                  </w:divsChild>
                </w:div>
                <w:div w:id="201795361">
                  <w:marLeft w:val="0"/>
                  <w:marRight w:val="0"/>
                  <w:marTop w:val="0"/>
                  <w:marBottom w:val="360"/>
                  <w:divBdr>
                    <w:top w:val="none" w:sz="0" w:space="0" w:color="auto"/>
                    <w:left w:val="none" w:sz="0" w:space="0" w:color="auto"/>
                    <w:bottom w:val="none" w:sz="0" w:space="0" w:color="auto"/>
                    <w:right w:val="none" w:sz="0" w:space="0" w:color="auto"/>
                  </w:divBdr>
                  <w:divsChild>
                    <w:div w:id="1011221841">
                      <w:marLeft w:val="0"/>
                      <w:marRight w:val="0"/>
                      <w:marTop w:val="180"/>
                      <w:marBottom w:val="240"/>
                      <w:divBdr>
                        <w:top w:val="none" w:sz="0" w:space="0" w:color="auto"/>
                        <w:left w:val="none" w:sz="0" w:space="0" w:color="auto"/>
                        <w:bottom w:val="none" w:sz="0" w:space="0" w:color="auto"/>
                        <w:right w:val="none" w:sz="0" w:space="0" w:color="auto"/>
                      </w:divBdr>
                    </w:div>
                  </w:divsChild>
                </w:div>
                <w:div w:id="28383893">
                  <w:marLeft w:val="0"/>
                  <w:marRight w:val="0"/>
                  <w:marTop w:val="0"/>
                  <w:marBottom w:val="360"/>
                  <w:divBdr>
                    <w:top w:val="none" w:sz="0" w:space="0" w:color="auto"/>
                    <w:left w:val="none" w:sz="0" w:space="0" w:color="auto"/>
                    <w:bottom w:val="none" w:sz="0" w:space="0" w:color="auto"/>
                    <w:right w:val="none" w:sz="0" w:space="0" w:color="auto"/>
                  </w:divBdr>
                  <w:divsChild>
                    <w:div w:id="983892845">
                      <w:marLeft w:val="0"/>
                      <w:marRight w:val="0"/>
                      <w:marTop w:val="180"/>
                      <w:marBottom w:val="240"/>
                      <w:divBdr>
                        <w:top w:val="none" w:sz="0" w:space="0" w:color="auto"/>
                        <w:left w:val="none" w:sz="0" w:space="0" w:color="auto"/>
                        <w:bottom w:val="none" w:sz="0" w:space="0" w:color="auto"/>
                        <w:right w:val="none" w:sz="0" w:space="0" w:color="auto"/>
                      </w:divBdr>
                    </w:div>
                  </w:divsChild>
                </w:div>
                <w:div w:id="220291804">
                  <w:marLeft w:val="0"/>
                  <w:marRight w:val="0"/>
                  <w:marTop w:val="0"/>
                  <w:marBottom w:val="360"/>
                  <w:divBdr>
                    <w:top w:val="none" w:sz="0" w:space="0" w:color="auto"/>
                    <w:left w:val="none" w:sz="0" w:space="0" w:color="auto"/>
                    <w:bottom w:val="none" w:sz="0" w:space="0" w:color="auto"/>
                    <w:right w:val="none" w:sz="0" w:space="0" w:color="auto"/>
                  </w:divBdr>
                  <w:divsChild>
                    <w:div w:id="1621105493">
                      <w:marLeft w:val="0"/>
                      <w:marRight w:val="0"/>
                      <w:marTop w:val="180"/>
                      <w:marBottom w:val="240"/>
                      <w:divBdr>
                        <w:top w:val="none" w:sz="0" w:space="0" w:color="auto"/>
                        <w:left w:val="none" w:sz="0" w:space="0" w:color="auto"/>
                        <w:bottom w:val="none" w:sz="0" w:space="0" w:color="auto"/>
                        <w:right w:val="none" w:sz="0" w:space="0" w:color="auto"/>
                      </w:divBdr>
                    </w:div>
                  </w:divsChild>
                </w:div>
                <w:div w:id="1189878590">
                  <w:marLeft w:val="0"/>
                  <w:marRight w:val="0"/>
                  <w:marTop w:val="0"/>
                  <w:marBottom w:val="360"/>
                  <w:divBdr>
                    <w:top w:val="none" w:sz="0" w:space="0" w:color="auto"/>
                    <w:left w:val="none" w:sz="0" w:space="0" w:color="auto"/>
                    <w:bottom w:val="none" w:sz="0" w:space="0" w:color="auto"/>
                    <w:right w:val="none" w:sz="0" w:space="0" w:color="auto"/>
                  </w:divBdr>
                  <w:divsChild>
                    <w:div w:id="1166482289">
                      <w:marLeft w:val="0"/>
                      <w:marRight w:val="0"/>
                      <w:marTop w:val="180"/>
                      <w:marBottom w:val="240"/>
                      <w:divBdr>
                        <w:top w:val="none" w:sz="0" w:space="0" w:color="auto"/>
                        <w:left w:val="none" w:sz="0" w:space="0" w:color="auto"/>
                        <w:bottom w:val="none" w:sz="0" w:space="0" w:color="auto"/>
                        <w:right w:val="none" w:sz="0" w:space="0" w:color="auto"/>
                      </w:divBdr>
                    </w:div>
                  </w:divsChild>
                </w:div>
                <w:div w:id="1238857605">
                  <w:marLeft w:val="0"/>
                  <w:marRight w:val="0"/>
                  <w:marTop w:val="0"/>
                  <w:marBottom w:val="360"/>
                  <w:divBdr>
                    <w:top w:val="none" w:sz="0" w:space="0" w:color="auto"/>
                    <w:left w:val="none" w:sz="0" w:space="0" w:color="auto"/>
                    <w:bottom w:val="none" w:sz="0" w:space="0" w:color="auto"/>
                    <w:right w:val="none" w:sz="0" w:space="0" w:color="auto"/>
                  </w:divBdr>
                  <w:divsChild>
                    <w:div w:id="663239906">
                      <w:marLeft w:val="0"/>
                      <w:marRight w:val="0"/>
                      <w:marTop w:val="180"/>
                      <w:marBottom w:val="240"/>
                      <w:divBdr>
                        <w:top w:val="none" w:sz="0" w:space="0" w:color="auto"/>
                        <w:left w:val="none" w:sz="0" w:space="0" w:color="auto"/>
                        <w:bottom w:val="none" w:sz="0" w:space="0" w:color="auto"/>
                        <w:right w:val="none" w:sz="0" w:space="0" w:color="auto"/>
                      </w:divBdr>
                    </w:div>
                  </w:divsChild>
                </w:div>
                <w:div w:id="498934881">
                  <w:marLeft w:val="0"/>
                  <w:marRight w:val="0"/>
                  <w:marTop w:val="0"/>
                  <w:marBottom w:val="360"/>
                  <w:divBdr>
                    <w:top w:val="none" w:sz="0" w:space="0" w:color="auto"/>
                    <w:left w:val="none" w:sz="0" w:space="0" w:color="auto"/>
                    <w:bottom w:val="none" w:sz="0" w:space="0" w:color="auto"/>
                    <w:right w:val="none" w:sz="0" w:space="0" w:color="auto"/>
                  </w:divBdr>
                  <w:divsChild>
                    <w:div w:id="1232227628">
                      <w:marLeft w:val="0"/>
                      <w:marRight w:val="0"/>
                      <w:marTop w:val="180"/>
                      <w:marBottom w:val="240"/>
                      <w:divBdr>
                        <w:top w:val="none" w:sz="0" w:space="0" w:color="auto"/>
                        <w:left w:val="none" w:sz="0" w:space="0" w:color="auto"/>
                        <w:bottom w:val="none" w:sz="0" w:space="0" w:color="auto"/>
                        <w:right w:val="none" w:sz="0" w:space="0" w:color="auto"/>
                      </w:divBdr>
                    </w:div>
                  </w:divsChild>
                </w:div>
                <w:div w:id="2004503096">
                  <w:marLeft w:val="0"/>
                  <w:marRight w:val="0"/>
                  <w:marTop w:val="0"/>
                  <w:marBottom w:val="360"/>
                  <w:divBdr>
                    <w:top w:val="none" w:sz="0" w:space="0" w:color="auto"/>
                    <w:left w:val="none" w:sz="0" w:space="0" w:color="auto"/>
                    <w:bottom w:val="none" w:sz="0" w:space="0" w:color="auto"/>
                    <w:right w:val="none" w:sz="0" w:space="0" w:color="auto"/>
                  </w:divBdr>
                  <w:divsChild>
                    <w:div w:id="510684371">
                      <w:marLeft w:val="0"/>
                      <w:marRight w:val="0"/>
                      <w:marTop w:val="180"/>
                      <w:marBottom w:val="240"/>
                      <w:divBdr>
                        <w:top w:val="none" w:sz="0" w:space="0" w:color="auto"/>
                        <w:left w:val="none" w:sz="0" w:space="0" w:color="auto"/>
                        <w:bottom w:val="none" w:sz="0" w:space="0" w:color="auto"/>
                        <w:right w:val="none" w:sz="0" w:space="0" w:color="auto"/>
                      </w:divBdr>
                    </w:div>
                  </w:divsChild>
                </w:div>
                <w:div w:id="1164122741">
                  <w:marLeft w:val="0"/>
                  <w:marRight w:val="0"/>
                  <w:marTop w:val="0"/>
                  <w:marBottom w:val="360"/>
                  <w:divBdr>
                    <w:top w:val="none" w:sz="0" w:space="0" w:color="auto"/>
                    <w:left w:val="none" w:sz="0" w:space="0" w:color="auto"/>
                    <w:bottom w:val="none" w:sz="0" w:space="0" w:color="auto"/>
                    <w:right w:val="none" w:sz="0" w:space="0" w:color="auto"/>
                  </w:divBdr>
                  <w:divsChild>
                    <w:div w:id="1739397767">
                      <w:marLeft w:val="0"/>
                      <w:marRight w:val="0"/>
                      <w:marTop w:val="180"/>
                      <w:marBottom w:val="240"/>
                      <w:divBdr>
                        <w:top w:val="none" w:sz="0" w:space="0" w:color="auto"/>
                        <w:left w:val="none" w:sz="0" w:space="0" w:color="auto"/>
                        <w:bottom w:val="none" w:sz="0" w:space="0" w:color="auto"/>
                        <w:right w:val="none" w:sz="0" w:space="0" w:color="auto"/>
                      </w:divBdr>
                    </w:div>
                  </w:divsChild>
                </w:div>
                <w:div w:id="1920671800">
                  <w:marLeft w:val="0"/>
                  <w:marRight w:val="0"/>
                  <w:marTop w:val="0"/>
                  <w:marBottom w:val="360"/>
                  <w:divBdr>
                    <w:top w:val="none" w:sz="0" w:space="0" w:color="auto"/>
                    <w:left w:val="none" w:sz="0" w:space="0" w:color="auto"/>
                    <w:bottom w:val="none" w:sz="0" w:space="0" w:color="auto"/>
                    <w:right w:val="none" w:sz="0" w:space="0" w:color="auto"/>
                  </w:divBdr>
                  <w:divsChild>
                    <w:div w:id="283116037">
                      <w:marLeft w:val="0"/>
                      <w:marRight w:val="0"/>
                      <w:marTop w:val="180"/>
                      <w:marBottom w:val="240"/>
                      <w:divBdr>
                        <w:top w:val="none" w:sz="0" w:space="0" w:color="auto"/>
                        <w:left w:val="none" w:sz="0" w:space="0" w:color="auto"/>
                        <w:bottom w:val="none" w:sz="0" w:space="0" w:color="auto"/>
                        <w:right w:val="none" w:sz="0" w:space="0" w:color="auto"/>
                      </w:divBdr>
                    </w:div>
                  </w:divsChild>
                </w:div>
                <w:div w:id="75133049">
                  <w:marLeft w:val="0"/>
                  <w:marRight w:val="0"/>
                  <w:marTop w:val="0"/>
                  <w:marBottom w:val="360"/>
                  <w:divBdr>
                    <w:top w:val="single" w:sz="36" w:space="15" w:color="D5D5D5"/>
                    <w:left w:val="single" w:sz="36" w:space="8" w:color="D5D5D5"/>
                    <w:bottom w:val="single" w:sz="36" w:space="15" w:color="D5D5D5"/>
                    <w:right w:val="single" w:sz="36" w:space="8" w:color="D5D5D5"/>
                  </w:divBdr>
                </w:div>
                <w:div w:id="2032951155">
                  <w:marLeft w:val="0"/>
                  <w:marRight w:val="0"/>
                  <w:marTop w:val="0"/>
                  <w:marBottom w:val="360"/>
                  <w:divBdr>
                    <w:top w:val="single" w:sz="36" w:space="15" w:color="D5D5D5"/>
                    <w:left w:val="single" w:sz="36" w:space="8" w:color="D5D5D5"/>
                    <w:bottom w:val="single" w:sz="36" w:space="15" w:color="D5D5D5"/>
                    <w:right w:val="single" w:sz="36" w:space="8" w:color="D5D5D5"/>
                  </w:divBdr>
                </w:div>
                <w:div w:id="490949291">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12864156">
                      <w:marLeft w:val="0"/>
                      <w:marRight w:val="0"/>
                      <w:marTop w:val="0"/>
                      <w:marBottom w:val="240"/>
                      <w:divBdr>
                        <w:top w:val="none" w:sz="0" w:space="0" w:color="auto"/>
                        <w:left w:val="none" w:sz="0" w:space="0" w:color="auto"/>
                        <w:bottom w:val="none" w:sz="0" w:space="0" w:color="auto"/>
                        <w:right w:val="none" w:sz="0" w:space="0" w:color="auto"/>
                      </w:divBdr>
                      <w:divsChild>
                        <w:div w:id="1584610685">
                          <w:marLeft w:val="0"/>
                          <w:marRight w:val="0"/>
                          <w:marTop w:val="0"/>
                          <w:marBottom w:val="0"/>
                          <w:divBdr>
                            <w:top w:val="none" w:sz="0" w:space="0" w:color="auto"/>
                            <w:left w:val="none" w:sz="0" w:space="0" w:color="auto"/>
                            <w:bottom w:val="none" w:sz="0" w:space="0" w:color="auto"/>
                            <w:right w:val="none" w:sz="0" w:space="0" w:color="auto"/>
                          </w:divBdr>
                        </w:div>
                        <w:div w:id="188181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0477927">
                  <w:marLeft w:val="0"/>
                  <w:marRight w:val="0"/>
                  <w:marTop w:val="0"/>
                  <w:marBottom w:val="360"/>
                  <w:divBdr>
                    <w:top w:val="none" w:sz="0" w:space="0" w:color="auto"/>
                    <w:left w:val="none" w:sz="0" w:space="0" w:color="auto"/>
                    <w:bottom w:val="none" w:sz="0" w:space="0" w:color="auto"/>
                    <w:right w:val="none" w:sz="0" w:space="0" w:color="auto"/>
                  </w:divBdr>
                  <w:divsChild>
                    <w:div w:id="614025639">
                      <w:marLeft w:val="0"/>
                      <w:marRight w:val="0"/>
                      <w:marTop w:val="180"/>
                      <w:marBottom w:val="240"/>
                      <w:divBdr>
                        <w:top w:val="none" w:sz="0" w:space="0" w:color="auto"/>
                        <w:left w:val="none" w:sz="0" w:space="0" w:color="auto"/>
                        <w:bottom w:val="none" w:sz="0" w:space="0" w:color="auto"/>
                        <w:right w:val="none" w:sz="0" w:space="0" w:color="auto"/>
                      </w:divBdr>
                    </w:div>
                  </w:divsChild>
                </w:div>
                <w:div w:id="790435694">
                  <w:marLeft w:val="0"/>
                  <w:marRight w:val="0"/>
                  <w:marTop w:val="0"/>
                  <w:marBottom w:val="360"/>
                  <w:divBdr>
                    <w:top w:val="none" w:sz="0" w:space="0" w:color="auto"/>
                    <w:left w:val="none" w:sz="0" w:space="0" w:color="auto"/>
                    <w:bottom w:val="none" w:sz="0" w:space="0" w:color="auto"/>
                    <w:right w:val="none" w:sz="0" w:space="0" w:color="auto"/>
                  </w:divBdr>
                  <w:divsChild>
                    <w:div w:id="665716844">
                      <w:marLeft w:val="0"/>
                      <w:marRight w:val="0"/>
                      <w:marTop w:val="180"/>
                      <w:marBottom w:val="240"/>
                      <w:divBdr>
                        <w:top w:val="none" w:sz="0" w:space="0" w:color="auto"/>
                        <w:left w:val="none" w:sz="0" w:space="0" w:color="auto"/>
                        <w:bottom w:val="none" w:sz="0" w:space="0" w:color="auto"/>
                        <w:right w:val="none" w:sz="0" w:space="0" w:color="auto"/>
                      </w:divBdr>
                    </w:div>
                  </w:divsChild>
                </w:div>
                <w:div w:id="1688556381">
                  <w:marLeft w:val="0"/>
                  <w:marRight w:val="0"/>
                  <w:marTop w:val="0"/>
                  <w:marBottom w:val="360"/>
                  <w:divBdr>
                    <w:top w:val="none" w:sz="0" w:space="0" w:color="auto"/>
                    <w:left w:val="none" w:sz="0" w:space="0" w:color="auto"/>
                    <w:bottom w:val="none" w:sz="0" w:space="0" w:color="auto"/>
                    <w:right w:val="none" w:sz="0" w:space="0" w:color="auto"/>
                  </w:divBdr>
                  <w:divsChild>
                    <w:div w:id="1985619876">
                      <w:marLeft w:val="0"/>
                      <w:marRight w:val="0"/>
                      <w:marTop w:val="180"/>
                      <w:marBottom w:val="240"/>
                      <w:divBdr>
                        <w:top w:val="none" w:sz="0" w:space="0" w:color="auto"/>
                        <w:left w:val="none" w:sz="0" w:space="0" w:color="auto"/>
                        <w:bottom w:val="none" w:sz="0" w:space="0" w:color="auto"/>
                        <w:right w:val="none" w:sz="0" w:space="0" w:color="auto"/>
                      </w:divBdr>
                    </w:div>
                  </w:divsChild>
                </w:div>
                <w:div w:id="1381437531">
                  <w:marLeft w:val="0"/>
                  <w:marRight w:val="0"/>
                  <w:marTop w:val="0"/>
                  <w:marBottom w:val="360"/>
                  <w:divBdr>
                    <w:top w:val="none" w:sz="0" w:space="0" w:color="auto"/>
                    <w:left w:val="none" w:sz="0" w:space="0" w:color="auto"/>
                    <w:bottom w:val="none" w:sz="0" w:space="0" w:color="auto"/>
                    <w:right w:val="none" w:sz="0" w:space="0" w:color="auto"/>
                  </w:divBdr>
                  <w:divsChild>
                    <w:div w:id="1093354403">
                      <w:marLeft w:val="0"/>
                      <w:marRight w:val="0"/>
                      <w:marTop w:val="180"/>
                      <w:marBottom w:val="240"/>
                      <w:divBdr>
                        <w:top w:val="none" w:sz="0" w:space="0" w:color="auto"/>
                        <w:left w:val="none" w:sz="0" w:space="0" w:color="auto"/>
                        <w:bottom w:val="none" w:sz="0" w:space="0" w:color="auto"/>
                        <w:right w:val="none" w:sz="0" w:space="0" w:color="auto"/>
                      </w:divBdr>
                    </w:div>
                  </w:divsChild>
                </w:div>
                <w:div w:id="1383292611">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583956484">
                      <w:marLeft w:val="0"/>
                      <w:marRight w:val="0"/>
                      <w:marTop w:val="0"/>
                      <w:marBottom w:val="240"/>
                      <w:divBdr>
                        <w:top w:val="none" w:sz="0" w:space="0" w:color="auto"/>
                        <w:left w:val="none" w:sz="0" w:space="0" w:color="auto"/>
                        <w:bottom w:val="none" w:sz="0" w:space="0" w:color="auto"/>
                        <w:right w:val="none" w:sz="0" w:space="0" w:color="auto"/>
                      </w:divBdr>
                      <w:divsChild>
                        <w:div w:id="182135381">
                          <w:marLeft w:val="0"/>
                          <w:marRight w:val="0"/>
                          <w:marTop w:val="0"/>
                          <w:marBottom w:val="0"/>
                          <w:divBdr>
                            <w:top w:val="none" w:sz="0" w:space="0" w:color="auto"/>
                            <w:left w:val="none" w:sz="0" w:space="0" w:color="auto"/>
                            <w:bottom w:val="none" w:sz="0" w:space="0" w:color="auto"/>
                            <w:right w:val="none" w:sz="0" w:space="0" w:color="auto"/>
                          </w:divBdr>
                        </w:div>
                        <w:div w:id="29453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130522">
                  <w:marLeft w:val="0"/>
                  <w:marRight w:val="0"/>
                  <w:marTop w:val="0"/>
                  <w:marBottom w:val="360"/>
                  <w:divBdr>
                    <w:top w:val="none" w:sz="0" w:space="0" w:color="auto"/>
                    <w:left w:val="none" w:sz="0" w:space="0" w:color="auto"/>
                    <w:bottom w:val="none" w:sz="0" w:space="0" w:color="auto"/>
                    <w:right w:val="none" w:sz="0" w:space="0" w:color="auto"/>
                  </w:divBdr>
                  <w:divsChild>
                    <w:div w:id="210966043">
                      <w:marLeft w:val="0"/>
                      <w:marRight w:val="0"/>
                      <w:marTop w:val="180"/>
                      <w:marBottom w:val="240"/>
                      <w:divBdr>
                        <w:top w:val="none" w:sz="0" w:space="0" w:color="auto"/>
                        <w:left w:val="none" w:sz="0" w:space="0" w:color="auto"/>
                        <w:bottom w:val="none" w:sz="0" w:space="0" w:color="auto"/>
                        <w:right w:val="none" w:sz="0" w:space="0" w:color="auto"/>
                      </w:divBdr>
                    </w:div>
                  </w:divsChild>
                </w:div>
                <w:div w:id="181371441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192918298">
                      <w:marLeft w:val="0"/>
                      <w:marRight w:val="0"/>
                      <w:marTop w:val="0"/>
                      <w:marBottom w:val="240"/>
                      <w:divBdr>
                        <w:top w:val="none" w:sz="0" w:space="0" w:color="auto"/>
                        <w:left w:val="none" w:sz="0" w:space="0" w:color="auto"/>
                        <w:bottom w:val="none" w:sz="0" w:space="0" w:color="auto"/>
                        <w:right w:val="none" w:sz="0" w:space="0" w:color="auto"/>
                      </w:divBdr>
                      <w:divsChild>
                        <w:div w:id="1446996624">
                          <w:marLeft w:val="0"/>
                          <w:marRight w:val="0"/>
                          <w:marTop w:val="0"/>
                          <w:marBottom w:val="0"/>
                          <w:divBdr>
                            <w:top w:val="none" w:sz="0" w:space="0" w:color="auto"/>
                            <w:left w:val="none" w:sz="0" w:space="0" w:color="auto"/>
                            <w:bottom w:val="none" w:sz="0" w:space="0" w:color="auto"/>
                            <w:right w:val="none" w:sz="0" w:space="0" w:color="auto"/>
                          </w:divBdr>
                        </w:div>
                        <w:div w:id="1334189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1378407">
                  <w:marLeft w:val="0"/>
                  <w:marRight w:val="0"/>
                  <w:marTop w:val="0"/>
                  <w:marBottom w:val="360"/>
                  <w:divBdr>
                    <w:top w:val="none" w:sz="0" w:space="0" w:color="auto"/>
                    <w:left w:val="none" w:sz="0" w:space="0" w:color="auto"/>
                    <w:bottom w:val="none" w:sz="0" w:space="0" w:color="auto"/>
                    <w:right w:val="none" w:sz="0" w:space="0" w:color="auto"/>
                  </w:divBdr>
                  <w:divsChild>
                    <w:div w:id="794718682">
                      <w:marLeft w:val="0"/>
                      <w:marRight w:val="0"/>
                      <w:marTop w:val="180"/>
                      <w:marBottom w:val="240"/>
                      <w:divBdr>
                        <w:top w:val="none" w:sz="0" w:space="0" w:color="auto"/>
                        <w:left w:val="none" w:sz="0" w:space="0" w:color="auto"/>
                        <w:bottom w:val="none" w:sz="0" w:space="0" w:color="auto"/>
                        <w:right w:val="none" w:sz="0" w:space="0" w:color="auto"/>
                      </w:divBdr>
                    </w:div>
                  </w:divsChild>
                </w:div>
                <w:div w:id="2093503583">
                  <w:marLeft w:val="0"/>
                  <w:marRight w:val="0"/>
                  <w:marTop w:val="0"/>
                  <w:marBottom w:val="360"/>
                  <w:divBdr>
                    <w:top w:val="none" w:sz="0" w:space="0" w:color="auto"/>
                    <w:left w:val="none" w:sz="0" w:space="0" w:color="auto"/>
                    <w:bottom w:val="none" w:sz="0" w:space="0" w:color="auto"/>
                    <w:right w:val="none" w:sz="0" w:space="0" w:color="auto"/>
                  </w:divBdr>
                  <w:divsChild>
                    <w:div w:id="435711551">
                      <w:marLeft w:val="0"/>
                      <w:marRight w:val="0"/>
                      <w:marTop w:val="180"/>
                      <w:marBottom w:val="240"/>
                      <w:divBdr>
                        <w:top w:val="none" w:sz="0" w:space="0" w:color="auto"/>
                        <w:left w:val="none" w:sz="0" w:space="0" w:color="auto"/>
                        <w:bottom w:val="none" w:sz="0" w:space="0" w:color="auto"/>
                        <w:right w:val="none" w:sz="0" w:space="0" w:color="auto"/>
                      </w:divBdr>
                    </w:div>
                  </w:divsChild>
                </w:div>
                <w:div w:id="431318675">
                  <w:marLeft w:val="0"/>
                  <w:marRight w:val="0"/>
                  <w:marTop w:val="0"/>
                  <w:marBottom w:val="360"/>
                  <w:divBdr>
                    <w:top w:val="none" w:sz="0" w:space="0" w:color="auto"/>
                    <w:left w:val="none" w:sz="0" w:space="0" w:color="auto"/>
                    <w:bottom w:val="none" w:sz="0" w:space="0" w:color="auto"/>
                    <w:right w:val="none" w:sz="0" w:space="0" w:color="auto"/>
                  </w:divBdr>
                  <w:divsChild>
                    <w:div w:id="1332027979">
                      <w:marLeft w:val="0"/>
                      <w:marRight w:val="0"/>
                      <w:marTop w:val="180"/>
                      <w:marBottom w:val="240"/>
                      <w:divBdr>
                        <w:top w:val="none" w:sz="0" w:space="0" w:color="auto"/>
                        <w:left w:val="none" w:sz="0" w:space="0" w:color="auto"/>
                        <w:bottom w:val="none" w:sz="0" w:space="0" w:color="auto"/>
                        <w:right w:val="none" w:sz="0" w:space="0" w:color="auto"/>
                      </w:divBdr>
                    </w:div>
                  </w:divsChild>
                </w:div>
                <w:div w:id="250164924">
                  <w:marLeft w:val="0"/>
                  <w:marRight w:val="0"/>
                  <w:marTop w:val="0"/>
                  <w:marBottom w:val="360"/>
                  <w:divBdr>
                    <w:top w:val="none" w:sz="0" w:space="0" w:color="auto"/>
                    <w:left w:val="none" w:sz="0" w:space="0" w:color="auto"/>
                    <w:bottom w:val="none" w:sz="0" w:space="0" w:color="auto"/>
                    <w:right w:val="none" w:sz="0" w:space="0" w:color="auto"/>
                  </w:divBdr>
                  <w:divsChild>
                    <w:div w:id="799343296">
                      <w:marLeft w:val="0"/>
                      <w:marRight w:val="0"/>
                      <w:marTop w:val="180"/>
                      <w:marBottom w:val="240"/>
                      <w:divBdr>
                        <w:top w:val="none" w:sz="0" w:space="0" w:color="auto"/>
                        <w:left w:val="none" w:sz="0" w:space="0" w:color="auto"/>
                        <w:bottom w:val="none" w:sz="0" w:space="0" w:color="auto"/>
                        <w:right w:val="none" w:sz="0" w:space="0" w:color="auto"/>
                      </w:divBdr>
                    </w:div>
                  </w:divsChild>
                </w:div>
                <w:div w:id="2733558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888684875">
                      <w:marLeft w:val="0"/>
                      <w:marRight w:val="0"/>
                      <w:marTop w:val="0"/>
                      <w:marBottom w:val="240"/>
                      <w:divBdr>
                        <w:top w:val="none" w:sz="0" w:space="0" w:color="auto"/>
                        <w:left w:val="none" w:sz="0" w:space="0" w:color="auto"/>
                        <w:bottom w:val="none" w:sz="0" w:space="0" w:color="auto"/>
                        <w:right w:val="none" w:sz="0" w:space="0" w:color="auto"/>
                      </w:divBdr>
                      <w:divsChild>
                        <w:div w:id="1749232393">
                          <w:marLeft w:val="0"/>
                          <w:marRight w:val="0"/>
                          <w:marTop w:val="0"/>
                          <w:marBottom w:val="0"/>
                          <w:divBdr>
                            <w:top w:val="none" w:sz="0" w:space="0" w:color="auto"/>
                            <w:left w:val="none" w:sz="0" w:space="0" w:color="auto"/>
                            <w:bottom w:val="none" w:sz="0" w:space="0" w:color="auto"/>
                            <w:right w:val="none" w:sz="0" w:space="0" w:color="auto"/>
                          </w:divBdr>
                        </w:div>
                        <w:div w:id="2067407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3960139">
                  <w:marLeft w:val="0"/>
                  <w:marRight w:val="0"/>
                  <w:marTop w:val="0"/>
                  <w:marBottom w:val="360"/>
                  <w:divBdr>
                    <w:top w:val="none" w:sz="0" w:space="0" w:color="auto"/>
                    <w:left w:val="none" w:sz="0" w:space="0" w:color="auto"/>
                    <w:bottom w:val="none" w:sz="0" w:space="0" w:color="auto"/>
                    <w:right w:val="none" w:sz="0" w:space="0" w:color="auto"/>
                  </w:divBdr>
                  <w:divsChild>
                    <w:div w:id="1097560523">
                      <w:marLeft w:val="0"/>
                      <w:marRight w:val="0"/>
                      <w:marTop w:val="180"/>
                      <w:marBottom w:val="240"/>
                      <w:divBdr>
                        <w:top w:val="none" w:sz="0" w:space="0" w:color="auto"/>
                        <w:left w:val="none" w:sz="0" w:space="0" w:color="auto"/>
                        <w:bottom w:val="none" w:sz="0" w:space="0" w:color="auto"/>
                        <w:right w:val="none" w:sz="0" w:space="0" w:color="auto"/>
                      </w:divBdr>
                    </w:div>
                  </w:divsChild>
                </w:div>
                <w:div w:id="1107119084">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743142290">
                      <w:marLeft w:val="0"/>
                      <w:marRight w:val="0"/>
                      <w:marTop w:val="0"/>
                      <w:marBottom w:val="240"/>
                      <w:divBdr>
                        <w:top w:val="none" w:sz="0" w:space="0" w:color="auto"/>
                        <w:left w:val="none" w:sz="0" w:space="0" w:color="auto"/>
                        <w:bottom w:val="none" w:sz="0" w:space="0" w:color="auto"/>
                        <w:right w:val="none" w:sz="0" w:space="0" w:color="auto"/>
                      </w:divBdr>
                      <w:divsChild>
                        <w:div w:id="1485901413">
                          <w:marLeft w:val="0"/>
                          <w:marRight w:val="0"/>
                          <w:marTop w:val="0"/>
                          <w:marBottom w:val="0"/>
                          <w:divBdr>
                            <w:top w:val="none" w:sz="0" w:space="0" w:color="auto"/>
                            <w:left w:val="none" w:sz="0" w:space="0" w:color="auto"/>
                            <w:bottom w:val="none" w:sz="0" w:space="0" w:color="auto"/>
                            <w:right w:val="none" w:sz="0" w:space="0" w:color="auto"/>
                          </w:divBdr>
                        </w:div>
                        <w:div w:id="1270358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7847087">
          <w:marLeft w:val="0"/>
          <w:marRight w:val="0"/>
          <w:marTop w:val="0"/>
          <w:marBottom w:val="0"/>
          <w:divBdr>
            <w:top w:val="none" w:sz="0" w:space="0" w:color="auto"/>
            <w:left w:val="none" w:sz="0" w:space="0" w:color="auto"/>
            <w:bottom w:val="none" w:sz="0" w:space="0" w:color="auto"/>
            <w:right w:val="none" w:sz="0" w:space="0" w:color="auto"/>
          </w:divBdr>
          <w:divsChild>
            <w:div w:id="553546067">
              <w:marLeft w:val="0"/>
              <w:marRight w:val="0"/>
              <w:marTop w:val="0"/>
              <w:marBottom w:val="600"/>
              <w:divBdr>
                <w:top w:val="none" w:sz="0" w:space="0" w:color="auto"/>
                <w:left w:val="none" w:sz="0" w:space="0" w:color="auto"/>
                <w:bottom w:val="none" w:sz="0" w:space="0" w:color="auto"/>
                <w:right w:val="none" w:sz="0" w:space="0" w:color="auto"/>
              </w:divBdr>
            </w:div>
          </w:divsChild>
        </w:div>
        <w:div w:id="933170171">
          <w:marLeft w:val="0"/>
          <w:marRight w:val="0"/>
          <w:marTop w:val="0"/>
          <w:marBottom w:val="0"/>
          <w:divBdr>
            <w:top w:val="none" w:sz="0" w:space="0" w:color="auto"/>
            <w:left w:val="none" w:sz="0" w:space="0" w:color="auto"/>
            <w:bottom w:val="none" w:sz="0" w:space="0" w:color="auto"/>
            <w:right w:val="none" w:sz="0" w:space="0" w:color="auto"/>
          </w:divBdr>
          <w:divsChild>
            <w:div w:id="700010746">
              <w:marLeft w:val="0"/>
              <w:marRight w:val="0"/>
              <w:marTop w:val="0"/>
              <w:marBottom w:val="600"/>
              <w:divBdr>
                <w:top w:val="none" w:sz="0" w:space="0" w:color="auto"/>
                <w:left w:val="none" w:sz="0" w:space="0" w:color="auto"/>
                <w:bottom w:val="none" w:sz="0" w:space="0" w:color="auto"/>
                <w:right w:val="none" w:sz="0" w:space="0" w:color="auto"/>
              </w:divBdr>
              <w:divsChild>
                <w:div w:id="296763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0591506">
          <w:marLeft w:val="0"/>
          <w:marRight w:val="0"/>
          <w:marTop w:val="0"/>
          <w:marBottom w:val="0"/>
          <w:divBdr>
            <w:top w:val="none" w:sz="0" w:space="0" w:color="auto"/>
            <w:left w:val="none" w:sz="0" w:space="0" w:color="auto"/>
            <w:bottom w:val="none" w:sz="0" w:space="0" w:color="auto"/>
            <w:right w:val="none" w:sz="0" w:space="0" w:color="auto"/>
          </w:divBdr>
          <w:divsChild>
            <w:div w:id="835728202">
              <w:marLeft w:val="0"/>
              <w:marRight w:val="0"/>
              <w:marTop w:val="0"/>
              <w:marBottom w:val="600"/>
              <w:divBdr>
                <w:top w:val="none" w:sz="0" w:space="0" w:color="auto"/>
                <w:left w:val="none" w:sz="0" w:space="0" w:color="auto"/>
                <w:bottom w:val="none" w:sz="0" w:space="0" w:color="auto"/>
                <w:right w:val="none" w:sz="0" w:space="0" w:color="auto"/>
              </w:divBdr>
            </w:div>
          </w:divsChild>
        </w:div>
        <w:div w:id="1984390058">
          <w:marLeft w:val="0"/>
          <w:marRight w:val="0"/>
          <w:marTop w:val="0"/>
          <w:marBottom w:val="0"/>
          <w:divBdr>
            <w:top w:val="none" w:sz="0" w:space="0" w:color="auto"/>
            <w:left w:val="none" w:sz="0" w:space="0" w:color="auto"/>
            <w:bottom w:val="none" w:sz="0" w:space="0" w:color="auto"/>
            <w:right w:val="none" w:sz="0" w:space="0" w:color="auto"/>
          </w:divBdr>
          <w:divsChild>
            <w:div w:id="111946388">
              <w:marLeft w:val="0"/>
              <w:marRight w:val="0"/>
              <w:marTop w:val="0"/>
              <w:marBottom w:val="600"/>
              <w:divBdr>
                <w:top w:val="none" w:sz="0" w:space="0" w:color="auto"/>
                <w:left w:val="none" w:sz="0" w:space="0" w:color="auto"/>
                <w:bottom w:val="none" w:sz="0" w:space="0" w:color="auto"/>
                <w:right w:val="none" w:sz="0" w:space="0" w:color="auto"/>
              </w:divBdr>
            </w:div>
          </w:divsChild>
        </w:div>
        <w:div w:id="1395159266">
          <w:marLeft w:val="0"/>
          <w:marRight w:val="0"/>
          <w:marTop w:val="0"/>
          <w:marBottom w:val="0"/>
          <w:divBdr>
            <w:top w:val="none" w:sz="0" w:space="0" w:color="auto"/>
            <w:left w:val="none" w:sz="0" w:space="0" w:color="auto"/>
            <w:bottom w:val="none" w:sz="0" w:space="0" w:color="auto"/>
            <w:right w:val="none" w:sz="0" w:space="0" w:color="auto"/>
          </w:divBdr>
          <w:divsChild>
            <w:div w:id="333194098">
              <w:marLeft w:val="0"/>
              <w:marRight w:val="0"/>
              <w:marTop w:val="0"/>
              <w:marBottom w:val="600"/>
              <w:divBdr>
                <w:top w:val="none" w:sz="0" w:space="0" w:color="auto"/>
                <w:left w:val="none" w:sz="0" w:space="0" w:color="auto"/>
                <w:bottom w:val="none" w:sz="0" w:space="0" w:color="auto"/>
                <w:right w:val="none" w:sz="0" w:space="0" w:color="auto"/>
              </w:divBdr>
            </w:div>
          </w:divsChild>
        </w:div>
        <w:div w:id="901717954">
          <w:marLeft w:val="0"/>
          <w:marRight w:val="0"/>
          <w:marTop w:val="0"/>
          <w:marBottom w:val="0"/>
          <w:divBdr>
            <w:top w:val="none" w:sz="0" w:space="0" w:color="auto"/>
            <w:left w:val="none" w:sz="0" w:space="0" w:color="auto"/>
            <w:bottom w:val="none" w:sz="0" w:space="0" w:color="auto"/>
            <w:right w:val="none" w:sz="0" w:space="0" w:color="auto"/>
          </w:divBdr>
          <w:divsChild>
            <w:div w:id="1101875567">
              <w:marLeft w:val="0"/>
              <w:marRight w:val="0"/>
              <w:marTop w:val="0"/>
              <w:marBottom w:val="600"/>
              <w:divBdr>
                <w:top w:val="none" w:sz="0" w:space="0" w:color="auto"/>
                <w:left w:val="none" w:sz="0" w:space="0" w:color="auto"/>
                <w:bottom w:val="none" w:sz="0" w:space="0" w:color="auto"/>
                <w:right w:val="none" w:sz="0" w:space="0" w:color="auto"/>
              </w:divBdr>
            </w:div>
          </w:divsChild>
        </w:div>
        <w:div w:id="741804124">
          <w:marLeft w:val="0"/>
          <w:marRight w:val="0"/>
          <w:marTop w:val="0"/>
          <w:marBottom w:val="0"/>
          <w:divBdr>
            <w:top w:val="none" w:sz="0" w:space="0" w:color="auto"/>
            <w:left w:val="none" w:sz="0" w:space="0" w:color="auto"/>
            <w:bottom w:val="none" w:sz="0" w:space="0" w:color="auto"/>
            <w:right w:val="none" w:sz="0" w:space="0" w:color="auto"/>
          </w:divBdr>
          <w:divsChild>
            <w:div w:id="952437665">
              <w:marLeft w:val="0"/>
              <w:marRight w:val="0"/>
              <w:marTop w:val="0"/>
              <w:marBottom w:val="600"/>
              <w:divBdr>
                <w:top w:val="none" w:sz="0" w:space="0" w:color="auto"/>
                <w:left w:val="none" w:sz="0" w:space="0" w:color="auto"/>
                <w:bottom w:val="none" w:sz="0" w:space="0" w:color="auto"/>
                <w:right w:val="none" w:sz="0" w:space="0" w:color="auto"/>
              </w:divBdr>
              <w:divsChild>
                <w:div w:id="737241197">
                  <w:marLeft w:val="0"/>
                  <w:marRight w:val="0"/>
                  <w:marTop w:val="0"/>
                  <w:marBottom w:val="0"/>
                  <w:divBdr>
                    <w:top w:val="none" w:sz="0" w:space="0" w:color="auto"/>
                    <w:left w:val="none" w:sz="0" w:space="0" w:color="auto"/>
                    <w:bottom w:val="none" w:sz="0" w:space="0" w:color="auto"/>
                    <w:right w:val="none" w:sz="0" w:space="0" w:color="auto"/>
                  </w:divBdr>
                  <w:divsChild>
                    <w:div w:id="1249533429">
                      <w:marLeft w:val="0"/>
                      <w:marRight w:val="0"/>
                      <w:marTop w:val="0"/>
                      <w:marBottom w:val="0"/>
                      <w:divBdr>
                        <w:top w:val="none" w:sz="0" w:space="0" w:color="auto"/>
                        <w:left w:val="none" w:sz="0" w:space="0" w:color="auto"/>
                        <w:bottom w:val="none" w:sz="0" w:space="0" w:color="auto"/>
                        <w:right w:val="none" w:sz="0" w:space="0" w:color="auto"/>
                      </w:divBdr>
                      <w:divsChild>
                        <w:div w:id="1387221230">
                          <w:marLeft w:val="0"/>
                          <w:marRight w:val="0"/>
                          <w:marTop w:val="0"/>
                          <w:marBottom w:val="0"/>
                          <w:divBdr>
                            <w:top w:val="none" w:sz="0" w:space="0" w:color="auto"/>
                            <w:left w:val="none" w:sz="0" w:space="0" w:color="auto"/>
                            <w:bottom w:val="none" w:sz="0" w:space="0" w:color="auto"/>
                            <w:right w:val="none" w:sz="0" w:space="0" w:color="auto"/>
                          </w:divBdr>
                          <w:divsChild>
                            <w:div w:id="1205601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68772242">
      <w:bodyDiv w:val="1"/>
      <w:marLeft w:val="0"/>
      <w:marRight w:val="0"/>
      <w:marTop w:val="0"/>
      <w:marBottom w:val="0"/>
      <w:divBdr>
        <w:top w:val="none" w:sz="0" w:space="0" w:color="auto"/>
        <w:left w:val="none" w:sz="0" w:space="0" w:color="auto"/>
        <w:bottom w:val="none" w:sz="0" w:space="0" w:color="auto"/>
        <w:right w:val="none" w:sz="0" w:space="0" w:color="auto"/>
      </w:divBdr>
      <w:divsChild>
        <w:div w:id="843326049">
          <w:marLeft w:val="0"/>
          <w:marRight w:val="0"/>
          <w:marTop w:val="0"/>
          <w:marBottom w:val="0"/>
          <w:divBdr>
            <w:top w:val="none" w:sz="0" w:space="0" w:color="auto"/>
            <w:left w:val="none" w:sz="0" w:space="0" w:color="auto"/>
            <w:bottom w:val="none" w:sz="0" w:space="0" w:color="auto"/>
            <w:right w:val="none" w:sz="0" w:space="0" w:color="auto"/>
          </w:divBdr>
          <w:divsChild>
            <w:div w:id="1883520993">
              <w:marLeft w:val="0"/>
              <w:marRight w:val="0"/>
              <w:marTop w:val="0"/>
              <w:marBottom w:val="0"/>
              <w:divBdr>
                <w:top w:val="none" w:sz="0" w:space="0" w:color="auto"/>
                <w:left w:val="none" w:sz="0" w:space="0" w:color="auto"/>
                <w:bottom w:val="none" w:sz="0" w:space="0" w:color="auto"/>
                <w:right w:val="none" w:sz="0" w:space="0" w:color="auto"/>
              </w:divBdr>
              <w:divsChild>
                <w:div w:id="1241601783">
                  <w:marLeft w:val="0"/>
                  <w:marRight w:val="0"/>
                  <w:marTop w:val="0"/>
                  <w:marBottom w:val="0"/>
                  <w:divBdr>
                    <w:top w:val="none" w:sz="0" w:space="0" w:color="auto"/>
                    <w:left w:val="none" w:sz="0" w:space="0" w:color="auto"/>
                    <w:bottom w:val="none" w:sz="0" w:space="0" w:color="auto"/>
                    <w:right w:val="none" w:sz="0" w:space="0" w:color="auto"/>
                  </w:divBdr>
                  <w:divsChild>
                    <w:div w:id="1621914347">
                      <w:marLeft w:val="0"/>
                      <w:marRight w:val="0"/>
                      <w:marTop w:val="240"/>
                      <w:marBottom w:val="240"/>
                      <w:divBdr>
                        <w:top w:val="single" w:sz="12" w:space="0" w:color="EBEBEB"/>
                        <w:left w:val="none" w:sz="0" w:space="0" w:color="auto"/>
                        <w:bottom w:val="single" w:sz="12" w:space="0" w:color="EBEBEB"/>
                        <w:right w:val="none" w:sz="0" w:space="0" w:color="auto"/>
                      </w:divBdr>
                      <w:divsChild>
                        <w:div w:id="129468058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27569169">
          <w:marLeft w:val="0"/>
          <w:marRight w:val="0"/>
          <w:marTop w:val="0"/>
          <w:marBottom w:val="0"/>
          <w:divBdr>
            <w:top w:val="none" w:sz="0" w:space="0" w:color="auto"/>
            <w:left w:val="none" w:sz="0" w:space="0" w:color="auto"/>
            <w:bottom w:val="none" w:sz="0" w:space="0" w:color="auto"/>
            <w:right w:val="none" w:sz="0" w:space="0" w:color="auto"/>
          </w:divBdr>
        </w:div>
        <w:div w:id="1086264097">
          <w:marLeft w:val="0"/>
          <w:marRight w:val="0"/>
          <w:marTop w:val="0"/>
          <w:marBottom w:val="0"/>
          <w:divBdr>
            <w:top w:val="none" w:sz="0" w:space="0" w:color="auto"/>
            <w:left w:val="none" w:sz="0" w:space="0" w:color="auto"/>
            <w:bottom w:val="none" w:sz="0" w:space="0" w:color="auto"/>
            <w:right w:val="none" w:sz="0" w:space="0" w:color="auto"/>
          </w:divBdr>
          <w:divsChild>
            <w:div w:id="672496380">
              <w:marLeft w:val="0"/>
              <w:marRight w:val="0"/>
              <w:marTop w:val="0"/>
              <w:marBottom w:val="0"/>
              <w:divBdr>
                <w:top w:val="none" w:sz="0" w:space="0" w:color="auto"/>
                <w:left w:val="none" w:sz="0" w:space="0" w:color="auto"/>
                <w:bottom w:val="none" w:sz="0" w:space="0" w:color="auto"/>
                <w:right w:val="none" w:sz="0" w:space="0" w:color="auto"/>
              </w:divBdr>
            </w:div>
          </w:divsChild>
        </w:div>
        <w:div w:id="1617058269">
          <w:marLeft w:val="0"/>
          <w:marRight w:val="0"/>
          <w:marTop w:val="0"/>
          <w:marBottom w:val="0"/>
          <w:divBdr>
            <w:top w:val="none" w:sz="0" w:space="0" w:color="auto"/>
            <w:left w:val="none" w:sz="0" w:space="0" w:color="auto"/>
            <w:bottom w:val="none" w:sz="0" w:space="0" w:color="auto"/>
            <w:right w:val="none" w:sz="0" w:space="0" w:color="auto"/>
          </w:divBdr>
        </w:div>
        <w:div w:id="287009591">
          <w:marLeft w:val="0"/>
          <w:marRight w:val="0"/>
          <w:marTop w:val="0"/>
          <w:marBottom w:val="0"/>
          <w:divBdr>
            <w:top w:val="none" w:sz="0" w:space="0" w:color="auto"/>
            <w:left w:val="none" w:sz="0" w:space="0" w:color="auto"/>
            <w:bottom w:val="none" w:sz="0" w:space="0" w:color="auto"/>
            <w:right w:val="none" w:sz="0" w:space="0" w:color="auto"/>
          </w:divBdr>
        </w:div>
        <w:div w:id="400714807">
          <w:marLeft w:val="0"/>
          <w:marRight w:val="0"/>
          <w:marTop w:val="0"/>
          <w:marBottom w:val="0"/>
          <w:divBdr>
            <w:top w:val="none" w:sz="0" w:space="0" w:color="auto"/>
            <w:left w:val="none" w:sz="0" w:space="0" w:color="auto"/>
            <w:bottom w:val="none" w:sz="0" w:space="0" w:color="auto"/>
            <w:right w:val="none" w:sz="0" w:space="0" w:color="auto"/>
          </w:divBdr>
          <w:divsChild>
            <w:div w:id="911936156">
              <w:marLeft w:val="0"/>
              <w:marRight w:val="0"/>
              <w:marTop w:val="0"/>
              <w:marBottom w:val="0"/>
              <w:divBdr>
                <w:top w:val="none" w:sz="0" w:space="0" w:color="auto"/>
                <w:left w:val="none" w:sz="0" w:space="0" w:color="auto"/>
                <w:bottom w:val="none" w:sz="0" w:space="0" w:color="auto"/>
                <w:right w:val="none" w:sz="0" w:space="0" w:color="auto"/>
              </w:divBdr>
            </w:div>
          </w:divsChild>
        </w:div>
        <w:div w:id="686365347">
          <w:marLeft w:val="0"/>
          <w:marRight w:val="0"/>
          <w:marTop w:val="0"/>
          <w:marBottom w:val="0"/>
          <w:divBdr>
            <w:top w:val="none" w:sz="0" w:space="0" w:color="auto"/>
            <w:left w:val="none" w:sz="0" w:space="0" w:color="auto"/>
            <w:bottom w:val="none" w:sz="0" w:space="0" w:color="auto"/>
            <w:right w:val="none" w:sz="0" w:space="0" w:color="auto"/>
          </w:divBdr>
        </w:div>
        <w:div w:id="1932467072">
          <w:marLeft w:val="0"/>
          <w:marRight w:val="0"/>
          <w:marTop w:val="0"/>
          <w:marBottom w:val="0"/>
          <w:divBdr>
            <w:top w:val="none" w:sz="0" w:space="0" w:color="auto"/>
            <w:left w:val="none" w:sz="0" w:space="0" w:color="auto"/>
            <w:bottom w:val="none" w:sz="0" w:space="0" w:color="auto"/>
            <w:right w:val="none" w:sz="0" w:space="0" w:color="auto"/>
          </w:divBdr>
        </w:div>
        <w:div w:id="2021737992">
          <w:marLeft w:val="0"/>
          <w:marRight w:val="0"/>
          <w:marTop w:val="0"/>
          <w:marBottom w:val="0"/>
          <w:divBdr>
            <w:top w:val="none" w:sz="0" w:space="0" w:color="auto"/>
            <w:left w:val="none" w:sz="0" w:space="0" w:color="auto"/>
            <w:bottom w:val="none" w:sz="0" w:space="0" w:color="auto"/>
            <w:right w:val="none" w:sz="0" w:space="0" w:color="auto"/>
          </w:divBdr>
          <w:divsChild>
            <w:div w:id="335234970">
              <w:marLeft w:val="0"/>
              <w:marRight w:val="0"/>
              <w:marTop w:val="0"/>
              <w:marBottom w:val="0"/>
              <w:divBdr>
                <w:top w:val="none" w:sz="0" w:space="0" w:color="auto"/>
                <w:left w:val="none" w:sz="0" w:space="0" w:color="auto"/>
                <w:bottom w:val="none" w:sz="0" w:space="0" w:color="auto"/>
                <w:right w:val="none" w:sz="0" w:space="0" w:color="auto"/>
              </w:divBdr>
            </w:div>
          </w:divsChild>
        </w:div>
        <w:div w:id="779641452">
          <w:marLeft w:val="0"/>
          <w:marRight w:val="0"/>
          <w:marTop w:val="0"/>
          <w:marBottom w:val="0"/>
          <w:divBdr>
            <w:top w:val="none" w:sz="0" w:space="0" w:color="auto"/>
            <w:left w:val="none" w:sz="0" w:space="0" w:color="auto"/>
            <w:bottom w:val="none" w:sz="0" w:space="0" w:color="auto"/>
            <w:right w:val="none" w:sz="0" w:space="0" w:color="auto"/>
          </w:divBdr>
        </w:div>
        <w:div w:id="2000956308">
          <w:marLeft w:val="0"/>
          <w:marRight w:val="0"/>
          <w:marTop w:val="0"/>
          <w:marBottom w:val="0"/>
          <w:divBdr>
            <w:top w:val="none" w:sz="0" w:space="0" w:color="auto"/>
            <w:left w:val="none" w:sz="0" w:space="0" w:color="auto"/>
            <w:bottom w:val="none" w:sz="0" w:space="0" w:color="auto"/>
            <w:right w:val="none" w:sz="0" w:space="0" w:color="auto"/>
          </w:divBdr>
        </w:div>
        <w:div w:id="1321234131">
          <w:marLeft w:val="0"/>
          <w:marRight w:val="0"/>
          <w:marTop w:val="0"/>
          <w:marBottom w:val="0"/>
          <w:divBdr>
            <w:top w:val="none" w:sz="0" w:space="0" w:color="auto"/>
            <w:left w:val="none" w:sz="0" w:space="0" w:color="auto"/>
            <w:bottom w:val="none" w:sz="0" w:space="0" w:color="auto"/>
            <w:right w:val="none" w:sz="0" w:space="0" w:color="auto"/>
          </w:divBdr>
          <w:divsChild>
            <w:div w:id="1802796396">
              <w:marLeft w:val="0"/>
              <w:marRight w:val="0"/>
              <w:marTop w:val="0"/>
              <w:marBottom w:val="0"/>
              <w:divBdr>
                <w:top w:val="none" w:sz="0" w:space="0" w:color="auto"/>
                <w:left w:val="none" w:sz="0" w:space="0" w:color="auto"/>
                <w:bottom w:val="none" w:sz="0" w:space="0" w:color="auto"/>
                <w:right w:val="none" w:sz="0" w:space="0" w:color="auto"/>
              </w:divBdr>
            </w:div>
          </w:divsChild>
        </w:div>
        <w:div w:id="1199004338">
          <w:marLeft w:val="0"/>
          <w:marRight w:val="0"/>
          <w:marTop w:val="0"/>
          <w:marBottom w:val="0"/>
          <w:divBdr>
            <w:top w:val="none" w:sz="0" w:space="0" w:color="auto"/>
            <w:left w:val="none" w:sz="0" w:space="0" w:color="auto"/>
            <w:bottom w:val="none" w:sz="0" w:space="0" w:color="auto"/>
            <w:right w:val="none" w:sz="0" w:space="0" w:color="auto"/>
          </w:divBdr>
        </w:div>
        <w:div w:id="2103522152">
          <w:marLeft w:val="0"/>
          <w:marRight w:val="0"/>
          <w:marTop w:val="0"/>
          <w:marBottom w:val="0"/>
          <w:divBdr>
            <w:top w:val="none" w:sz="0" w:space="0" w:color="auto"/>
            <w:left w:val="none" w:sz="0" w:space="0" w:color="auto"/>
            <w:bottom w:val="none" w:sz="0" w:space="0" w:color="auto"/>
            <w:right w:val="none" w:sz="0" w:space="0" w:color="auto"/>
          </w:divBdr>
        </w:div>
        <w:div w:id="2102991428">
          <w:marLeft w:val="0"/>
          <w:marRight w:val="0"/>
          <w:marTop w:val="0"/>
          <w:marBottom w:val="0"/>
          <w:divBdr>
            <w:top w:val="none" w:sz="0" w:space="0" w:color="auto"/>
            <w:left w:val="none" w:sz="0" w:space="0" w:color="auto"/>
            <w:bottom w:val="none" w:sz="0" w:space="0" w:color="auto"/>
            <w:right w:val="none" w:sz="0" w:space="0" w:color="auto"/>
          </w:divBdr>
          <w:divsChild>
            <w:div w:id="640233552">
              <w:marLeft w:val="0"/>
              <w:marRight w:val="0"/>
              <w:marTop w:val="0"/>
              <w:marBottom w:val="0"/>
              <w:divBdr>
                <w:top w:val="none" w:sz="0" w:space="0" w:color="auto"/>
                <w:left w:val="none" w:sz="0" w:space="0" w:color="auto"/>
                <w:bottom w:val="none" w:sz="0" w:space="0" w:color="auto"/>
                <w:right w:val="none" w:sz="0" w:space="0" w:color="auto"/>
              </w:divBdr>
            </w:div>
          </w:divsChild>
        </w:div>
        <w:div w:id="766927305">
          <w:marLeft w:val="0"/>
          <w:marRight w:val="0"/>
          <w:marTop w:val="0"/>
          <w:marBottom w:val="0"/>
          <w:divBdr>
            <w:top w:val="none" w:sz="0" w:space="0" w:color="auto"/>
            <w:left w:val="none" w:sz="0" w:space="0" w:color="auto"/>
            <w:bottom w:val="none" w:sz="0" w:space="0" w:color="auto"/>
            <w:right w:val="none" w:sz="0" w:space="0" w:color="auto"/>
          </w:divBdr>
        </w:div>
        <w:div w:id="1993218381">
          <w:marLeft w:val="0"/>
          <w:marRight w:val="0"/>
          <w:marTop w:val="0"/>
          <w:marBottom w:val="0"/>
          <w:divBdr>
            <w:top w:val="none" w:sz="0" w:space="0" w:color="auto"/>
            <w:left w:val="none" w:sz="0" w:space="0" w:color="auto"/>
            <w:bottom w:val="none" w:sz="0" w:space="0" w:color="auto"/>
            <w:right w:val="none" w:sz="0" w:space="0" w:color="auto"/>
          </w:divBdr>
        </w:div>
        <w:div w:id="1912498378">
          <w:marLeft w:val="0"/>
          <w:marRight w:val="0"/>
          <w:marTop w:val="0"/>
          <w:marBottom w:val="0"/>
          <w:divBdr>
            <w:top w:val="none" w:sz="0" w:space="0" w:color="auto"/>
            <w:left w:val="none" w:sz="0" w:space="0" w:color="auto"/>
            <w:bottom w:val="none" w:sz="0" w:space="0" w:color="auto"/>
            <w:right w:val="none" w:sz="0" w:space="0" w:color="auto"/>
          </w:divBdr>
          <w:divsChild>
            <w:div w:id="514930017">
              <w:marLeft w:val="0"/>
              <w:marRight w:val="0"/>
              <w:marTop w:val="0"/>
              <w:marBottom w:val="0"/>
              <w:divBdr>
                <w:top w:val="none" w:sz="0" w:space="0" w:color="auto"/>
                <w:left w:val="none" w:sz="0" w:space="0" w:color="auto"/>
                <w:bottom w:val="none" w:sz="0" w:space="0" w:color="auto"/>
                <w:right w:val="none" w:sz="0" w:space="0" w:color="auto"/>
              </w:divBdr>
            </w:div>
          </w:divsChild>
        </w:div>
        <w:div w:id="836386556">
          <w:marLeft w:val="0"/>
          <w:marRight w:val="0"/>
          <w:marTop w:val="0"/>
          <w:marBottom w:val="0"/>
          <w:divBdr>
            <w:top w:val="none" w:sz="0" w:space="0" w:color="auto"/>
            <w:left w:val="none" w:sz="0" w:space="0" w:color="auto"/>
            <w:bottom w:val="none" w:sz="0" w:space="0" w:color="auto"/>
            <w:right w:val="none" w:sz="0" w:space="0" w:color="auto"/>
          </w:divBdr>
        </w:div>
        <w:div w:id="1539929535">
          <w:marLeft w:val="0"/>
          <w:marRight w:val="0"/>
          <w:marTop w:val="0"/>
          <w:marBottom w:val="0"/>
          <w:divBdr>
            <w:top w:val="none" w:sz="0" w:space="0" w:color="auto"/>
            <w:left w:val="none" w:sz="0" w:space="0" w:color="auto"/>
            <w:bottom w:val="none" w:sz="0" w:space="0" w:color="auto"/>
            <w:right w:val="none" w:sz="0" w:space="0" w:color="auto"/>
          </w:divBdr>
        </w:div>
        <w:div w:id="378670977">
          <w:marLeft w:val="0"/>
          <w:marRight w:val="0"/>
          <w:marTop w:val="0"/>
          <w:marBottom w:val="0"/>
          <w:divBdr>
            <w:top w:val="none" w:sz="0" w:space="0" w:color="auto"/>
            <w:left w:val="none" w:sz="0" w:space="0" w:color="auto"/>
            <w:bottom w:val="none" w:sz="0" w:space="0" w:color="auto"/>
            <w:right w:val="none" w:sz="0" w:space="0" w:color="auto"/>
          </w:divBdr>
          <w:divsChild>
            <w:div w:id="1446536860">
              <w:marLeft w:val="0"/>
              <w:marRight w:val="0"/>
              <w:marTop w:val="0"/>
              <w:marBottom w:val="0"/>
              <w:divBdr>
                <w:top w:val="none" w:sz="0" w:space="0" w:color="auto"/>
                <w:left w:val="none" w:sz="0" w:space="0" w:color="auto"/>
                <w:bottom w:val="none" w:sz="0" w:space="0" w:color="auto"/>
                <w:right w:val="none" w:sz="0" w:space="0" w:color="auto"/>
              </w:divBdr>
            </w:div>
          </w:divsChild>
        </w:div>
        <w:div w:id="1643921893">
          <w:marLeft w:val="0"/>
          <w:marRight w:val="0"/>
          <w:marTop w:val="0"/>
          <w:marBottom w:val="0"/>
          <w:divBdr>
            <w:top w:val="none" w:sz="0" w:space="0" w:color="auto"/>
            <w:left w:val="none" w:sz="0" w:space="0" w:color="auto"/>
            <w:bottom w:val="none" w:sz="0" w:space="0" w:color="auto"/>
            <w:right w:val="none" w:sz="0" w:space="0" w:color="auto"/>
          </w:divBdr>
        </w:div>
        <w:div w:id="2013993818">
          <w:marLeft w:val="0"/>
          <w:marRight w:val="0"/>
          <w:marTop w:val="0"/>
          <w:marBottom w:val="0"/>
          <w:divBdr>
            <w:top w:val="none" w:sz="0" w:space="0" w:color="auto"/>
            <w:left w:val="none" w:sz="0" w:space="0" w:color="auto"/>
            <w:bottom w:val="none" w:sz="0" w:space="0" w:color="auto"/>
            <w:right w:val="none" w:sz="0" w:space="0" w:color="auto"/>
          </w:divBdr>
        </w:div>
        <w:div w:id="1438714632">
          <w:marLeft w:val="0"/>
          <w:marRight w:val="0"/>
          <w:marTop w:val="0"/>
          <w:marBottom w:val="0"/>
          <w:divBdr>
            <w:top w:val="none" w:sz="0" w:space="0" w:color="auto"/>
            <w:left w:val="none" w:sz="0" w:space="0" w:color="auto"/>
            <w:bottom w:val="none" w:sz="0" w:space="0" w:color="auto"/>
            <w:right w:val="none" w:sz="0" w:space="0" w:color="auto"/>
          </w:divBdr>
          <w:divsChild>
            <w:div w:id="1602839768">
              <w:marLeft w:val="0"/>
              <w:marRight w:val="0"/>
              <w:marTop w:val="0"/>
              <w:marBottom w:val="0"/>
              <w:divBdr>
                <w:top w:val="none" w:sz="0" w:space="0" w:color="auto"/>
                <w:left w:val="none" w:sz="0" w:space="0" w:color="auto"/>
                <w:bottom w:val="none" w:sz="0" w:space="0" w:color="auto"/>
                <w:right w:val="none" w:sz="0" w:space="0" w:color="auto"/>
              </w:divBdr>
            </w:div>
          </w:divsChild>
        </w:div>
        <w:div w:id="1063329501">
          <w:marLeft w:val="0"/>
          <w:marRight w:val="0"/>
          <w:marTop w:val="0"/>
          <w:marBottom w:val="0"/>
          <w:divBdr>
            <w:top w:val="none" w:sz="0" w:space="0" w:color="auto"/>
            <w:left w:val="none" w:sz="0" w:space="0" w:color="auto"/>
            <w:bottom w:val="none" w:sz="0" w:space="0" w:color="auto"/>
            <w:right w:val="none" w:sz="0" w:space="0" w:color="auto"/>
          </w:divBdr>
        </w:div>
        <w:div w:id="436874515">
          <w:marLeft w:val="0"/>
          <w:marRight w:val="0"/>
          <w:marTop w:val="0"/>
          <w:marBottom w:val="0"/>
          <w:divBdr>
            <w:top w:val="none" w:sz="0" w:space="0" w:color="auto"/>
            <w:left w:val="none" w:sz="0" w:space="0" w:color="auto"/>
            <w:bottom w:val="none" w:sz="0" w:space="0" w:color="auto"/>
            <w:right w:val="none" w:sz="0" w:space="0" w:color="auto"/>
          </w:divBdr>
        </w:div>
        <w:div w:id="1360617431">
          <w:marLeft w:val="0"/>
          <w:marRight w:val="0"/>
          <w:marTop w:val="0"/>
          <w:marBottom w:val="0"/>
          <w:divBdr>
            <w:top w:val="none" w:sz="0" w:space="0" w:color="auto"/>
            <w:left w:val="none" w:sz="0" w:space="0" w:color="auto"/>
            <w:bottom w:val="none" w:sz="0" w:space="0" w:color="auto"/>
            <w:right w:val="none" w:sz="0" w:space="0" w:color="auto"/>
          </w:divBdr>
          <w:divsChild>
            <w:div w:id="1358703641">
              <w:marLeft w:val="0"/>
              <w:marRight w:val="0"/>
              <w:marTop w:val="0"/>
              <w:marBottom w:val="0"/>
              <w:divBdr>
                <w:top w:val="none" w:sz="0" w:space="0" w:color="auto"/>
                <w:left w:val="none" w:sz="0" w:space="0" w:color="auto"/>
                <w:bottom w:val="none" w:sz="0" w:space="0" w:color="auto"/>
                <w:right w:val="none" w:sz="0" w:space="0" w:color="auto"/>
              </w:divBdr>
            </w:div>
          </w:divsChild>
        </w:div>
        <w:div w:id="1644457107">
          <w:marLeft w:val="0"/>
          <w:marRight w:val="0"/>
          <w:marTop w:val="0"/>
          <w:marBottom w:val="0"/>
          <w:divBdr>
            <w:top w:val="none" w:sz="0" w:space="0" w:color="auto"/>
            <w:left w:val="none" w:sz="0" w:space="0" w:color="auto"/>
            <w:bottom w:val="none" w:sz="0" w:space="0" w:color="auto"/>
            <w:right w:val="none" w:sz="0" w:space="0" w:color="auto"/>
          </w:divBdr>
        </w:div>
        <w:div w:id="1512647244">
          <w:marLeft w:val="0"/>
          <w:marRight w:val="0"/>
          <w:marTop w:val="0"/>
          <w:marBottom w:val="0"/>
          <w:divBdr>
            <w:top w:val="none" w:sz="0" w:space="0" w:color="auto"/>
            <w:left w:val="none" w:sz="0" w:space="0" w:color="auto"/>
            <w:bottom w:val="none" w:sz="0" w:space="0" w:color="auto"/>
            <w:right w:val="none" w:sz="0" w:space="0" w:color="auto"/>
          </w:divBdr>
        </w:div>
        <w:div w:id="1467355274">
          <w:marLeft w:val="0"/>
          <w:marRight w:val="0"/>
          <w:marTop w:val="0"/>
          <w:marBottom w:val="0"/>
          <w:divBdr>
            <w:top w:val="none" w:sz="0" w:space="0" w:color="auto"/>
            <w:left w:val="none" w:sz="0" w:space="0" w:color="auto"/>
            <w:bottom w:val="none" w:sz="0" w:space="0" w:color="auto"/>
            <w:right w:val="none" w:sz="0" w:space="0" w:color="auto"/>
          </w:divBdr>
          <w:divsChild>
            <w:div w:id="728764549">
              <w:marLeft w:val="0"/>
              <w:marRight w:val="0"/>
              <w:marTop w:val="0"/>
              <w:marBottom w:val="0"/>
              <w:divBdr>
                <w:top w:val="none" w:sz="0" w:space="0" w:color="auto"/>
                <w:left w:val="none" w:sz="0" w:space="0" w:color="auto"/>
                <w:bottom w:val="none" w:sz="0" w:space="0" w:color="auto"/>
                <w:right w:val="none" w:sz="0" w:space="0" w:color="auto"/>
              </w:divBdr>
            </w:div>
          </w:divsChild>
        </w:div>
        <w:div w:id="2126608339">
          <w:marLeft w:val="0"/>
          <w:marRight w:val="0"/>
          <w:marTop w:val="0"/>
          <w:marBottom w:val="0"/>
          <w:divBdr>
            <w:top w:val="none" w:sz="0" w:space="0" w:color="auto"/>
            <w:left w:val="none" w:sz="0" w:space="0" w:color="auto"/>
            <w:bottom w:val="none" w:sz="0" w:space="0" w:color="auto"/>
            <w:right w:val="none" w:sz="0" w:space="0" w:color="auto"/>
          </w:divBdr>
        </w:div>
        <w:div w:id="391466541">
          <w:marLeft w:val="0"/>
          <w:marRight w:val="0"/>
          <w:marTop w:val="0"/>
          <w:marBottom w:val="0"/>
          <w:divBdr>
            <w:top w:val="none" w:sz="0" w:space="0" w:color="auto"/>
            <w:left w:val="none" w:sz="0" w:space="0" w:color="auto"/>
            <w:bottom w:val="none" w:sz="0" w:space="0" w:color="auto"/>
            <w:right w:val="none" w:sz="0" w:space="0" w:color="auto"/>
          </w:divBdr>
        </w:div>
        <w:div w:id="1786002299">
          <w:marLeft w:val="0"/>
          <w:marRight w:val="0"/>
          <w:marTop w:val="0"/>
          <w:marBottom w:val="0"/>
          <w:divBdr>
            <w:top w:val="none" w:sz="0" w:space="0" w:color="auto"/>
            <w:left w:val="none" w:sz="0" w:space="0" w:color="auto"/>
            <w:bottom w:val="none" w:sz="0" w:space="0" w:color="auto"/>
            <w:right w:val="none" w:sz="0" w:space="0" w:color="auto"/>
          </w:divBdr>
          <w:divsChild>
            <w:div w:id="916744252">
              <w:marLeft w:val="0"/>
              <w:marRight w:val="0"/>
              <w:marTop w:val="0"/>
              <w:marBottom w:val="0"/>
              <w:divBdr>
                <w:top w:val="none" w:sz="0" w:space="0" w:color="auto"/>
                <w:left w:val="none" w:sz="0" w:space="0" w:color="auto"/>
                <w:bottom w:val="none" w:sz="0" w:space="0" w:color="auto"/>
                <w:right w:val="none" w:sz="0" w:space="0" w:color="auto"/>
              </w:divBdr>
            </w:div>
          </w:divsChild>
        </w:div>
        <w:div w:id="73018247">
          <w:marLeft w:val="0"/>
          <w:marRight w:val="0"/>
          <w:marTop w:val="0"/>
          <w:marBottom w:val="0"/>
          <w:divBdr>
            <w:top w:val="none" w:sz="0" w:space="0" w:color="auto"/>
            <w:left w:val="none" w:sz="0" w:space="0" w:color="auto"/>
            <w:bottom w:val="none" w:sz="0" w:space="0" w:color="auto"/>
            <w:right w:val="none" w:sz="0" w:space="0" w:color="auto"/>
          </w:divBdr>
        </w:div>
        <w:div w:id="1609196422">
          <w:marLeft w:val="0"/>
          <w:marRight w:val="0"/>
          <w:marTop w:val="0"/>
          <w:marBottom w:val="0"/>
          <w:divBdr>
            <w:top w:val="none" w:sz="0" w:space="0" w:color="auto"/>
            <w:left w:val="none" w:sz="0" w:space="0" w:color="auto"/>
            <w:bottom w:val="none" w:sz="0" w:space="0" w:color="auto"/>
            <w:right w:val="none" w:sz="0" w:space="0" w:color="auto"/>
          </w:divBdr>
        </w:div>
        <w:div w:id="1115709722">
          <w:marLeft w:val="0"/>
          <w:marRight w:val="0"/>
          <w:marTop w:val="0"/>
          <w:marBottom w:val="0"/>
          <w:divBdr>
            <w:top w:val="none" w:sz="0" w:space="0" w:color="auto"/>
            <w:left w:val="none" w:sz="0" w:space="0" w:color="auto"/>
            <w:bottom w:val="none" w:sz="0" w:space="0" w:color="auto"/>
            <w:right w:val="none" w:sz="0" w:space="0" w:color="auto"/>
          </w:divBdr>
        </w:div>
      </w:divsChild>
    </w:div>
    <w:div w:id="1072892345">
      <w:bodyDiv w:val="1"/>
      <w:marLeft w:val="0"/>
      <w:marRight w:val="0"/>
      <w:marTop w:val="0"/>
      <w:marBottom w:val="0"/>
      <w:divBdr>
        <w:top w:val="none" w:sz="0" w:space="0" w:color="auto"/>
        <w:left w:val="none" w:sz="0" w:space="0" w:color="auto"/>
        <w:bottom w:val="none" w:sz="0" w:space="0" w:color="auto"/>
        <w:right w:val="none" w:sz="0" w:space="0" w:color="auto"/>
      </w:divBdr>
    </w:div>
    <w:div w:id="1077627064">
      <w:bodyDiv w:val="1"/>
      <w:marLeft w:val="0"/>
      <w:marRight w:val="0"/>
      <w:marTop w:val="0"/>
      <w:marBottom w:val="0"/>
      <w:divBdr>
        <w:top w:val="none" w:sz="0" w:space="0" w:color="auto"/>
        <w:left w:val="none" w:sz="0" w:space="0" w:color="auto"/>
        <w:bottom w:val="none" w:sz="0" w:space="0" w:color="auto"/>
        <w:right w:val="none" w:sz="0" w:space="0" w:color="auto"/>
      </w:divBdr>
      <w:divsChild>
        <w:div w:id="1640452847">
          <w:marLeft w:val="0"/>
          <w:marRight w:val="0"/>
          <w:marTop w:val="0"/>
          <w:marBottom w:val="0"/>
          <w:divBdr>
            <w:top w:val="none" w:sz="0" w:space="0" w:color="auto"/>
            <w:left w:val="none" w:sz="0" w:space="0" w:color="auto"/>
            <w:bottom w:val="none" w:sz="0" w:space="0" w:color="auto"/>
            <w:right w:val="none" w:sz="0" w:space="0" w:color="auto"/>
          </w:divBdr>
          <w:divsChild>
            <w:div w:id="668169030">
              <w:marLeft w:val="0"/>
              <w:marRight w:val="0"/>
              <w:marTop w:val="0"/>
              <w:marBottom w:val="0"/>
              <w:divBdr>
                <w:top w:val="none" w:sz="0" w:space="0" w:color="auto"/>
                <w:left w:val="none" w:sz="0" w:space="0" w:color="auto"/>
                <w:bottom w:val="single" w:sz="6" w:space="12" w:color="DDDDDD"/>
                <w:right w:val="none" w:sz="0" w:space="0" w:color="auto"/>
              </w:divBdr>
              <w:divsChild>
                <w:div w:id="901863798">
                  <w:marLeft w:val="0"/>
                  <w:marRight w:val="0"/>
                  <w:marTop w:val="0"/>
                  <w:marBottom w:val="0"/>
                  <w:divBdr>
                    <w:top w:val="none" w:sz="0" w:space="0" w:color="auto"/>
                    <w:left w:val="none" w:sz="0" w:space="0" w:color="auto"/>
                    <w:bottom w:val="none" w:sz="0" w:space="0" w:color="auto"/>
                    <w:right w:val="none" w:sz="0" w:space="0" w:color="auto"/>
                  </w:divBdr>
                  <w:divsChild>
                    <w:div w:id="1128468739">
                      <w:marLeft w:val="0"/>
                      <w:marRight w:val="0"/>
                      <w:marTop w:val="0"/>
                      <w:marBottom w:val="0"/>
                      <w:divBdr>
                        <w:top w:val="none" w:sz="0" w:space="0" w:color="auto"/>
                        <w:left w:val="none" w:sz="0" w:space="0" w:color="auto"/>
                        <w:bottom w:val="none" w:sz="0" w:space="0" w:color="auto"/>
                        <w:right w:val="none" w:sz="0" w:space="0" w:color="auto"/>
                      </w:divBdr>
                      <w:divsChild>
                        <w:div w:id="232787350">
                          <w:marLeft w:val="0"/>
                          <w:marRight w:val="0"/>
                          <w:marTop w:val="0"/>
                          <w:marBottom w:val="0"/>
                          <w:divBdr>
                            <w:top w:val="none" w:sz="0" w:space="0" w:color="auto"/>
                            <w:left w:val="none" w:sz="0" w:space="0" w:color="auto"/>
                            <w:bottom w:val="none" w:sz="0" w:space="0" w:color="auto"/>
                            <w:right w:val="none" w:sz="0" w:space="0" w:color="auto"/>
                          </w:divBdr>
                          <w:divsChild>
                            <w:div w:id="1211378422">
                              <w:marLeft w:val="0"/>
                              <w:marRight w:val="0"/>
                              <w:marTop w:val="0"/>
                              <w:marBottom w:val="0"/>
                              <w:divBdr>
                                <w:top w:val="none" w:sz="0" w:space="0" w:color="auto"/>
                                <w:left w:val="none" w:sz="0" w:space="0" w:color="auto"/>
                                <w:bottom w:val="none" w:sz="0" w:space="0" w:color="auto"/>
                                <w:right w:val="none" w:sz="0" w:space="0" w:color="auto"/>
                              </w:divBdr>
                            </w:div>
                            <w:div w:id="1061831421">
                              <w:marLeft w:val="0"/>
                              <w:marRight w:val="0"/>
                              <w:marTop w:val="0"/>
                              <w:marBottom w:val="0"/>
                              <w:divBdr>
                                <w:top w:val="none" w:sz="0" w:space="0" w:color="auto"/>
                                <w:left w:val="none" w:sz="0" w:space="0" w:color="auto"/>
                                <w:bottom w:val="none" w:sz="0" w:space="0" w:color="auto"/>
                                <w:right w:val="none" w:sz="0" w:space="0" w:color="auto"/>
                              </w:divBdr>
                              <w:divsChild>
                                <w:div w:id="606011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78028309">
              <w:marLeft w:val="0"/>
              <w:marRight w:val="0"/>
              <w:marTop w:val="0"/>
              <w:marBottom w:val="0"/>
              <w:divBdr>
                <w:top w:val="none" w:sz="0" w:space="0" w:color="auto"/>
                <w:left w:val="none" w:sz="0" w:space="0" w:color="auto"/>
                <w:bottom w:val="single" w:sz="6" w:space="12" w:color="DDDDDD"/>
                <w:right w:val="none" w:sz="0" w:space="0" w:color="auto"/>
              </w:divBdr>
              <w:divsChild>
                <w:div w:id="90207121">
                  <w:marLeft w:val="0"/>
                  <w:marRight w:val="0"/>
                  <w:marTop w:val="0"/>
                  <w:marBottom w:val="0"/>
                  <w:divBdr>
                    <w:top w:val="none" w:sz="0" w:space="0" w:color="auto"/>
                    <w:left w:val="none" w:sz="0" w:space="0" w:color="auto"/>
                    <w:bottom w:val="none" w:sz="0" w:space="0" w:color="auto"/>
                    <w:right w:val="none" w:sz="0" w:space="0" w:color="auto"/>
                  </w:divBdr>
                  <w:divsChild>
                    <w:div w:id="1895041909">
                      <w:marLeft w:val="0"/>
                      <w:marRight w:val="0"/>
                      <w:marTop w:val="0"/>
                      <w:marBottom w:val="0"/>
                      <w:divBdr>
                        <w:top w:val="none" w:sz="0" w:space="0" w:color="auto"/>
                        <w:left w:val="none" w:sz="0" w:space="0" w:color="auto"/>
                        <w:bottom w:val="none" w:sz="0" w:space="0" w:color="auto"/>
                        <w:right w:val="none" w:sz="0" w:space="0" w:color="auto"/>
                      </w:divBdr>
                      <w:divsChild>
                        <w:div w:id="368065353">
                          <w:marLeft w:val="0"/>
                          <w:marRight w:val="0"/>
                          <w:marTop w:val="0"/>
                          <w:marBottom w:val="0"/>
                          <w:divBdr>
                            <w:top w:val="none" w:sz="0" w:space="0" w:color="auto"/>
                            <w:left w:val="none" w:sz="0" w:space="0" w:color="auto"/>
                            <w:bottom w:val="none" w:sz="0" w:space="0" w:color="auto"/>
                            <w:right w:val="none" w:sz="0" w:space="0" w:color="auto"/>
                          </w:divBdr>
                          <w:divsChild>
                            <w:div w:id="2044624496">
                              <w:marLeft w:val="0"/>
                              <w:marRight w:val="0"/>
                              <w:marTop w:val="0"/>
                              <w:marBottom w:val="0"/>
                              <w:divBdr>
                                <w:top w:val="none" w:sz="0" w:space="0" w:color="auto"/>
                                <w:left w:val="none" w:sz="0" w:space="0" w:color="auto"/>
                                <w:bottom w:val="none" w:sz="0" w:space="0" w:color="auto"/>
                                <w:right w:val="none" w:sz="0" w:space="0" w:color="auto"/>
                              </w:divBdr>
                            </w:div>
                            <w:div w:id="1017386116">
                              <w:marLeft w:val="0"/>
                              <w:marRight w:val="0"/>
                              <w:marTop w:val="0"/>
                              <w:marBottom w:val="0"/>
                              <w:divBdr>
                                <w:top w:val="none" w:sz="0" w:space="0" w:color="auto"/>
                                <w:left w:val="none" w:sz="0" w:space="0" w:color="auto"/>
                                <w:bottom w:val="none" w:sz="0" w:space="0" w:color="auto"/>
                                <w:right w:val="none" w:sz="0" w:space="0" w:color="auto"/>
                              </w:divBdr>
                              <w:divsChild>
                                <w:div w:id="949241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44440915">
              <w:marLeft w:val="0"/>
              <w:marRight w:val="0"/>
              <w:marTop w:val="0"/>
              <w:marBottom w:val="0"/>
              <w:divBdr>
                <w:top w:val="none" w:sz="0" w:space="0" w:color="auto"/>
                <w:left w:val="none" w:sz="0" w:space="0" w:color="auto"/>
                <w:bottom w:val="none" w:sz="0" w:space="0" w:color="auto"/>
                <w:right w:val="none" w:sz="0" w:space="0" w:color="auto"/>
              </w:divBdr>
              <w:divsChild>
                <w:div w:id="2053141814">
                  <w:marLeft w:val="0"/>
                  <w:marRight w:val="0"/>
                  <w:marTop w:val="0"/>
                  <w:marBottom w:val="0"/>
                  <w:divBdr>
                    <w:top w:val="none" w:sz="0" w:space="0" w:color="auto"/>
                    <w:left w:val="none" w:sz="0" w:space="0" w:color="auto"/>
                    <w:bottom w:val="none" w:sz="0" w:space="0" w:color="auto"/>
                    <w:right w:val="none" w:sz="0" w:space="0" w:color="auto"/>
                  </w:divBdr>
                  <w:divsChild>
                    <w:div w:id="1439569468">
                      <w:marLeft w:val="0"/>
                      <w:marRight w:val="0"/>
                      <w:marTop w:val="0"/>
                      <w:marBottom w:val="0"/>
                      <w:divBdr>
                        <w:top w:val="none" w:sz="0" w:space="0" w:color="auto"/>
                        <w:left w:val="none" w:sz="0" w:space="0" w:color="auto"/>
                        <w:bottom w:val="none" w:sz="0" w:space="0" w:color="auto"/>
                        <w:right w:val="none" w:sz="0" w:space="0" w:color="auto"/>
                      </w:divBdr>
                      <w:divsChild>
                        <w:div w:id="770779535">
                          <w:marLeft w:val="0"/>
                          <w:marRight w:val="0"/>
                          <w:marTop w:val="0"/>
                          <w:marBottom w:val="0"/>
                          <w:divBdr>
                            <w:top w:val="none" w:sz="0" w:space="0" w:color="auto"/>
                            <w:left w:val="none" w:sz="0" w:space="0" w:color="auto"/>
                            <w:bottom w:val="none" w:sz="0" w:space="0" w:color="auto"/>
                            <w:right w:val="none" w:sz="0" w:space="0" w:color="auto"/>
                          </w:divBdr>
                          <w:divsChild>
                            <w:div w:id="878517159">
                              <w:marLeft w:val="0"/>
                              <w:marRight w:val="0"/>
                              <w:marTop w:val="0"/>
                              <w:marBottom w:val="0"/>
                              <w:divBdr>
                                <w:top w:val="none" w:sz="0" w:space="0" w:color="auto"/>
                                <w:left w:val="none" w:sz="0" w:space="0" w:color="auto"/>
                                <w:bottom w:val="none" w:sz="0" w:space="0" w:color="auto"/>
                                <w:right w:val="none" w:sz="0" w:space="0" w:color="auto"/>
                              </w:divBdr>
                            </w:div>
                            <w:div w:id="670328497">
                              <w:marLeft w:val="0"/>
                              <w:marRight w:val="0"/>
                              <w:marTop w:val="0"/>
                              <w:marBottom w:val="0"/>
                              <w:divBdr>
                                <w:top w:val="none" w:sz="0" w:space="0" w:color="auto"/>
                                <w:left w:val="none" w:sz="0" w:space="0" w:color="auto"/>
                                <w:bottom w:val="none" w:sz="0" w:space="0" w:color="auto"/>
                                <w:right w:val="none" w:sz="0" w:space="0" w:color="auto"/>
                              </w:divBdr>
                              <w:divsChild>
                                <w:div w:id="2016683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14255175">
      <w:bodyDiv w:val="1"/>
      <w:marLeft w:val="0"/>
      <w:marRight w:val="0"/>
      <w:marTop w:val="0"/>
      <w:marBottom w:val="0"/>
      <w:divBdr>
        <w:top w:val="none" w:sz="0" w:space="0" w:color="auto"/>
        <w:left w:val="none" w:sz="0" w:space="0" w:color="auto"/>
        <w:bottom w:val="none" w:sz="0" w:space="0" w:color="auto"/>
        <w:right w:val="none" w:sz="0" w:space="0" w:color="auto"/>
      </w:divBdr>
    </w:div>
    <w:div w:id="1122964693">
      <w:bodyDiv w:val="1"/>
      <w:marLeft w:val="0"/>
      <w:marRight w:val="0"/>
      <w:marTop w:val="0"/>
      <w:marBottom w:val="0"/>
      <w:divBdr>
        <w:top w:val="none" w:sz="0" w:space="0" w:color="auto"/>
        <w:left w:val="none" w:sz="0" w:space="0" w:color="auto"/>
        <w:bottom w:val="none" w:sz="0" w:space="0" w:color="auto"/>
        <w:right w:val="none" w:sz="0" w:space="0" w:color="auto"/>
      </w:divBdr>
      <w:divsChild>
        <w:div w:id="390275306">
          <w:marLeft w:val="0"/>
          <w:marRight w:val="0"/>
          <w:marTop w:val="0"/>
          <w:marBottom w:val="450"/>
          <w:divBdr>
            <w:top w:val="none" w:sz="0" w:space="0" w:color="auto"/>
            <w:left w:val="none" w:sz="0" w:space="0" w:color="auto"/>
            <w:bottom w:val="none" w:sz="0" w:space="0" w:color="auto"/>
            <w:right w:val="none" w:sz="0" w:space="0" w:color="auto"/>
          </w:divBdr>
          <w:divsChild>
            <w:div w:id="818350501">
              <w:marLeft w:val="0"/>
              <w:marRight w:val="0"/>
              <w:marTop w:val="0"/>
              <w:marBottom w:val="375"/>
              <w:divBdr>
                <w:top w:val="none" w:sz="0" w:space="0" w:color="auto"/>
                <w:left w:val="none" w:sz="0" w:space="0" w:color="auto"/>
                <w:bottom w:val="none" w:sz="0" w:space="0" w:color="auto"/>
                <w:right w:val="none" w:sz="0" w:space="0" w:color="auto"/>
              </w:divBdr>
              <w:divsChild>
                <w:div w:id="2055539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0668498">
          <w:marLeft w:val="0"/>
          <w:marRight w:val="0"/>
          <w:marTop w:val="0"/>
          <w:marBottom w:val="450"/>
          <w:divBdr>
            <w:top w:val="none" w:sz="0" w:space="0" w:color="auto"/>
            <w:left w:val="none" w:sz="0" w:space="0" w:color="auto"/>
            <w:bottom w:val="none" w:sz="0" w:space="0" w:color="auto"/>
            <w:right w:val="none" w:sz="0" w:space="0" w:color="auto"/>
          </w:divBdr>
          <w:divsChild>
            <w:div w:id="901864668">
              <w:marLeft w:val="0"/>
              <w:marRight w:val="0"/>
              <w:marTop w:val="0"/>
              <w:marBottom w:val="375"/>
              <w:divBdr>
                <w:top w:val="none" w:sz="0" w:space="0" w:color="auto"/>
                <w:left w:val="none" w:sz="0" w:space="0" w:color="auto"/>
                <w:bottom w:val="none" w:sz="0" w:space="0" w:color="auto"/>
                <w:right w:val="none" w:sz="0" w:space="0" w:color="auto"/>
              </w:divBdr>
              <w:divsChild>
                <w:div w:id="870872861">
                  <w:marLeft w:val="0"/>
                  <w:marRight w:val="0"/>
                  <w:marTop w:val="0"/>
                  <w:marBottom w:val="0"/>
                  <w:divBdr>
                    <w:top w:val="none" w:sz="0" w:space="0" w:color="auto"/>
                    <w:left w:val="none" w:sz="0" w:space="0" w:color="auto"/>
                    <w:bottom w:val="none" w:sz="0" w:space="0" w:color="auto"/>
                    <w:right w:val="none" w:sz="0" w:space="0" w:color="auto"/>
                  </w:divBdr>
                </w:div>
              </w:divsChild>
            </w:div>
            <w:div w:id="1956865531">
              <w:marLeft w:val="0"/>
              <w:marRight w:val="0"/>
              <w:marTop w:val="0"/>
              <w:marBottom w:val="0"/>
              <w:divBdr>
                <w:top w:val="none" w:sz="0" w:space="0" w:color="auto"/>
                <w:left w:val="none" w:sz="0" w:space="0" w:color="auto"/>
                <w:bottom w:val="none" w:sz="0" w:space="0" w:color="auto"/>
                <w:right w:val="none" w:sz="0" w:space="0" w:color="auto"/>
              </w:divBdr>
            </w:div>
            <w:div w:id="2006669489">
              <w:marLeft w:val="0"/>
              <w:marRight w:val="0"/>
              <w:marTop w:val="0"/>
              <w:marBottom w:val="0"/>
              <w:divBdr>
                <w:top w:val="none" w:sz="0" w:space="0" w:color="auto"/>
                <w:left w:val="none" w:sz="0" w:space="0" w:color="auto"/>
                <w:bottom w:val="none" w:sz="0" w:space="0" w:color="auto"/>
                <w:right w:val="none" w:sz="0" w:space="0" w:color="auto"/>
              </w:divBdr>
            </w:div>
            <w:div w:id="1423263141">
              <w:marLeft w:val="0"/>
              <w:marRight w:val="0"/>
              <w:marTop w:val="0"/>
              <w:marBottom w:val="0"/>
              <w:divBdr>
                <w:top w:val="none" w:sz="0" w:space="0" w:color="auto"/>
                <w:left w:val="none" w:sz="0" w:space="0" w:color="auto"/>
                <w:bottom w:val="none" w:sz="0" w:space="0" w:color="auto"/>
                <w:right w:val="none" w:sz="0" w:space="0" w:color="auto"/>
              </w:divBdr>
              <w:divsChild>
                <w:div w:id="696740671">
                  <w:marLeft w:val="0"/>
                  <w:marRight w:val="0"/>
                  <w:marTop w:val="240"/>
                  <w:marBottom w:val="240"/>
                  <w:divBdr>
                    <w:top w:val="none" w:sz="0" w:space="0" w:color="auto"/>
                    <w:left w:val="none" w:sz="0" w:space="0" w:color="auto"/>
                    <w:bottom w:val="none" w:sz="0" w:space="0" w:color="auto"/>
                    <w:right w:val="none" w:sz="0" w:space="0" w:color="auto"/>
                  </w:divBdr>
                </w:div>
                <w:div w:id="634794039">
                  <w:marLeft w:val="0"/>
                  <w:marRight w:val="0"/>
                  <w:marTop w:val="240"/>
                  <w:marBottom w:val="480"/>
                  <w:divBdr>
                    <w:top w:val="none" w:sz="0" w:space="0" w:color="auto"/>
                    <w:left w:val="none" w:sz="0" w:space="0" w:color="auto"/>
                    <w:bottom w:val="none" w:sz="0" w:space="0" w:color="auto"/>
                    <w:right w:val="none" w:sz="0" w:space="0" w:color="auto"/>
                  </w:divBdr>
                  <w:divsChild>
                    <w:div w:id="32655799">
                      <w:marLeft w:val="0"/>
                      <w:marRight w:val="0"/>
                      <w:marTop w:val="0"/>
                      <w:marBottom w:val="0"/>
                      <w:divBdr>
                        <w:top w:val="none" w:sz="0" w:space="0" w:color="auto"/>
                        <w:left w:val="none" w:sz="0" w:space="0" w:color="auto"/>
                        <w:bottom w:val="dotted" w:sz="6" w:space="6" w:color="999999"/>
                        <w:right w:val="none" w:sz="0" w:space="0" w:color="auto"/>
                      </w:divBdr>
                    </w:div>
                    <w:div w:id="1306086790">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981731101">
                  <w:marLeft w:val="0"/>
                  <w:marRight w:val="0"/>
                  <w:marTop w:val="240"/>
                  <w:marBottom w:val="240"/>
                  <w:divBdr>
                    <w:top w:val="none" w:sz="0" w:space="0" w:color="auto"/>
                    <w:left w:val="none" w:sz="0" w:space="0" w:color="auto"/>
                    <w:bottom w:val="none" w:sz="0" w:space="0" w:color="auto"/>
                    <w:right w:val="none" w:sz="0" w:space="0" w:color="auto"/>
                  </w:divBdr>
                </w:div>
                <w:div w:id="1622877959">
                  <w:marLeft w:val="0"/>
                  <w:marRight w:val="0"/>
                  <w:marTop w:val="240"/>
                  <w:marBottom w:val="240"/>
                  <w:divBdr>
                    <w:top w:val="none" w:sz="0" w:space="0" w:color="auto"/>
                    <w:left w:val="none" w:sz="0" w:space="0" w:color="auto"/>
                    <w:bottom w:val="none" w:sz="0" w:space="0" w:color="auto"/>
                    <w:right w:val="none" w:sz="0" w:space="0" w:color="auto"/>
                  </w:divBdr>
                </w:div>
              </w:divsChild>
            </w:div>
            <w:div w:id="1224488815">
              <w:marLeft w:val="0"/>
              <w:marRight w:val="0"/>
              <w:marTop w:val="0"/>
              <w:marBottom w:val="0"/>
              <w:divBdr>
                <w:top w:val="none" w:sz="0" w:space="0" w:color="auto"/>
                <w:left w:val="none" w:sz="0" w:space="0" w:color="auto"/>
                <w:bottom w:val="none" w:sz="0" w:space="0" w:color="auto"/>
                <w:right w:val="none" w:sz="0" w:space="0" w:color="auto"/>
              </w:divBdr>
              <w:divsChild>
                <w:div w:id="696659962">
                  <w:marLeft w:val="0"/>
                  <w:marRight w:val="0"/>
                  <w:marTop w:val="240"/>
                  <w:marBottom w:val="480"/>
                  <w:divBdr>
                    <w:top w:val="none" w:sz="0" w:space="0" w:color="auto"/>
                    <w:left w:val="none" w:sz="0" w:space="0" w:color="auto"/>
                    <w:bottom w:val="none" w:sz="0" w:space="0" w:color="auto"/>
                    <w:right w:val="none" w:sz="0" w:space="0" w:color="auto"/>
                  </w:divBdr>
                  <w:divsChild>
                    <w:div w:id="1309164614">
                      <w:marLeft w:val="0"/>
                      <w:marRight w:val="0"/>
                      <w:marTop w:val="0"/>
                      <w:marBottom w:val="0"/>
                      <w:divBdr>
                        <w:top w:val="single" w:sz="6" w:space="0" w:color="C6C6C6"/>
                        <w:left w:val="single" w:sz="6" w:space="0" w:color="C6C6C6"/>
                        <w:bottom w:val="single" w:sz="6" w:space="0" w:color="C6C6C6"/>
                        <w:right w:val="single" w:sz="6" w:space="0" w:color="C6C6C6"/>
                      </w:divBdr>
                    </w:div>
                    <w:div w:id="1168330355">
                      <w:marLeft w:val="0"/>
                      <w:marRight w:val="0"/>
                      <w:marTop w:val="0"/>
                      <w:marBottom w:val="0"/>
                      <w:divBdr>
                        <w:top w:val="none" w:sz="0" w:space="0" w:color="auto"/>
                        <w:left w:val="none" w:sz="0" w:space="0" w:color="auto"/>
                        <w:bottom w:val="dotted" w:sz="6" w:space="6" w:color="999999"/>
                        <w:right w:val="none" w:sz="0" w:space="0" w:color="auto"/>
                      </w:divBdr>
                    </w:div>
                  </w:divsChild>
                </w:div>
                <w:div w:id="669450765">
                  <w:marLeft w:val="0"/>
                  <w:marRight w:val="0"/>
                  <w:marTop w:val="240"/>
                  <w:marBottom w:val="240"/>
                  <w:divBdr>
                    <w:top w:val="none" w:sz="0" w:space="0" w:color="auto"/>
                    <w:left w:val="none" w:sz="0" w:space="0" w:color="auto"/>
                    <w:bottom w:val="none" w:sz="0" w:space="0" w:color="auto"/>
                    <w:right w:val="none" w:sz="0" w:space="0" w:color="auto"/>
                  </w:divBdr>
                </w:div>
                <w:div w:id="648829245">
                  <w:marLeft w:val="0"/>
                  <w:marRight w:val="0"/>
                  <w:marTop w:val="240"/>
                  <w:marBottom w:val="240"/>
                  <w:divBdr>
                    <w:top w:val="none" w:sz="0" w:space="0" w:color="auto"/>
                    <w:left w:val="none" w:sz="0" w:space="0" w:color="auto"/>
                    <w:bottom w:val="none" w:sz="0" w:space="0" w:color="auto"/>
                    <w:right w:val="none" w:sz="0" w:space="0" w:color="auto"/>
                  </w:divBdr>
                </w:div>
                <w:div w:id="223805593">
                  <w:marLeft w:val="0"/>
                  <w:marRight w:val="0"/>
                  <w:marTop w:val="240"/>
                  <w:marBottom w:val="240"/>
                  <w:divBdr>
                    <w:top w:val="none" w:sz="0" w:space="0" w:color="auto"/>
                    <w:left w:val="none" w:sz="0" w:space="0" w:color="auto"/>
                    <w:bottom w:val="none" w:sz="0" w:space="0" w:color="auto"/>
                    <w:right w:val="none" w:sz="0" w:space="0" w:color="auto"/>
                  </w:divBdr>
                </w:div>
                <w:div w:id="1932927460">
                  <w:marLeft w:val="0"/>
                  <w:marRight w:val="0"/>
                  <w:marTop w:val="240"/>
                  <w:marBottom w:val="240"/>
                  <w:divBdr>
                    <w:top w:val="none" w:sz="0" w:space="0" w:color="auto"/>
                    <w:left w:val="none" w:sz="0" w:space="0" w:color="auto"/>
                    <w:bottom w:val="none" w:sz="0" w:space="0" w:color="auto"/>
                    <w:right w:val="none" w:sz="0" w:space="0" w:color="auto"/>
                  </w:divBdr>
                </w:div>
                <w:div w:id="662928727">
                  <w:marLeft w:val="0"/>
                  <w:marRight w:val="0"/>
                  <w:marTop w:val="240"/>
                  <w:marBottom w:val="240"/>
                  <w:divBdr>
                    <w:top w:val="none" w:sz="0" w:space="0" w:color="auto"/>
                    <w:left w:val="none" w:sz="0" w:space="0" w:color="auto"/>
                    <w:bottom w:val="none" w:sz="0" w:space="0" w:color="auto"/>
                    <w:right w:val="none" w:sz="0" w:space="0" w:color="auto"/>
                  </w:divBdr>
                </w:div>
                <w:div w:id="52495074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54676981">
          <w:marLeft w:val="0"/>
          <w:marRight w:val="0"/>
          <w:marTop w:val="0"/>
          <w:marBottom w:val="450"/>
          <w:divBdr>
            <w:top w:val="none" w:sz="0" w:space="0" w:color="auto"/>
            <w:left w:val="none" w:sz="0" w:space="0" w:color="auto"/>
            <w:bottom w:val="none" w:sz="0" w:space="0" w:color="auto"/>
            <w:right w:val="none" w:sz="0" w:space="0" w:color="auto"/>
          </w:divBdr>
          <w:divsChild>
            <w:div w:id="239212929">
              <w:marLeft w:val="0"/>
              <w:marRight w:val="0"/>
              <w:marTop w:val="0"/>
              <w:marBottom w:val="375"/>
              <w:divBdr>
                <w:top w:val="none" w:sz="0" w:space="0" w:color="auto"/>
                <w:left w:val="none" w:sz="0" w:space="0" w:color="auto"/>
                <w:bottom w:val="none" w:sz="0" w:space="0" w:color="auto"/>
                <w:right w:val="none" w:sz="0" w:space="0" w:color="auto"/>
              </w:divBdr>
              <w:divsChild>
                <w:div w:id="1874729809">
                  <w:marLeft w:val="0"/>
                  <w:marRight w:val="0"/>
                  <w:marTop w:val="0"/>
                  <w:marBottom w:val="0"/>
                  <w:divBdr>
                    <w:top w:val="none" w:sz="0" w:space="0" w:color="auto"/>
                    <w:left w:val="none" w:sz="0" w:space="0" w:color="auto"/>
                    <w:bottom w:val="none" w:sz="0" w:space="0" w:color="auto"/>
                    <w:right w:val="none" w:sz="0" w:space="0" w:color="auto"/>
                  </w:divBdr>
                </w:div>
              </w:divsChild>
            </w:div>
            <w:div w:id="2044819326">
              <w:marLeft w:val="0"/>
              <w:marRight w:val="0"/>
              <w:marTop w:val="0"/>
              <w:marBottom w:val="0"/>
              <w:divBdr>
                <w:top w:val="none" w:sz="0" w:space="0" w:color="auto"/>
                <w:left w:val="none" w:sz="0" w:space="0" w:color="auto"/>
                <w:bottom w:val="none" w:sz="0" w:space="0" w:color="auto"/>
                <w:right w:val="none" w:sz="0" w:space="0" w:color="auto"/>
              </w:divBdr>
            </w:div>
            <w:div w:id="848981823">
              <w:marLeft w:val="0"/>
              <w:marRight w:val="0"/>
              <w:marTop w:val="0"/>
              <w:marBottom w:val="0"/>
              <w:divBdr>
                <w:top w:val="none" w:sz="0" w:space="0" w:color="auto"/>
                <w:left w:val="none" w:sz="0" w:space="0" w:color="auto"/>
                <w:bottom w:val="none" w:sz="0" w:space="0" w:color="auto"/>
                <w:right w:val="none" w:sz="0" w:space="0" w:color="auto"/>
              </w:divBdr>
              <w:divsChild>
                <w:div w:id="1502696131">
                  <w:marLeft w:val="0"/>
                  <w:marRight w:val="0"/>
                  <w:marTop w:val="240"/>
                  <w:marBottom w:val="480"/>
                  <w:divBdr>
                    <w:top w:val="none" w:sz="0" w:space="0" w:color="auto"/>
                    <w:left w:val="none" w:sz="0" w:space="0" w:color="auto"/>
                    <w:bottom w:val="none" w:sz="0" w:space="0" w:color="auto"/>
                    <w:right w:val="none" w:sz="0" w:space="0" w:color="auto"/>
                  </w:divBdr>
                  <w:divsChild>
                    <w:div w:id="1122455534">
                      <w:marLeft w:val="0"/>
                      <w:marRight w:val="0"/>
                      <w:marTop w:val="0"/>
                      <w:marBottom w:val="0"/>
                      <w:divBdr>
                        <w:top w:val="single" w:sz="6" w:space="0" w:color="C6C6C6"/>
                        <w:left w:val="single" w:sz="6" w:space="0" w:color="C6C6C6"/>
                        <w:bottom w:val="single" w:sz="6" w:space="0" w:color="C6C6C6"/>
                        <w:right w:val="single" w:sz="6" w:space="0" w:color="C6C6C6"/>
                      </w:divBdr>
                    </w:div>
                    <w:div w:id="182558852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55191616">
              <w:marLeft w:val="0"/>
              <w:marRight w:val="0"/>
              <w:marTop w:val="0"/>
              <w:marBottom w:val="0"/>
              <w:divBdr>
                <w:top w:val="none" w:sz="0" w:space="0" w:color="auto"/>
                <w:left w:val="none" w:sz="0" w:space="0" w:color="auto"/>
                <w:bottom w:val="none" w:sz="0" w:space="0" w:color="auto"/>
                <w:right w:val="none" w:sz="0" w:space="0" w:color="auto"/>
              </w:divBdr>
              <w:divsChild>
                <w:div w:id="1915115857">
                  <w:marLeft w:val="0"/>
                  <w:marRight w:val="0"/>
                  <w:marTop w:val="240"/>
                  <w:marBottom w:val="480"/>
                  <w:divBdr>
                    <w:top w:val="none" w:sz="0" w:space="0" w:color="auto"/>
                    <w:left w:val="none" w:sz="0" w:space="0" w:color="auto"/>
                    <w:bottom w:val="none" w:sz="0" w:space="0" w:color="auto"/>
                    <w:right w:val="none" w:sz="0" w:space="0" w:color="auto"/>
                  </w:divBdr>
                  <w:divsChild>
                    <w:div w:id="1730422014">
                      <w:marLeft w:val="0"/>
                      <w:marRight w:val="0"/>
                      <w:marTop w:val="0"/>
                      <w:marBottom w:val="0"/>
                      <w:divBdr>
                        <w:top w:val="single" w:sz="6" w:space="0" w:color="C6C6C6"/>
                        <w:left w:val="single" w:sz="6" w:space="0" w:color="C6C6C6"/>
                        <w:bottom w:val="single" w:sz="6" w:space="0" w:color="C6C6C6"/>
                        <w:right w:val="single" w:sz="6" w:space="0" w:color="C6C6C6"/>
                      </w:divBdr>
                    </w:div>
                    <w:div w:id="95545378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575892757">
          <w:marLeft w:val="0"/>
          <w:marRight w:val="0"/>
          <w:marTop w:val="0"/>
          <w:marBottom w:val="450"/>
          <w:divBdr>
            <w:top w:val="none" w:sz="0" w:space="0" w:color="auto"/>
            <w:left w:val="none" w:sz="0" w:space="0" w:color="auto"/>
            <w:bottom w:val="none" w:sz="0" w:space="0" w:color="auto"/>
            <w:right w:val="none" w:sz="0" w:space="0" w:color="auto"/>
          </w:divBdr>
          <w:divsChild>
            <w:div w:id="1402219062">
              <w:marLeft w:val="0"/>
              <w:marRight w:val="0"/>
              <w:marTop w:val="0"/>
              <w:marBottom w:val="375"/>
              <w:divBdr>
                <w:top w:val="none" w:sz="0" w:space="0" w:color="auto"/>
                <w:left w:val="none" w:sz="0" w:space="0" w:color="auto"/>
                <w:bottom w:val="none" w:sz="0" w:space="0" w:color="auto"/>
                <w:right w:val="none" w:sz="0" w:space="0" w:color="auto"/>
              </w:divBdr>
              <w:divsChild>
                <w:div w:id="422606505">
                  <w:marLeft w:val="0"/>
                  <w:marRight w:val="0"/>
                  <w:marTop w:val="0"/>
                  <w:marBottom w:val="0"/>
                  <w:divBdr>
                    <w:top w:val="none" w:sz="0" w:space="0" w:color="auto"/>
                    <w:left w:val="none" w:sz="0" w:space="0" w:color="auto"/>
                    <w:bottom w:val="none" w:sz="0" w:space="0" w:color="auto"/>
                    <w:right w:val="none" w:sz="0" w:space="0" w:color="auto"/>
                  </w:divBdr>
                </w:div>
              </w:divsChild>
            </w:div>
            <w:div w:id="239024301">
              <w:marLeft w:val="0"/>
              <w:marRight w:val="0"/>
              <w:marTop w:val="240"/>
              <w:marBottom w:val="480"/>
              <w:divBdr>
                <w:top w:val="none" w:sz="0" w:space="0" w:color="auto"/>
                <w:left w:val="none" w:sz="0" w:space="0" w:color="auto"/>
                <w:bottom w:val="none" w:sz="0" w:space="0" w:color="auto"/>
                <w:right w:val="none" w:sz="0" w:space="0" w:color="auto"/>
              </w:divBdr>
              <w:divsChild>
                <w:div w:id="1975525941">
                  <w:marLeft w:val="0"/>
                  <w:marRight w:val="0"/>
                  <w:marTop w:val="0"/>
                  <w:marBottom w:val="0"/>
                  <w:divBdr>
                    <w:top w:val="single" w:sz="6" w:space="0" w:color="C6C6C6"/>
                    <w:left w:val="single" w:sz="6" w:space="0" w:color="C6C6C6"/>
                    <w:bottom w:val="single" w:sz="6" w:space="0" w:color="C6C6C6"/>
                    <w:right w:val="single" w:sz="6" w:space="0" w:color="C6C6C6"/>
                  </w:divBdr>
                </w:div>
                <w:div w:id="1331837299">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126460677">
      <w:bodyDiv w:val="1"/>
      <w:marLeft w:val="0"/>
      <w:marRight w:val="0"/>
      <w:marTop w:val="0"/>
      <w:marBottom w:val="0"/>
      <w:divBdr>
        <w:top w:val="none" w:sz="0" w:space="0" w:color="auto"/>
        <w:left w:val="none" w:sz="0" w:space="0" w:color="auto"/>
        <w:bottom w:val="none" w:sz="0" w:space="0" w:color="auto"/>
        <w:right w:val="none" w:sz="0" w:space="0" w:color="auto"/>
      </w:divBdr>
      <w:divsChild>
        <w:div w:id="1829393877">
          <w:marLeft w:val="0"/>
          <w:marRight w:val="0"/>
          <w:marTop w:val="0"/>
          <w:marBottom w:val="0"/>
          <w:divBdr>
            <w:top w:val="none" w:sz="0" w:space="0" w:color="auto"/>
            <w:left w:val="none" w:sz="0" w:space="0" w:color="auto"/>
            <w:bottom w:val="none" w:sz="0" w:space="0" w:color="auto"/>
            <w:right w:val="none" w:sz="0" w:space="0" w:color="auto"/>
          </w:divBdr>
          <w:divsChild>
            <w:div w:id="1637373404">
              <w:marLeft w:val="0"/>
              <w:marRight w:val="0"/>
              <w:marTop w:val="0"/>
              <w:marBottom w:val="0"/>
              <w:divBdr>
                <w:top w:val="none" w:sz="0" w:space="0" w:color="auto"/>
                <w:left w:val="none" w:sz="0" w:space="0" w:color="auto"/>
                <w:bottom w:val="none" w:sz="0" w:space="0" w:color="auto"/>
                <w:right w:val="none" w:sz="0" w:space="0" w:color="auto"/>
              </w:divBdr>
            </w:div>
          </w:divsChild>
        </w:div>
        <w:div w:id="52195761">
          <w:marLeft w:val="0"/>
          <w:marRight w:val="0"/>
          <w:marTop w:val="0"/>
          <w:marBottom w:val="0"/>
          <w:divBdr>
            <w:top w:val="none" w:sz="0" w:space="0" w:color="auto"/>
            <w:left w:val="none" w:sz="0" w:space="0" w:color="auto"/>
            <w:bottom w:val="none" w:sz="0" w:space="0" w:color="auto"/>
            <w:right w:val="none" w:sz="0" w:space="0" w:color="auto"/>
          </w:divBdr>
          <w:divsChild>
            <w:div w:id="1795173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9201647">
      <w:bodyDiv w:val="1"/>
      <w:marLeft w:val="0"/>
      <w:marRight w:val="0"/>
      <w:marTop w:val="0"/>
      <w:marBottom w:val="0"/>
      <w:divBdr>
        <w:top w:val="none" w:sz="0" w:space="0" w:color="auto"/>
        <w:left w:val="none" w:sz="0" w:space="0" w:color="auto"/>
        <w:bottom w:val="none" w:sz="0" w:space="0" w:color="auto"/>
        <w:right w:val="none" w:sz="0" w:space="0" w:color="auto"/>
      </w:divBdr>
      <w:divsChild>
        <w:div w:id="841310930">
          <w:marLeft w:val="0"/>
          <w:marRight w:val="0"/>
          <w:marTop w:val="0"/>
          <w:marBottom w:val="0"/>
          <w:divBdr>
            <w:top w:val="none" w:sz="0" w:space="0" w:color="auto"/>
            <w:left w:val="none" w:sz="0" w:space="0" w:color="auto"/>
            <w:bottom w:val="none" w:sz="0" w:space="0" w:color="auto"/>
            <w:right w:val="none" w:sz="0" w:space="0" w:color="auto"/>
          </w:divBdr>
          <w:divsChild>
            <w:div w:id="1280063573">
              <w:marLeft w:val="0"/>
              <w:marRight w:val="0"/>
              <w:marTop w:val="0"/>
              <w:marBottom w:val="0"/>
              <w:divBdr>
                <w:top w:val="none" w:sz="0" w:space="0" w:color="auto"/>
                <w:left w:val="none" w:sz="0" w:space="0" w:color="auto"/>
                <w:bottom w:val="none" w:sz="0" w:space="0" w:color="auto"/>
                <w:right w:val="none" w:sz="0" w:space="0" w:color="auto"/>
              </w:divBdr>
            </w:div>
          </w:divsChild>
        </w:div>
        <w:div w:id="695618896">
          <w:marLeft w:val="0"/>
          <w:marRight w:val="0"/>
          <w:marTop w:val="0"/>
          <w:marBottom w:val="420"/>
          <w:divBdr>
            <w:top w:val="none" w:sz="0" w:space="0" w:color="auto"/>
            <w:left w:val="none" w:sz="0" w:space="0" w:color="auto"/>
            <w:bottom w:val="none" w:sz="0" w:space="0" w:color="auto"/>
            <w:right w:val="none" w:sz="0" w:space="0" w:color="auto"/>
          </w:divBdr>
        </w:div>
        <w:div w:id="671876703">
          <w:marLeft w:val="0"/>
          <w:marRight w:val="0"/>
          <w:marTop w:val="0"/>
          <w:marBottom w:val="0"/>
          <w:divBdr>
            <w:top w:val="none" w:sz="0" w:space="0" w:color="auto"/>
            <w:left w:val="none" w:sz="0" w:space="0" w:color="auto"/>
            <w:bottom w:val="none" w:sz="0" w:space="0" w:color="auto"/>
            <w:right w:val="none" w:sz="0" w:space="0" w:color="auto"/>
          </w:divBdr>
          <w:divsChild>
            <w:div w:id="67502832">
              <w:marLeft w:val="0"/>
              <w:marRight w:val="0"/>
              <w:marTop w:val="270"/>
              <w:marBottom w:val="270"/>
              <w:divBdr>
                <w:top w:val="none" w:sz="0" w:space="0" w:color="auto"/>
                <w:left w:val="none" w:sz="0" w:space="0" w:color="auto"/>
                <w:bottom w:val="none" w:sz="0" w:space="0" w:color="auto"/>
                <w:right w:val="none" w:sz="0" w:space="0" w:color="auto"/>
              </w:divBdr>
            </w:div>
          </w:divsChild>
        </w:div>
        <w:div w:id="235408085">
          <w:marLeft w:val="0"/>
          <w:marRight w:val="0"/>
          <w:marTop w:val="0"/>
          <w:marBottom w:val="0"/>
          <w:divBdr>
            <w:top w:val="none" w:sz="0" w:space="0" w:color="auto"/>
            <w:left w:val="none" w:sz="0" w:space="0" w:color="auto"/>
            <w:bottom w:val="none" w:sz="0" w:space="0" w:color="auto"/>
            <w:right w:val="none" w:sz="0" w:space="0" w:color="auto"/>
          </w:divBdr>
          <w:divsChild>
            <w:div w:id="46026791">
              <w:marLeft w:val="0"/>
              <w:marRight w:val="0"/>
              <w:marTop w:val="270"/>
              <w:marBottom w:val="270"/>
              <w:divBdr>
                <w:top w:val="none" w:sz="0" w:space="0" w:color="auto"/>
                <w:left w:val="none" w:sz="0" w:space="0" w:color="auto"/>
                <w:bottom w:val="none" w:sz="0" w:space="0" w:color="auto"/>
                <w:right w:val="none" w:sz="0" w:space="0" w:color="auto"/>
              </w:divBdr>
            </w:div>
            <w:div w:id="94523551">
              <w:marLeft w:val="0"/>
              <w:marRight w:val="0"/>
              <w:marTop w:val="270"/>
              <w:marBottom w:val="270"/>
              <w:divBdr>
                <w:top w:val="none" w:sz="0" w:space="0" w:color="auto"/>
                <w:left w:val="none" w:sz="0" w:space="0" w:color="auto"/>
                <w:bottom w:val="none" w:sz="0" w:space="0" w:color="auto"/>
                <w:right w:val="none" w:sz="0" w:space="0" w:color="auto"/>
              </w:divBdr>
            </w:div>
            <w:div w:id="2015258698">
              <w:marLeft w:val="0"/>
              <w:marRight w:val="0"/>
              <w:marTop w:val="270"/>
              <w:marBottom w:val="270"/>
              <w:divBdr>
                <w:top w:val="none" w:sz="0" w:space="0" w:color="auto"/>
                <w:left w:val="none" w:sz="0" w:space="0" w:color="auto"/>
                <w:bottom w:val="none" w:sz="0" w:space="0" w:color="auto"/>
                <w:right w:val="none" w:sz="0" w:space="0" w:color="auto"/>
              </w:divBdr>
            </w:div>
          </w:divsChild>
        </w:div>
        <w:div w:id="689994328">
          <w:marLeft w:val="0"/>
          <w:marRight w:val="0"/>
          <w:marTop w:val="0"/>
          <w:marBottom w:val="0"/>
          <w:divBdr>
            <w:top w:val="none" w:sz="0" w:space="0" w:color="auto"/>
            <w:left w:val="none" w:sz="0" w:space="0" w:color="auto"/>
            <w:bottom w:val="none" w:sz="0" w:space="0" w:color="auto"/>
            <w:right w:val="none" w:sz="0" w:space="0" w:color="auto"/>
          </w:divBdr>
          <w:divsChild>
            <w:div w:id="110705808">
              <w:marLeft w:val="0"/>
              <w:marRight w:val="0"/>
              <w:marTop w:val="270"/>
              <w:marBottom w:val="270"/>
              <w:divBdr>
                <w:top w:val="none" w:sz="0" w:space="0" w:color="auto"/>
                <w:left w:val="none" w:sz="0" w:space="0" w:color="auto"/>
                <w:bottom w:val="none" w:sz="0" w:space="0" w:color="auto"/>
                <w:right w:val="none" w:sz="0" w:space="0" w:color="auto"/>
              </w:divBdr>
            </w:div>
            <w:div w:id="206337068">
              <w:marLeft w:val="0"/>
              <w:marRight w:val="0"/>
              <w:marTop w:val="270"/>
              <w:marBottom w:val="270"/>
              <w:divBdr>
                <w:top w:val="none" w:sz="0" w:space="0" w:color="auto"/>
                <w:left w:val="none" w:sz="0" w:space="0" w:color="auto"/>
                <w:bottom w:val="none" w:sz="0" w:space="0" w:color="auto"/>
                <w:right w:val="none" w:sz="0" w:space="0" w:color="auto"/>
              </w:divBdr>
            </w:div>
            <w:div w:id="1637372071">
              <w:marLeft w:val="0"/>
              <w:marRight w:val="0"/>
              <w:marTop w:val="270"/>
              <w:marBottom w:val="270"/>
              <w:divBdr>
                <w:top w:val="none" w:sz="0" w:space="0" w:color="auto"/>
                <w:left w:val="none" w:sz="0" w:space="0" w:color="auto"/>
                <w:bottom w:val="none" w:sz="0" w:space="0" w:color="auto"/>
                <w:right w:val="none" w:sz="0" w:space="0" w:color="auto"/>
              </w:divBdr>
            </w:div>
          </w:divsChild>
        </w:div>
        <w:div w:id="1577276752">
          <w:marLeft w:val="0"/>
          <w:marRight w:val="0"/>
          <w:marTop w:val="0"/>
          <w:marBottom w:val="0"/>
          <w:divBdr>
            <w:top w:val="none" w:sz="0" w:space="0" w:color="auto"/>
            <w:left w:val="none" w:sz="0" w:space="0" w:color="auto"/>
            <w:bottom w:val="none" w:sz="0" w:space="0" w:color="auto"/>
            <w:right w:val="none" w:sz="0" w:space="0" w:color="auto"/>
          </w:divBdr>
          <w:divsChild>
            <w:div w:id="858741049">
              <w:marLeft w:val="0"/>
              <w:marRight w:val="0"/>
              <w:marTop w:val="270"/>
              <w:marBottom w:val="270"/>
              <w:divBdr>
                <w:top w:val="none" w:sz="0" w:space="0" w:color="auto"/>
                <w:left w:val="none" w:sz="0" w:space="0" w:color="auto"/>
                <w:bottom w:val="none" w:sz="0" w:space="0" w:color="auto"/>
                <w:right w:val="none" w:sz="0" w:space="0" w:color="auto"/>
              </w:divBdr>
            </w:div>
            <w:div w:id="2031833743">
              <w:marLeft w:val="0"/>
              <w:marRight w:val="0"/>
              <w:marTop w:val="270"/>
              <w:marBottom w:val="270"/>
              <w:divBdr>
                <w:top w:val="none" w:sz="0" w:space="0" w:color="auto"/>
                <w:left w:val="none" w:sz="0" w:space="0" w:color="auto"/>
                <w:bottom w:val="none" w:sz="0" w:space="0" w:color="auto"/>
                <w:right w:val="none" w:sz="0" w:space="0" w:color="auto"/>
              </w:divBdr>
            </w:div>
            <w:div w:id="1632439424">
              <w:marLeft w:val="0"/>
              <w:marRight w:val="0"/>
              <w:marTop w:val="270"/>
              <w:marBottom w:val="270"/>
              <w:divBdr>
                <w:top w:val="none" w:sz="0" w:space="0" w:color="auto"/>
                <w:left w:val="none" w:sz="0" w:space="0" w:color="auto"/>
                <w:bottom w:val="none" w:sz="0" w:space="0" w:color="auto"/>
                <w:right w:val="none" w:sz="0" w:space="0" w:color="auto"/>
              </w:divBdr>
            </w:div>
            <w:div w:id="361630882">
              <w:marLeft w:val="0"/>
              <w:marRight w:val="0"/>
              <w:marTop w:val="270"/>
              <w:marBottom w:val="270"/>
              <w:divBdr>
                <w:top w:val="none" w:sz="0" w:space="0" w:color="auto"/>
                <w:left w:val="none" w:sz="0" w:space="0" w:color="auto"/>
                <w:bottom w:val="none" w:sz="0" w:space="0" w:color="auto"/>
                <w:right w:val="none" w:sz="0" w:space="0" w:color="auto"/>
              </w:divBdr>
            </w:div>
            <w:div w:id="819007775">
              <w:marLeft w:val="0"/>
              <w:marRight w:val="0"/>
              <w:marTop w:val="270"/>
              <w:marBottom w:val="270"/>
              <w:divBdr>
                <w:top w:val="none" w:sz="0" w:space="0" w:color="auto"/>
                <w:left w:val="none" w:sz="0" w:space="0" w:color="auto"/>
                <w:bottom w:val="none" w:sz="0" w:space="0" w:color="auto"/>
                <w:right w:val="none" w:sz="0" w:space="0" w:color="auto"/>
              </w:divBdr>
            </w:div>
          </w:divsChild>
        </w:div>
        <w:div w:id="1620456322">
          <w:marLeft w:val="0"/>
          <w:marRight w:val="0"/>
          <w:marTop w:val="0"/>
          <w:marBottom w:val="0"/>
          <w:divBdr>
            <w:top w:val="none" w:sz="0" w:space="0" w:color="auto"/>
            <w:left w:val="none" w:sz="0" w:space="0" w:color="auto"/>
            <w:bottom w:val="none" w:sz="0" w:space="0" w:color="auto"/>
            <w:right w:val="none" w:sz="0" w:space="0" w:color="auto"/>
          </w:divBdr>
          <w:divsChild>
            <w:div w:id="1931544579">
              <w:marLeft w:val="0"/>
              <w:marRight w:val="0"/>
              <w:marTop w:val="270"/>
              <w:marBottom w:val="270"/>
              <w:divBdr>
                <w:top w:val="none" w:sz="0" w:space="0" w:color="auto"/>
                <w:left w:val="none" w:sz="0" w:space="0" w:color="auto"/>
                <w:bottom w:val="none" w:sz="0" w:space="0" w:color="auto"/>
                <w:right w:val="none" w:sz="0" w:space="0" w:color="auto"/>
              </w:divBdr>
            </w:div>
            <w:div w:id="1499031937">
              <w:marLeft w:val="0"/>
              <w:marRight w:val="0"/>
              <w:marTop w:val="270"/>
              <w:marBottom w:val="270"/>
              <w:divBdr>
                <w:top w:val="none" w:sz="0" w:space="0" w:color="auto"/>
                <w:left w:val="none" w:sz="0" w:space="0" w:color="auto"/>
                <w:bottom w:val="none" w:sz="0" w:space="0" w:color="auto"/>
                <w:right w:val="none" w:sz="0" w:space="0" w:color="auto"/>
              </w:divBdr>
            </w:div>
            <w:div w:id="250625689">
              <w:marLeft w:val="0"/>
              <w:marRight w:val="0"/>
              <w:marTop w:val="270"/>
              <w:marBottom w:val="270"/>
              <w:divBdr>
                <w:top w:val="none" w:sz="0" w:space="0" w:color="auto"/>
                <w:left w:val="none" w:sz="0" w:space="0" w:color="auto"/>
                <w:bottom w:val="none" w:sz="0" w:space="0" w:color="auto"/>
                <w:right w:val="none" w:sz="0" w:space="0" w:color="auto"/>
              </w:divBdr>
            </w:div>
            <w:div w:id="7220053">
              <w:marLeft w:val="0"/>
              <w:marRight w:val="0"/>
              <w:marTop w:val="270"/>
              <w:marBottom w:val="270"/>
              <w:divBdr>
                <w:top w:val="none" w:sz="0" w:space="0" w:color="auto"/>
                <w:left w:val="none" w:sz="0" w:space="0" w:color="auto"/>
                <w:bottom w:val="none" w:sz="0" w:space="0" w:color="auto"/>
                <w:right w:val="none" w:sz="0" w:space="0" w:color="auto"/>
              </w:divBdr>
            </w:div>
          </w:divsChild>
        </w:div>
        <w:div w:id="784884995">
          <w:marLeft w:val="0"/>
          <w:marRight w:val="0"/>
          <w:marTop w:val="0"/>
          <w:marBottom w:val="0"/>
          <w:divBdr>
            <w:top w:val="none" w:sz="0" w:space="0" w:color="auto"/>
            <w:left w:val="none" w:sz="0" w:space="0" w:color="auto"/>
            <w:bottom w:val="none" w:sz="0" w:space="0" w:color="auto"/>
            <w:right w:val="none" w:sz="0" w:space="0" w:color="auto"/>
          </w:divBdr>
          <w:divsChild>
            <w:div w:id="692658763">
              <w:marLeft w:val="0"/>
              <w:marRight w:val="0"/>
              <w:marTop w:val="270"/>
              <w:marBottom w:val="270"/>
              <w:divBdr>
                <w:top w:val="none" w:sz="0" w:space="0" w:color="auto"/>
                <w:left w:val="none" w:sz="0" w:space="0" w:color="auto"/>
                <w:bottom w:val="none" w:sz="0" w:space="0" w:color="auto"/>
                <w:right w:val="none" w:sz="0" w:space="0" w:color="auto"/>
              </w:divBdr>
            </w:div>
            <w:div w:id="709457161">
              <w:marLeft w:val="0"/>
              <w:marRight w:val="0"/>
              <w:marTop w:val="270"/>
              <w:marBottom w:val="270"/>
              <w:divBdr>
                <w:top w:val="none" w:sz="0" w:space="0" w:color="auto"/>
                <w:left w:val="none" w:sz="0" w:space="0" w:color="auto"/>
                <w:bottom w:val="none" w:sz="0" w:space="0" w:color="auto"/>
                <w:right w:val="none" w:sz="0" w:space="0" w:color="auto"/>
              </w:divBdr>
            </w:div>
            <w:div w:id="289748757">
              <w:marLeft w:val="0"/>
              <w:marRight w:val="0"/>
              <w:marTop w:val="270"/>
              <w:marBottom w:val="270"/>
              <w:divBdr>
                <w:top w:val="none" w:sz="0" w:space="0" w:color="auto"/>
                <w:left w:val="none" w:sz="0" w:space="0" w:color="auto"/>
                <w:bottom w:val="none" w:sz="0" w:space="0" w:color="auto"/>
                <w:right w:val="none" w:sz="0" w:space="0" w:color="auto"/>
              </w:divBdr>
            </w:div>
          </w:divsChild>
        </w:div>
        <w:div w:id="1037923981">
          <w:marLeft w:val="0"/>
          <w:marRight w:val="0"/>
          <w:marTop w:val="0"/>
          <w:marBottom w:val="0"/>
          <w:divBdr>
            <w:top w:val="none" w:sz="0" w:space="0" w:color="auto"/>
            <w:left w:val="none" w:sz="0" w:space="0" w:color="auto"/>
            <w:bottom w:val="none" w:sz="0" w:space="0" w:color="auto"/>
            <w:right w:val="none" w:sz="0" w:space="0" w:color="auto"/>
          </w:divBdr>
          <w:divsChild>
            <w:div w:id="1539313949">
              <w:marLeft w:val="0"/>
              <w:marRight w:val="0"/>
              <w:marTop w:val="270"/>
              <w:marBottom w:val="270"/>
              <w:divBdr>
                <w:top w:val="none" w:sz="0" w:space="0" w:color="auto"/>
                <w:left w:val="none" w:sz="0" w:space="0" w:color="auto"/>
                <w:bottom w:val="none" w:sz="0" w:space="0" w:color="auto"/>
                <w:right w:val="none" w:sz="0" w:space="0" w:color="auto"/>
              </w:divBdr>
            </w:div>
            <w:div w:id="417601439">
              <w:marLeft w:val="0"/>
              <w:marRight w:val="0"/>
              <w:marTop w:val="270"/>
              <w:marBottom w:val="270"/>
              <w:divBdr>
                <w:top w:val="none" w:sz="0" w:space="0" w:color="auto"/>
                <w:left w:val="none" w:sz="0" w:space="0" w:color="auto"/>
                <w:bottom w:val="none" w:sz="0" w:space="0" w:color="auto"/>
                <w:right w:val="none" w:sz="0" w:space="0" w:color="auto"/>
              </w:divBdr>
            </w:div>
            <w:div w:id="781732173">
              <w:marLeft w:val="0"/>
              <w:marRight w:val="0"/>
              <w:marTop w:val="270"/>
              <w:marBottom w:val="270"/>
              <w:divBdr>
                <w:top w:val="none" w:sz="0" w:space="0" w:color="auto"/>
                <w:left w:val="none" w:sz="0" w:space="0" w:color="auto"/>
                <w:bottom w:val="none" w:sz="0" w:space="0" w:color="auto"/>
                <w:right w:val="none" w:sz="0" w:space="0" w:color="auto"/>
              </w:divBdr>
            </w:div>
          </w:divsChild>
        </w:div>
        <w:div w:id="523131014">
          <w:marLeft w:val="0"/>
          <w:marRight w:val="0"/>
          <w:marTop w:val="0"/>
          <w:marBottom w:val="450"/>
          <w:divBdr>
            <w:top w:val="none" w:sz="0" w:space="0" w:color="auto"/>
            <w:left w:val="none" w:sz="0" w:space="0" w:color="auto"/>
            <w:bottom w:val="none" w:sz="0" w:space="0" w:color="auto"/>
            <w:right w:val="none" w:sz="0" w:space="0" w:color="auto"/>
          </w:divBdr>
          <w:divsChild>
            <w:div w:id="28377132">
              <w:marLeft w:val="0"/>
              <w:marRight w:val="0"/>
              <w:marTop w:val="225"/>
              <w:marBottom w:val="0"/>
              <w:divBdr>
                <w:top w:val="none" w:sz="0" w:space="0" w:color="auto"/>
                <w:left w:val="none" w:sz="0" w:space="0" w:color="auto"/>
                <w:bottom w:val="none" w:sz="0" w:space="0" w:color="auto"/>
                <w:right w:val="none" w:sz="0" w:space="0" w:color="auto"/>
              </w:divBdr>
            </w:div>
          </w:divsChild>
        </w:div>
        <w:div w:id="1893300646">
          <w:marLeft w:val="0"/>
          <w:marRight w:val="0"/>
          <w:marTop w:val="0"/>
          <w:marBottom w:val="0"/>
          <w:divBdr>
            <w:top w:val="none" w:sz="0" w:space="0" w:color="auto"/>
            <w:left w:val="none" w:sz="0" w:space="0" w:color="auto"/>
            <w:bottom w:val="none" w:sz="0" w:space="0" w:color="auto"/>
            <w:right w:val="none" w:sz="0" w:space="0" w:color="auto"/>
          </w:divBdr>
          <w:divsChild>
            <w:div w:id="961152804">
              <w:marLeft w:val="0"/>
              <w:marRight w:val="0"/>
              <w:marTop w:val="270"/>
              <w:marBottom w:val="270"/>
              <w:divBdr>
                <w:top w:val="none" w:sz="0" w:space="0" w:color="auto"/>
                <w:left w:val="none" w:sz="0" w:space="0" w:color="auto"/>
                <w:bottom w:val="none" w:sz="0" w:space="0" w:color="auto"/>
                <w:right w:val="none" w:sz="0" w:space="0" w:color="auto"/>
              </w:divBdr>
            </w:div>
          </w:divsChild>
        </w:div>
        <w:div w:id="666175515">
          <w:marLeft w:val="0"/>
          <w:marRight w:val="0"/>
          <w:marTop w:val="0"/>
          <w:marBottom w:val="0"/>
          <w:divBdr>
            <w:top w:val="none" w:sz="0" w:space="0" w:color="auto"/>
            <w:left w:val="none" w:sz="0" w:space="0" w:color="auto"/>
            <w:bottom w:val="none" w:sz="0" w:space="0" w:color="auto"/>
            <w:right w:val="none" w:sz="0" w:space="0" w:color="auto"/>
          </w:divBdr>
          <w:divsChild>
            <w:div w:id="46609282">
              <w:marLeft w:val="0"/>
              <w:marRight w:val="0"/>
              <w:marTop w:val="270"/>
              <w:marBottom w:val="270"/>
              <w:divBdr>
                <w:top w:val="none" w:sz="0" w:space="0" w:color="auto"/>
                <w:left w:val="none" w:sz="0" w:space="0" w:color="auto"/>
                <w:bottom w:val="none" w:sz="0" w:space="0" w:color="auto"/>
                <w:right w:val="none" w:sz="0" w:space="0" w:color="auto"/>
              </w:divBdr>
            </w:div>
          </w:divsChild>
        </w:div>
        <w:div w:id="1798714948">
          <w:marLeft w:val="0"/>
          <w:marRight w:val="0"/>
          <w:marTop w:val="0"/>
          <w:marBottom w:val="0"/>
          <w:divBdr>
            <w:top w:val="none" w:sz="0" w:space="0" w:color="auto"/>
            <w:left w:val="none" w:sz="0" w:space="0" w:color="auto"/>
            <w:bottom w:val="none" w:sz="0" w:space="0" w:color="auto"/>
            <w:right w:val="none" w:sz="0" w:space="0" w:color="auto"/>
          </w:divBdr>
          <w:divsChild>
            <w:div w:id="170147413">
              <w:marLeft w:val="0"/>
              <w:marRight w:val="0"/>
              <w:marTop w:val="270"/>
              <w:marBottom w:val="270"/>
              <w:divBdr>
                <w:top w:val="none" w:sz="0" w:space="0" w:color="auto"/>
                <w:left w:val="none" w:sz="0" w:space="0" w:color="auto"/>
                <w:bottom w:val="none" w:sz="0" w:space="0" w:color="auto"/>
                <w:right w:val="none" w:sz="0" w:space="0" w:color="auto"/>
              </w:divBdr>
            </w:div>
          </w:divsChild>
        </w:div>
        <w:div w:id="1324233808">
          <w:marLeft w:val="0"/>
          <w:marRight w:val="0"/>
          <w:marTop w:val="0"/>
          <w:marBottom w:val="0"/>
          <w:divBdr>
            <w:top w:val="none" w:sz="0" w:space="0" w:color="auto"/>
            <w:left w:val="none" w:sz="0" w:space="0" w:color="auto"/>
            <w:bottom w:val="none" w:sz="0" w:space="0" w:color="auto"/>
            <w:right w:val="none" w:sz="0" w:space="0" w:color="auto"/>
          </w:divBdr>
          <w:divsChild>
            <w:div w:id="1987974871">
              <w:marLeft w:val="0"/>
              <w:marRight w:val="0"/>
              <w:marTop w:val="0"/>
              <w:marBottom w:val="0"/>
              <w:divBdr>
                <w:top w:val="none" w:sz="0" w:space="0" w:color="auto"/>
                <w:left w:val="none" w:sz="0" w:space="0" w:color="auto"/>
                <w:bottom w:val="none" w:sz="0" w:space="0" w:color="auto"/>
                <w:right w:val="none" w:sz="0" w:space="0" w:color="auto"/>
              </w:divBdr>
            </w:div>
          </w:divsChild>
        </w:div>
        <w:div w:id="137111681">
          <w:marLeft w:val="0"/>
          <w:marRight w:val="0"/>
          <w:marTop w:val="0"/>
          <w:marBottom w:val="420"/>
          <w:divBdr>
            <w:top w:val="none" w:sz="0" w:space="0" w:color="auto"/>
            <w:left w:val="none" w:sz="0" w:space="0" w:color="auto"/>
            <w:bottom w:val="none" w:sz="0" w:space="0" w:color="auto"/>
            <w:right w:val="none" w:sz="0" w:space="0" w:color="auto"/>
          </w:divBdr>
        </w:div>
        <w:div w:id="2134132657">
          <w:marLeft w:val="0"/>
          <w:marRight w:val="0"/>
          <w:marTop w:val="0"/>
          <w:marBottom w:val="0"/>
          <w:divBdr>
            <w:top w:val="none" w:sz="0" w:space="0" w:color="auto"/>
            <w:left w:val="none" w:sz="0" w:space="0" w:color="auto"/>
            <w:bottom w:val="none" w:sz="0" w:space="0" w:color="auto"/>
            <w:right w:val="none" w:sz="0" w:space="0" w:color="auto"/>
          </w:divBdr>
          <w:divsChild>
            <w:div w:id="1760370180">
              <w:marLeft w:val="0"/>
              <w:marRight w:val="0"/>
              <w:marTop w:val="0"/>
              <w:marBottom w:val="0"/>
              <w:divBdr>
                <w:top w:val="none" w:sz="0" w:space="0" w:color="auto"/>
                <w:left w:val="none" w:sz="0" w:space="0" w:color="auto"/>
                <w:bottom w:val="none" w:sz="0" w:space="0" w:color="auto"/>
                <w:right w:val="none" w:sz="0" w:space="0" w:color="auto"/>
              </w:divBdr>
            </w:div>
          </w:divsChild>
        </w:div>
        <w:div w:id="1831286015">
          <w:marLeft w:val="0"/>
          <w:marRight w:val="0"/>
          <w:marTop w:val="0"/>
          <w:marBottom w:val="420"/>
          <w:divBdr>
            <w:top w:val="none" w:sz="0" w:space="0" w:color="auto"/>
            <w:left w:val="none" w:sz="0" w:space="0" w:color="auto"/>
            <w:bottom w:val="none" w:sz="0" w:space="0" w:color="auto"/>
            <w:right w:val="none" w:sz="0" w:space="0" w:color="auto"/>
          </w:divBdr>
        </w:div>
        <w:div w:id="1184051782">
          <w:marLeft w:val="0"/>
          <w:marRight w:val="0"/>
          <w:marTop w:val="0"/>
          <w:marBottom w:val="0"/>
          <w:divBdr>
            <w:top w:val="none" w:sz="0" w:space="0" w:color="auto"/>
            <w:left w:val="none" w:sz="0" w:space="0" w:color="auto"/>
            <w:bottom w:val="none" w:sz="0" w:space="0" w:color="auto"/>
            <w:right w:val="none" w:sz="0" w:space="0" w:color="auto"/>
          </w:divBdr>
          <w:divsChild>
            <w:div w:id="868027922">
              <w:marLeft w:val="0"/>
              <w:marRight w:val="0"/>
              <w:marTop w:val="0"/>
              <w:marBottom w:val="0"/>
              <w:divBdr>
                <w:top w:val="none" w:sz="0" w:space="0" w:color="auto"/>
                <w:left w:val="none" w:sz="0" w:space="0" w:color="auto"/>
                <w:bottom w:val="none" w:sz="0" w:space="0" w:color="auto"/>
                <w:right w:val="none" w:sz="0" w:space="0" w:color="auto"/>
              </w:divBdr>
            </w:div>
          </w:divsChild>
        </w:div>
        <w:div w:id="1137526711">
          <w:marLeft w:val="0"/>
          <w:marRight w:val="0"/>
          <w:marTop w:val="0"/>
          <w:marBottom w:val="420"/>
          <w:divBdr>
            <w:top w:val="none" w:sz="0" w:space="0" w:color="auto"/>
            <w:left w:val="none" w:sz="0" w:space="0" w:color="auto"/>
            <w:bottom w:val="none" w:sz="0" w:space="0" w:color="auto"/>
            <w:right w:val="none" w:sz="0" w:space="0" w:color="auto"/>
          </w:divBdr>
        </w:div>
        <w:div w:id="870454550">
          <w:marLeft w:val="0"/>
          <w:marRight w:val="0"/>
          <w:marTop w:val="0"/>
          <w:marBottom w:val="0"/>
          <w:divBdr>
            <w:top w:val="none" w:sz="0" w:space="0" w:color="auto"/>
            <w:left w:val="none" w:sz="0" w:space="0" w:color="auto"/>
            <w:bottom w:val="none" w:sz="0" w:space="0" w:color="auto"/>
            <w:right w:val="none" w:sz="0" w:space="0" w:color="auto"/>
          </w:divBdr>
          <w:divsChild>
            <w:div w:id="1328706439">
              <w:marLeft w:val="0"/>
              <w:marRight w:val="0"/>
              <w:marTop w:val="0"/>
              <w:marBottom w:val="0"/>
              <w:divBdr>
                <w:top w:val="none" w:sz="0" w:space="0" w:color="auto"/>
                <w:left w:val="none" w:sz="0" w:space="0" w:color="auto"/>
                <w:bottom w:val="none" w:sz="0" w:space="0" w:color="auto"/>
                <w:right w:val="none" w:sz="0" w:space="0" w:color="auto"/>
              </w:divBdr>
            </w:div>
          </w:divsChild>
        </w:div>
        <w:div w:id="2098746924">
          <w:marLeft w:val="0"/>
          <w:marRight w:val="0"/>
          <w:marTop w:val="0"/>
          <w:marBottom w:val="420"/>
          <w:divBdr>
            <w:top w:val="none" w:sz="0" w:space="0" w:color="auto"/>
            <w:left w:val="none" w:sz="0" w:space="0" w:color="auto"/>
            <w:bottom w:val="none" w:sz="0" w:space="0" w:color="auto"/>
            <w:right w:val="none" w:sz="0" w:space="0" w:color="auto"/>
          </w:divBdr>
        </w:div>
        <w:div w:id="421293521">
          <w:marLeft w:val="0"/>
          <w:marRight w:val="0"/>
          <w:marTop w:val="0"/>
          <w:marBottom w:val="0"/>
          <w:divBdr>
            <w:top w:val="none" w:sz="0" w:space="0" w:color="auto"/>
            <w:left w:val="none" w:sz="0" w:space="0" w:color="auto"/>
            <w:bottom w:val="none" w:sz="0" w:space="0" w:color="auto"/>
            <w:right w:val="none" w:sz="0" w:space="0" w:color="auto"/>
          </w:divBdr>
          <w:divsChild>
            <w:div w:id="147986871">
              <w:marLeft w:val="0"/>
              <w:marRight w:val="0"/>
              <w:marTop w:val="0"/>
              <w:marBottom w:val="0"/>
              <w:divBdr>
                <w:top w:val="none" w:sz="0" w:space="0" w:color="auto"/>
                <w:left w:val="none" w:sz="0" w:space="0" w:color="auto"/>
                <w:bottom w:val="none" w:sz="0" w:space="0" w:color="auto"/>
                <w:right w:val="none" w:sz="0" w:space="0" w:color="auto"/>
              </w:divBdr>
            </w:div>
          </w:divsChild>
        </w:div>
        <w:div w:id="140925563">
          <w:marLeft w:val="0"/>
          <w:marRight w:val="0"/>
          <w:marTop w:val="0"/>
          <w:marBottom w:val="420"/>
          <w:divBdr>
            <w:top w:val="none" w:sz="0" w:space="0" w:color="auto"/>
            <w:left w:val="none" w:sz="0" w:space="0" w:color="auto"/>
            <w:bottom w:val="none" w:sz="0" w:space="0" w:color="auto"/>
            <w:right w:val="none" w:sz="0" w:space="0" w:color="auto"/>
          </w:divBdr>
        </w:div>
        <w:div w:id="2013873150">
          <w:marLeft w:val="0"/>
          <w:marRight w:val="0"/>
          <w:marTop w:val="0"/>
          <w:marBottom w:val="0"/>
          <w:divBdr>
            <w:top w:val="none" w:sz="0" w:space="0" w:color="auto"/>
            <w:left w:val="none" w:sz="0" w:space="0" w:color="auto"/>
            <w:bottom w:val="none" w:sz="0" w:space="0" w:color="auto"/>
            <w:right w:val="none" w:sz="0" w:space="0" w:color="auto"/>
          </w:divBdr>
          <w:divsChild>
            <w:div w:id="1387799711">
              <w:marLeft w:val="0"/>
              <w:marRight w:val="0"/>
              <w:marTop w:val="0"/>
              <w:marBottom w:val="0"/>
              <w:divBdr>
                <w:top w:val="none" w:sz="0" w:space="0" w:color="auto"/>
                <w:left w:val="none" w:sz="0" w:space="0" w:color="auto"/>
                <w:bottom w:val="none" w:sz="0" w:space="0" w:color="auto"/>
                <w:right w:val="none" w:sz="0" w:space="0" w:color="auto"/>
              </w:divBdr>
            </w:div>
          </w:divsChild>
        </w:div>
        <w:div w:id="2028218073">
          <w:marLeft w:val="0"/>
          <w:marRight w:val="0"/>
          <w:marTop w:val="0"/>
          <w:marBottom w:val="420"/>
          <w:divBdr>
            <w:top w:val="none" w:sz="0" w:space="0" w:color="auto"/>
            <w:left w:val="none" w:sz="0" w:space="0" w:color="auto"/>
            <w:bottom w:val="none" w:sz="0" w:space="0" w:color="auto"/>
            <w:right w:val="none" w:sz="0" w:space="0" w:color="auto"/>
          </w:divBdr>
        </w:div>
        <w:div w:id="41222982">
          <w:marLeft w:val="0"/>
          <w:marRight w:val="0"/>
          <w:marTop w:val="0"/>
          <w:marBottom w:val="0"/>
          <w:divBdr>
            <w:top w:val="none" w:sz="0" w:space="0" w:color="auto"/>
            <w:left w:val="none" w:sz="0" w:space="0" w:color="auto"/>
            <w:bottom w:val="none" w:sz="0" w:space="0" w:color="auto"/>
            <w:right w:val="none" w:sz="0" w:space="0" w:color="auto"/>
          </w:divBdr>
          <w:divsChild>
            <w:div w:id="1752504131">
              <w:marLeft w:val="0"/>
              <w:marRight w:val="0"/>
              <w:marTop w:val="0"/>
              <w:marBottom w:val="0"/>
              <w:divBdr>
                <w:top w:val="none" w:sz="0" w:space="0" w:color="auto"/>
                <w:left w:val="none" w:sz="0" w:space="0" w:color="auto"/>
                <w:bottom w:val="none" w:sz="0" w:space="0" w:color="auto"/>
                <w:right w:val="none" w:sz="0" w:space="0" w:color="auto"/>
              </w:divBdr>
            </w:div>
          </w:divsChild>
        </w:div>
        <w:div w:id="548416504">
          <w:marLeft w:val="0"/>
          <w:marRight w:val="0"/>
          <w:marTop w:val="0"/>
          <w:marBottom w:val="420"/>
          <w:divBdr>
            <w:top w:val="none" w:sz="0" w:space="0" w:color="auto"/>
            <w:left w:val="none" w:sz="0" w:space="0" w:color="auto"/>
            <w:bottom w:val="none" w:sz="0" w:space="0" w:color="auto"/>
            <w:right w:val="none" w:sz="0" w:space="0" w:color="auto"/>
          </w:divBdr>
        </w:div>
        <w:div w:id="1540438913">
          <w:marLeft w:val="0"/>
          <w:marRight w:val="0"/>
          <w:marTop w:val="0"/>
          <w:marBottom w:val="0"/>
          <w:divBdr>
            <w:top w:val="none" w:sz="0" w:space="0" w:color="auto"/>
            <w:left w:val="none" w:sz="0" w:space="0" w:color="auto"/>
            <w:bottom w:val="none" w:sz="0" w:space="0" w:color="auto"/>
            <w:right w:val="none" w:sz="0" w:space="0" w:color="auto"/>
          </w:divBdr>
        </w:div>
        <w:div w:id="1659990446">
          <w:marLeft w:val="0"/>
          <w:marRight w:val="0"/>
          <w:marTop w:val="0"/>
          <w:marBottom w:val="0"/>
          <w:divBdr>
            <w:top w:val="none" w:sz="0" w:space="0" w:color="auto"/>
            <w:left w:val="none" w:sz="0" w:space="0" w:color="auto"/>
            <w:bottom w:val="none" w:sz="0" w:space="0" w:color="auto"/>
            <w:right w:val="none" w:sz="0" w:space="0" w:color="auto"/>
          </w:divBdr>
        </w:div>
        <w:div w:id="2088960843">
          <w:marLeft w:val="0"/>
          <w:marRight w:val="0"/>
          <w:marTop w:val="150"/>
          <w:marBottom w:val="270"/>
          <w:divBdr>
            <w:top w:val="none" w:sz="0" w:space="0" w:color="auto"/>
            <w:left w:val="none" w:sz="0" w:space="0" w:color="auto"/>
            <w:bottom w:val="none" w:sz="0" w:space="0" w:color="auto"/>
            <w:right w:val="none" w:sz="0" w:space="0" w:color="auto"/>
          </w:divBdr>
          <w:divsChild>
            <w:div w:id="158814835">
              <w:marLeft w:val="0"/>
              <w:marRight w:val="0"/>
              <w:marTop w:val="0"/>
              <w:marBottom w:val="0"/>
              <w:divBdr>
                <w:top w:val="none" w:sz="0" w:space="0" w:color="auto"/>
                <w:left w:val="none" w:sz="0" w:space="0" w:color="auto"/>
                <w:bottom w:val="none" w:sz="0" w:space="0" w:color="auto"/>
                <w:right w:val="none" w:sz="0" w:space="0" w:color="auto"/>
              </w:divBdr>
              <w:divsChild>
                <w:div w:id="1345398136">
                  <w:marLeft w:val="0"/>
                  <w:marRight w:val="0"/>
                  <w:marTop w:val="270"/>
                  <w:marBottom w:val="270"/>
                  <w:divBdr>
                    <w:top w:val="none" w:sz="0" w:space="0" w:color="auto"/>
                    <w:left w:val="none" w:sz="0" w:space="0" w:color="auto"/>
                    <w:bottom w:val="none" w:sz="0" w:space="0" w:color="auto"/>
                    <w:right w:val="none" w:sz="0" w:space="0" w:color="auto"/>
                  </w:divBdr>
                </w:div>
              </w:divsChild>
            </w:div>
            <w:div w:id="1598758313">
              <w:marLeft w:val="0"/>
              <w:marRight w:val="0"/>
              <w:marTop w:val="0"/>
              <w:marBottom w:val="0"/>
              <w:divBdr>
                <w:top w:val="none" w:sz="0" w:space="0" w:color="auto"/>
                <w:left w:val="none" w:sz="0" w:space="0" w:color="auto"/>
                <w:bottom w:val="none" w:sz="0" w:space="0" w:color="auto"/>
                <w:right w:val="none" w:sz="0" w:space="0" w:color="auto"/>
              </w:divBdr>
              <w:divsChild>
                <w:div w:id="944389071">
                  <w:marLeft w:val="0"/>
                  <w:marRight w:val="0"/>
                  <w:marTop w:val="270"/>
                  <w:marBottom w:val="270"/>
                  <w:divBdr>
                    <w:top w:val="none" w:sz="0" w:space="0" w:color="auto"/>
                    <w:left w:val="none" w:sz="0" w:space="0" w:color="auto"/>
                    <w:bottom w:val="none" w:sz="0" w:space="0" w:color="auto"/>
                    <w:right w:val="none" w:sz="0" w:space="0" w:color="auto"/>
                  </w:divBdr>
                </w:div>
                <w:div w:id="523596113">
                  <w:marLeft w:val="0"/>
                  <w:marRight w:val="0"/>
                  <w:marTop w:val="270"/>
                  <w:marBottom w:val="270"/>
                  <w:divBdr>
                    <w:top w:val="none" w:sz="0" w:space="0" w:color="auto"/>
                    <w:left w:val="none" w:sz="0" w:space="0" w:color="auto"/>
                    <w:bottom w:val="none" w:sz="0" w:space="0" w:color="auto"/>
                    <w:right w:val="none" w:sz="0" w:space="0" w:color="auto"/>
                  </w:divBdr>
                </w:div>
              </w:divsChild>
            </w:div>
            <w:div w:id="1912110105">
              <w:marLeft w:val="0"/>
              <w:marRight w:val="0"/>
              <w:marTop w:val="0"/>
              <w:marBottom w:val="0"/>
              <w:divBdr>
                <w:top w:val="none" w:sz="0" w:space="0" w:color="auto"/>
                <w:left w:val="none" w:sz="0" w:space="0" w:color="auto"/>
                <w:bottom w:val="none" w:sz="0" w:space="0" w:color="auto"/>
                <w:right w:val="none" w:sz="0" w:space="0" w:color="auto"/>
              </w:divBdr>
              <w:divsChild>
                <w:div w:id="1700086326">
                  <w:marLeft w:val="0"/>
                  <w:marRight w:val="0"/>
                  <w:marTop w:val="270"/>
                  <w:marBottom w:val="270"/>
                  <w:divBdr>
                    <w:top w:val="none" w:sz="0" w:space="0" w:color="auto"/>
                    <w:left w:val="none" w:sz="0" w:space="0" w:color="auto"/>
                    <w:bottom w:val="none" w:sz="0" w:space="0" w:color="auto"/>
                    <w:right w:val="none" w:sz="0" w:space="0" w:color="auto"/>
                  </w:divBdr>
                </w:div>
                <w:div w:id="814376693">
                  <w:marLeft w:val="0"/>
                  <w:marRight w:val="0"/>
                  <w:marTop w:val="270"/>
                  <w:marBottom w:val="270"/>
                  <w:divBdr>
                    <w:top w:val="none" w:sz="0" w:space="0" w:color="auto"/>
                    <w:left w:val="none" w:sz="0" w:space="0" w:color="auto"/>
                    <w:bottom w:val="none" w:sz="0" w:space="0" w:color="auto"/>
                    <w:right w:val="none" w:sz="0" w:space="0" w:color="auto"/>
                  </w:divBdr>
                </w:div>
              </w:divsChild>
            </w:div>
            <w:div w:id="1380586670">
              <w:marLeft w:val="0"/>
              <w:marRight w:val="0"/>
              <w:marTop w:val="0"/>
              <w:marBottom w:val="0"/>
              <w:divBdr>
                <w:top w:val="none" w:sz="0" w:space="0" w:color="auto"/>
                <w:left w:val="none" w:sz="0" w:space="0" w:color="auto"/>
                <w:bottom w:val="none" w:sz="0" w:space="0" w:color="auto"/>
                <w:right w:val="none" w:sz="0" w:space="0" w:color="auto"/>
              </w:divBdr>
              <w:divsChild>
                <w:div w:id="1993875770">
                  <w:marLeft w:val="0"/>
                  <w:marRight w:val="0"/>
                  <w:marTop w:val="0"/>
                  <w:marBottom w:val="0"/>
                  <w:divBdr>
                    <w:top w:val="none" w:sz="0" w:space="0" w:color="auto"/>
                    <w:left w:val="none" w:sz="0" w:space="0" w:color="auto"/>
                    <w:bottom w:val="none" w:sz="0" w:space="0" w:color="auto"/>
                    <w:right w:val="none" w:sz="0" w:space="0" w:color="auto"/>
                  </w:divBdr>
                </w:div>
              </w:divsChild>
            </w:div>
            <w:div w:id="1491287021">
              <w:marLeft w:val="0"/>
              <w:marRight w:val="0"/>
              <w:marTop w:val="0"/>
              <w:marBottom w:val="420"/>
              <w:divBdr>
                <w:top w:val="none" w:sz="0" w:space="0" w:color="auto"/>
                <w:left w:val="none" w:sz="0" w:space="0" w:color="auto"/>
                <w:bottom w:val="none" w:sz="0" w:space="0" w:color="auto"/>
                <w:right w:val="none" w:sz="0" w:space="0" w:color="auto"/>
              </w:divBdr>
            </w:div>
          </w:divsChild>
        </w:div>
        <w:div w:id="1782066431">
          <w:marLeft w:val="0"/>
          <w:marRight w:val="0"/>
          <w:marTop w:val="150"/>
          <w:marBottom w:val="270"/>
          <w:divBdr>
            <w:top w:val="none" w:sz="0" w:space="0" w:color="auto"/>
            <w:left w:val="none" w:sz="0" w:space="0" w:color="auto"/>
            <w:bottom w:val="none" w:sz="0" w:space="0" w:color="auto"/>
            <w:right w:val="none" w:sz="0" w:space="0" w:color="auto"/>
          </w:divBdr>
          <w:divsChild>
            <w:div w:id="1660888365">
              <w:marLeft w:val="0"/>
              <w:marRight w:val="0"/>
              <w:marTop w:val="0"/>
              <w:marBottom w:val="0"/>
              <w:divBdr>
                <w:top w:val="none" w:sz="0" w:space="0" w:color="auto"/>
                <w:left w:val="none" w:sz="0" w:space="0" w:color="auto"/>
                <w:bottom w:val="none" w:sz="0" w:space="0" w:color="auto"/>
                <w:right w:val="none" w:sz="0" w:space="0" w:color="auto"/>
              </w:divBdr>
              <w:divsChild>
                <w:div w:id="1283462368">
                  <w:marLeft w:val="0"/>
                  <w:marRight w:val="0"/>
                  <w:marTop w:val="0"/>
                  <w:marBottom w:val="0"/>
                  <w:divBdr>
                    <w:top w:val="none" w:sz="0" w:space="0" w:color="auto"/>
                    <w:left w:val="none" w:sz="0" w:space="0" w:color="auto"/>
                    <w:bottom w:val="none" w:sz="0" w:space="0" w:color="auto"/>
                    <w:right w:val="none" w:sz="0" w:space="0" w:color="auto"/>
                  </w:divBdr>
                </w:div>
              </w:divsChild>
            </w:div>
            <w:div w:id="844900900">
              <w:marLeft w:val="0"/>
              <w:marRight w:val="0"/>
              <w:marTop w:val="0"/>
              <w:marBottom w:val="420"/>
              <w:divBdr>
                <w:top w:val="none" w:sz="0" w:space="0" w:color="auto"/>
                <w:left w:val="none" w:sz="0" w:space="0" w:color="auto"/>
                <w:bottom w:val="none" w:sz="0" w:space="0" w:color="auto"/>
                <w:right w:val="none" w:sz="0" w:space="0" w:color="auto"/>
              </w:divBdr>
            </w:div>
            <w:div w:id="424888439">
              <w:marLeft w:val="0"/>
              <w:marRight w:val="0"/>
              <w:marTop w:val="0"/>
              <w:marBottom w:val="0"/>
              <w:divBdr>
                <w:top w:val="none" w:sz="0" w:space="0" w:color="auto"/>
                <w:left w:val="none" w:sz="0" w:space="0" w:color="auto"/>
                <w:bottom w:val="none" w:sz="0" w:space="0" w:color="auto"/>
                <w:right w:val="none" w:sz="0" w:space="0" w:color="auto"/>
              </w:divBdr>
              <w:divsChild>
                <w:div w:id="1282033316">
                  <w:marLeft w:val="0"/>
                  <w:marRight w:val="0"/>
                  <w:marTop w:val="0"/>
                  <w:marBottom w:val="0"/>
                  <w:divBdr>
                    <w:top w:val="none" w:sz="0" w:space="0" w:color="auto"/>
                    <w:left w:val="none" w:sz="0" w:space="0" w:color="auto"/>
                    <w:bottom w:val="none" w:sz="0" w:space="0" w:color="auto"/>
                    <w:right w:val="none" w:sz="0" w:space="0" w:color="auto"/>
                  </w:divBdr>
                </w:div>
              </w:divsChild>
            </w:div>
            <w:div w:id="161892236">
              <w:marLeft w:val="0"/>
              <w:marRight w:val="0"/>
              <w:marTop w:val="0"/>
              <w:marBottom w:val="420"/>
              <w:divBdr>
                <w:top w:val="none" w:sz="0" w:space="0" w:color="auto"/>
                <w:left w:val="none" w:sz="0" w:space="0" w:color="auto"/>
                <w:bottom w:val="none" w:sz="0" w:space="0" w:color="auto"/>
                <w:right w:val="none" w:sz="0" w:space="0" w:color="auto"/>
              </w:divBdr>
            </w:div>
          </w:divsChild>
        </w:div>
      </w:divsChild>
    </w:div>
    <w:div w:id="1143041114">
      <w:bodyDiv w:val="1"/>
      <w:marLeft w:val="0"/>
      <w:marRight w:val="0"/>
      <w:marTop w:val="0"/>
      <w:marBottom w:val="0"/>
      <w:divBdr>
        <w:top w:val="none" w:sz="0" w:space="0" w:color="auto"/>
        <w:left w:val="none" w:sz="0" w:space="0" w:color="auto"/>
        <w:bottom w:val="none" w:sz="0" w:space="0" w:color="auto"/>
        <w:right w:val="none" w:sz="0" w:space="0" w:color="auto"/>
      </w:divBdr>
      <w:divsChild>
        <w:div w:id="1337801964">
          <w:marLeft w:val="0"/>
          <w:marRight w:val="0"/>
          <w:marTop w:val="0"/>
          <w:marBottom w:val="0"/>
          <w:divBdr>
            <w:top w:val="none" w:sz="0" w:space="0" w:color="auto"/>
            <w:left w:val="none" w:sz="0" w:space="0" w:color="auto"/>
            <w:bottom w:val="none" w:sz="0" w:space="0" w:color="auto"/>
            <w:right w:val="none" w:sz="0" w:space="0" w:color="auto"/>
          </w:divBdr>
          <w:divsChild>
            <w:div w:id="1518277340">
              <w:marLeft w:val="0"/>
              <w:marRight w:val="0"/>
              <w:marTop w:val="0"/>
              <w:marBottom w:val="0"/>
              <w:divBdr>
                <w:top w:val="none" w:sz="0" w:space="0" w:color="auto"/>
                <w:left w:val="none" w:sz="0" w:space="0" w:color="auto"/>
                <w:bottom w:val="none" w:sz="0" w:space="0" w:color="auto"/>
                <w:right w:val="none" w:sz="0" w:space="0" w:color="auto"/>
              </w:divBdr>
            </w:div>
            <w:div w:id="1470125231">
              <w:marLeft w:val="0"/>
              <w:marRight w:val="0"/>
              <w:marTop w:val="0"/>
              <w:marBottom w:val="0"/>
              <w:divBdr>
                <w:top w:val="none" w:sz="0" w:space="0" w:color="auto"/>
                <w:left w:val="none" w:sz="0" w:space="0" w:color="auto"/>
                <w:bottom w:val="none" w:sz="0" w:space="0" w:color="auto"/>
                <w:right w:val="none" w:sz="0" w:space="0" w:color="auto"/>
              </w:divBdr>
              <w:divsChild>
                <w:div w:id="1901594610">
                  <w:marLeft w:val="0"/>
                  <w:marRight w:val="0"/>
                  <w:marTop w:val="0"/>
                  <w:marBottom w:val="0"/>
                  <w:divBdr>
                    <w:top w:val="none" w:sz="0" w:space="0" w:color="auto"/>
                    <w:left w:val="none" w:sz="0" w:space="0" w:color="auto"/>
                    <w:bottom w:val="none" w:sz="0" w:space="0" w:color="auto"/>
                    <w:right w:val="none" w:sz="0" w:space="0" w:color="auto"/>
                  </w:divBdr>
                  <w:divsChild>
                    <w:div w:id="804588610">
                      <w:marLeft w:val="0"/>
                      <w:marRight w:val="0"/>
                      <w:marTop w:val="0"/>
                      <w:marBottom w:val="0"/>
                      <w:divBdr>
                        <w:top w:val="none" w:sz="0" w:space="0" w:color="auto"/>
                        <w:left w:val="none" w:sz="0" w:space="0" w:color="auto"/>
                        <w:bottom w:val="single" w:sz="6" w:space="12" w:color="DDDDDD"/>
                        <w:right w:val="none" w:sz="0" w:space="0" w:color="auto"/>
                      </w:divBdr>
                      <w:divsChild>
                        <w:div w:id="1764253724">
                          <w:marLeft w:val="0"/>
                          <w:marRight w:val="0"/>
                          <w:marTop w:val="0"/>
                          <w:marBottom w:val="0"/>
                          <w:divBdr>
                            <w:top w:val="none" w:sz="0" w:space="0" w:color="auto"/>
                            <w:left w:val="none" w:sz="0" w:space="0" w:color="auto"/>
                            <w:bottom w:val="none" w:sz="0" w:space="0" w:color="auto"/>
                            <w:right w:val="none" w:sz="0" w:space="0" w:color="auto"/>
                          </w:divBdr>
                          <w:divsChild>
                            <w:div w:id="1839036123">
                              <w:marLeft w:val="0"/>
                              <w:marRight w:val="0"/>
                              <w:marTop w:val="0"/>
                              <w:marBottom w:val="0"/>
                              <w:divBdr>
                                <w:top w:val="none" w:sz="0" w:space="0" w:color="auto"/>
                                <w:left w:val="none" w:sz="0" w:space="0" w:color="auto"/>
                                <w:bottom w:val="none" w:sz="0" w:space="0" w:color="auto"/>
                                <w:right w:val="none" w:sz="0" w:space="0" w:color="auto"/>
                              </w:divBdr>
                              <w:divsChild>
                                <w:div w:id="464978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9646480">
                      <w:marLeft w:val="0"/>
                      <w:marRight w:val="0"/>
                      <w:marTop w:val="0"/>
                      <w:marBottom w:val="0"/>
                      <w:divBdr>
                        <w:top w:val="none" w:sz="0" w:space="0" w:color="auto"/>
                        <w:left w:val="none" w:sz="0" w:space="0" w:color="auto"/>
                        <w:bottom w:val="single" w:sz="6" w:space="12" w:color="DDDDDD"/>
                        <w:right w:val="none" w:sz="0" w:space="0" w:color="auto"/>
                      </w:divBdr>
                      <w:divsChild>
                        <w:div w:id="1426460115">
                          <w:marLeft w:val="0"/>
                          <w:marRight w:val="0"/>
                          <w:marTop w:val="0"/>
                          <w:marBottom w:val="0"/>
                          <w:divBdr>
                            <w:top w:val="none" w:sz="0" w:space="0" w:color="auto"/>
                            <w:left w:val="none" w:sz="0" w:space="0" w:color="auto"/>
                            <w:bottom w:val="none" w:sz="0" w:space="0" w:color="auto"/>
                            <w:right w:val="none" w:sz="0" w:space="0" w:color="auto"/>
                          </w:divBdr>
                          <w:divsChild>
                            <w:div w:id="126558479">
                              <w:marLeft w:val="0"/>
                              <w:marRight w:val="0"/>
                              <w:marTop w:val="0"/>
                              <w:marBottom w:val="0"/>
                              <w:divBdr>
                                <w:top w:val="none" w:sz="0" w:space="0" w:color="auto"/>
                                <w:left w:val="none" w:sz="0" w:space="0" w:color="auto"/>
                                <w:bottom w:val="none" w:sz="0" w:space="0" w:color="auto"/>
                                <w:right w:val="none" w:sz="0" w:space="0" w:color="auto"/>
                              </w:divBdr>
                              <w:divsChild>
                                <w:div w:id="1544750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5035105">
                      <w:marLeft w:val="0"/>
                      <w:marRight w:val="0"/>
                      <w:marTop w:val="0"/>
                      <w:marBottom w:val="0"/>
                      <w:divBdr>
                        <w:top w:val="none" w:sz="0" w:space="0" w:color="auto"/>
                        <w:left w:val="none" w:sz="0" w:space="0" w:color="auto"/>
                        <w:bottom w:val="single" w:sz="6" w:space="12" w:color="DDDDDD"/>
                        <w:right w:val="none" w:sz="0" w:space="0" w:color="auto"/>
                      </w:divBdr>
                      <w:divsChild>
                        <w:div w:id="1563907751">
                          <w:marLeft w:val="0"/>
                          <w:marRight w:val="0"/>
                          <w:marTop w:val="0"/>
                          <w:marBottom w:val="0"/>
                          <w:divBdr>
                            <w:top w:val="none" w:sz="0" w:space="0" w:color="auto"/>
                            <w:left w:val="none" w:sz="0" w:space="0" w:color="auto"/>
                            <w:bottom w:val="none" w:sz="0" w:space="0" w:color="auto"/>
                            <w:right w:val="none" w:sz="0" w:space="0" w:color="auto"/>
                          </w:divBdr>
                          <w:divsChild>
                            <w:div w:id="2052067114">
                              <w:marLeft w:val="0"/>
                              <w:marRight w:val="0"/>
                              <w:marTop w:val="0"/>
                              <w:marBottom w:val="0"/>
                              <w:divBdr>
                                <w:top w:val="none" w:sz="0" w:space="0" w:color="auto"/>
                                <w:left w:val="none" w:sz="0" w:space="0" w:color="auto"/>
                                <w:bottom w:val="none" w:sz="0" w:space="0" w:color="auto"/>
                                <w:right w:val="none" w:sz="0" w:space="0" w:color="auto"/>
                              </w:divBdr>
                              <w:divsChild>
                                <w:div w:id="1167089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9363968">
                      <w:marLeft w:val="0"/>
                      <w:marRight w:val="0"/>
                      <w:marTop w:val="0"/>
                      <w:marBottom w:val="0"/>
                      <w:divBdr>
                        <w:top w:val="none" w:sz="0" w:space="0" w:color="auto"/>
                        <w:left w:val="none" w:sz="0" w:space="0" w:color="auto"/>
                        <w:bottom w:val="single" w:sz="6" w:space="12" w:color="DDDDDD"/>
                        <w:right w:val="none" w:sz="0" w:space="0" w:color="auto"/>
                      </w:divBdr>
                      <w:divsChild>
                        <w:div w:id="850994637">
                          <w:marLeft w:val="0"/>
                          <w:marRight w:val="0"/>
                          <w:marTop w:val="0"/>
                          <w:marBottom w:val="0"/>
                          <w:divBdr>
                            <w:top w:val="none" w:sz="0" w:space="0" w:color="auto"/>
                            <w:left w:val="none" w:sz="0" w:space="0" w:color="auto"/>
                            <w:bottom w:val="none" w:sz="0" w:space="0" w:color="auto"/>
                            <w:right w:val="none" w:sz="0" w:space="0" w:color="auto"/>
                          </w:divBdr>
                          <w:divsChild>
                            <w:div w:id="1927613442">
                              <w:marLeft w:val="0"/>
                              <w:marRight w:val="0"/>
                              <w:marTop w:val="0"/>
                              <w:marBottom w:val="0"/>
                              <w:divBdr>
                                <w:top w:val="none" w:sz="0" w:space="0" w:color="auto"/>
                                <w:left w:val="none" w:sz="0" w:space="0" w:color="auto"/>
                                <w:bottom w:val="none" w:sz="0" w:space="0" w:color="auto"/>
                                <w:right w:val="none" w:sz="0" w:space="0" w:color="auto"/>
                              </w:divBdr>
                              <w:divsChild>
                                <w:div w:id="1428884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1734984">
                      <w:marLeft w:val="0"/>
                      <w:marRight w:val="0"/>
                      <w:marTop w:val="0"/>
                      <w:marBottom w:val="0"/>
                      <w:divBdr>
                        <w:top w:val="none" w:sz="0" w:space="0" w:color="auto"/>
                        <w:left w:val="none" w:sz="0" w:space="0" w:color="auto"/>
                        <w:bottom w:val="single" w:sz="6" w:space="12" w:color="DDDDDD"/>
                        <w:right w:val="none" w:sz="0" w:space="0" w:color="auto"/>
                      </w:divBdr>
                      <w:divsChild>
                        <w:div w:id="1123495466">
                          <w:marLeft w:val="0"/>
                          <w:marRight w:val="0"/>
                          <w:marTop w:val="0"/>
                          <w:marBottom w:val="0"/>
                          <w:divBdr>
                            <w:top w:val="none" w:sz="0" w:space="0" w:color="auto"/>
                            <w:left w:val="none" w:sz="0" w:space="0" w:color="auto"/>
                            <w:bottom w:val="none" w:sz="0" w:space="0" w:color="auto"/>
                            <w:right w:val="none" w:sz="0" w:space="0" w:color="auto"/>
                          </w:divBdr>
                          <w:divsChild>
                            <w:div w:id="179976368">
                              <w:marLeft w:val="0"/>
                              <w:marRight w:val="0"/>
                              <w:marTop w:val="0"/>
                              <w:marBottom w:val="0"/>
                              <w:divBdr>
                                <w:top w:val="none" w:sz="0" w:space="0" w:color="auto"/>
                                <w:left w:val="none" w:sz="0" w:space="0" w:color="auto"/>
                                <w:bottom w:val="none" w:sz="0" w:space="0" w:color="auto"/>
                                <w:right w:val="none" w:sz="0" w:space="0" w:color="auto"/>
                              </w:divBdr>
                              <w:divsChild>
                                <w:div w:id="827135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4652330">
                      <w:marLeft w:val="0"/>
                      <w:marRight w:val="0"/>
                      <w:marTop w:val="0"/>
                      <w:marBottom w:val="0"/>
                      <w:divBdr>
                        <w:top w:val="none" w:sz="0" w:space="0" w:color="auto"/>
                        <w:left w:val="none" w:sz="0" w:space="0" w:color="auto"/>
                        <w:bottom w:val="single" w:sz="6" w:space="12" w:color="DDDDDD"/>
                        <w:right w:val="none" w:sz="0" w:space="0" w:color="auto"/>
                      </w:divBdr>
                      <w:divsChild>
                        <w:div w:id="1583292213">
                          <w:marLeft w:val="0"/>
                          <w:marRight w:val="0"/>
                          <w:marTop w:val="0"/>
                          <w:marBottom w:val="0"/>
                          <w:divBdr>
                            <w:top w:val="none" w:sz="0" w:space="0" w:color="auto"/>
                            <w:left w:val="none" w:sz="0" w:space="0" w:color="auto"/>
                            <w:bottom w:val="none" w:sz="0" w:space="0" w:color="auto"/>
                            <w:right w:val="none" w:sz="0" w:space="0" w:color="auto"/>
                          </w:divBdr>
                          <w:divsChild>
                            <w:div w:id="988438093">
                              <w:marLeft w:val="0"/>
                              <w:marRight w:val="0"/>
                              <w:marTop w:val="0"/>
                              <w:marBottom w:val="0"/>
                              <w:divBdr>
                                <w:top w:val="none" w:sz="0" w:space="0" w:color="auto"/>
                                <w:left w:val="none" w:sz="0" w:space="0" w:color="auto"/>
                                <w:bottom w:val="none" w:sz="0" w:space="0" w:color="auto"/>
                                <w:right w:val="none" w:sz="0" w:space="0" w:color="auto"/>
                              </w:divBdr>
                              <w:divsChild>
                                <w:div w:id="1532650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5337614">
                      <w:marLeft w:val="0"/>
                      <w:marRight w:val="0"/>
                      <w:marTop w:val="0"/>
                      <w:marBottom w:val="0"/>
                      <w:divBdr>
                        <w:top w:val="none" w:sz="0" w:space="0" w:color="auto"/>
                        <w:left w:val="none" w:sz="0" w:space="0" w:color="auto"/>
                        <w:bottom w:val="single" w:sz="6" w:space="12" w:color="DDDDDD"/>
                        <w:right w:val="none" w:sz="0" w:space="0" w:color="auto"/>
                      </w:divBdr>
                      <w:divsChild>
                        <w:div w:id="301544991">
                          <w:marLeft w:val="0"/>
                          <w:marRight w:val="0"/>
                          <w:marTop w:val="0"/>
                          <w:marBottom w:val="0"/>
                          <w:divBdr>
                            <w:top w:val="none" w:sz="0" w:space="0" w:color="auto"/>
                            <w:left w:val="none" w:sz="0" w:space="0" w:color="auto"/>
                            <w:bottom w:val="none" w:sz="0" w:space="0" w:color="auto"/>
                            <w:right w:val="none" w:sz="0" w:space="0" w:color="auto"/>
                          </w:divBdr>
                          <w:divsChild>
                            <w:div w:id="2075350369">
                              <w:marLeft w:val="0"/>
                              <w:marRight w:val="0"/>
                              <w:marTop w:val="0"/>
                              <w:marBottom w:val="0"/>
                              <w:divBdr>
                                <w:top w:val="none" w:sz="0" w:space="0" w:color="auto"/>
                                <w:left w:val="none" w:sz="0" w:space="0" w:color="auto"/>
                                <w:bottom w:val="none" w:sz="0" w:space="0" w:color="auto"/>
                                <w:right w:val="none" w:sz="0" w:space="0" w:color="auto"/>
                              </w:divBdr>
                              <w:divsChild>
                                <w:div w:id="1252667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7102772">
                      <w:marLeft w:val="0"/>
                      <w:marRight w:val="0"/>
                      <w:marTop w:val="0"/>
                      <w:marBottom w:val="0"/>
                      <w:divBdr>
                        <w:top w:val="none" w:sz="0" w:space="0" w:color="auto"/>
                        <w:left w:val="none" w:sz="0" w:space="0" w:color="auto"/>
                        <w:bottom w:val="single" w:sz="6" w:space="12" w:color="DDDDDD"/>
                        <w:right w:val="none" w:sz="0" w:space="0" w:color="auto"/>
                      </w:divBdr>
                      <w:divsChild>
                        <w:div w:id="774907052">
                          <w:marLeft w:val="0"/>
                          <w:marRight w:val="0"/>
                          <w:marTop w:val="0"/>
                          <w:marBottom w:val="0"/>
                          <w:divBdr>
                            <w:top w:val="none" w:sz="0" w:space="0" w:color="auto"/>
                            <w:left w:val="none" w:sz="0" w:space="0" w:color="auto"/>
                            <w:bottom w:val="none" w:sz="0" w:space="0" w:color="auto"/>
                            <w:right w:val="none" w:sz="0" w:space="0" w:color="auto"/>
                          </w:divBdr>
                          <w:divsChild>
                            <w:div w:id="2003655621">
                              <w:marLeft w:val="0"/>
                              <w:marRight w:val="0"/>
                              <w:marTop w:val="0"/>
                              <w:marBottom w:val="0"/>
                              <w:divBdr>
                                <w:top w:val="none" w:sz="0" w:space="0" w:color="auto"/>
                                <w:left w:val="none" w:sz="0" w:space="0" w:color="auto"/>
                                <w:bottom w:val="none" w:sz="0" w:space="0" w:color="auto"/>
                                <w:right w:val="none" w:sz="0" w:space="0" w:color="auto"/>
                              </w:divBdr>
                              <w:divsChild>
                                <w:div w:id="870416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7996540">
                      <w:marLeft w:val="0"/>
                      <w:marRight w:val="0"/>
                      <w:marTop w:val="0"/>
                      <w:marBottom w:val="0"/>
                      <w:divBdr>
                        <w:top w:val="none" w:sz="0" w:space="0" w:color="auto"/>
                        <w:left w:val="none" w:sz="0" w:space="0" w:color="auto"/>
                        <w:bottom w:val="single" w:sz="6" w:space="12" w:color="DDDDDD"/>
                        <w:right w:val="none" w:sz="0" w:space="0" w:color="auto"/>
                      </w:divBdr>
                      <w:divsChild>
                        <w:div w:id="1833252240">
                          <w:marLeft w:val="0"/>
                          <w:marRight w:val="0"/>
                          <w:marTop w:val="0"/>
                          <w:marBottom w:val="0"/>
                          <w:divBdr>
                            <w:top w:val="none" w:sz="0" w:space="0" w:color="auto"/>
                            <w:left w:val="none" w:sz="0" w:space="0" w:color="auto"/>
                            <w:bottom w:val="none" w:sz="0" w:space="0" w:color="auto"/>
                            <w:right w:val="none" w:sz="0" w:space="0" w:color="auto"/>
                          </w:divBdr>
                          <w:divsChild>
                            <w:div w:id="313223999">
                              <w:marLeft w:val="0"/>
                              <w:marRight w:val="0"/>
                              <w:marTop w:val="0"/>
                              <w:marBottom w:val="0"/>
                              <w:divBdr>
                                <w:top w:val="none" w:sz="0" w:space="0" w:color="auto"/>
                                <w:left w:val="none" w:sz="0" w:space="0" w:color="auto"/>
                                <w:bottom w:val="none" w:sz="0" w:space="0" w:color="auto"/>
                                <w:right w:val="none" w:sz="0" w:space="0" w:color="auto"/>
                              </w:divBdr>
                              <w:divsChild>
                                <w:div w:id="1430194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9216139">
                      <w:marLeft w:val="0"/>
                      <w:marRight w:val="0"/>
                      <w:marTop w:val="0"/>
                      <w:marBottom w:val="0"/>
                      <w:divBdr>
                        <w:top w:val="none" w:sz="0" w:space="0" w:color="auto"/>
                        <w:left w:val="none" w:sz="0" w:space="0" w:color="auto"/>
                        <w:bottom w:val="single" w:sz="6" w:space="12" w:color="DDDDDD"/>
                        <w:right w:val="none" w:sz="0" w:space="0" w:color="auto"/>
                      </w:divBdr>
                      <w:divsChild>
                        <w:div w:id="142428874">
                          <w:marLeft w:val="0"/>
                          <w:marRight w:val="0"/>
                          <w:marTop w:val="0"/>
                          <w:marBottom w:val="0"/>
                          <w:divBdr>
                            <w:top w:val="none" w:sz="0" w:space="0" w:color="auto"/>
                            <w:left w:val="none" w:sz="0" w:space="0" w:color="auto"/>
                            <w:bottom w:val="none" w:sz="0" w:space="0" w:color="auto"/>
                            <w:right w:val="none" w:sz="0" w:space="0" w:color="auto"/>
                          </w:divBdr>
                          <w:divsChild>
                            <w:div w:id="2065518421">
                              <w:marLeft w:val="0"/>
                              <w:marRight w:val="0"/>
                              <w:marTop w:val="0"/>
                              <w:marBottom w:val="0"/>
                              <w:divBdr>
                                <w:top w:val="none" w:sz="0" w:space="0" w:color="auto"/>
                                <w:left w:val="none" w:sz="0" w:space="0" w:color="auto"/>
                                <w:bottom w:val="none" w:sz="0" w:space="0" w:color="auto"/>
                                <w:right w:val="none" w:sz="0" w:space="0" w:color="auto"/>
                              </w:divBdr>
                              <w:divsChild>
                                <w:div w:id="1742675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5096615">
                      <w:marLeft w:val="0"/>
                      <w:marRight w:val="0"/>
                      <w:marTop w:val="0"/>
                      <w:marBottom w:val="0"/>
                      <w:divBdr>
                        <w:top w:val="none" w:sz="0" w:space="0" w:color="auto"/>
                        <w:left w:val="none" w:sz="0" w:space="0" w:color="auto"/>
                        <w:bottom w:val="single" w:sz="6" w:space="12" w:color="DDDDDD"/>
                        <w:right w:val="none" w:sz="0" w:space="0" w:color="auto"/>
                      </w:divBdr>
                      <w:divsChild>
                        <w:div w:id="1633707209">
                          <w:marLeft w:val="0"/>
                          <w:marRight w:val="0"/>
                          <w:marTop w:val="0"/>
                          <w:marBottom w:val="0"/>
                          <w:divBdr>
                            <w:top w:val="none" w:sz="0" w:space="0" w:color="auto"/>
                            <w:left w:val="none" w:sz="0" w:space="0" w:color="auto"/>
                            <w:bottom w:val="none" w:sz="0" w:space="0" w:color="auto"/>
                            <w:right w:val="none" w:sz="0" w:space="0" w:color="auto"/>
                          </w:divBdr>
                          <w:divsChild>
                            <w:div w:id="164710541">
                              <w:marLeft w:val="0"/>
                              <w:marRight w:val="0"/>
                              <w:marTop w:val="0"/>
                              <w:marBottom w:val="0"/>
                              <w:divBdr>
                                <w:top w:val="none" w:sz="0" w:space="0" w:color="auto"/>
                                <w:left w:val="none" w:sz="0" w:space="0" w:color="auto"/>
                                <w:bottom w:val="none" w:sz="0" w:space="0" w:color="auto"/>
                                <w:right w:val="none" w:sz="0" w:space="0" w:color="auto"/>
                              </w:divBdr>
                              <w:divsChild>
                                <w:div w:id="342167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8810334">
                      <w:marLeft w:val="0"/>
                      <w:marRight w:val="0"/>
                      <w:marTop w:val="0"/>
                      <w:marBottom w:val="0"/>
                      <w:divBdr>
                        <w:top w:val="none" w:sz="0" w:space="0" w:color="auto"/>
                        <w:left w:val="none" w:sz="0" w:space="0" w:color="auto"/>
                        <w:bottom w:val="single" w:sz="6" w:space="12" w:color="DDDDDD"/>
                        <w:right w:val="none" w:sz="0" w:space="0" w:color="auto"/>
                      </w:divBdr>
                      <w:divsChild>
                        <w:div w:id="719521146">
                          <w:marLeft w:val="0"/>
                          <w:marRight w:val="0"/>
                          <w:marTop w:val="0"/>
                          <w:marBottom w:val="0"/>
                          <w:divBdr>
                            <w:top w:val="none" w:sz="0" w:space="0" w:color="auto"/>
                            <w:left w:val="none" w:sz="0" w:space="0" w:color="auto"/>
                            <w:bottom w:val="none" w:sz="0" w:space="0" w:color="auto"/>
                            <w:right w:val="none" w:sz="0" w:space="0" w:color="auto"/>
                          </w:divBdr>
                          <w:divsChild>
                            <w:div w:id="514810027">
                              <w:marLeft w:val="0"/>
                              <w:marRight w:val="0"/>
                              <w:marTop w:val="0"/>
                              <w:marBottom w:val="0"/>
                              <w:divBdr>
                                <w:top w:val="none" w:sz="0" w:space="0" w:color="auto"/>
                                <w:left w:val="none" w:sz="0" w:space="0" w:color="auto"/>
                                <w:bottom w:val="none" w:sz="0" w:space="0" w:color="auto"/>
                                <w:right w:val="none" w:sz="0" w:space="0" w:color="auto"/>
                              </w:divBdr>
                              <w:divsChild>
                                <w:div w:id="20479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354114">
                      <w:marLeft w:val="0"/>
                      <w:marRight w:val="0"/>
                      <w:marTop w:val="0"/>
                      <w:marBottom w:val="0"/>
                      <w:divBdr>
                        <w:top w:val="none" w:sz="0" w:space="0" w:color="auto"/>
                        <w:left w:val="none" w:sz="0" w:space="0" w:color="auto"/>
                        <w:bottom w:val="single" w:sz="6" w:space="12" w:color="DDDDDD"/>
                        <w:right w:val="none" w:sz="0" w:space="0" w:color="auto"/>
                      </w:divBdr>
                      <w:divsChild>
                        <w:div w:id="1077627249">
                          <w:marLeft w:val="0"/>
                          <w:marRight w:val="0"/>
                          <w:marTop w:val="0"/>
                          <w:marBottom w:val="0"/>
                          <w:divBdr>
                            <w:top w:val="none" w:sz="0" w:space="0" w:color="auto"/>
                            <w:left w:val="none" w:sz="0" w:space="0" w:color="auto"/>
                            <w:bottom w:val="none" w:sz="0" w:space="0" w:color="auto"/>
                            <w:right w:val="none" w:sz="0" w:space="0" w:color="auto"/>
                          </w:divBdr>
                          <w:divsChild>
                            <w:div w:id="2120636847">
                              <w:marLeft w:val="0"/>
                              <w:marRight w:val="0"/>
                              <w:marTop w:val="0"/>
                              <w:marBottom w:val="0"/>
                              <w:divBdr>
                                <w:top w:val="none" w:sz="0" w:space="0" w:color="auto"/>
                                <w:left w:val="none" w:sz="0" w:space="0" w:color="auto"/>
                                <w:bottom w:val="none" w:sz="0" w:space="0" w:color="auto"/>
                                <w:right w:val="none" w:sz="0" w:space="0" w:color="auto"/>
                              </w:divBdr>
                              <w:divsChild>
                                <w:div w:id="1886525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1237694">
                      <w:marLeft w:val="0"/>
                      <w:marRight w:val="0"/>
                      <w:marTop w:val="0"/>
                      <w:marBottom w:val="0"/>
                      <w:divBdr>
                        <w:top w:val="none" w:sz="0" w:space="0" w:color="auto"/>
                        <w:left w:val="none" w:sz="0" w:space="0" w:color="auto"/>
                        <w:bottom w:val="single" w:sz="6" w:space="12" w:color="DDDDDD"/>
                        <w:right w:val="none" w:sz="0" w:space="0" w:color="auto"/>
                      </w:divBdr>
                      <w:divsChild>
                        <w:div w:id="1805728873">
                          <w:marLeft w:val="0"/>
                          <w:marRight w:val="0"/>
                          <w:marTop w:val="0"/>
                          <w:marBottom w:val="0"/>
                          <w:divBdr>
                            <w:top w:val="none" w:sz="0" w:space="0" w:color="auto"/>
                            <w:left w:val="none" w:sz="0" w:space="0" w:color="auto"/>
                            <w:bottom w:val="none" w:sz="0" w:space="0" w:color="auto"/>
                            <w:right w:val="none" w:sz="0" w:space="0" w:color="auto"/>
                          </w:divBdr>
                          <w:divsChild>
                            <w:div w:id="573394742">
                              <w:marLeft w:val="0"/>
                              <w:marRight w:val="0"/>
                              <w:marTop w:val="0"/>
                              <w:marBottom w:val="0"/>
                              <w:divBdr>
                                <w:top w:val="none" w:sz="0" w:space="0" w:color="auto"/>
                                <w:left w:val="none" w:sz="0" w:space="0" w:color="auto"/>
                                <w:bottom w:val="none" w:sz="0" w:space="0" w:color="auto"/>
                                <w:right w:val="none" w:sz="0" w:space="0" w:color="auto"/>
                              </w:divBdr>
                              <w:divsChild>
                                <w:div w:id="1869562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8704331">
                      <w:marLeft w:val="0"/>
                      <w:marRight w:val="0"/>
                      <w:marTop w:val="0"/>
                      <w:marBottom w:val="0"/>
                      <w:divBdr>
                        <w:top w:val="none" w:sz="0" w:space="0" w:color="auto"/>
                        <w:left w:val="none" w:sz="0" w:space="0" w:color="auto"/>
                        <w:bottom w:val="single" w:sz="6" w:space="12" w:color="DDDDDD"/>
                        <w:right w:val="none" w:sz="0" w:space="0" w:color="auto"/>
                      </w:divBdr>
                      <w:divsChild>
                        <w:div w:id="958223780">
                          <w:marLeft w:val="0"/>
                          <w:marRight w:val="0"/>
                          <w:marTop w:val="0"/>
                          <w:marBottom w:val="0"/>
                          <w:divBdr>
                            <w:top w:val="none" w:sz="0" w:space="0" w:color="auto"/>
                            <w:left w:val="none" w:sz="0" w:space="0" w:color="auto"/>
                            <w:bottom w:val="none" w:sz="0" w:space="0" w:color="auto"/>
                            <w:right w:val="none" w:sz="0" w:space="0" w:color="auto"/>
                          </w:divBdr>
                          <w:divsChild>
                            <w:div w:id="1219902369">
                              <w:marLeft w:val="0"/>
                              <w:marRight w:val="0"/>
                              <w:marTop w:val="0"/>
                              <w:marBottom w:val="0"/>
                              <w:divBdr>
                                <w:top w:val="none" w:sz="0" w:space="0" w:color="auto"/>
                                <w:left w:val="none" w:sz="0" w:space="0" w:color="auto"/>
                                <w:bottom w:val="none" w:sz="0" w:space="0" w:color="auto"/>
                                <w:right w:val="none" w:sz="0" w:space="0" w:color="auto"/>
                              </w:divBdr>
                              <w:divsChild>
                                <w:div w:id="342317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1381894">
                      <w:marLeft w:val="0"/>
                      <w:marRight w:val="0"/>
                      <w:marTop w:val="0"/>
                      <w:marBottom w:val="0"/>
                      <w:divBdr>
                        <w:top w:val="none" w:sz="0" w:space="0" w:color="auto"/>
                        <w:left w:val="none" w:sz="0" w:space="0" w:color="auto"/>
                        <w:bottom w:val="single" w:sz="6" w:space="12" w:color="DDDDDD"/>
                        <w:right w:val="none" w:sz="0" w:space="0" w:color="auto"/>
                      </w:divBdr>
                      <w:divsChild>
                        <w:div w:id="1205364724">
                          <w:marLeft w:val="0"/>
                          <w:marRight w:val="0"/>
                          <w:marTop w:val="0"/>
                          <w:marBottom w:val="0"/>
                          <w:divBdr>
                            <w:top w:val="none" w:sz="0" w:space="0" w:color="auto"/>
                            <w:left w:val="none" w:sz="0" w:space="0" w:color="auto"/>
                            <w:bottom w:val="none" w:sz="0" w:space="0" w:color="auto"/>
                            <w:right w:val="none" w:sz="0" w:space="0" w:color="auto"/>
                          </w:divBdr>
                          <w:divsChild>
                            <w:div w:id="920992811">
                              <w:marLeft w:val="0"/>
                              <w:marRight w:val="0"/>
                              <w:marTop w:val="0"/>
                              <w:marBottom w:val="0"/>
                              <w:divBdr>
                                <w:top w:val="none" w:sz="0" w:space="0" w:color="auto"/>
                                <w:left w:val="none" w:sz="0" w:space="0" w:color="auto"/>
                                <w:bottom w:val="none" w:sz="0" w:space="0" w:color="auto"/>
                                <w:right w:val="none" w:sz="0" w:space="0" w:color="auto"/>
                              </w:divBdr>
                              <w:divsChild>
                                <w:div w:id="1966112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9903062">
                      <w:marLeft w:val="0"/>
                      <w:marRight w:val="0"/>
                      <w:marTop w:val="0"/>
                      <w:marBottom w:val="0"/>
                      <w:divBdr>
                        <w:top w:val="none" w:sz="0" w:space="0" w:color="auto"/>
                        <w:left w:val="none" w:sz="0" w:space="0" w:color="auto"/>
                        <w:bottom w:val="single" w:sz="6" w:space="12" w:color="DDDDDD"/>
                        <w:right w:val="none" w:sz="0" w:space="0" w:color="auto"/>
                      </w:divBdr>
                      <w:divsChild>
                        <w:div w:id="1955284132">
                          <w:marLeft w:val="0"/>
                          <w:marRight w:val="0"/>
                          <w:marTop w:val="0"/>
                          <w:marBottom w:val="0"/>
                          <w:divBdr>
                            <w:top w:val="none" w:sz="0" w:space="0" w:color="auto"/>
                            <w:left w:val="none" w:sz="0" w:space="0" w:color="auto"/>
                            <w:bottom w:val="none" w:sz="0" w:space="0" w:color="auto"/>
                            <w:right w:val="none" w:sz="0" w:space="0" w:color="auto"/>
                          </w:divBdr>
                          <w:divsChild>
                            <w:div w:id="216748741">
                              <w:marLeft w:val="0"/>
                              <w:marRight w:val="0"/>
                              <w:marTop w:val="0"/>
                              <w:marBottom w:val="0"/>
                              <w:divBdr>
                                <w:top w:val="none" w:sz="0" w:space="0" w:color="auto"/>
                                <w:left w:val="none" w:sz="0" w:space="0" w:color="auto"/>
                                <w:bottom w:val="none" w:sz="0" w:space="0" w:color="auto"/>
                                <w:right w:val="none" w:sz="0" w:space="0" w:color="auto"/>
                              </w:divBdr>
                              <w:divsChild>
                                <w:div w:id="845555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7599596">
                      <w:marLeft w:val="0"/>
                      <w:marRight w:val="0"/>
                      <w:marTop w:val="0"/>
                      <w:marBottom w:val="0"/>
                      <w:divBdr>
                        <w:top w:val="none" w:sz="0" w:space="0" w:color="auto"/>
                        <w:left w:val="none" w:sz="0" w:space="0" w:color="auto"/>
                        <w:bottom w:val="none" w:sz="0" w:space="0" w:color="auto"/>
                        <w:right w:val="none" w:sz="0" w:space="0" w:color="auto"/>
                      </w:divBdr>
                      <w:divsChild>
                        <w:div w:id="1864199911">
                          <w:marLeft w:val="0"/>
                          <w:marRight w:val="0"/>
                          <w:marTop w:val="0"/>
                          <w:marBottom w:val="0"/>
                          <w:divBdr>
                            <w:top w:val="none" w:sz="0" w:space="0" w:color="auto"/>
                            <w:left w:val="none" w:sz="0" w:space="0" w:color="auto"/>
                            <w:bottom w:val="none" w:sz="0" w:space="0" w:color="auto"/>
                            <w:right w:val="none" w:sz="0" w:space="0" w:color="auto"/>
                          </w:divBdr>
                          <w:divsChild>
                            <w:div w:id="1167285127">
                              <w:marLeft w:val="0"/>
                              <w:marRight w:val="0"/>
                              <w:marTop w:val="0"/>
                              <w:marBottom w:val="0"/>
                              <w:divBdr>
                                <w:top w:val="none" w:sz="0" w:space="0" w:color="auto"/>
                                <w:left w:val="none" w:sz="0" w:space="0" w:color="auto"/>
                                <w:bottom w:val="none" w:sz="0" w:space="0" w:color="auto"/>
                                <w:right w:val="none" w:sz="0" w:space="0" w:color="auto"/>
                              </w:divBdr>
                              <w:divsChild>
                                <w:div w:id="367990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83590414">
      <w:bodyDiv w:val="1"/>
      <w:marLeft w:val="0"/>
      <w:marRight w:val="0"/>
      <w:marTop w:val="0"/>
      <w:marBottom w:val="0"/>
      <w:divBdr>
        <w:top w:val="none" w:sz="0" w:space="0" w:color="auto"/>
        <w:left w:val="none" w:sz="0" w:space="0" w:color="auto"/>
        <w:bottom w:val="none" w:sz="0" w:space="0" w:color="auto"/>
        <w:right w:val="none" w:sz="0" w:space="0" w:color="auto"/>
      </w:divBdr>
      <w:divsChild>
        <w:div w:id="859314205">
          <w:marLeft w:val="0"/>
          <w:marRight w:val="0"/>
          <w:marTop w:val="0"/>
          <w:marBottom w:val="120"/>
          <w:divBdr>
            <w:top w:val="none" w:sz="0" w:space="0" w:color="auto"/>
            <w:left w:val="none" w:sz="0" w:space="0" w:color="auto"/>
            <w:bottom w:val="none" w:sz="0" w:space="0" w:color="auto"/>
            <w:right w:val="none" w:sz="0" w:space="0" w:color="auto"/>
          </w:divBdr>
          <w:divsChild>
            <w:div w:id="933173956">
              <w:marLeft w:val="0"/>
              <w:marRight w:val="0"/>
              <w:marTop w:val="0"/>
              <w:marBottom w:val="0"/>
              <w:divBdr>
                <w:top w:val="none" w:sz="0" w:space="0" w:color="auto"/>
                <w:left w:val="none" w:sz="0" w:space="0" w:color="auto"/>
                <w:bottom w:val="none" w:sz="0" w:space="0" w:color="auto"/>
                <w:right w:val="none" w:sz="0" w:space="0" w:color="auto"/>
              </w:divBdr>
              <w:divsChild>
                <w:div w:id="2124419975">
                  <w:marLeft w:val="0"/>
                  <w:marRight w:val="0"/>
                  <w:marTop w:val="0"/>
                  <w:marBottom w:val="0"/>
                  <w:divBdr>
                    <w:top w:val="none" w:sz="0" w:space="0" w:color="auto"/>
                    <w:left w:val="none" w:sz="0" w:space="0" w:color="auto"/>
                    <w:bottom w:val="none" w:sz="0" w:space="0" w:color="auto"/>
                    <w:right w:val="none" w:sz="0" w:space="0" w:color="auto"/>
                  </w:divBdr>
                  <w:divsChild>
                    <w:div w:id="339699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2823580">
              <w:marLeft w:val="0"/>
              <w:marRight w:val="0"/>
              <w:marTop w:val="0"/>
              <w:marBottom w:val="0"/>
              <w:divBdr>
                <w:top w:val="none" w:sz="0" w:space="0" w:color="auto"/>
                <w:left w:val="none" w:sz="0" w:space="0" w:color="auto"/>
                <w:bottom w:val="single" w:sz="6" w:space="0" w:color="000000"/>
                <w:right w:val="none" w:sz="0" w:space="0" w:color="auto"/>
              </w:divBdr>
              <w:divsChild>
                <w:div w:id="1128161156">
                  <w:marLeft w:val="0"/>
                  <w:marRight w:val="0"/>
                  <w:marTop w:val="0"/>
                  <w:marBottom w:val="0"/>
                  <w:divBdr>
                    <w:top w:val="none" w:sz="0" w:space="0" w:color="auto"/>
                    <w:left w:val="none" w:sz="0" w:space="0" w:color="auto"/>
                    <w:bottom w:val="none" w:sz="0" w:space="0" w:color="auto"/>
                    <w:right w:val="none" w:sz="0" w:space="0" w:color="auto"/>
                  </w:divBdr>
                  <w:divsChild>
                    <w:div w:id="336808476">
                      <w:marLeft w:val="0"/>
                      <w:marRight w:val="0"/>
                      <w:marTop w:val="0"/>
                      <w:marBottom w:val="0"/>
                      <w:divBdr>
                        <w:top w:val="none" w:sz="0" w:space="0" w:color="auto"/>
                        <w:left w:val="none" w:sz="0" w:space="0" w:color="auto"/>
                        <w:bottom w:val="none" w:sz="0" w:space="0" w:color="auto"/>
                        <w:right w:val="none" w:sz="0" w:space="0" w:color="auto"/>
                      </w:divBdr>
                      <w:divsChild>
                        <w:div w:id="1835339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5933225">
                  <w:marLeft w:val="0"/>
                  <w:marRight w:val="0"/>
                  <w:marTop w:val="0"/>
                  <w:marBottom w:val="0"/>
                  <w:divBdr>
                    <w:top w:val="none" w:sz="0" w:space="0" w:color="auto"/>
                    <w:left w:val="none" w:sz="0" w:space="0" w:color="auto"/>
                    <w:bottom w:val="none" w:sz="0" w:space="0" w:color="auto"/>
                    <w:right w:val="none" w:sz="0" w:space="0" w:color="auto"/>
                  </w:divBdr>
                  <w:divsChild>
                    <w:div w:id="130098708">
                      <w:marLeft w:val="0"/>
                      <w:marRight w:val="0"/>
                      <w:marTop w:val="0"/>
                      <w:marBottom w:val="0"/>
                      <w:divBdr>
                        <w:top w:val="none" w:sz="0" w:space="0" w:color="auto"/>
                        <w:left w:val="none" w:sz="0" w:space="0" w:color="auto"/>
                        <w:bottom w:val="none" w:sz="0" w:space="0" w:color="auto"/>
                        <w:right w:val="none" w:sz="0" w:space="0" w:color="auto"/>
                      </w:divBdr>
                      <w:divsChild>
                        <w:div w:id="1753038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83690157">
          <w:marLeft w:val="0"/>
          <w:marRight w:val="0"/>
          <w:marTop w:val="0"/>
          <w:marBottom w:val="0"/>
          <w:divBdr>
            <w:top w:val="none" w:sz="0" w:space="0" w:color="auto"/>
            <w:left w:val="none" w:sz="0" w:space="0" w:color="auto"/>
            <w:bottom w:val="none" w:sz="0" w:space="0" w:color="auto"/>
            <w:right w:val="none" w:sz="0" w:space="0" w:color="auto"/>
          </w:divBdr>
        </w:div>
        <w:div w:id="400560917">
          <w:marLeft w:val="0"/>
          <w:marRight w:val="0"/>
          <w:marTop w:val="0"/>
          <w:marBottom w:val="0"/>
          <w:divBdr>
            <w:top w:val="none" w:sz="0" w:space="0" w:color="auto"/>
            <w:left w:val="none" w:sz="0" w:space="0" w:color="auto"/>
            <w:bottom w:val="none" w:sz="0" w:space="0" w:color="auto"/>
            <w:right w:val="none" w:sz="0" w:space="0" w:color="auto"/>
          </w:divBdr>
          <w:divsChild>
            <w:div w:id="357395227">
              <w:marLeft w:val="0"/>
              <w:marRight w:val="0"/>
              <w:marTop w:val="0"/>
              <w:marBottom w:val="120"/>
              <w:divBdr>
                <w:top w:val="none" w:sz="0" w:space="0" w:color="auto"/>
                <w:left w:val="none" w:sz="0" w:space="0" w:color="auto"/>
                <w:bottom w:val="none" w:sz="0" w:space="0" w:color="auto"/>
                <w:right w:val="none" w:sz="0" w:space="0" w:color="auto"/>
              </w:divBdr>
              <w:divsChild>
                <w:div w:id="1977488199">
                  <w:marLeft w:val="0"/>
                  <w:marRight w:val="0"/>
                  <w:marTop w:val="0"/>
                  <w:marBottom w:val="0"/>
                  <w:divBdr>
                    <w:top w:val="none" w:sz="0" w:space="0" w:color="auto"/>
                    <w:left w:val="none" w:sz="0" w:space="0" w:color="auto"/>
                    <w:bottom w:val="none" w:sz="0" w:space="0" w:color="auto"/>
                    <w:right w:val="none" w:sz="0" w:space="0" w:color="auto"/>
                  </w:divBdr>
                </w:div>
                <w:div w:id="282275824">
                  <w:marLeft w:val="0"/>
                  <w:marRight w:val="0"/>
                  <w:marTop w:val="0"/>
                  <w:marBottom w:val="0"/>
                  <w:divBdr>
                    <w:top w:val="none" w:sz="0" w:space="0" w:color="auto"/>
                    <w:left w:val="none" w:sz="0" w:space="0" w:color="auto"/>
                    <w:bottom w:val="none" w:sz="0" w:space="0" w:color="auto"/>
                    <w:right w:val="none" w:sz="0" w:space="0" w:color="auto"/>
                  </w:divBdr>
                </w:div>
                <w:div w:id="607662039">
                  <w:marLeft w:val="0"/>
                  <w:marRight w:val="0"/>
                  <w:marTop w:val="0"/>
                  <w:marBottom w:val="0"/>
                  <w:divBdr>
                    <w:top w:val="none" w:sz="0" w:space="0" w:color="auto"/>
                    <w:left w:val="none" w:sz="0" w:space="0" w:color="auto"/>
                    <w:bottom w:val="none" w:sz="0" w:space="0" w:color="auto"/>
                    <w:right w:val="none" w:sz="0" w:space="0" w:color="auto"/>
                  </w:divBdr>
                </w:div>
                <w:div w:id="1757482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0496363">
          <w:marLeft w:val="0"/>
          <w:marRight w:val="0"/>
          <w:marTop w:val="0"/>
          <w:marBottom w:val="480"/>
          <w:divBdr>
            <w:top w:val="none" w:sz="0" w:space="0" w:color="auto"/>
            <w:left w:val="none" w:sz="0" w:space="0" w:color="auto"/>
            <w:bottom w:val="single" w:sz="12" w:space="24" w:color="EBEBEB"/>
            <w:right w:val="none" w:sz="0" w:space="0" w:color="auto"/>
          </w:divBdr>
          <w:divsChild>
            <w:div w:id="1238251554">
              <w:marLeft w:val="0"/>
              <w:marRight w:val="0"/>
              <w:marTop w:val="0"/>
              <w:marBottom w:val="0"/>
              <w:divBdr>
                <w:top w:val="none" w:sz="0" w:space="0" w:color="auto"/>
                <w:left w:val="none" w:sz="0" w:space="0" w:color="auto"/>
                <w:bottom w:val="none" w:sz="0" w:space="0" w:color="auto"/>
                <w:right w:val="none" w:sz="0" w:space="0" w:color="auto"/>
              </w:divBdr>
              <w:divsChild>
                <w:div w:id="920875444">
                  <w:marLeft w:val="0"/>
                  <w:marRight w:val="0"/>
                  <w:marTop w:val="0"/>
                  <w:marBottom w:val="0"/>
                  <w:divBdr>
                    <w:top w:val="none" w:sz="0" w:space="0" w:color="auto"/>
                    <w:left w:val="none" w:sz="0" w:space="0" w:color="auto"/>
                    <w:bottom w:val="none" w:sz="0" w:space="0" w:color="auto"/>
                    <w:right w:val="none" w:sz="0" w:space="0" w:color="auto"/>
                  </w:divBdr>
                </w:div>
                <w:div w:id="605500039">
                  <w:marLeft w:val="0"/>
                  <w:marRight w:val="0"/>
                  <w:marTop w:val="0"/>
                  <w:marBottom w:val="0"/>
                  <w:divBdr>
                    <w:top w:val="none" w:sz="0" w:space="0" w:color="auto"/>
                    <w:left w:val="none" w:sz="0" w:space="0" w:color="auto"/>
                    <w:bottom w:val="none" w:sz="0" w:space="0" w:color="auto"/>
                    <w:right w:val="none" w:sz="0" w:space="0" w:color="auto"/>
                  </w:divBdr>
                </w:div>
                <w:div w:id="1822578062">
                  <w:marLeft w:val="0"/>
                  <w:marRight w:val="0"/>
                  <w:marTop w:val="0"/>
                  <w:marBottom w:val="0"/>
                  <w:divBdr>
                    <w:top w:val="none" w:sz="0" w:space="0" w:color="auto"/>
                    <w:left w:val="none" w:sz="0" w:space="0" w:color="auto"/>
                    <w:bottom w:val="none" w:sz="0" w:space="0" w:color="auto"/>
                    <w:right w:val="none" w:sz="0" w:space="0" w:color="auto"/>
                  </w:divBdr>
                </w:div>
                <w:div w:id="1548295651">
                  <w:marLeft w:val="0"/>
                  <w:marRight w:val="0"/>
                  <w:marTop w:val="0"/>
                  <w:marBottom w:val="0"/>
                  <w:divBdr>
                    <w:top w:val="none" w:sz="0" w:space="0" w:color="auto"/>
                    <w:left w:val="none" w:sz="0" w:space="0" w:color="auto"/>
                    <w:bottom w:val="none" w:sz="0" w:space="0" w:color="auto"/>
                    <w:right w:val="none" w:sz="0" w:space="0" w:color="auto"/>
                  </w:divBdr>
                </w:div>
                <w:div w:id="749546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0988644">
          <w:marLeft w:val="0"/>
          <w:marRight w:val="0"/>
          <w:marTop w:val="0"/>
          <w:marBottom w:val="0"/>
          <w:divBdr>
            <w:top w:val="none" w:sz="0" w:space="0" w:color="auto"/>
            <w:left w:val="none" w:sz="0" w:space="0" w:color="auto"/>
            <w:bottom w:val="none" w:sz="0" w:space="0" w:color="auto"/>
            <w:right w:val="none" w:sz="0" w:space="0" w:color="auto"/>
          </w:divBdr>
          <w:divsChild>
            <w:div w:id="1405026613">
              <w:marLeft w:val="0"/>
              <w:marRight w:val="0"/>
              <w:marTop w:val="0"/>
              <w:marBottom w:val="0"/>
              <w:divBdr>
                <w:top w:val="none" w:sz="0" w:space="0" w:color="auto"/>
                <w:left w:val="none" w:sz="0" w:space="0" w:color="auto"/>
                <w:bottom w:val="none" w:sz="0" w:space="0" w:color="auto"/>
                <w:right w:val="none" w:sz="0" w:space="0" w:color="auto"/>
              </w:divBdr>
              <w:divsChild>
                <w:div w:id="71706457">
                  <w:marLeft w:val="0"/>
                  <w:marRight w:val="0"/>
                  <w:marTop w:val="0"/>
                  <w:marBottom w:val="0"/>
                  <w:divBdr>
                    <w:top w:val="none" w:sz="0" w:space="0" w:color="auto"/>
                    <w:left w:val="none" w:sz="0" w:space="0" w:color="auto"/>
                    <w:bottom w:val="none" w:sz="0" w:space="0" w:color="auto"/>
                    <w:right w:val="none" w:sz="0" w:space="0" w:color="auto"/>
                  </w:divBdr>
                  <w:divsChild>
                    <w:div w:id="1760983919">
                      <w:marLeft w:val="0"/>
                      <w:marRight w:val="0"/>
                      <w:marTop w:val="240"/>
                      <w:marBottom w:val="240"/>
                      <w:divBdr>
                        <w:top w:val="single" w:sz="12" w:space="0" w:color="EBEBEB"/>
                        <w:left w:val="none" w:sz="0" w:space="0" w:color="auto"/>
                        <w:bottom w:val="single" w:sz="12" w:space="0" w:color="EBEBEB"/>
                        <w:right w:val="none" w:sz="0" w:space="0" w:color="auto"/>
                      </w:divBdr>
                      <w:divsChild>
                        <w:div w:id="112959057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503592876">
                  <w:marLeft w:val="0"/>
                  <w:marRight w:val="0"/>
                  <w:marTop w:val="0"/>
                  <w:marBottom w:val="0"/>
                  <w:divBdr>
                    <w:top w:val="none" w:sz="0" w:space="0" w:color="auto"/>
                    <w:left w:val="none" w:sz="0" w:space="0" w:color="auto"/>
                    <w:bottom w:val="none" w:sz="0" w:space="0" w:color="auto"/>
                    <w:right w:val="none" w:sz="0" w:space="0" w:color="auto"/>
                  </w:divBdr>
                  <w:divsChild>
                    <w:div w:id="815100420">
                      <w:marLeft w:val="0"/>
                      <w:marRight w:val="0"/>
                      <w:marTop w:val="240"/>
                      <w:marBottom w:val="240"/>
                      <w:divBdr>
                        <w:top w:val="single" w:sz="12" w:space="0" w:color="EBEBEB"/>
                        <w:left w:val="none" w:sz="0" w:space="0" w:color="auto"/>
                        <w:bottom w:val="single" w:sz="12" w:space="0" w:color="EBEBEB"/>
                        <w:right w:val="none" w:sz="0" w:space="0" w:color="auto"/>
                      </w:divBdr>
                      <w:divsChild>
                        <w:div w:id="39651700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39166508">
                  <w:marLeft w:val="0"/>
                  <w:marRight w:val="0"/>
                  <w:marTop w:val="0"/>
                  <w:marBottom w:val="0"/>
                  <w:divBdr>
                    <w:top w:val="none" w:sz="0" w:space="0" w:color="auto"/>
                    <w:left w:val="none" w:sz="0" w:space="0" w:color="auto"/>
                    <w:bottom w:val="none" w:sz="0" w:space="0" w:color="auto"/>
                    <w:right w:val="none" w:sz="0" w:space="0" w:color="auto"/>
                  </w:divBdr>
                  <w:divsChild>
                    <w:div w:id="694232411">
                      <w:marLeft w:val="0"/>
                      <w:marRight w:val="0"/>
                      <w:marTop w:val="240"/>
                      <w:marBottom w:val="240"/>
                      <w:divBdr>
                        <w:top w:val="single" w:sz="12" w:space="0" w:color="EBEBEB"/>
                        <w:left w:val="none" w:sz="0" w:space="0" w:color="auto"/>
                        <w:bottom w:val="single" w:sz="12" w:space="0" w:color="EBEBEB"/>
                        <w:right w:val="none" w:sz="0" w:space="0" w:color="auto"/>
                      </w:divBdr>
                      <w:divsChild>
                        <w:div w:id="177505075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188446411">
          <w:marLeft w:val="0"/>
          <w:marRight w:val="0"/>
          <w:marTop w:val="0"/>
          <w:marBottom w:val="0"/>
          <w:divBdr>
            <w:top w:val="none" w:sz="0" w:space="0" w:color="auto"/>
            <w:left w:val="none" w:sz="0" w:space="0" w:color="auto"/>
            <w:bottom w:val="none" w:sz="0" w:space="0" w:color="auto"/>
            <w:right w:val="none" w:sz="0" w:space="0" w:color="auto"/>
          </w:divBdr>
          <w:divsChild>
            <w:div w:id="380330059">
              <w:marLeft w:val="0"/>
              <w:marRight w:val="0"/>
              <w:marTop w:val="0"/>
              <w:marBottom w:val="0"/>
              <w:divBdr>
                <w:top w:val="none" w:sz="0" w:space="0" w:color="auto"/>
                <w:left w:val="none" w:sz="0" w:space="0" w:color="auto"/>
                <w:bottom w:val="none" w:sz="0" w:space="0" w:color="auto"/>
                <w:right w:val="none" w:sz="0" w:space="0" w:color="auto"/>
              </w:divBdr>
            </w:div>
          </w:divsChild>
        </w:div>
        <w:div w:id="1025984983">
          <w:marLeft w:val="0"/>
          <w:marRight w:val="0"/>
          <w:marTop w:val="0"/>
          <w:marBottom w:val="0"/>
          <w:divBdr>
            <w:top w:val="none" w:sz="0" w:space="0" w:color="auto"/>
            <w:left w:val="none" w:sz="0" w:space="0" w:color="auto"/>
            <w:bottom w:val="none" w:sz="0" w:space="0" w:color="auto"/>
            <w:right w:val="none" w:sz="0" w:space="0" w:color="auto"/>
          </w:divBdr>
        </w:div>
        <w:div w:id="1345596780">
          <w:marLeft w:val="0"/>
          <w:marRight w:val="0"/>
          <w:marTop w:val="0"/>
          <w:marBottom w:val="0"/>
          <w:divBdr>
            <w:top w:val="none" w:sz="0" w:space="0" w:color="auto"/>
            <w:left w:val="none" w:sz="0" w:space="0" w:color="auto"/>
            <w:bottom w:val="none" w:sz="0" w:space="0" w:color="auto"/>
            <w:right w:val="none" w:sz="0" w:space="0" w:color="auto"/>
          </w:divBdr>
        </w:div>
        <w:div w:id="1951936156">
          <w:marLeft w:val="0"/>
          <w:marRight w:val="0"/>
          <w:marTop w:val="0"/>
          <w:marBottom w:val="0"/>
          <w:divBdr>
            <w:top w:val="none" w:sz="0" w:space="0" w:color="auto"/>
            <w:left w:val="none" w:sz="0" w:space="0" w:color="auto"/>
            <w:bottom w:val="none" w:sz="0" w:space="0" w:color="auto"/>
            <w:right w:val="none" w:sz="0" w:space="0" w:color="auto"/>
          </w:divBdr>
          <w:divsChild>
            <w:div w:id="426734523">
              <w:marLeft w:val="0"/>
              <w:marRight w:val="0"/>
              <w:marTop w:val="0"/>
              <w:marBottom w:val="0"/>
              <w:divBdr>
                <w:top w:val="none" w:sz="0" w:space="0" w:color="auto"/>
                <w:left w:val="none" w:sz="0" w:space="0" w:color="auto"/>
                <w:bottom w:val="none" w:sz="0" w:space="0" w:color="auto"/>
                <w:right w:val="none" w:sz="0" w:space="0" w:color="auto"/>
              </w:divBdr>
            </w:div>
          </w:divsChild>
        </w:div>
        <w:div w:id="643050395">
          <w:marLeft w:val="0"/>
          <w:marRight w:val="0"/>
          <w:marTop w:val="0"/>
          <w:marBottom w:val="0"/>
          <w:divBdr>
            <w:top w:val="none" w:sz="0" w:space="0" w:color="auto"/>
            <w:left w:val="none" w:sz="0" w:space="0" w:color="auto"/>
            <w:bottom w:val="none" w:sz="0" w:space="0" w:color="auto"/>
            <w:right w:val="none" w:sz="0" w:space="0" w:color="auto"/>
          </w:divBdr>
        </w:div>
        <w:div w:id="1540168440">
          <w:marLeft w:val="0"/>
          <w:marRight w:val="0"/>
          <w:marTop w:val="0"/>
          <w:marBottom w:val="0"/>
          <w:divBdr>
            <w:top w:val="none" w:sz="0" w:space="0" w:color="auto"/>
            <w:left w:val="none" w:sz="0" w:space="0" w:color="auto"/>
            <w:bottom w:val="none" w:sz="0" w:space="0" w:color="auto"/>
            <w:right w:val="none" w:sz="0" w:space="0" w:color="auto"/>
          </w:divBdr>
        </w:div>
        <w:div w:id="1193759723">
          <w:marLeft w:val="0"/>
          <w:marRight w:val="0"/>
          <w:marTop w:val="0"/>
          <w:marBottom w:val="0"/>
          <w:divBdr>
            <w:top w:val="none" w:sz="0" w:space="0" w:color="auto"/>
            <w:left w:val="none" w:sz="0" w:space="0" w:color="auto"/>
            <w:bottom w:val="none" w:sz="0" w:space="0" w:color="auto"/>
            <w:right w:val="none" w:sz="0" w:space="0" w:color="auto"/>
          </w:divBdr>
          <w:divsChild>
            <w:div w:id="1025446655">
              <w:marLeft w:val="0"/>
              <w:marRight w:val="0"/>
              <w:marTop w:val="0"/>
              <w:marBottom w:val="0"/>
              <w:divBdr>
                <w:top w:val="none" w:sz="0" w:space="0" w:color="auto"/>
                <w:left w:val="none" w:sz="0" w:space="0" w:color="auto"/>
                <w:bottom w:val="none" w:sz="0" w:space="0" w:color="auto"/>
                <w:right w:val="none" w:sz="0" w:space="0" w:color="auto"/>
              </w:divBdr>
            </w:div>
          </w:divsChild>
        </w:div>
        <w:div w:id="175314995">
          <w:marLeft w:val="0"/>
          <w:marRight w:val="0"/>
          <w:marTop w:val="0"/>
          <w:marBottom w:val="0"/>
          <w:divBdr>
            <w:top w:val="none" w:sz="0" w:space="0" w:color="auto"/>
            <w:left w:val="none" w:sz="0" w:space="0" w:color="auto"/>
            <w:bottom w:val="none" w:sz="0" w:space="0" w:color="auto"/>
            <w:right w:val="none" w:sz="0" w:space="0" w:color="auto"/>
          </w:divBdr>
        </w:div>
        <w:div w:id="1740905999">
          <w:marLeft w:val="0"/>
          <w:marRight w:val="0"/>
          <w:marTop w:val="0"/>
          <w:marBottom w:val="0"/>
          <w:divBdr>
            <w:top w:val="none" w:sz="0" w:space="0" w:color="auto"/>
            <w:left w:val="none" w:sz="0" w:space="0" w:color="auto"/>
            <w:bottom w:val="none" w:sz="0" w:space="0" w:color="auto"/>
            <w:right w:val="none" w:sz="0" w:space="0" w:color="auto"/>
          </w:divBdr>
        </w:div>
        <w:div w:id="405688248">
          <w:marLeft w:val="0"/>
          <w:marRight w:val="0"/>
          <w:marTop w:val="0"/>
          <w:marBottom w:val="0"/>
          <w:divBdr>
            <w:top w:val="none" w:sz="0" w:space="0" w:color="auto"/>
            <w:left w:val="none" w:sz="0" w:space="0" w:color="auto"/>
            <w:bottom w:val="none" w:sz="0" w:space="0" w:color="auto"/>
            <w:right w:val="none" w:sz="0" w:space="0" w:color="auto"/>
          </w:divBdr>
          <w:divsChild>
            <w:div w:id="847988548">
              <w:marLeft w:val="0"/>
              <w:marRight w:val="0"/>
              <w:marTop w:val="0"/>
              <w:marBottom w:val="0"/>
              <w:divBdr>
                <w:top w:val="none" w:sz="0" w:space="0" w:color="auto"/>
                <w:left w:val="none" w:sz="0" w:space="0" w:color="auto"/>
                <w:bottom w:val="none" w:sz="0" w:space="0" w:color="auto"/>
                <w:right w:val="none" w:sz="0" w:space="0" w:color="auto"/>
              </w:divBdr>
            </w:div>
          </w:divsChild>
        </w:div>
        <w:div w:id="1494760192">
          <w:marLeft w:val="0"/>
          <w:marRight w:val="0"/>
          <w:marTop w:val="0"/>
          <w:marBottom w:val="0"/>
          <w:divBdr>
            <w:top w:val="none" w:sz="0" w:space="0" w:color="auto"/>
            <w:left w:val="none" w:sz="0" w:space="0" w:color="auto"/>
            <w:bottom w:val="none" w:sz="0" w:space="0" w:color="auto"/>
            <w:right w:val="none" w:sz="0" w:space="0" w:color="auto"/>
          </w:divBdr>
        </w:div>
        <w:div w:id="275212539">
          <w:marLeft w:val="0"/>
          <w:marRight w:val="0"/>
          <w:marTop w:val="0"/>
          <w:marBottom w:val="0"/>
          <w:divBdr>
            <w:top w:val="none" w:sz="0" w:space="0" w:color="auto"/>
            <w:left w:val="none" w:sz="0" w:space="0" w:color="auto"/>
            <w:bottom w:val="none" w:sz="0" w:space="0" w:color="auto"/>
            <w:right w:val="none" w:sz="0" w:space="0" w:color="auto"/>
          </w:divBdr>
        </w:div>
        <w:div w:id="1065840192">
          <w:marLeft w:val="0"/>
          <w:marRight w:val="0"/>
          <w:marTop w:val="0"/>
          <w:marBottom w:val="0"/>
          <w:divBdr>
            <w:top w:val="none" w:sz="0" w:space="0" w:color="auto"/>
            <w:left w:val="none" w:sz="0" w:space="0" w:color="auto"/>
            <w:bottom w:val="none" w:sz="0" w:space="0" w:color="auto"/>
            <w:right w:val="none" w:sz="0" w:space="0" w:color="auto"/>
          </w:divBdr>
          <w:divsChild>
            <w:div w:id="159392171">
              <w:marLeft w:val="0"/>
              <w:marRight w:val="0"/>
              <w:marTop w:val="0"/>
              <w:marBottom w:val="0"/>
              <w:divBdr>
                <w:top w:val="none" w:sz="0" w:space="0" w:color="auto"/>
                <w:left w:val="none" w:sz="0" w:space="0" w:color="auto"/>
                <w:bottom w:val="none" w:sz="0" w:space="0" w:color="auto"/>
                <w:right w:val="none" w:sz="0" w:space="0" w:color="auto"/>
              </w:divBdr>
            </w:div>
          </w:divsChild>
        </w:div>
        <w:div w:id="947741887">
          <w:marLeft w:val="0"/>
          <w:marRight w:val="0"/>
          <w:marTop w:val="0"/>
          <w:marBottom w:val="0"/>
          <w:divBdr>
            <w:top w:val="none" w:sz="0" w:space="0" w:color="auto"/>
            <w:left w:val="none" w:sz="0" w:space="0" w:color="auto"/>
            <w:bottom w:val="none" w:sz="0" w:space="0" w:color="auto"/>
            <w:right w:val="none" w:sz="0" w:space="0" w:color="auto"/>
          </w:divBdr>
        </w:div>
        <w:div w:id="658075906">
          <w:marLeft w:val="0"/>
          <w:marRight w:val="0"/>
          <w:marTop w:val="0"/>
          <w:marBottom w:val="0"/>
          <w:divBdr>
            <w:top w:val="none" w:sz="0" w:space="0" w:color="auto"/>
            <w:left w:val="none" w:sz="0" w:space="0" w:color="auto"/>
            <w:bottom w:val="none" w:sz="0" w:space="0" w:color="auto"/>
            <w:right w:val="none" w:sz="0" w:space="0" w:color="auto"/>
          </w:divBdr>
        </w:div>
        <w:div w:id="67046361">
          <w:marLeft w:val="0"/>
          <w:marRight w:val="0"/>
          <w:marTop w:val="0"/>
          <w:marBottom w:val="0"/>
          <w:divBdr>
            <w:top w:val="none" w:sz="0" w:space="0" w:color="auto"/>
            <w:left w:val="none" w:sz="0" w:space="0" w:color="auto"/>
            <w:bottom w:val="none" w:sz="0" w:space="0" w:color="auto"/>
            <w:right w:val="none" w:sz="0" w:space="0" w:color="auto"/>
          </w:divBdr>
          <w:divsChild>
            <w:div w:id="356542905">
              <w:marLeft w:val="0"/>
              <w:marRight w:val="0"/>
              <w:marTop w:val="0"/>
              <w:marBottom w:val="0"/>
              <w:divBdr>
                <w:top w:val="none" w:sz="0" w:space="0" w:color="auto"/>
                <w:left w:val="none" w:sz="0" w:space="0" w:color="auto"/>
                <w:bottom w:val="none" w:sz="0" w:space="0" w:color="auto"/>
                <w:right w:val="none" w:sz="0" w:space="0" w:color="auto"/>
              </w:divBdr>
            </w:div>
          </w:divsChild>
        </w:div>
        <w:div w:id="450441957">
          <w:marLeft w:val="0"/>
          <w:marRight w:val="0"/>
          <w:marTop w:val="0"/>
          <w:marBottom w:val="0"/>
          <w:divBdr>
            <w:top w:val="none" w:sz="0" w:space="0" w:color="auto"/>
            <w:left w:val="none" w:sz="0" w:space="0" w:color="auto"/>
            <w:bottom w:val="none" w:sz="0" w:space="0" w:color="auto"/>
            <w:right w:val="none" w:sz="0" w:space="0" w:color="auto"/>
          </w:divBdr>
        </w:div>
        <w:div w:id="22947771">
          <w:marLeft w:val="0"/>
          <w:marRight w:val="0"/>
          <w:marTop w:val="0"/>
          <w:marBottom w:val="0"/>
          <w:divBdr>
            <w:top w:val="none" w:sz="0" w:space="0" w:color="auto"/>
            <w:left w:val="none" w:sz="0" w:space="0" w:color="auto"/>
            <w:bottom w:val="none" w:sz="0" w:space="0" w:color="auto"/>
            <w:right w:val="none" w:sz="0" w:space="0" w:color="auto"/>
          </w:divBdr>
        </w:div>
        <w:div w:id="56130136">
          <w:marLeft w:val="0"/>
          <w:marRight w:val="0"/>
          <w:marTop w:val="0"/>
          <w:marBottom w:val="0"/>
          <w:divBdr>
            <w:top w:val="none" w:sz="0" w:space="0" w:color="auto"/>
            <w:left w:val="none" w:sz="0" w:space="0" w:color="auto"/>
            <w:bottom w:val="none" w:sz="0" w:space="0" w:color="auto"/>
            <w:right w:val="none" w:sz="0" w:space="0" w:color="auto"/>
          </w:divBdr>
          <w:divsChild>
            <w:div w:id="1473060236">
              <w:marLeft w:val="0"/>
              <w:marRight w:val="0"/>
              <w:marTop w:val="0"/>
              <w:marBottom w:val="0"/>
              <w:divBdr>
                <w:top w:val="none" w:sz="0" w:space="0" w:color="auto"/>
                <w:left w:val="none" w:sz="0" w:space="0" w:color="auto"/>
                <w:bottom w:val="none" w:sz="0" w:space="0" w:color="auto"/>
                <w:right w:val="none" w:sz="0" w:space="0" w:color="auto"/>
              </w:divBdr>
            </w:div>
          </w:divsChild>
        </w:div>
        <w:div w:id="481972464">
          <w:marLeft w:val="0"/>
          <w:marRight w:val="0"/>
          <w:marTop w:val="0"/>
          <w:marBottom w:val="0"/>
          <w:divBdr>
            <w:top w:val="none" w:sz="0" w:space="0" w:color="auto"/>
            <w:left w:val="none" w:sz="0" w:space="0" w:color="auto"/>
            <w:bottom w:val="none" w:sz="0" w:space="0" w:color="auto"/>
            <w:right w:val="none" w:sz="0" w:space="0" w:color="auto"/>
          </w:divBdr>
        </w:div>
        <w:div w:id="596061595">
          <w:marLeft w:val="0"/>
          <w:marRight w:val="0"/>
          <w:marTop w:val="0"/>
          <w:marBottom w:val="0"/>
          <w:divBdr>
            <w:top w:val="none" w:sz="0" w:space="0" w:color="auto"/>
            <w:left w:val="none" w:sz="0" w:space="0" w:color="auto"/>
            <w:bottom w:val="none" w:sz="0" w:space="0" w:color="auto"/>
            <w:right w:val="none" w:sz="0" w:space="0" w:color="auto"/>
          </w:divBdr>
        </w:div>
        <w:div w:id="1716083591">
          <w:marLeft w:val="0"/>
          <w:marRight w:val="0"/>
          <w:marTop w:val="0"/>
          <w:marBottom w:val="0"/>
          <w:divBdr>
            <w:top w:val="none" w:sz="0" w:space="0" w:color="auto"/>
            <w:left w:val="none" w:sz="0" w:space="0" w:color="auto"/>
            <w:bottom w:val="none" w:sz="0" w:space="0" w:color="auto"/>
            <w:right w:val="none" w:sz="0" w:space="0" w:color="auto"/>
          </w:divBdr>
          <w:divsChild>
            <w:div w:id="904335263">
              <w:marLeft w:val="0"/>
              <w:marRight w:val="0"/>
              <w:marTop w:val="0"/>
              <w:marBottom w:val="0"/>
              <w:divBdr>
                <w:top w:val="none" w:sz="0" w:space="0" w:color="auto"/>
                <w:left w:val="none" w:sz="0" w:space="0" w:color="auto"/>
                <w:bottom w:val="none" w:sz="0" w:space="0" w:color="auto"/>
                <w:right w:val="none" w:sz="0" w:space="0" w:color="auto"/>
              </w:divBdr>
            </w:div>
          </w:divsChild>
        </w:div>
        <w:div w:id="2021468742">
          <w:marLeft w:val="0"/>
          <w:marRight w:val="0"/>
          <w:marTop w:val="0"/>
          <w:marBottom w:val="0"/>
          <w:divBdr>
            <w:top w:val="none" w:sz="0" w:space="0" w:color="auto"/>
            <w:left w:val="none" w:sz="0" w:space="0" w:color="auto"/>
            <w:bottom w:val="none" w:sz="0" w:space="0" w:color="auto"/>
            <w:right w:val="none" w:sz="0" w:space="0" w:color="auto"/>
          </w:divBdr>
        </w:div>
        <w:div w:id="1666015269">
          <w:marLeft w:val="0"/>
          <w:marRight w:val="0"/>
          <w:marTop w:val="0"/>
          <w:marBottom w:val="0"/>
          <w:divBdr>
            <w:top w:val="none" w:sz="0" w:space="0" w:color="auto"/>
            <w:left w:val="none" w:sz="0" w:space="0" w:color="auto"/>
            <w:bottom w:val="none" w:sz="0" w:space="0" w:color="auto"/>
            <w:right w:val="none" w:sz="0" w:space="0" w:color="auto"/>
          </w:divBdr>
        </w:div>
        <w:div w:id="474612341">
          <w:marLeft w:val="0"/>
          <w:marRight w:val="0"/>
          <w:marTop w:val="0"/>
          <w:marBottom w:val="0"/>
          <w:divBdr>
            <w:top w:val="none" w:sz="0" w:space="0" w:color="auto"/>
            <w:left w:val="none" w:sz="0" w:space="0" w:color="auto"/>
            <w:bottom w:val="none" w:sz="0" w:space="0" w:color="auto"/>
            <w:right w:val="none" w:sz="0" w:space="0" w:color="auto"/>
          </w:divBdr>
          <w:divsChild>
            <w:div w:id="591936330">
              <w:marLeft w:val="0"/>
              <w:marRight w:val="0"/>
              <w:marTop w:val="0"/>
              <w:marBottom w:val="0"/>
              <w:divBdr>
                <w:top w:val="none" w:sz="0" w:space="0" w:color="auto"/>
                <w:left w:val="none" w:sz="0" w:space="0" w:color="auto"/>
                <w:bottom w:val="none" w:sz="0" w:space="0" w:color="auto"/>
                <w:right w:val="none" w:sz="0" w:space="0" w:color="auto"/>
              </w:divBdr>
            </w:div>
          </w:divsChild>
        </w:div>
        <w:div w:id="1040663709">
          <w:marLeft w:val="0"/>
          <w:marRight w:val="0"/>
          <w:marTop w:val="0"/>
          <w:marBottom w:val="0"/>
          <w:divBdr>
            <w:top w:val="none" w:sz="0" w:space="0" w:color="auto"/>
            <w:left w:val="none" w:sz="0" w:space="0" w:color="auto"/>
            <w:bottom w:val="none" w:sz="0" w:space="0" w:color="auto"/>
            <w:right w:val="none" w:sz="0" w:space="0" w:color="auto"/>
          </w:divBdr>
        </w:div>
        <w:div w:id="1338342583">
          <w:marLeft w:val="0"/>
          <w:marRight w:val="0"/>
          <w:marTop w:val="0"/>
          <w:marBottom w:val="0"/>
          <w:divBdr>
            <w:top w:val="none" w:sz="0" w:space="0" w:color="auto"/>
            <w:left w:val="none" w:sz="0" w:space="0" w:color="auto"/>
            <w:bottom w:val="none" w:sz="0" w:space="0" w:color="auto"/>
            <w:right w:val="none" w:sz="0" w:space="0" w:color="auto"/>
          </w:divBdr>
        </w:div>
        <w:div w:id="1439443795">
          <w:marLeft w:val="0"/>
          <w:marRight w:val="0"/>
          <w:marTop w:val="0"/>
          <w:marBottom w:val="0"/>
          <w:divBdr>
            <w:top w:val="none" w:sz="0" w:space="0" w:color="auto"/>
            <w:left w:val="none" w:sz="0" w:space="0" w:color="auto"/>
            <w:bottom w:val="none" w:sz="0" w:space="0" w:color="auto"/>
            <w:right w:val="none" w:sz="0" w:space="0" w:color="auto"/>
          </w:divBdr>
          <w:divsChild>
            <w:div w:id="857431459">
              <w:marLeft w:val="0"/>
              <w:marRight w:val="0"/>
              <w:marTop w:val="0"/>
              <w:marBottom w:val="0"/>
              <w:divBdr>
                <w:top w:val="none" w:sz="0" w:space="0" w:color="auto"/>
                <w:left w:val="none" w:sz="0" w:space="0" w:color="auto"/>
                <w:bottom w:val="none" w:sz="0" w:space="0" w:color="auto"/>
                <w:right w:val="none" w:sz="0" w:space="0" w:color="auto"/>
              </w:divBdr>
            </w:div>
          </w:divsChild>
        </w:div>
        <w:div w:id="560824303">
          <w:marLeft w:val="0"/>
          <w:marRight w:val="0"/>
          <w:marTop w:val="0"/>
          <w:marBottom w:val="0"/>
          <w:divBdr>
            <w:top w:val="none" w:sz="0" w:space="0" w:color="auto"/>
            <w:left w:val="none" w:sz="0" w:space="0" w:color="auto"/>
            <w:bottom w:val="none" w:sz="0" w:space="0" w:color="auto"/>
            <w:right w:val="none" w:sz="0" w:space="0" w:color="auto"/>
          </w:divBdr>
        </w:div>
        <w:div w:id="556284249">
          <w:marLeft w:val="0"/>
          <w:marRight w:val="0"/>
          <w:marTop w:val="0"/>
          <w:marBottom w:val="0"/>
          <w:divBdr>
            <w:top w:val="none" w:sz="0" w:space="0" w:color="auto"/>
            <w:left w:val="none" w:sz="0" w:space="0" w:color="auto"/>
            <w:bottom w:val="none" w:sz="0" w:space="0" w:color="auto"/>
            <w:right w:val="none" w:sz="0" w:space="0" w:color="auto"/>
          </w:divBdr>
        </w:div>
        <w:div w:id="1952129837">
          <w:marLeft w:val="0"/>
          <w:marRight w:val="0"/>
          <w:marTop w:val="0"/>
          <w:marBottom w:val="0"/>
          <w:divBdr>
            <w:top w:val="none" w:sz="0" w:space="0" w:color="auto"/>
            <w:left w:val="none" w:sz="0" w:space="0" w:color="auto"/>
            <w:bottom w:val="none" w:sz="0" w:space="0" w:color="auto"/>
            <w:right w:val="none" w:sz="0" w:space="0" w:color="auto"/>
          </w:divBdr>
          <w:divsChild>
            <w:div w:id="332614270">
              <w:marLeft w:val="0"/>
              <w:marRight w:val="0"/>
              <w:marTop w:val="0"/>
              <w:marBottom w:val="0"/>
              <w:divBdr>
                <w:top w:val="none" w:sz="0" w:space="0" w:color="auto"/>
                <w:left w:val="none" w:sz="0" w:space="0" w:color="auto"/>
                <w:bottom w:val="none" w:sz="0" w:space="0" w:color="auto"/>
                <w:right w:val="none" w:sz="0" w:space="0" w:color="auto"/>
              </w:divBdr>
            </w:div>
          </w:divsChild>
        </w:div>
        <w:div w:id="2019886897">
          <w:marLeft w:val="0"/>
          <w:marRight w:val="0"/>
          <w:marTop w:val="0"/>
          <w:marBottom w:val="0"/>
          <w:divBdr>
            <w:top w:val="none" w:sz="0" w:space="0" w:color="auto"/>
            <w:left w:val="none" w:sz="0" w:space="0" w:color="auto"/>
            <w:bottom w:val="none" w:sz="0" w:space="0" w:color="auto"/>
            <w:right w:val="none" w:sz="0" w:space="0" w:color="auto"/>
          </w:divBdr>
        </w:div>
        <w:div w:id="1872840759">
          <w:marLeft w:val="0"/>
          <w:marRight w:val="0"/>
          <w:marTop w:val="0"/>
          <w:marBottom w:val="0"/>
          <w:divBdr>
            <w:top w:val="none" w:sz="0" w:space="0" w:color="auto"/>
            <w:left w:val="none" w:sz="0" w:space="0" w:color="auto"/>
            <w:bottom w:val="none" w:sz="0" w:space="0" w:color="auto"/>
            <w:right w:val="none" w:sz="0" w:space="0" w:color="auto"/>
          </w:divBdr>
        </w:div>
        <w:div w:id="773867927">
          <w:marLeft w:val="0"/>
          <w:marRight w:val="0"/>
          <w:marTop w:val="0"/>
          <w:marBottom w:val="0"/>
          <w:divBdr>
            <w:top w:val="none" w:sz="0" w:space="0" w:color="auto"/>
            <w:left w:val="none" w:sz="0" w:space="0" w:color="auto"/>
            <w:bottom w:val="none" w:sz="0" w:space="0" w:color="auto"/>
            <w:right w:val="none" w:sz="0" w:space="0" w:color="auto"/>
          </w:divBdr>
          <w:divsChild>
            <w:div w:id="2079090426">
              <w:marLeft w:val="0"/>
              <w:marRight w:val="0"/>
              <w:marTop w:val="0"/>
              <w:marBottom w:val="0"/>
              <w:divBdr>
                <w:top w:val="none" w:sz="0" w:space="0" w:color="auto"/>
                <w:left w:val="none" w:sz="0" w:space="0" w:color="auto"/>
                <w:bottom w:val="none" w:sz="0" w:space="0" w:color="auto"/>
                <w:right w:val="none" w:sz="0" w:space="0" w:color="auto"/>
              </w:divBdr>
            </w:div>
          </w:divsChild>
        </w:div>
        <w:div w:id="1047223788">
          <w:marLeft w:val="0"/>
          <w:marRight w:val="0"/>
          <w:marTop w:val="0"/>
          <w:marBottom w:val="0"/>
          <w:divBdr>
            <w:top w:val="none" w:sz="0" w:space="0" w:color="auto"/>
            <w:left w:val="none" w:sz="0" w:space="0" w:color="auto"/>
            <w:bottom w:val="none" w:sz="0" w:space="0" w:color="auto"/>
            <w:right w:val="none" w:sz="0" w:space="0" w:color="auto"/>
          </w:divBdr>
        </w:div>
        <w:div w:id="1092316379">
          <w:marLeft w:val="0"/>
          <w:marRight w:val="0"/>
          <w:marTop w:val="0"/>
          <w:marBottom w:val="0"/>
          <w:divBdr>
            <w:top w:val="none" w:sz="0" w:space="0" w:color="auto"/>
            <w:left w:val="none" w:sz="0" w:space="0" w:color="auto"/>
            <w:bottom w:val="none" w:sz="0" w:space="0" w:color="auto"/>
            <w:right w:val="none" w:sz="0" w:space="0" w:color="auto"/>
          </w:divBdr>
        </w:div>
        <w:div w:id="1415280179">
          <w:marLeft w:val="0"/>
          <w:marRight w:val="0"/>
          <w:marTop w:val="0"/>
          <w:marBottom w:val="0"/>
          <w:divBdr>
            <w:top w:val="none" w:sz="0" w:space="0" w:color="auto"/>
            <w:left w:val="none" w:sz="0" w:space="0" w:color="auto"/>
            <w:bottom w:val="none" w:sz="0" w:space="0" w:color="auto"/>
            <w:right w:val="none" w:sz="0" w:space="0" w:color="auto"/>
          </w:divBdr>
          <w:divsChild>
            <w:div w:id="740252013">
              <w:marLeft w:val="0"/>
              <w:marRight w:val="0"/>
              <w:marTop w:val="0"/>
              <w:marBottom w:val="0"/>
              <w:divBdr>
                <w:top w:val="none" w:sz="0" w:space="0" w:color="auto"/>
                <w:left w:val="none" w:sz="0" w:space="0" w:color="auto"/>
                <w:bottom w:val="none" w:sz="0" w:space="0" w:color="auto"/>
                <w:right w:val="none" w:sz="0" w:space="0" w:color="auto"/>
              </w:divBdr>
            </w:div>
          </w:divsChild>
        </w:div>
        <w:div w:id="992952473">
          <w:marLeft w:val="0"/>
          <w:marRight w:val="0"/>
          <w:marTop w:val="0"/>
          <w:marBottom w:val="0"/>
          <w:divBdr>
            <w:top w:val="none" w:sz="0" w:space="0" w:color="auto"/>
            <w:left w:val="none" w:sz="0" w:space="0" w:color="auto"/>
            <w:bottom w:val="none" w:sz="0" w:space="0" w:color="auto"/>
            <w:right w:val="none" w:sz="0" w:space="0" w:color="auto"/>
          </w:divBdr>
        </w:div>
        <w:div w:id="1195456933">
          <w:marLeft w:val="0"/>
          <w:marRight w:val="0"/>
          <w:marTop w:val="0"/>
          <w:marBottom w:val="0"/>
          <w:divBdr>
            <w:top w:val="none" w:sz="0" w:space="0" w:color="auto"/>
            <w:left w:val="none" w:sz="0" w:space="0" w:color="auto"/>
            <w:bottom w:val="none" w:sz="0" w:space="0" w:color="auto"/>
            <w:right w:val="none" w:sz="0" w:space="0" w:color="auto"/>
          </w:divBdr>
        </w:div>
        <w:div w:id="981927158">
          <w:marLeft w:val="0"/>
          <w:marRight w:val="0"/>
          <w:marTop w:val="0"/>
          <w:marBottom w:val="0"/>
          <w:divBdr>
            <w:top w:val="none" w:sz="0" w:space="0" w:color="auto"/>
            <w:left w:val="none" w:sz="0" w:space="0" w:color="auto"/>
            <w:bottom w:val="none" w:sz="0" w:space="0" w:color="auto"/>
            <w:right w:val="none" w:sz="0" w:space="0" w:color="auto"/>
          </w:divBdr>
          <w:divsChild>
            <w:div w:id="183907099">
              <w:marLeft w:val="0"/>
              <w:marRight w:val="0"/>
              <w:marTop w:val="0"/>
              <w:marBottom w:val="0"/>
              <w:divBdr>
                <w:top w:val="none" w:sz="0" w:space="0" w:color="auto"/>
                <w:left w:val="none" w:sz="0" w:space="0" w:color="auto"/>
                <w:bottom w:val="none" w:sz="0" w:space="0" w:color="auto"/>
                <w:right w:val="none" w:sz="0" w:space="0" w:color="auto"/>
              </w:divBdr>
            </w:div>
          </w:divsChild>
        </w:div>
        <w:div w:id="1520506398">
          <w:marLeft w:val="0"/>
          <w:marRight w:val="0"/>
          <w:marTop w:val="0"/>
          <w:marBottom w:val="0"/>
          <w:divBdr>
            <w:top w:val="none" w:sz="0" w:space="0" w:color="auto"/>
            <w:left w:val="none" w:sz="0" w:space="0" w:color="auto"/>
            <w:bottom w:val="none" w:sz="0" w:space="0" w:color="auto"/>
            <w:right w:val="none" w:sz="0" w:space="0" w:color="auto"/>
          </w:divBdr>
        </w:div>
        <w:div w:id="2127655043">
          <w:marLeft w:val="0"/>
          <w:marRight w:val="0"/>
          <w:marTop w:val="0"/>
          <w:marBottom w:val="0"/>
          <w:divBdr>
            <w:top w:val="none" w:sz="0" w:space="0" w:color="auto"/>
            <w:left w:val="none" w:sz="0" w:space="0" w:color="auto"/>
            <w:bottom w:val="none" w:sz="0" w:space="0" w:color="auto"/>
            <w:right w:val="none" w:sz="0" w:space="0" w:color="auto"/>
          </w:divBdr>
        </w:div>
        <w:div w:id="1624574275">
          <w:marLeft w:val="0"/>
          <w:marRight w:val="0"/>
          <w:marTop w:val="0"/>
          <w:marBottom w:val="0"/>
          <w:divBdr>
            <w:top w:val="none" w:sz="0" w:space="0" w:color="auto"/>
            <w:left w:val="none" w:sz="0" w:space="0" w:color="auto"/>
            <w:bottom w:val="none" w:sz="0" w:space="0" w:color="auto"/>
            <w:right w:val="none" w:sz="0" w:space="0" w:color="auto"/>
          </w:divBdr>
          <w:divsChild>
            <w:div w:id="1837571547">
              <w:marLeft w:val="0"/>
              <w:marRight w:val="0"/>
              <w:marTop w:val="0"/>
              <w:marBottom w:val="0"/>
              <w:divBdr>
                <w:top w:val="none" w:sz="0" w:space="0" w:color="auto"/>
                <w:left w:val="none" w:sz="0" w:space="0" w:color="auto"/>
                <w:bottom w:val="none" w:sz="0" w:space="0" w:color="auto"/>
                <w:right w:val="none" w:sz="0" w:space="0" w:color="auto"/>
              </w:divBdr>
            </w:div>
          </w:divsChild>
        </w:div>
        <w:div w:id="1376125009">
          <w:marLeft w:val="0"/>
          <w:marRight w:val="0"/>
          <w:marTop w:val="0"/>
          <w:marBottom w:val="0"/>
          <w:divBdr>
            <w:top w:val="none" w:sz="0" w:space="0" w:color="auto"/>
            <w:left w:val="none" w:sz="0" w:space="0" w:color="auto"/>
            <w:bottom w:val="none" w:sz="0" w:space="0" w:color="auto"/>
            <w:right w:val="none" w:sz="0" w:space="0" w:color="auto"/>
          </w:divBdr>
        </w:div>
        <w:div w:id="715659170">
          <w:marLeft w:val="0"/>
          <w:marRight w:val="0"/>
          <w:marTop w:val="0"/>
          <w:marBottom w:val="0"/>
          <w:divBdr>
            <w:top w:val="none" w:sz="0" w:space="0" w:color="auto"/>
            <w:left w:val="none" w:sz="0" w:space="0" w:color="auto"/>
            <w:bottom w:val="none" w:sz="0" w:space="0" w:color="auto"/>
            <w:right w:val="none" w:sz="0" w:space="0" w:color="auto"/>
          </w:divBdr>
        </w:div>
        <w:div w:id="1037000415">
          <w:marLeft w:val="0"/>
          <w:marRight w:val="0"/>
          <w:marTop w:val="0"/>
          <w:marBottom w:val="0"/>
          <w:divBdr>
            <w:top w:val="none" w:sz="0" w:space="0" w:color="auto"/>
            <w:left w:val="none" w:sz="0" w:space="0" w:color="auto"/>
            <w:bottom w:val="none" w:sz="0" w:space="0" w:color="auto"/>
            <w:right w:val="none" w:sz="0" w:space="0" w:color="auto"/>
          </w:divBdr>
          <w:divsChild>
            <w:div w:id="991760020">
              <w:marLeft w:val="0"/>
              <w:marRight w:val="0"/>
              <w:marTop w:val="0"/>
              <w:marBottom w:val="0"/>
              <w:divBdr>
                <w:top w:val="none" w:sz="0" w:space="0" w:color="auto"/>
                <w:left w:val="none" w:sz="0" w:space="0" w:color="auto"/>
                <w:bottom w:val="none" w:sz="0" w:space="0" w:color="auto"/>
                <w:right w:val="none" w:sz="0" w:space="0" w:color="auto"/>
              </w:divBdr>
            </w:div>
          </w:divsChild>
        </w:div>
        <w:div w:id="771777758">
          <w:marLeft w:val="0"/>
          <w:marRight w:val="0"/>
          <w:marTop w:val="0"/>
          <w:marBottom w:val="0"/>
          <w:divBdr>
            <w:top w:val="none" w:sz="0" w:space="0" w:color="auto"/>
            <w:left w:val="none" w:sz="0" w:space="0" w:color="auto"/>
            <w:bottom w:val="none" w:sz="0" w:space="0" w:color="auto"/>
            <w:right w:val="none" w:sz="0" w:space="0" w:color="auto"/>
          </w:divBdr>
        </w:div>
        <w:div w:id="949505821">
          <w:marLeft w:val="0"/>
          <w:marRight w:val="0"/>
          <w:marTop w:val="0"/>
          <w:marBottom w:val="0"/>
          <w:divBdr>
            <w:top w:val="none" w:sz="0" w:space="0" w:color="auto"/>
            <w:left w:val="none" w:sz="0" w:space="0" w:color="auto"/>
            <w:bottom w:val="none" w:sz="0" w:space="0" w:color="auto"/>
            <w:right w:val="none" w:sz="0" w:space="0" w:color="auto"/>
          </w:divBdr>
        </w:div>
        <w:div w:id="1768430496">
          <w:marLeft w:val="0"/>
          <w:marRight w:val="0"/>
          <w:marTop w:val="0"/>
          <w:marBottom w:val="0"/>
          <w:divBdr>
            <w:top w:val="none" w:sz="0" w:space="0" w:color="auto"/>
            <w:left w:val="none" w:sz="0" w:space="0" w:color="auto"/>
            <w:bottom w:val="none" w:sz="0" w:space="0" w:color="auto"/>
            <w:right w:val="none" w:sz="0" w:space="0" w:color="auto"/>
          </w:divBdr>
          <w:divsChild>
            <w:div w:id="810100561">
              <w:marLeft w:val="0"/>
              <w:marRight w:val="0"/>
              <w:marTop w:val="0"/>
              <w:marBottom w:val="0"/>
              <w:divBdr>
                <w:top w:val="none" w:sz="0" w:space="0" w:color="auto"/>
                <w:left w:val="none" w:sz="0" w:space="0" w:color="auto"/>
                <w:bottom w:val="none" w:sz="0" w:space="0" w:color="auto"/>
                <w:right w:val="none" w:sz="0" w:space="0" w:color="auto"/>
              </w:divBdr>
            </w:div>
          </w:divsChild>
        </w:div>
        <w:div w:id="1224216036">
          <w:marLeft w:val="0"/>
          <w:marRight w:val="0"/>
          <w:marTop w:val="0"/>
          <w:marBottom w:val="0"/>
          <w:divBdr>
            <w:top w:val="none" w:sz="0" w:space="0" w:color="auto"/>
            <w:left w:val="none" w:sz="0" w:space="0" w:color="auto"/>
            <w:bottom w:val="none" w:sz="0" w:space="0" w:color="auto"/>
            <w:right w:val="none" w:sz="0" w:space="0" w:color="auto"/>
          </w:divBdr>
        </w:div>
        <w:div w:id="1611890263">
          <w:marLeft w:val="0"/>
          <w:marRight w:val="0"/>
          <w:marTop w:val="0"/>
          <w:marBottom w:val="0"/>
          <w:divBdr>
            <w:top w:val="none" w:sz="0" w:space="0" w:color="auto"/>
            <w:left w:val="none" w:sz="0" w:space="0" w:color="auto"/>
            <w:bottom w:val="none" w:sz="0" w:space="0" w:color="auto"/>
            <w:right w:val="none" w:sz="0" w:space="0" w:color="auto"/>
          </w:divBdr>
        </w:div>
        <w:div w:id="600063076">
          <w:marLeft w:val="0"/>
          <w:marRight w:val="0"/>
          <w:marTop w:val="0"/>
          <w:marBottom w:val="0"/>
          <w:divBdr>
            <w:top w:val="none" w:sz="0" w:space="0" w:color="auto"/>
            <w:left w:val="none" w:sz="0" w:space="0" w:color="auto"/>
            <w:bottom w:val="none" w:sz="0" w:space="0" w:color="auto"/>
            <w:right w:val="none" w:sz="0" w:space="0" w:color="auto"/>
          </w:divBdr>
          <w:divsChild>
            <w:div w:id="1889028536">
              <w:marLeft w:val="0"/>
              <w:marRight w:val="0"/>
              <w:marTop w:val="0"/>
              <w:marBottom w:val="0"/>
              <w:divBdr>
                <w:top w:val="none" w:sz="0" w:space="0" w:color="auto"/>
                <w:left w:val="none" w:sz="0" w:space="0" w:color="auto"/>
                <w:bottom w:val="none" w:sz="0" w:space="0" w:color="auto"/>
                <w:right w:val="none" w:sz="0" w:space="0" w:color="auto"/>
              </w:divBdr>
            </w:div>
          </w:divsChild>
        </w:div>
        <w:div w:id="1597521982">
          <w:marLeft w:val="0"/>
          <w:marRight w:val="0"/>
          <w:marTop w:val="0"/>
          <w:marBottom w:val="0"/>
          <w:divBdr>
            <w:top w:val="none" w:sz="0" w:space="0" w:color="auto"/>
            <w:left w:val="none" w:sz="0" w:space="0" w:color="auto"/>
            <w:bottom w:val="none" w:sz="0" w:space="0" w:color="auto"/>
            <w:right w:val="none" w:sz="0" w:space="0" w:color="auto"/>
          </w:divBdr>
        </w:div>
        <w:div w:id="479347530">
          <w:marLeft w:val="0"/>
          <w:marRight w:val="0"/>
          <w:marTop w:val="0"/>
          <w:marBottom w:val="0"/>
          <w:divBdr>
            <w:top w:val="none" w:sz="0" w:space="0" w:color="auto"/>
            <w:left w:val="none" w:sz="0" w:space="0" w:color="auto"/>
            <w:bottom w:val="none" w:sz="0" w:space="0" w:color="auto"/>
            <w:right w:val="none" w:sz="0" w:space="0" w:color="auto"/>
          </w:divBdr>
        </w:div>
        <w:div w:id="1260480559">
          <w:marLeft w:val="0"/>
          <w:marRight w:val="0"/>
          <w:marTop w:val="0"/>
          <w:marBottom w:val="0"/>
          <w:divBdr>
            <w:top w:val="none" w:sz="0" w:space="0" w:color="auto"/>
            <w:left w:val="none" w:sz="0" w:space="0" w:color="auto"/>
            <w:bottom w:val="none" w:sz="0" w:space="0" w:color="auto"/>
            <w:right w:val="none" w:sz="0" w:space="0" w:color="auto"/>
          </w:divBdr>
          <w:divsChild>
            <w:div w:id="348265406">
              <w:marLeft w:val="0"/>
              <w:marRight w:val="0"/>
              <w:marTop w:val="0"/>
              <w:marBottom w:val="0"/>
              <w:divBdr>
                <w:top w:val="none" w:sz="0" w:space="0" w:color="auto"/>
                <w:left w:val="none" w:sz="0" w:space="0" w:color="auto"/>
                <w:bottom w:val="none" w:sz="0" w:space="0" w:color="auto"/>
                <w:right w:val="none" w:sz="0" w:space="0" w:color="auto"/>
              </w:divBdr>
            </w:div>
          </w:divsChild>
        </w:div>
        <w:div w:id="149249367">
          <w:marLeft w:val="0"/>
          <w:marRight w:val="0"/>
          <w:marTop w:val="0"/>
          <w:marBottom w:val="0"/>
          <w:divBdr>
            <w:top w:val="none" w:sz="0" w:space="0" w:color="auto"/>
            <w:left w:val="none" w:sz="0" w:space="0" w:color="auto"/>
            <w:bottom w:val="none" w:sz="0" w:space="0" w:color="auto"/>
            <w:right w:val="none" w:sz="0" w:space="0" w:color="auto"/>
          </w:divBdr>
        </w:div>
        <w:div w:id="147601559">
          <w:marLeft w:val="0"/>
          <w:marRight w:val="0"/>
          <w:marTop w:val="0"/>
          <w:marBottom w:val="0"/>
          <w:divBdr>
            <w:top w:val="none" w:sz="0" w:space="0" w:color="auto"/>
            <w:left w:val="none" w:sz="0" w:space="0" w:color="auto"/>
            <w:bottom w:val="none" w:sz="0" w:space="0" w:color="auto"/>
            <w:right w:val="none" w:sz="0" w:space="0" w:color="auto"/>
          </w:divBdr>
        </w:div>
        <w:div w:id="170730484">
          <w:marLeft w:val="0"/>
          <w:marRight w:val="0"/>
          <w:marTop w:val="0"/>
          <w:marBottom w:val="0"/>
          <w:divBdr>
            <w:top w:val="none" w:sz="0" w:space="0" w:color="auto"/>
            <w:left w:val="none" w:sz="0" w:space="0" w:color="auto"/>
            <w:bottom w:val="none" w:sz="0" w:space="0" w:color="auto"/>
            <w:right w:val="none" w:sz="0" w:space="0" w:color="auto"/>
          </w:divBdr>
          <w:divsChild>
            <w:div w:id="529220429">
              <w:marLeft w:val="0"/>
              <w:marRight w:val="0"/>
              <w:marTop w:val="0"/>
              <w:marBottom w:val="0"/>
              <w:divBdr>
                <w:top w:val="none" w:sz="0" w:space="0" w:color="auto"/>
                <w:left w:val="none" w:sz="0" w:space="0" w:color="auto"/>
                <w:bottom w:val="none" w:sz="0" w:space="0" w:color="auto"/>
                <w:right w:val="none" w:sz="0" w:space="0" w:color="auto"/>
              </w:divBdr>
            </w:div>
          </w:divsChild>
        </w:div>
        <w:div w:id="1338651215">
          <w:marLeft w:val="0"/>
          <w:marRight w:val="0"/>
          <w:marTop w:val="0"/>
          <w:marBottom w:val="0"/>
          <w:divBdr>
            <w:top w:val="none" w:sz="0" w:space="0" w:color="auto"/>
            <w:left w:val="none" w:sz="0" w:space="0" w:color="auto"/>
            <w:bottom w:val="none" w:sz="0" w:space="0" w:color="auto"/>
            <w:right w:val="none" w:sz="0" w:space="0" w:color="auto"/>
          </w:divBdr>
        </w:div>
        <w:div w:id="507447625">
          <w:marLeft w:val="0"/>
          <w:marRight w:val="0"/>
          <w:marTop w:val="0"/>
          <w:marBottom w:val="0"/>
          <w:divBdr>
            <w:top w:val="none" w:sz="0" w:space="0" w:color="auto"/>
            <w:left w:val="none" w:sz="0" w:space="0" w:color="auto"/>
            <w:bottom w:val="none" w:sz="0" w:space="0" w:color="auto"/>
            <w:right w:val="none" w:sz="0" w:space="0" w:color="auto"/>
          </w:divBdr>
        </w:div>
        <w:div w:id="1486317485">
          <w:marLeft w:val="0"/>
          <w:marRight w:val="0"/>
          <w:marTop w:val="0"/>
          <w:marBottom w:val="0"/>
          <w:divBdr>
            <w:top w:val="none" w:sz="0" w:space="0" w:color="auto"/>
            <w:left w:val="none" w:sz="0" w:space="0" w:color="auto"/>
            <w:bottom w:val="none" w:sz="0" w:space="0" w:color="auto"/>
            <w:right w:val="none" w:sz="0" w:space="0" w:color="auto"/>
          </w:divBdr>
          <w:divsChild>
            <w:div w:id="805662330">
              <w:marLeft w:val="0"/>
              <w:marRight w:val="0"/>
              <w:marTop w:val="0"/>
              <w:marBottom w:val="0"/>
              <w:divBdr>
                <w:top w:val="none" w:sz="0" w:space="0" w:color="auto"/>
                <w:left w:val="none" w:sz="0" w:space="0" w:color="auto"/>
                <w:bottom w:val="none" w:sz="0" w:space="0" w:color="auto"/>
                <w:right w:val="none" w:sz="0" w:space="0" w:color="auto"/>
              </w:divBdr>
            </w:div>
          </w:divsChild>
        </w:div>
        <w:div w:id="91052824">
          <w:marLeft w:val="0"/>
          <w:marRight w:val="0"/>
          <w:marTop w:val="0"/>
          <w:marBottom w:val="0"/>
          <w:divBdr>
            <w:top w:val="none" w:sz="0" w:space="0" w:color="auto"/>
            <w:left w:val="none" w:sz="0" w:space="0" w:color="auto"/>
            <w:bottom w:val="none" w:sz="0" w:space="0" w:color="auto"/>
            <w:right w:val="none" w:sz="0" w:space="0" w:color="auto"/>
          </w:divBdr>
        </w:div>
        <w:div w:id="1247113014">
          <w:marLeft w:val="0"/>
          <w:marRight w:val="0"/>
          <w:marTop w:val="0"/>
          <w:marBottom w:val="0"/>
          <w:divBdr>
            <w:top w:val="none" w:sz="0" w:space="0" w:color="auto"/>
            <w:left w:val="none" w:sz="0" w:space="0" w:color="auto"/>
            <w:bottom w:val="none" w:sz="0" w:space="0" w:color="auto"/>
            <w:right w:val="none" w:sz="0" w:space="0" w:color="auto"/>
          </w:divBdr>
        </w:div>
        <w:div w:id="539129153">
          <w:marLeft w:val="0"/>
          <w:marRight w:val="0"/>
          <w:marTop w:val="0"/>
          <w:marBottom w:val="0"/>
          <w:divBdr>
            <w:top w:val="none" w:sz="0" w:space="0" w:color="auto"/>
            <w:left w:val="none" w:sz="0" w:space="0" w:color="auto"/>
            <w:bottom w:val="none" w:sz="0" w:space="0" w:color="auto"/>
            <w:right w:val="none" w:sz="0" w:space="0" w:color="auto"/>
          </w:divBdr>
          <w:divsChild>
            <w:div w:id="457845183">
              <w:marLeft w:val="0"/>
              <w:marRight w:val="0"/>
              <w:marTop w:val="0"/>
              <w:marBottom w:val="0"/>
              <w:divBdr>
                <w:top w:val="none" w:sz="0" w:space="0" w:color="auto"/>
                <w:left w:val="none" w:sz="0" w:space="0" w:color="auto"/>
                <w:bottom w:val="none" w:sz="0" w:space="0" w:color="auto"/>
                <w:right w:val="none" w:sz="0" w:space="0" w:color="auto"/>
              </w:divBdr>
            </w:div>
          </w:divsChild>
        </w:div>
        <w:div w:id="1496340359">
          <w:marLeft w:val="0"/>
          <w:marRight w:val="0"/>
          <w:marTop w:val="0"/>
          <w:marBottom w:val="0"/>
          <w:divBdr>
            <w:top w:val="none" w:sz="0" w:space="0" w:color="auto"/>
            <w:left w:val="none" w:sz="0" w:space="0" w:color="auto"/>
            <w:bottom w:val="none" w:sz="0" w:space="0" w:color="auto"/>
            <w:right w:val="none" w:sz="0" w:space="0" w:color="auto"/>
          </w:divBdr>
        </w:div>
        <w:div w:id="154103638">
          <w:marLeft w:val="0"/>
          <w:marRight w:val="0"/>
          <w:marTop w:val="0"/>
          <w:marBottom w:val="0"/>
          <w:divBdr>
            <w:top w:val="none" w:sz="0" w:space="0" w:color="auto"/>
            <w:left w:val="none" w:sz="0" w:space="0" w:color="auto"/>
            <w:bottom w:val="none" w:sz="0" w:space="0" w:color="auto"/>
            <w:right w:val="none" w:sz="0" w:space="0" w:color="auto"/>
          </w:divBdr>
        </w:div>
        <w:div w:id="1323435856">
          <w:marLeft w:val="0"/>
          <w:marRight w:val="0"/>
          <w:marTop w:val="0"/>
          <w:marBottom w:val="0"/>
          <w:divBdr>
            <w:top w:val="none" w:sz="0" w:space="0" w:color="auto"/>
            <w:left w:val="none" w:sz="0" w:space="0" w:color="auto"/>
            <w:bottom w:val="none" w:sz="0" w:space="0" w:color="auto"/>
            <w:right w:val="none" w:sz="0" w:space="0" w:color="auto"/>
          </w:divBdr>
          <w:divsChild>
            <w:div w:id="1901359200">
              <w:marLeft w:val="0"/>
              <w:marRight w:val="0"/>
              <w:marTop w:val="0"/>
              <w:marBottom w:val="0"/>
              <w:divBdr>
                <w:top w:val="none" w:sz="0" w:space="0" w:color="auto"/>
                <w:left w:val="none" w:sz="0" w:space="0" w:color="auto"/>
                <w:bottom w:val="none" w:sz="0" w:space="0" w:color="auto"/>
                <w:right w:val="none" w:sz="0" w:space="0" w:color="auto"/>
              </w:divBdr>
            </w:div>
          </w:divsChild>
        </w:div>
        <w:div w:id="501551256">
          <w:marLeft w:val="0"/>
          <w:marRight w:val="0"/>
          <w:marTop w:val="0"/>
          <w:marBottom w:val="0"/>
          <w:divBdr>
            <w:top w:val="none" w:sz="0" w:space="0" w:color="auto"/>
            <w:left w:val="none" w:sz="0" w:space="0" w:color="auto"/>
            <w:bottom w:val="none" w:sz="0" w:space="0" w:color="auto"/>
            <w:right w:val="none" w:sz="0" w:space="0" w:color="auto"/>
          </w:divBdr>
        </w:div>
        <w:div w:id="481117139">
          <w:marLeft w:val="0"/>
          <w:marRight w:val="0"/>
          <w:marTop w:val="0"/>
          <w:marBottom w:val="0"/>
          <w:divBdr>
            <w:top w:val="none" w:sz="0" w:space="0" w:color="auto"/>
            <w:left w:val="none" w:sz="0" w:space="0" w:color="auto"/>
            <w:bottom w:val="none" w:sz="0" w:space="0" w:color="auto"/>
            <w:right w:val="none" w:sz="0" w:space="0" w:color="auto"/>
          </w:divBdr>
        </w:div>
        <w:div w:id="400063112">
          <w:marLeft w:val="0"/>
          <w:marRight w:val="0"/>
          <w:marTop w:val="0"/>
          <w:marBottom w:val="0"/>
          <w:divBdr>
            <w:top w:val="none" w:sz="0" w:space="0" w:color="auto"/>
            <w:left w:val="none" w:sz="0" w:space="0" w:color="auto"/>
            <w:bottom w:val="none" w:sz="0" w:space="0" w:color="auto"/>
            <w:right w:val="none" w:sz="0" w:space="0" w:color="auto"/>
          </w:divBdr>
          <w:divsChild>
            <w:div w:id="327485314">
              <w:marLeft w:val="0"/>
              <w:marRight w:val="0"/>
              <w:marTop w:val="0"/>
              <w:marBottom w:val="0"/>
              <w:divBdr>
                <w:top w:val="none" w:sz="0" w:space="0" w:color="auto"/>
                <w:left w:val="none" w:sz="0" w:space="0" w:color="auto"/>
                <w:bottom w:val="none" w:sz="0" w:space="0" w:color="auto"/>
                <w:right w:val="none" w:sz="0" w:space="0" w:color="auto"/>
              </w:divBdr>
            </w:div>
          </w:divsChild>
        </w:div>
        <w:div w:id="1674262284">
          <w:marLeft w:val="0"/>
          <w:marRight w:val="0"/>
          <w:marTop w:val="0"/>
          <w:marBottom w:val="0"/>
          <w:divBdr>
            <w:top w:val="none" w:sz="0" w:space="0" w:color="auto"/>
            <w:left w:val="none" w:sz="0" w:space="0" w:color="auto"/>
            <w:bottom w:val="none" w:sz="0" w:space="0" w:color="auto"/>
            <w:right w:val="none" w:sz="0" w:space="0" w:color="auto"/>
          </w:divBdr>
        </w:div>
        <w:div w:id="1507087411">
          <w:marLeft w:val="0"/>
          <w:marRight w:val="0"/>
          <w:marTop w:val="0"/>
          <w:marBottom w:val="0"/>
          <w:divBdr>
            <w:top w:val="none" w:sz="0" w:space="0" w:color="auto"/>
            <w:left w:val="none" w:sz="0" w:space="0" w:color="auto"/>
            <w:bottom w:val="none" w:sz="0" w:space="0" w:color="auto"/>
            <w:right w:val="none" w:sz="0" w:space="0" w:color="auto"/>
          </w:divBdr>
        </w:div>
        <w:div w:id="2130275192">
          <w:marLeft w:val="0"/>
          <w:marRight w:val="0"/>
          <w:marTop w:val="0"/>
          <w:marBottom w:val="0"/>
          <w:divBdr>
            <w:top w:val="none" w:sz="0" w:space="0" w:color="auto"/>
            <w:left w:val="none" w:sz="0" w:space="0" w:color="auto"/>
            <w:bottom w:val="none" w:sz="0" w:space="0" w:color="auto"/>
            <w:right w:val="none" w:sz="0" w:space="0" w:color="auto"/>
          </w:divBdr>
          <w:divsChild>
            <w:div w:id="1036471711">
              <w:marLeft w:val="0"/>
              <w:marRight w:val="0"/>
              <w:marTop w:val="0"/>
              <w:marBottom w:val="0"/>
              <w:divBdr>
                <w:top w:val="none" w:sz="0" w:space="0" w:color="auto"/>
                <w:left w:val="none" w:sz="0" w:space="0" w:color="auto"/>
                <w:bottom w:val="none" w:sz="0" w:space="0" w:color="auto"/>
                <w:right w:val="none" w:sz="0" w:space="0" w:color="auto"/>
              </w:divBdr>
            </w:div>
          </w:divsChild>
        </w:div>
        <w:div w:id="279261606">
          <w:marLeft w:val="0"/>
          <w:marRight w:val="0"/>
          <w:marTop w:val="0"/>
          <w:marBottom w:val="0"/>
          <w:divBdr>
            <w:top w:val="none" w:sz="0" w:space="0" w:color="auto"/>
            <w:left w:val="none" w:sz="0" w:space="0" w:color="auto"/>
            <w:bottom w:val="none" w:sz="0" w:space="0" w:color="auto"/>
            <w:right w:val="none" w:sz="0" w:space="0" w:color="auto"/>
          </w:divBdr>
        </w:div>
        <w:div w:id="1029916011">
          <w:marLeft w:val="0"/>
          <w:marRight w:val="0"/>
          <w:marTop w:val="0"/>
          <w:marBottom w:val="0"/>
          <w:divBdr>
            <w:top w:val="none" w:sz="0" w:space="0" w:color="auto"/>
            <w:left w:val="none" w:sz="0" w:space="0" w:color="auto"/>
            <w:bottom w:val="none" w:sz="0" w:space="0" w:color="auto"/>
            <w:right w:val="none" w:sz="0" w:space="0" w:color="auto"/>
          </w:divBdr>
        </w:div>
        <w:div w:id="1135102594">
          <w:marLeft w:val="0"/>
          <w:marRight w:val="0"/>
          <w:marTop w:val="0"/>
          <w:marBottom w:val="0"/>
          <w:divBdr>
            <w:top w:val="none" w:sz="0" w:space="0" w:color="auto"/>
            <w:left w:val="none" w:sz="0" w:space="0" w:color="auto"/>
            <w:bottom w:val="none" w:sz="0" w:space="0" w:color="auto"/>
            <w:right w:val="none" w:sz="0" w:space="0" w:color="auto"/>
          </w:divBdr>
          <w:divsChild>
            <w:div w:id="971519261">
              <w:marLeft w:val="0"/>
              <w:marRight w:val="0"/>
              <w:marTop w:val="0"/>
              <w:marBottom w:val="0"/>
              <w:divBdr>
                <w:top w:val="none" w:sz="0" w:space="0" w:color="auto"/>
                <w:left w:val="none" w:sz="0" w:space="0" w:color="auto"/>
                <w:bottom w:val="none" w:sz="0" w:space="0" w:color="auto"/>
                <w:right w:val="none" w:sz="0" w:space="0" w:color="auto"/>
              </w:divBdr>
            </w:div>
          </w:divsChild>
        </w:div>
        <w:div w:id="2110588994">
          <w:marLeft w:val="0"/>
          <w:marRight w:val="0"/>
          <w:marTop w:val="0"/>
          <w:marBottom w:val="0"/>
          <w:divBdr>
            <w:top w:val="none" w:sz="0" w:space="0" w:color="auto"/>
            <w:left w:val="none" w:sz="0" w:space="0" w:color="auto"/>
            <w:bottom w:val="none" w:sz="0" w:space="0" w:color="auto"/>
            <w:right w:val="none" w:sz="0" w:space="0" w:color="auto"/>
          </w:divBdr>
        </w:div>
        <w:div w:id="1582451309">
          <w:marLeft w:val="0"/>
          <w:marRight w:val="0"/>
          <w:marTop w:val="0"/>
          <w:marBottom w:val="0"/>
          <w:divBdr>
            <w:top w:val="none" w:sz="0" w:space="0" w:color="auto"/>
            <w:left w:val="none" w:sz="0" w:space="0" w:color="auto"/>
            <w:bottom w:val="none" w:sz="0" w:space="0" w:color="auto"/>
            <w:right w:val="none" w:sz="0" w:space="0" w:color="auto"/>
          </w:divBdr>
        </w:div>
        <w:div w:id="1686903550">
          <w:marLeft w:val="0"/>
          <w:marRight w:val="0"/>
          <w:marTop w:val="0"/>
          <w:marBottom w:val="0"/>
          <w:divBdr>
            <w:top w:val="none" w:sz="0" w:space="0" w:color="auto"/>
            <w:left w:val="none" w:sz="0" w:space="0" w:color="auto"/>
            <w:bottom w:val="none" w:sz="0" w:space="0" w:color="auto"/>
            <w:right w:val="none" w:sz="0" w:space="0" w:color="auto"/>
          </w:divBdr>
          <w:divsChild>
            <w:div w:id="1222903751">
              <w:marLeft w:val="0"/>
              <w:marRight w:val="0"/>
              <w:marTop w:val="0"/>
              <w:marBottom w:val="0"/>
              <w:divBdr>
                <w:top w:val="none" w:sz="0" w:space="0" w:color="auto"/>
                <w:left w:val="none" w:sz="0" w:space="0" w:color="auto"/>
                <w:bottom w:val="none" w:sz="0" w:space="0" w:color="auto"/>
                <w:right w:val="none" w:sz="0" w:space="0" w:color="auto"/>
              </w:divBdr>
            </w:div>
          </w:divsChild>
        </w:div>
        <w:div w:id="491289591">
          <w:marLeft w:val="0"/>
          <w:marRight w:val="0"/>
          <w:marTop w:val="0"/>
          <w:marBottom w:val="0"/>
          <w:divBdr>
            <w:top w:val="none" w:sz="0" w:space="0" w:color="auto"/>
            <w:left w:val="none" w:sz="0" w:space="0" w:color="auto"/>
            <w:bottom w:val="none" w:sz="0" w:space="0" w:color="auto"/>
            <w:right w:val="none" w:sz="0" w:space="0" w:color="auto"/>
          </w:divBdr>
        </w:div>
        <w:div w:id="1291939057">
          <w:marLeft w:val="0"/>
          <w:marRight w:val="0"/>
          <w:marTop w:val="0"/>
          <w:marBottom w:val="0"/>
          <w:divBdr>
            <w:top w:val="none" w:sz="0" w:space="0" w:color="auto"/>
            <w:left w:val="none" w:sz="0" w:space="0" w:color="auto"/>
            <w:bottom w:val="none" w:sz="0" w:space="0" w:color="auto"/>
            <w:right w:val="none" w:sz="0" w:space="0" w:color="auto"/>
          </w:divBdr>
        </w:div>
        <w:div w:id="741099784">
          <w:marLeft w:val="0"/>
          <w:marRight w:val="0"/>
          <w:marTop w:val="0"/>
          <w:marBottom w:val="0"/>
          <w:divBdr>
            <w:top w:val="none" w:sz="0" w:space="0" w:color="auto"/>
            <w:left w:val="none" w:sz="0" w:space="0" w:color="auto"/>
            <w:bottom w:val="none" w:sz="0" w:space="0" w:color="auto"/>
            <w:right w:val="none" w:sz="0" w:space="0" w:color="auto"/>
          </w:divBdr>
          <w:divsChild>
            <w:div w:id="171065513">
              <w:marLeft w:val="0"/>
              <w:marRight w:val="0"/>
              <w:marTop w:val="0"/>
              <w:marBottom w:val="0"/>
              <w:divBdr>
                <w:top w:val="none" w:sz="0" w:space="0" w:color="auto"/>
                <w:left w:val="none" w:sz="0" w:space="0" w:color="auto"/>
                <w:bottom w:val="none" w:sz="0" w:space="0" w:color="auto"/>
                <w:right w:val="none" w:sz="0" w:space="0" w:color="auto"/>
              </w:divBdr>
            </w:div>
          </w:divsChild>
        </w:div>
        <w:div w:id="1132819915">
          <w:marLeft w:val="0"/>
          <w:marRight w:val="0"/>
          <w:marTop w:val="0"/>
          <w:marBottom w:val="0"/>
          <w:divBdr>
            <w:top w:val="none" w:sz="0" w:space="0" w:color="auto"/>
            <w:left w:val="none" w:sz="0" w:space="0" w:color="auto"/>
            <w:bottom w:val="none" w:sz="0" w:space="0" w:color="auto"/>
            <w:right w:val="none" w:sz="0" w:space="0" w:color="auto"/>
          </w:divBdr>
        </w:div>
        <w:div w:id="232086648">
          <w:marLeft w:val="0"/>
          <w:marRight w:val="0"/>
          <w:marTop w:val="0"/>
          <w:marBottom w:val="0"/>
          <w:divBdr>
            <w:top w:val="none" w:sz="0" w:space="0" w:color="auto"/>
            <w:left w:val="none" w:sz="0" w:space="0" w:color="auto"/>
            <w:bottom w:val="none" w:sz="0" w:space="0" w:color="auto"/>
            <w:right w:val="none" w:sz="0" w:space="0" w:color="auto"/>
          </w:divBdr>
        </w:div>
        <w:div w:id="1610236448">
          <w:marLeft w:val="0"/>
          <w:marRight w:val="0"/>
          <w:marTop w:val="0"/>
          <w:marBottom w:val="0"/>
          <w:divBdr>
            <w:top w:val="none" w:sz="0" w:space="0" w:color="auto"/>
            <w:left w:val="none" w:sz="0" w:space="0" w:color="auto"/>
            <w:bottom w:val="none" w:sz="0" w:space="0" w:color="auto"/>
            <w:right w:val="none" w:sz="0" w:space="0" w:color="auto"/>
          </w:divBdr>
          <w:divsChild>
            <w:div w:id="2043312726">
              <w:marLeft w:val="0"/>
              <w:marRight w:val="0"/>
              <w:marTop w:val="0"/>
              <w:marBottom w:val="0"/>
              <w:divBdr>
                <w:top w:val="none" w:sz="0" w:space="0" w:color="auto"/>
                <w:left w:val="none" w:sz="0" w:space="0" w:color="auto"/>
                <w:bottom w:val="none" w:sz="0" w:space="0" w:color="auto"/>
                <w:right w:val="none" w:sz="0" w:space="0" w:color="auto"/>
              </w:divBdr>
            </w:div>
          </w:divsChild>
        </w:div>
        <w:div w:id="1593582244">
          <w:marLeft w:val="0"/>
          <w:marRight w:val="0"/>
          <w:marTop w:val="0"/>
          <w:marBottom w:val="0"/>
          <w:divBdr>
            <w:top w:val="none" w:sz="0" w:space="0" w:color="auto"/>
            <w:left w:val="none" w:sz="0" w:space="0" w:color="auto"/>
            <w:bottom w:val="none" w:sz="0" w:space="0" w:color="auto"/>
            <w:right w:val="none" w:sz="0" w:space="0" w:color="auto"/>
          </w:divBdr>
        </w:div>
        <w:div w:id="139734172">
          <w:marLeft w:val="0"/>
          <w:marRight w:val="0"/>
          <w:marTop w:val="0"/>
          <w:marBottom w:val="0"/>
          <w:divBdr>
            <w:top w:val="none" w:sz="0" w:space="0" w:color="auto"/>
            <w:left w:val="none" w:sz="0" w:space="0" w:color="auto"/>
            <w:bottom w:val="none" w:sz="0" w:space="0" w:color="auto"/>
            <w:right w:val="none" w:sz="0" w:space="0" w:color="auto"/>
          </w:divBdr>
        </w:div>
        <w:div w:id="1019087227">
          <w:marLeft w:val="0"/>
          <w:marRight w:val="0"/>
          <w:marTop w:val="0"/>
          <w:marBottom w:val="0"/>
          <w:divBdr>
            <w:top w:val="none" w:sz="0" w:space="0" w:color="auto"/>
            <w:left w:val="none" w:sz="0" w:space="0" w:color="auto"/>
            <w:bottom w:val="none" w:sz="0" w:space="0" w:color="auto"/>
            <w:right w:val="none" w:sz="0" w:space="0" w:color="auto"/>
          </w:divBdr>
          <w:divsChild>
            <w:div w:id="1868786377">
              <w:marLeft w:val="0"/>
              <w:marRight w:val="0"/>
              <w:marTop w:val="0"/>
              <w:marBottom w:val="0"/>
              <w:divBdr>
                <w:top w:val="none" w:sz="0" w:space="0" w:color="auto"/>
                <w:left w:val="none" w:sz="0" w:space="0" w:color="auto"/>
                <w:bottom w:val="none" w:sz="0" w:space="0" w:color="auto"/>
                <w:right w:val="none" w:sz="0" w:space="0" w:color="auto"/>
              </w:divBdr>
            </w:div>
          </w:divsChild>
        </w:div>
        <w:div w:id="921335184">
          <w:marLeft w:val="0"/>
          <w:marRight w:val="0"/>
          <w:marTop w:val="0"/>
          <w:marBottom w:val="0"/>
          <w:divBdr>
            <w:top w:val="none" w:sz="0" w:space="0" w:color="auto"/>
            <w:left w:val="none" w:sz="0" w:space="0" w:color="auto"/>
            <w:bottom w:val="none" w:sz="0" w:space="0" w:color="auto"/>
            <w:right w:val="none" w:sz="0" w:space="0" w:color="auto"/>
          </w:divBdr>
        </w:div>
        <w:div w:id="1068771298">
          <w:marLeft w:val="0"/>
          <w:marRight w:val="0"/>
          <w:marTop w:val="0"/>
          <w:marBottom w:val="0"/>
          <w:divBdr>
            <w:top w:val="none" w:sz="0" w:space="0" w:color="auto"/>
            <w:left w:val="none" w:sz="0" w:space="0" w:color="auto"/>
            <w:bottom w:val="none" w:sz="0" w:space="0" w:color="auto"/>
            <w:right w:val="none" w:sz="0" w:space="0" w:color="auto"/>
          </w:divBdr>
        </w:div>
        <w:div w:id="1761219207">
          <w:marLeft w:val="0"/>
          <w:marRight w:val="0"/>
          <w:marTop w:val="0"/>
          <w:marBottom w:val="0"/>
          <w:divBdr>
            <w:top w:val="none" w:sz="0" w:space="0" w:color="auto"/>
            <w:left w:val="none" w:sz="0" w:space="0" w:color="auto"/>
            <w:bottom w:val="none" w:sz="0" w:space="0" w:color="auto"/>
            <w:right w:val="none" w:sz="0" w:space="0" w:color="auto"/>
          </w:divBdr>
          <w:divsChild>
            <w:div w:id="493835186">
              <w:marLeft w:val="0"/>
              <w:marRight w:val="0"/>
              <w:marTop w:val="0"/>
              <w:marBottom w:val="0"/>
              <w:divBdr>
                <w:top w:val="none" w:sz="0" w:space="0" w:color="auto"/>
                <w:left w:val="none" w:sz="0" w:space="0" w:color="auto"/>
                <w:bottom w:val="none" w:sz="0" w:space="0" w:color="auto"/>
                <w:right w:val="none" w:sz="0" w:space="0" w:color="auto"/>
              </w:divBdr>
            </w:div>
          </w:divsChild>
        </w:div>
        <w:div w:id="1242788708">
          <w:marLeft w:val="0"/>
          <w:marRight w:val="0"/>
          <w:marTop w:val="0"/>
          <w:marBottom w:val="0"/>
          <w:divBdr>
            <w:top w:val="none" w:sz="0" w:space="0" w:color="auto"/>
            <w:left w:val="none" w:sz="0" w:space="0" w:color="auto"/>
            <w:bottom w:val="none" w:sz="0" w:space="0" w:color="auto"/>
            <w:right w:val="none" w:sz="0" w:space="0" w:color="auto"/>
          </w:divBdr>
        </w:div>
        <w:div w:id="1807970960">
          <w:marLeft w:val="0"/>
          <w:marRight w:val="0"/>
          <w:marTop w:val="0"/>
          <w:marBottom w:val="0"/>
          <w:divBdr>
            <w:top w:val="none" w:sz="0" w:space="0" w:color="auto"/>
            <w:left w:val="none" w:sz="0" w:space="0" w:color="auto"/>
            <w:bottom w:val="none" w:sz="0" w:space="0" w:color="auto"/>
            <w:right w:val="none" w:sz="0" w:space="0" w:color="auto"/>
          </w:divBdr>
        </w:div>
        <w:div w:id="1356037148">
          <w:marLeft w:val="0"/>
          <w:marRight w:val="0"/>
          <w:marTop w:val="0"/>
          <w:marBottom w:val="0"/>
          <w:divBdr>
            <w:top w:val="none" w:sz="0" w:space="0" w:color="auto"/>
            <w:left w:val="none" w:sz="0" w:space="0" w:color="auto"/>
            <w:bottom w:val="none" w:sz="0" w:space="0" w:color="auto"/>
            <w:right w:val="none" w:sz="0" w:space="0" w:color="auto"/>
          </w:divBdr>
          <w:divsChild>
            <w:div w:id="981037446">
              <w:marLeft w:val="0"/>
              <w:marRight w:val="0"/>
              <w:marTop w:val="0"/>
              <w:marBottom w:val="0"/>
              <w:divBdr>
                <w:top w:val="none" w:sz="0" w:space="0" w:color="auto"/>
                <w:left w:val="none" w:sz="0" w:space="0" w:color="auto"/>
                <w:bottom w:val="none" w:sz="0" w:space="0" w:color="auto"/>
                <w:right w:val="none" w:sz="0" w:space="0" w:color="auto"/>
              </w:divBdr>
            </w:div>
          </w:divsChild>
        </w:div>
        <w:div w:id="2108653552">
          <w:marLeft w:val="0"/>
          <w:marRight w:val="0"/>
          <w:marTop w:val="0"/>
          <w:marBottom w:val="0"/>
          <w:divBdr>
            <w:top w:val="none" w:sz="0" w:space="0" w:color="auto"/>
            <w:left w:val="none" w:sz="0" w:space="0" w:color="auto"/>
            <w:bottom w:val="none" w:sz="0" w:space="0" w:color="auto"/>
            <w:right w:val="none" w:sz="0" w:space="0" w:color="auto"/>
          </w:divBdr>
        </w:div>
        <w:div w:id="1417437835">
          <w:marLeft w:val="0"/>
          <w:marRight w:val="0"/>
          <w:marTop w:val="0"/>
          <w:marBottom w:val="0"/>
          <w:divBdr>
            <w:top w:val="none" w:sz="0" w:space="0" w:color="auto"/>
            <w:left w:val="none" w:sz="0" w:space="0" w:color="auto"/>
            <w:bottom w:val="none" w:sz="0" w:space="0" w:color="auto"/>
            <w:right w:val="none" w:sz="0" w:space="0" w:color="auto"/>
          </w:divBdr>
        </w:div>
        <w:div w:id="559291758">
          <w:marLeft w:val="0"/>
          <w:marRight w:val="0"/>
          <w:marTop w:val="0"/>
          <w:marBottom w:val="0"/>
          <w:divBdr>
            <w:top w:val="none" w:sz="0" w:space="0" w:color="auto"/>
            <w:left w:val="none" w:sz="0" w:space="0" w:color="auto"/>
            <w:bottom w:val="none" w:sz="0" w:space="0" w:color="auto"/>
            <w:right w:val="none" w:sz="0" w:space="0" w:color="auto"/>
          </w:divBdr>
          <w:divsChild>
            <w:div w:id="344865560">
              <w:marLeft w:val="0"/>
              <w:marRight w:val="0"/>
              <w:marTop w:val="0"/>
              <w:marBottom w:val="0"/>
              <w:divBdr>
                <w:top w:val="none" w:sz="0" w:space="0" w:color="auto"/>
                <w:left w:val="none" w:sz="0" w:space="0" w:color="auto"/>
                <w:bottom w:val="none" w:sz="0" w:space="0" w:color="auto"/>
                <w:right w:val="none" w:sz="0" w:space="0" w:color="auto"/>
              </w:divBdr>
            </w:div>
          </w:divsChild>
        </w:div>
        <w:div w:id="146015148">
          <w:marLeft w:val="0"/>
          <w:marRight w:val="0"/>
          <w:marTop w:val="0"/>
          <w:marBottom w:val="0"/>
          <w:divBdr>
            <w:top w:val="none" w:sz="0" w:space="0" w:color="auto"/>
            <w:left w:val="none" w:sz="0" w:space="0" w:color="auto"/>
            <w:bottom w:val="none" w:sz="0" w:space="0" w:color="auto"/>
            <w:right w:val="none" w:sz="0" w:space="0" w:color="auto"/>
          </w:divBdr>
        </w:div>
        <w:div w:id="1974945966">
          <w:marLeft w:val="0"/>
          <w:marRight w:val="0"/>
          <w:marTop w:val="0"/>
          <w:marBottom w:val="0"/>
          <w:divBdr>
            <w:top w:val="none" w:sz="0" w:space="0" w:color="auto"/>
            <w:left w:val="none" w:sz="0" w:space="0" w:color="auto"/>
            <w:bottom w:val="none" w:sz="0" w:space="0" w:color="auto"/>
            <w:right w:val="none" w:sz="0" w:space="0" w:color="auto"/>
          </w:divBdr>
        </w:div>
        <w:div w:id="275143135">
          <w:marLeft w:val="0"/>
          <w:marRight w:val="0"/>
          <w:marTop w:val="0"/>
          <w:marBottom w:val="0"/>
          <w:divBdr>
            <w:top w:val="none" w:sz="0" w:space="0" w:color="auto"/>
            <w:left w:val="none" w:sz="0" w:space="0" w:color="auto"/>
            <w:bottom w:val="none" w:sz="0" w:space="0" w:color="auto"/>
            <w:right w:val="none" w:sz="0" w:space="0" w:color="auto"/>
          </w:divBdr>
          <w:divsChild>
            <w:div w:id="1621184354">
              <w:marLeft w:val="0"/>
              <w:marRight w:val="0"/>
              <w:marTop w:val="0"/>
              <w:marBottom w:val="0"/>
              <w:divBdr>
                <w:top w:val="none" w:sz="0" w:space="0" w:color="auto"/>
                <w:left w:val="none" w:sz="0" w:space="0" w:color="auto"/>
                <w:bottom w:val="none" w:sz="0" w:space="0" w:color="auto"/>
                <w:right w:val="none" w:sz="0" w:space="0" w:color="auto"/>
              </w:divBdr>
            </w:div>
          </w:divsChild>
        </w:div>
        <w:div w:id="1921712190">
          <w:marLeft w:val="0"/>
          <w:marRight w:val="0"/>
          <w:marTop w:val="0"/>
          <w:marBottom w:val="0"/>
          <w:divBdr>
            <w:top w:val="none" w:sz="0" w:space="0" w:color="auto"/>
            <w:left w:val="none" w:sz="0" w:space="0" w:color="auto"/>
            <w:bottom w:val="none" w:sz="0" w:space="0" w:color="auto"/>
            <w:right w:val="none" w:sz="0" w:space="0" w:color="auto"/>
          </w:divBdr>
        </w:div>
        <w:div w:id="1327052039">
          <w:marLeft w:val="0"/>
          <w:marRight w:val="0"/>
          <w:marTop w:val="0"/>
          <w:marBottom w:val="0"/>
          <w:divBdr>
            <w:top w:val="none" w:sz="0" w:space="0" w:color="auto"/>
            <w:left w:val="none" w:sz="0" w:space="0" w:color="auto"/>
            <w:bottom w:val="none" w:sz="0" w:space="0" w:color="auto"/>
            <w:right w:val="none" w:sz="0" w:space="0" w:color="auto"/>
          </w:divBdr>
        </w:div>
        <w:div w:id="2084138294">
          <w:marLeft w:val="0"/>
          <w:marRight w:val="0"/>
          <w:marTop w:val="0"/>
          <w:marBottom w:val="0"/>
          <w:divBdr>
            <w:top w:val="none" w:sz="0" w:space="0" w:color="auto"/>
            <w:left w:val="none" w:sz="0" w:space="0" w:color="auto"/>
            <w:bottom w:val="none" w:sz="0" w:space="0" w:color="auto"/>
            <w:right w:val="none" w:sz="0" w:space="0" w:color="auto"/>
          </w:divBdr>
          <w:divsChild>
            <w:div w:id="1880240652">
              <w:marLeft w:val="0"/>
              <w:marRight w:val="0"/>
              <w:marTop w:val="0"/>
              <w:marBottom w:val="0"/>
              <w:divBdr>
                <w:top w:val="none" w:sz="0" w:space="0" w:color="auto"/>
                <w:left w:val="none" w:sz="0" w:space="0" w:color="auto"/>
                <w:bottom w:val="none" w:sz="0" w:space="0" w:color="auto"/>
                <w:right w:val="none" w:sz="0" w:space="0" w:color="auto"/>
              </w:divBdr>
            </w:div>
          </w:divsChild>
        </w:div>
        <w:div w:id="1421750839">
          <w:marLeft w:val="0"/>
          <w:marRight w:val="0"/>
          <w:marTop w:val="0"/>
          <w:marBottom w:val="0"/>
          <w:divBdr>
            <w:top w:val="none" w:sz="0" w:space="0" w:color="auto"/>
            <w:left w:val="none" w:sz="0" w:space="0" w:color="auto"/>
            <w:bottom w:val="none" w:sz="0" w:space="0" w:color="auto"/>
            <w:right w:val="none" w:sz="0" w:space="0" w:color="auto"/>
          </w:divBdr>
        </w:div>
        <w:div w:id="18631268">
          <w:marLeft w:val="0"/>
          <w:marRight w:val="0"/>
          <w:marTop w:val="0"/>
          <w:marBottom w:val="0"/>
          <w:divBdr>
            <w:top w:val="none" w:sz="0" w:space="0" w:color="auto"/>
            <w:left w:val="none" w:sz="0" w:space="0" w:color="auto"/>
            <w:bottom w:val="none" w:sz="0" w:space="0" w:color="auto"/>
            <w:right w:val="none" w:sz="0" w:space="0" w:color="auto"/>
          </w:divBdr>
        </w:div>
        <w:div w:id="1137919535">
          <w:marLeft w:val="0"/>
          <w:marRight w:val="0"/>
          <w:marTop w:val="0"/>
          <w:marBottom w:val="0"/>
          <w:divBdr>
            <w:top w:val="none" w:sz="0" w:space="0" w:color="auto"/>
            <w:left w:val="none" w:sz="0" w:space="0" w:color="auto"/>
            <w:bottom w:val="none" w:sz="0" w:space="0" w:color="auto"/>
            <w:right w:val="none" w:sz="0" w:space="0" w:color="auto"/>
          </w:divBdr>
          <w:divsChild>
            <w:div w:id="198009925">
              <w:marLeft w:val="0"/>
              <w:marRight w:val="0"/>
              <w:marTop w:val="0"/>
              <w:marBottom w:val="0"/>
              <w:divBdr>
                <w:top w:val="none" w:sz="0" w:space="0" w:color="auto"/>
                <w:left w:val="none" w:sz="0" w:space="0" w:color="auto"/>
                <w:bottom w:val="none" w:sz="0" w:space="0" w:color="auto"/>
                <w:right w:val="none" w:sz="0" w:space="0" w:color="auto"/>
              </w:divBdr>
            </w:div>
          </w:divsChild>
        </w:div>
        <w:div w:id="573128826">
          <w:marLeft w:val="0"/>
          <w:marRight w:val="0"/>
          <w:marTop w:val="0"/>
          <w:marBottom w:val="0"/>
          <w:divBdr>
            <w:top w:val="none" w:sz="0" w:space="0" w:color="auto"/>
            <w:left w:val="none" w:sz="0" w:space="0" w:color="auto"/>
            <w:bottom w:val="none" w:sz="0" w:space="0" w:color="auto"/>
            <w:right w:val="none" w:sz="0" w:space="0" w:color="auto"/>
          </w:divBdr>
        </w:div>
        <w:div w:id="675883169">
          <w:marLeft w:val="0"/>
          <w:marRight w:val="0"/>
          <w:marTop w:val="0"/>
          <w:marBottom w:val="0"/>
          <w:divBdr>
            <w:top w:val="none" w:sz="0" w:space="0" w:color="auto"/>
            <w:left w:val="none" w:sz="0" w:space="0" w:color="auto"/>
            <w:bottom w:val="none" w:sz="0" w:space="0" w:color="auto"/>
            <w:right w:val="none" w:sz="0" w:space="0" w:color="auto"/>
          </w:divBdr>
        </w:div>
        <w:div w:id="365522277">
          <w:marLeft w:val="0"/>
          <w:marRight w:val="0"/>
          <w:marTop w:val="0"/>
          <w:marBottom w:val="0"/>
          <w:divBdr>
            <w:top w:val="none" w:sz="0" w:space="0" w:color="auto"/>
            <w:left w:val="none" w:sz="0" w:space="0" w:color="auto"/>
            <w:bottom w:val="none" w:sz="0" w:space="0" w:color="auto"/>
            <w:right w:val="none" w:sz="0" w:space="0" w:color="auto"/>
          </w:divBdr>
          <w:divsChild>
            <w:div w:id="1045105091">
              <w:marLeft w:val="0"/>
              <w:marRight w:val="0"/>
              <w:marTop w:val="0"/>
              <w:marBottom w:val="0"/>
              <w:divBdr>
                <w:top w:val="none" w:sz="0" w:space="0" w:color="auto"/>
                <w:left w:val="none" w:sz="0" w:space="0" w:color="auto"/>
                <w:bottom w:val="none" w:sz="0" w:space="0" w:color="auto"/>
                <w:right w:val="none" w:sz="0" w:space="0" w:color="auto"/>
              </w:divBdr>
            </w:div>
          </w:divsChild>
        </w:div>
        <w:div w:id="1426144305">
          <w:marLeft w:val="0"/>
          <w:marRight w:val="0"/>
          <w:marTop w:val="0"/>
          <w:marBottom w:val="0"/>
          <w:divBdr>
            <w:top w:val="none" w:sz="0" w:space="0" w:color="auto"/>
            <w:left w:val="none" w:sz="0" w:space="0" w:color="auto"/>
            <w:bottom w:val="none" w:sz="0" w:space="0" w:color="auto"/>
            <w:right w:val="none" w:sz="0" w:space="0" w:color="auto"/>
          </w:divBdr>
        </w:div>
        <w:div w:id="1229003056">
          <w:marLeft w:val="0"/>
          <w:marRight w:val="0"/>
          <w:marTop w:val="0"/>
          <w:marBottom w:val="0"/>
          <w:divBdr>
            <w:top w:val="none" w:sz="0" w:space="0" w:color="auto"/>
            <w:left w:val="none" w:sz="0" w:space="0" w:color="auto"/>
            <w:bottom w:val="none" w:sz="0" w:space="0" w:color="auto"/>
            <w:right w:val="none" w:sz="0" w:space="0" w:color="auto"/>
          </w:divBdr>
        </w:div>
        <w:div w:id="1908296757">
          <w:marLeft w:val="0"/>
          <w:marRight w:val="0"/>
          <w:marTop w:val="0"/>
          <w:marBottom w:val="0"/>
          <w:divBdr>
            <w:top w:val="none" w:sz="0" w:space="0" w:color="auto"/>
            <w:left w:val="none" w:sz="0" w:space="0" w:color="auto"/>
            <w:bottom w:val="none" w:sz="0" w:space="0" w:color="auto"/>
            <w:right w:val="none" w:sz="0" w:space="0" w:color="auto"/>
          </w:divBdr>
          <w:divsChild>
            <w:div w:id="1303728630">
              <w:marLeft w:val="0"/>
              <w:marRight w:val="0"/>
              <w:marTop w:val="0"/>
              <w:marBottom w:val="0"/>
              <w:divBdr>
                <w:top w:val="none" w:sz="0" w:space="0" w:color="auto"/>
                <w:left w:val="none" w:sz="0" w:space="0" w:color="auto"/>
                <w:bottom w:val="none" w:sz="0" w:space="0" w:color="auto"/>
                <w:right w:val="none" w:sz="0" w:space="0" w:color="auto"/>
              </w:divBdr>
            </w:div>
          </w:divsChild>
        </w:div>
        <w:div w:id="1018579487">
          <w:marLeft w:val="0"/>
          <w:marRight w:val="0"/>
          <w:marTop w:val="0"/>
          <w:marBottom w:val="0"/>
          <w:divBdr>
            <w:top w:val="none" w:sz="0" w:space="0" w:color="auto"/>
            <w:left w:val="none" w:sz="0" w:space="0" w:color="auto"/>
            <w:bottom w:val="none" w:sz="0" w:space="0" w:color="auto"/>
            <w:right w:val="none" w:sz="0" w:space="0" w:color="auto"/>
          </w:divBdr>
        </w:div>
        <w:div w:id="389500248">
          <w:marLeft w:val="0"/>
          <w:marRight w:val="0"/>
          <w:marTop w:val="0"/>
          <w:marBottom w:val="0"/>
          <w:divBdr>
            <w:top w:val="none" w:sz="0" w:space="0" w:color="auto"/>
            <w:left w:val="none" w:sz="0" w:space="0" w:color="auto"/>
            <w:bottom w:val="none" w:sz="0" w:space="0" w:color="auto"/>
            <w:right w:val="none" w:sz="0" w:space="0" w:color="auto"/>
          </w:divBdr>
        </w:div>
        <w:div w:id="997461919">
          <w:marLeft w:val="0"/>
          <w:marRight w:val="0"/>
          <w:marTop w:val="0"/>
          <w:marBottom w:val="0"/>
          <w:divBdr>
            <w:top w:val="none" w:sz="0" w:space="0" w:color="auto"/>
            <w:left w:val="none" w:sz="0" w:space="0" w:color="auto"/>
            <w:bottom w:val="none" w:sz="0" w:space="0" w:color="auto"/>
            <w:right w:val="none" w:sz="0" w:space="0" w:color="auto"/>
          </w:divBdr>
        </w:div>
        <w:div w:id="874581219">
          <w:marLeft w:val="0"/>
          <w:marRight w:val="0"/>
          <w:marTop w:val="0"/>
          <w:marBottom w:val="0"/>
          <w:divBdr>
            <w:top w:val="none" w:sz="0" w:space="0" w:color="auto"/>
            <w:left w:val="none" w:sz="0" w:space="0" w:color="auto"/>
            <w:bottom w:val="none" w:sz="0" w:space="0" w:color="auto"/>
            <w:right w:val="none" w:sz="0" w:space="0" w:color="auto"/>
          </w:divBdr>
          <w:divsChild>
            <w:div w:id="1400640681">
              <w:marLeft w:val="0"/>
              <w:marRight w:val="0"/>
              <w:marTop w:val="0"/>
              <w:marBottom w:val="0"/>
              <w:divBdr>
                <w:top w:val="none" w:sz="0" w:space="0" w:color="auto"/>
                <w:left w:val="none" w:sz="0" w:space="0" w:color="auto"/>
                <w:bottom w:val="none" w:sz="0" w:space="0" w:color="auto"/>
                <w:right w:val="none" w:sz="0" w:space="0" w:color="auto"/>
              </w:divBdr>
            </w:div>
          </w:divsChild>
        </w:div>
        <w:div w:id="1722097328">
          <w:marLeft w:val="0"/>
          <w:marRight w:val="0"/>
          <w:marTop w:val="0"/>
          <w:marBottom w:val="0"/>
          <w:divBdr>
            <w:top w:val="none" w:sz="0" w:space="0" w:color="auto"/>
            <w:left w:val="none" w:sz="0" w:space="0" w:color="auto"/>
            <w:bottom w:val="none" w:sz="0" w:space="0" w:color="auto"/>
            <w:right w:val="none" w:sz="0" w:space="0" w:color="auto"/>
          </w:divBdr>
        </w:div>
        <w:div w:id="1414889044">
          <w:marLeft w:val="0"/>
          <w:marRight w:val="0"/>
          <w:marTop w:val="0"/>
          <w:marBottom w:val="0"/>
          <w:divBdr>
            <w:top w:val="none" w:sz="0" w:space="0" w:color="auto"/>
            <w:left w:val="none" w:sz="0" w:space="0" w:color="auto"/>
            <w:bottom w:val="none" w:sz="0" w:space="0" w:color="auto"/>
            <w:right w:val="none" w:sz="0" w:space="0" w:color="auto"/>
          </w:divBdr>
        </w:div>
        <w:div w:id="1404715357">
          <w:marLeft w:val="0"/>
          <w:marRight w:val="0"/>
          <w:marTop w:val="0"/>
          <w:marBottom w:val="0"/>
          <w:divBdr>
            <w:top w:val="none" w:sz="0" w:space="0" w:color="auto"/>
            <w:left w:val="none" w:sz="0" w:space="0" w:color="auto"/>
            <w:bottom w:val="none" w:sz="0" w:space="0" w:color="auto"/>
            <w:right w:val="none" w:sz="0" w:space="0" w:color="auto"/>
          </w:divBdr>
          <w:divsChild>
            <w:div w:id="366948614">
              <w:marLeft w:val="0"/>
              <w:marRight w:val="0"/>
              <w:marTop w:val="0"/>
              <w:marBottom w:val="0"/>
              <w:divBdr>
                <w:top w:val="none" w:sz="0" w:space="0" w:color="auto"/>
                <w:left w:val="none" w:sz="0" w:space="0" w:color="auto"/>
                <w:bottom w:val="none" w:sz="0" w:space="0" w:color="auto"/>
                <w:right w:val="none" w:sz="0" w:space="0" w:color="auto"/>
              </w:divBdr>
            </w:div>
          </w:divsChild>
        </w:div>
        <w:div w:id="722600166">
          <w:marLeft w:val="0"/>
          <w:marRight w:val="0"/>
          <w:marTop w:val="0"/>
          <w:marBottom w:val="0"/>
          <w:divBdr>
            <w:top w:val="none" w:sz="0" w:space="0" w:color="auto"/>
            <w:left w:val="none" w:sz="0" w:space="0" w:color="auto"/>
            <w:bottom w:val="none" w:sz="0" w:space="0" w:color="auto"/>
            <w:right w:val="none" w:sz="0" w:space="0" w:color="auto"/>
          </w:divBdr>
        </w:div>
        <w:div w:id="119081176">
          <w:marLeft w:val="0"/>
          <w:marRight w:val="0"/>
          <w:marTop w:val="0"/>
          <w:marBottom w:val="0"/>
          <w:divBdr>
            <w:top w:val="none" w:sz="0" w:space="0" w:color="auto"/>
            <w:left w:val="none" w:sz="0" w:space="0" w:color="auto"/>
            <w:bottom w:val="none" w:sz="0" w:space="0" w:color="auto"/>
            <w:right w:val="none" w:sz="0" w:space="0" w:color="auto"/>
          </w:divBdr>
        </w:div>
        <w:div w:id="1265531736">
          <w:marLeft w:val="0"/>
          <w:marRight w:val="0"/>
          <w:marTop w:val="0"/>
          <w:marBottom w:val="0"/>
          <w:divBdr>
            <w:top w:val="none" w:sz="0" w:space="0" w:color="auto"/>
            <w:left w:val="none" w:sz="0" w:space="0" w:color="auto"/>
            <w:bottom w:val="none" w:sz="0" w:space="0" w:color="auto"/>
            <w:right w:val="none" w:sz="0" w:space="0" w:color="auto"/>
          </w:divBdr>
          <w:divsChild>
            <w:div w:id="1419446014">
              <w:marLeft w:val="0"/>
              <w:marRight w:val="0"/>
              <w:marTop w:val="0"/>
              <w:marBottom w:val="0"/>
              <w:divBdr>
                <w:top w:val="none" w:sz="0" w:space="0" w:color="auto"/>
                <w:left w:val="none" w:sz="0" w:space="0" w:color="auto"/>
                <w:bottom w:val="none" w:sz="0" w:space="0" w:color="auto"/>
                <w:right w:val="none" w:sz="0" w:space="0" w:color="auto"/>
              </w:divBdr>
            </w:div>
          </w:divsChild>
        </w:div>
        <w:div w:id="494029319">
          <w:marLeft w:val="0"/>
          <w:marRight w:val="0"/>
          <w:marTop w:val="0"/>
          <w:marBottom w:val="0"/>
          <w:divBdr>
            <w:top w:val="none" w:sz="0" w:space="0" w:color="auto"/>
            <w:left w:val="none" w:sz="0" w:space="0" w:color="auto"/>
            <w:bottom w:val="none" w:sz="0" w:space="0" w:color="auto"/>
            <w:right w:val="none" w:sz="0" w:space="0" w:color="auto"/>
          </w:divBdr>
        </w:div>
        <w:div w:id="283968702">
          <w:marLeft w:val="0"/>
          <w:marRight w:val="0"/>
          <w:marTop w:val="0"/>
          <w:marBottom w:val="0"/>
          <w:divBdr>
            <w:top w:val="none" w:sz="0" w:space="0" w:color="auto"/>
            <w:left w:val="none" w:sz="0" w:space="0" w:color="auto"/>
            <w:bottom w:val="none" w:sz="0" w:space="0" w:color="auto"/>
            <w:right w:val="none" w:sz="0" w:space="0" w:color="auto"/>
          </w:divBdr>
        </w:div>
        <w:div w:id="73866226">
          <w:marLeft w:val="0"/>
          <w:marRight w:val="0"/>
          <w:marTop w:val="0"/>
          <w:marBottom w:val="0"/>
          <w:divBdr>
            <w:top w:val="none" w:sz="0" w:space="0" w:color="auto"/>
            <w:left w:val="none" w:sz="0" w:space="0" w:color="auto"/>
            <w:bottom w:val="none" w:sz="0" w:space="0" w:color="auto"/>
            <w:right w:val="none" w:sz="0" w:space="0" w:color="auto"/>
          </w:divBdr>
          <w:divsChild>
            <w:div w:id="1686440417">
              <w:marLeft w:val="0"/>
              <w:marRight w:val="0"/>
              <w:marTop w:val="0"/>
              <w:marBottom w:val="0"/>
              <w:divBdr>
                <w:top w:val="none" w:sz="0" w:space="0" w:color="auto"/>
                <w:left w:val="none" w:sz="0" w:space="0" w:color="auto"/>
                <w:bottom w:val="none" w:sz="0" w:space="0" w:color="auto"/>
                <w:right w:val="none" w:sz="0" w:space="0" w:color="auto"/>
              </w:divBdr>
            </w:div>
          </w:divsChild>
        </w:div>
        <w:div w:id="788163729">
          <w:marLeft w:val="0"/>
          <w:marRight w:val="0"/>
          <w:marTop w:val="0"/>
          <w:marBottom w:val="0"/>
          <w:divBdr>
            <w:top w:val="none" w:sz="0" w:space="0" w:color="auto"/>
            <w:left w:val="none" w:sz="0" w:space="0" w:color="auto"/>
            <w:bottom w:val="none" w:sz="0" w:space="0" w:color="auto"/>
            <w:right w:val="none" w:sz="0" w:space="0" w:color="auto"/>
          </w:divBdr>
        </w:div>
        <w:div w:id="493106928">
          <w:marLeft w:val="0"/>
          <w:marRight w:val="0"/>
          <w:marTop w:val="0"/>
          <w:marBottom w:val="0"/>
          <w:divBdr>
            <w:top w:val="none" w:sz="0" w:space="0" w:color="auto"/>
            <w:left w:val="none" w:sz="0" w:space="0" w:color="auto"/>
            <w:bottom w:val="none" w:sz="0" w:space="0" w:color="auto"/>
            <w:right w:val="none" w:sz="0" w:space="0" w:color="auto"/>
          </w:divBdr>
        </w:div>
        <w:div w:id="700472050">
          <w:marLeft w:val="0"/>
          <w:marRight w:val="0"/>
          <w:marTop w:val="0"/>
          <w:marBottom w:val="0"/>
          <w:divBdr>
            <w:top w:val="none" w:sz="0" w:space="0" w:color="auto"/>
            <w:left w:val="none" w:sz="0" w:space="0" w:color="auto"/>
            <w:bottom w:val="none" w:sz="0" w:space="0" w:color="auto"/>
            <w:right w:val="none" w:sz="0" w:space="0" w:color="auto"/>
          </w:divBdr>
          <w:divsChild>
            <w:div w:id="745884685">
              <w:marLeft w:val="0"/>
              <w:marRight w:val="0"/>
              <w:marTop w:val="0"/>
              <w:marBottom w:val="0"/>
              <w:divBdr>
                <w:top w:val="none" w:sz="0" w:space="0" w:color="auto"/>
                <w:left w:val="none" w:sz="0" w:space="0" w:color="auto"/>
                <w:bottom w:val="none" w:sz="0" w:space="0" w:color="auto"/>
                <w:right w:val="none" w:sz="0" w:space="0" w:color="auto"/>
              </w:divBdr>
            </w:div>
          </w:divsChild>
        </w:div>
        <w:div w:id="537203395">
          <w:marLeft w:val="0"/>
          <w:marRight w:val="0"/>
          <w:marTop w:val="0"/>
          <w:marBottom w:val="0"/>
          <w:divBdr>
            <w:top w:val="none" w:sz="0" w:space="0" w:color="auto"/>
            <w:left w:val="none" w:sz="0" w:space="0" w:color="auto"/>
            <w:bottom w:val="none" w:sz="0" w:space="0" w:color="auto"/>
            <w:right w:val="none" w:sz="0" w:space="0" w:color="auto"/>
          </w:divBdr>
        </w:div>
        <w:div w:id="1367221156">
          <w:marLeft w:val="0"/>
          <w:marRight w:val="0"/>
          <w:marTop w:val="0"/>
          <w:marBottom w:val="0"/>
          <w:divBdr>
            <w:top w:val="none" w:sz="0" w:space="0" w:color="auto"/>
            <w:left w:val="none" w:sz="0" w:space="0" w:color="auto"/>
            <w:bottom w:val="none" w:sz="0" w:space="0" w:color="auto"/>
            <w:right w:val="none" w:sz="0" w:space="0" w:color="auto"/>
          </w:divBdr>
        </w:div>
        <w:div w:id="1830949417">
          <w:marLeft w:val="0"/>
          <w:marRight w:val="0"/>
          <w:marTop w:val="0"/>
          <w:marBottom w:val="0"/>
          <w:divBdr>
            <w:top w:val="none" w:sz="0" w:space="0" w:color="auto"/>
            <w:left w:val="none" w:sz="0" w:space="0" w:color="auto"/>
            <w:bottom w:val="none" w:sz="0" w:space="0" w:color="auto"/>
            <w:right w:val="none" w:sz="0" w:space="0" w:color="auto"/>
          </w:divBdr>
        </w:div>
        <w:div w:id="894656025">
          <w:marLeft w:val="0"/>
          <w:marRight w:val="0"/>
          <w:marTop w:val="0"/>
          <w:marBottom w:val="0"/>
          <w:divBdr>
            <w:top w:val="none" w:sz="0" w:space="0" w:color="auto"/>
            <w:left w:val="none" w:sz="0" w:space="0" w:color="auto"/>
            <w:bottom w:val="none" w:sz="0" w:space="0" w:color="auto"/>
            <w:right w:val="none" w:sz="0" w:space="0" w:color="auto"/>
          </w:divBdr>
        </w:div>
        <w:div w:id="193353843">
          <w:marLeft w:val="0"/>
          <w:marRight w:val="0"/>
          <w:marTop w:val="0"/>
          <w:marBottom w:val="0"/>
          <w:divBdr>
            <w:top w:val="none" w:sz="0" w:space="0" w:color="auto"/>
            <w:left w:val="none" w:sz="0" w:space="0" w:color="auto"/>
            <w:bottom w:val="none" w:sz="0" w:space="0" w:color="auto"/>
            <w:right w:val="none" w:sz="0" w:space="0" w:color="auto"/>
          </w:divBdr>
          <w:divsChild>
            <w:div w:id="379982806">
              <w:marLeft w:val="0"/>
              <w:marRight w:val="0"/>
              <w:marTop w:val="0"/>
              <w:marBottom w:val="0"/>
              <w:divBdr>
                <w:top w:val="none" w:sz="0" w:space="0" w:color="auto"/>
                <w:left w:val="none" w:sz="0" w:space="0" w:color="auto"/>
                <w:bottom w:val="none" w:sz="0" w:space="0" w:color="auto"/>
                <w:right w:val="none" w:sz="0" w:space="0" w:color="auto"/>
              </w:divBdr>
            </w:div>
          </w:divsChild>
        </w:div>
        <w:div w:id="1591431524">
          <w:marLeft w:val="0"/>
          <w:marRight w:val="0"/>
          <w:marTop w:val="0"/>
          <w:marBottom w:val="0"/>
          <w:divBdr>
            <w:top w:val="none" w:sz="0" w:space="0" w:color="auto"/>
            <w:left w:val="none" w:sz="0" w:space="0" w:color="auto"/>
            <w:bottom w:val="none" w:sz="0" w:space="0" w:color="auto"/>
            <w:right w:val="none" w:sz="0" w:space="0" w:color="auto"/>
          </w:divBdr>
        </w:div>
        <w:div w:id="414206734">
          <w:marLeft w:val="0"/>
          <w:marRight w:val="0"/>
          <w:marTop w:val="0"/>
          <w:marBottom w:val="0"/>
          <w:divBdr>
            <w:top w:val="none" w:sz="0" w:space="0" w:color="auto"/>
            <w:left w:val="none" w:sz="0" w:space="0" w:color="auto"/>
            <w:bottom w:val="none" w:sz="0" w:space="0" w:color="auto"/>
            <w:right w:val="none" w:sz="0" w:space="0" w:color="auto"/>
          </w:divBdr>
        </w:div>
        <w:div w:id="1033337786">
          <w:marLeft w:val="0"/>
          <w:marRight w:val="0"/>
          <w:marTop w:val="0"/>
          <w:marBottom w:val="0"/>
          <w:divBdr>
            <w:top w:val="none" w:sz="0" w:space="0" w:color="auto"/>
            <w:left w:val="none" w:sz="0" w:space="0" w:color="auto"/>
            <w:bottom w:val="none" w:sz="0" w:space="0" w:color="auto"/>
            <w:right w:val="none" w:sz="0" w:space="0" w:color="auto"/>
          </w:divBdr>
          <w:divsChild>
            <w:div w:id="2144300014">
              <w:marLeft w:val="0"/>
              <w:marRight w:val="0"/>
              <w:marTop w:val="0"/>
              <w:marBottom w:val="0"/>
              <w:divBdr>
                <w:top w:val="none" w:sz="0" w:space="0" w:color="auto"/>
                <w:left w:val="none" w:sz="0" w:space="0" w:color="auto"/>
                <w:bottom w:val="none" w:sz="0" w:space="0" w:color="auto"/>
                <w:right w:val="none" w:sz="0" w:space="0" w:color="auto"/>
              </w:divBdr>
            </w:div>
          </w:divsChild>
        </w:div>
        <w:div w:id="824708427">
          <w:marLeft w:val="0"/>
          <w:marRight w:val="0"/>
          <w:marTop w:val="0"/>
          <w:marBottom w:val="0"/>
          <w:divBdr>
            <w:top w:val="none" w:sz="0" w:space="0" w:color="auto"/>
            <w:left w:val="none" w:sz="0" w:space="0" w:color="auto"/>
            <w:bottom w:val="none" w:sz="0" w:space="0" w:color="auto"/>
            <w:right w:val="none" w:sz="0" w:space="0" w:color="auto"/>
          </w:divBdr>
        </w:div>
        <w:div w:id="323551819">
          <w:marLeft w:val="0"/>
          <w:marRight w:val="0"/>
          <w:marTop w:val="0"/>
          <w:marBottom w:val="0"/>
          <w:divBdr>
            <w:top w:val="none" w:sz="0" w:space="0" w:color="auto"/>
            <w:left w:val="none" w:sz="0" w:space="0" w:color="auto"/>
            <w:bottom w:val="none" w:sz="0" w:space="0" w:color="auto"/>
            <w:right w:val="none" w:sz="0" w:space="0" w:color="auto"/>
          </w:divBdr>
        </w:div>
        <w:div w:id="149489627">
          <w:marLeft w:val="0"/>
          <w:marRight w:val="0"/>
          <w:marTop w:val="0"/>
          <w:marBottom w:val="0"/>
          <w:divBdr>
            <w:top w:val="none" w:sz="0" w:space="0" w:color="auto"/>
            <w:left w:val="none" w:sz="0" w:space="0" w:color="auto"/>
            <w:bottom w:val="none" w:sz="0" w:space="0" w:color="auto"/>
            <w:right w:val="none" w:sz="0" w:space="0" w:color="auto"/>
          </w:divBdr>
          <w:divsChild>
            <w:div w:id="2131897814">
              <w:marLeft w:val="0"/>
              <w:marRight w:val="0"/>
              <w:marTop w:val="0"/>
              <w:marBottom w:val="0"/>
              <w:divBdr>
                <w:top w:val="none" w:sz="0" w:space="0" w:color="auto"/>
                <w:left w:val="none" w:sz="0" w:space="0" w:color="auto"/>
                <w:bottom w:val="none" w:sz="0" w:space="0" w:color="auto"/>
                <w:right w:val="none" w:sz="0" w:space="0" w:color="auto"/>
              </w:divBdr>
            </w:div>
          </w:divsChild>
        </w:div>
        <w:div w:id="1582988392">
          <w:marLeft w:val="0"/>
          <w:marRight w:val="0"/>
          <w:marTop w:val="0"/>
          <w:marBottom w:val="0"/>
          <w:divBdr>
            <w:top w:val="none" w:sz="0" w:space="0" w:color="auto"/>
            <w:left w:val="none" w:sz="0" w:space="0" w:color="auto"/>
            <w:bottom w:val="none" w:sz="0" w:space="0" w:color="auto"/>
            <w:right w:val="none" w:sz="0" w:space="0" w:color="auto"/>
          </w:divBdr>
        </w:div>
        <w:div w:id="1071662467">
          <w:marLeft w:val="0"/>
          <w:marRight w:val="0"/>
          <w:marTop w:val="0"/>
          <w:marBottom w:val="0"/>
          <w:divBdr>
            <w:top w:val="none" w:sz="0" w:space="0" w:color="auto"/>
            <w:left w:val="none" w:sz="0" w:space="0" w:color="auto"/>
            <w:bottom w:val="none" w:sz="0" w:space="0" w:color="auto"/>
            <w:right w:val="none" w:sz="0" w:space="0" w:color="auto"/>
          </w:divBdr>
        </w:div>
        <w:div w:id="1504661250">
          <w:marLeft w:val="0"/>
          <w:marRight w:val="0"/>
          <w:marTop w:val="0"/>
          <w:marBottom w:val="0"/>
          <w:divBdr>
            <w:top w:val="none" w:sz="0" w:space="0" w:color="auto"/>
            <w:left w:val="none" w:sz="0" w:space="0" w:color="auto"/>
            <w:bottom w:val="none" w:sz="0" w:space="0" w:color="auto"/>
            <w:right w:val="none" w:sz="0" w:space="0" w:color="auto"/>
          </w:divBdr>
          <w:divsChild>
            <w:div w:id="1546717227">
              <w:marLeft w:val="0"/>
              <w:marRight w:val="0"/>
              <w:marTop w:val="0"/>
              <w:marBottom w:val="0"/>
              <w:divBdr>
                <w:top w:val="none" w:sz="0" w:space="0" w:color="auto"/>
                <w:left w:val="none" w:sz="0" w:space="0" w:color="auto"/>
                <w:bottom w:val="none" w:sz="0" w:space="0" w:color="auto"/>
                <w:right w:val="none" w:sz="0" w:space="0" w:color="auto"/>
              </w:divBdr>
            </w:div>
          </w:divsChild>
        </w:div>
        <w:div w:id="743722030">
          <w:marLeft w:val="0"/>
          <w:marRight w:val="0"/>
          <w:marTop w:val="0"/>
          <w:marBottom w:val="0"/>
          <w:divBdr>
            <w:top w:val="none" w:sz="0" w:space="0" w:color="auto"/>
            <w:left w:val="none" w:sz="0" w:space="0" w:color="auto"/>
            <w:bottom w:val="none" w:sz="0" w:space="0" w:color="auto"/>
            <w:right w:val="none" w:sz="0" w:space="0" w:color="auto"/>
          </w:divBdr>
        </w:div>
        <w:div w:id="281427109">
          <w:marLeft w:val="0"/>
          <w:marRight w:val="0"/>
          <w:marTop w:val="0"/>
          <w:marBottom w:val="0"/>
          <w:divBdr>
            <w:top w:val="none" w:sz="0" w:space="0" w:color="auto"/>
            <w:left w:val="none" w:sz="0" w:space="0" w:color="auto"/>
            <w:bottom w:val="none" w:sz="0" w:space="0" w:color="auto"/>
            <w:right w:val="none" w:sz="0" w:space="0" w:color="auto"/>
          </w:divBdr>
        </w:div>
        <w:div w:id="696196536">
          <w:marLeft w:val="0"/>
          <w:marRight w:val="0"/>
          <w:marTop w:val="0"/>
          <w:marBottom w:val="0"/>
          <w:divBdr>
            <w:top w:val="none" w:sz="0" w:space="0" w:color="auto"/>
            <w:left w:val="none" w:sz="0" w:space="0" w:color="auto"/>
            <w:bottom w:val="none" w:sz="0" w:space="0" w:color="auto"/>
            <w:right w:val="none" w:sz="0" w:space="0" w:color="auto"/>
          </w:divBdr>
          <w:divsChild>
            <w:div w:id="726100837">
              <w:marLeft w:val="0"/>
              <w:marRight w:val="0"/>
              <w:marTop w:val="0"/>
              <w:marBottom w:val="0"/>
              <w:divBdr>
                <w:top w:val="none" w:sz="0" w:space="0" w:color="auto"/>
                <w:left w:val="none" w:sz="0" w:space="0" w:color="auto"/>
                <w:bottom w:val="none" w:sz="0" w:space="0" w:color="auto"/>
                <w:right w:val="none" w:sz="0" w:space="0" w:color="auto"/>
              </w:divBdr>
            </w:div>
          </w:divsChild>
        </w:div>
        <w:div w:id="853418244">
          <w:marLeft w:val="0"/>
          <w:marRight w:val="0"/>
          <w:marTop w:val="0"/>
          <w:marBottom w:val="0"/>
          <w:divBdr>
            <w:top w:val="none" w:sz="0" w:space="0" w:color="auto"/>
            <w:left w:val="none" w:sz="0" w:space="0" w:color="auto"/>
            <w:bottom w:val="none" w:sz="0" w:space="0" w:color="auto"/>
            <w:right w:val="none" w:sz="0" w:space="0" w:color="auto"/>
          </w:divBdr>
        </w:div>
        <w:div w:id="952787312">
          <w:marLeft w:val="0"/>
          <w:marRight w:val="0"/>
          <w:marTop w:val="0"/>
          <w:marBottom w:val="0"/>
          <w:divBdr>
            <w:top w:val="none" w:sz="0" w:space="0" w:color="auto"/>
            <w:left w:val="none" w:sz="0" w:space="0" w:color="auto"/>
            <w:bottom w:val="none" w:sz="0" w:space="0" w:color="auto"/>
            <w:right w:val="none" w:sz="0" w:space="0" w:color="auto"/>
          </w:divBdr>
        </w:div>
        <w:div w:id="332608492">
          <w:marLeft w:val="0"/>
          <w:marRight w:val="0"/>
          <w:marTop w:val="0"/>
          <w:marBottom w:val="0"/>
          <w:divBdr>
            <w:top w:val="none" w:sz="0" w:space="0" w:color="auto"/>
            <w:left w:val="none" w:sz="0" w:space="0" w:color="auto"/>
            <w:bottom w:val="none" w:sz="0" w:space="0" w:color="auto"/>
            <w:right w:val="none" w:sz="0" w:space="0" w:color="auto"/>
          </w:divBdr>
          <w:divsChild>
            <w:div w:id="975138070">
              <w:marLeft w:val="0"/>
              <w:marRight w:val="0"/>
              <w:marTop w:val="0"/>
              <w:marBottom w:val="0"/>
              <w:divBdr>
                <w:top w:val="none" w:sz="0" w:space="0" w:color="auto"/>
                <w:left w:val="none" w:sz="0" w:space="0" w:color="auto"/>
                <w:bottom w:val="none" w:sz="0" w:space="0" w:color="auto"/>
                <w:right w:val="none" w:sz="0" w:space="0" w:color="auto"/>
              </w:divBdr>
            </w:div>
          </w:divsChild>
        </w:div>
        <w:div w:id="1939755798">
          <w:marLeft w:val="0"/>
          <w:marRight w:val="0"/>
          <w:marTop w:val="0"/>
          <w:marBottom w:val="0"/>
          <w:divBdr>
            <w:top w:val="none" w:sz="0" w:space="0" w:color="auto"/>
            <w:left w:val="none" w:sz="0" w:space="0" w:color="auto"/>
            <w:bottom w:val="none" w:sz="0" w:space="0" w:color="auto"/>
            <w:right w:val="none" w:sz="0" w:space="0" w:color="auto"/>
          </w:divBdr>
        </w:div>
        <w:div w:id="345138415">
          <w:marLeft w:val="0"/>
          <w:marRight w:val="0"/>
          <w:marTop w:val="0"/>
          <w:marBottom w:val="0"/>
          <w:divBdr>
            <w:top w:val="none" w:sz="0" w:space="0" w:color="auto"/>
            <w:left w:val="none" w:sz="0" w:space="0" w:color="auto"/>
            <w:bottom w:val="none" w:sz="0" w:space="0" w:color="auto"/>
            <w:right w:val="none" w:sz="0" w:space="0" w:color="auto"/>
          </w:divBdr>
        </w:div>
        <w:div w:id="2058316404">
          <w:marLeft w:val="0"/>
          <w:marRight w:val="0"/>
          <w:marTop w:val="0"/>
          <w:marBottom w:val="0"/>
          <w:divBdr>
            <w:top w:val="none" w:sz="0" w:space="0" w:color="auto"/>
            <w:left w:val="none" w:sz="0" w:space="0" w:color="auto"/>
            <w:bottom w:val="none" w:sz="0" w:space="0" w:color="auto"/>
            <w:right w:val="none" w:sz="0" w:space="0" w:color="auto"/>
          </w:divBdr>
          <w:divsChild>
            <w:div w:id="1436485208">
              <w:marLeft w:val="0"/>
              <w:marRight w:val="0"/>
              <w:marTop w:val="0"/>
              <w:marBottom w:val="0"/>
              <w:divBdr>
                <w:top w:val="none" w:sz="0" w:space="0" w:color="auto"/>
                <w:left w:val="none" w:sz="0" w:space="0" w:color="auto"/>
                <w:bottom w:val="none" w:sz="0" w:space="0" w:color="auto"/>
                <w:right w:val="none" w:sz="0" w:space="0" w:color="auto"/>
              </w:divBdr>
            </w:div>
          </w:divsChild>
        </w:div>
        <w:div w:id="332145323">
          <w:marLeft w:val="0"/>
          <w:marRight w:val="0"/>
          <w:marTop w:val="0"/>
          <w:marBottom w:val="0"/>
          <w:divBdr>
            <w:top w:val="none" w:sz="0" w:space="0" w:color="auto"/>
            <w:left w:val="none" w:sz="0" w:space="0" w:color="auto"/>
            <w:bottom w:val="none" w:sz="0" w:space="0" w:color="auto"/>
            <w:right w:val="none" w:sz="0" w:space="0" w:color="auto"/>
          </w:divBdr>
        </w:div>
        <w:div w:id="2074615538">
          <w:marLeft w:val="0"/>
          <w:marRight w:val="0"/>
          <w:marTop w:val="0"/>
          <w:marBottom w:val="0"/>
          <w:divBdr>
            <w:top w:val="none" w:sz="0" w:space="0" w:color="auto"/>
            <w:left w:val="none" w:sz="0" w:space="0" w:color="auto"/>
            <w:bottom w:val="none" w:sz="0" w:space="0" w:color="auto"/>
            <w:right w:val="none" w:sz="0" w:space="0" w:color="auto"/>
          </w:divBdr>
        </w:div>
        <w:div w:id="1009522202">
          <w:marLeft w:val="0"/>
          <w:marRight w:val="0"/>
          <w:marTop w:val="0"/>
          <w:marBottom w:val="0"/>
          <w:divBdr>
            <w:top w:val="none" w:sz="0" w:space="0" w:color="auto"/>
            <w:left w:val="none" w:sz="0" w:space="0" w:color="auto"/>
            <w:bottom w:val="none" w:sz="0" w:space="0" w:color="auto"/>
            <w:right w:val="none" w:sz="0" w:space="0" w:color="auto"/>
          </w:divBdr>
        </w:div>
        <w:div w:id="1665663240">
          <w:marLeft w:val="0"/>
          <w:marRight w:val="0"/>
          <w:marTop w:val="0"/>
          <w:marBottom w:val="0"/>
          <w:divBdr>
            <w:top w:val="none" w:sz="0" w:space="0" w:color="auto"/>
            <w:left w:val="none" w:sz="0" w:space="0" w:color="auto"/>
            <w:bottom w:val="none" w:sz="0" w:space="0" w:color="auto"/>
            <w:right w:val="none" w:sz="0" w:space="0" w:color="auto"/>
          </w:divBdr>
        </w:div>
        <w:div w:id="215824190">
          <w:marLeft w:val="0"/>
          <w:marRight w:val="0"/>
          <w:marTop w:val="0"/>
          <w:marBottom w:val="0"/>
          <w:divBdr>
            <w:top w:val="none" w:sz="0" w:space="0" w:color="auto"/>
            <w:left w:val="none" w:sz="0" w:space="0" w:color="auto"/>
            <w:bottom w:val="none" w:sz="0" w:space="0" w:color="auto"/>
            <w:right w:val="none" w:sz="0" w:space="0" w:color="auto"/>
          </w:divBdr>
        </w:div>
        <w:div w:id="1720129756">
          <w:marLeft w:val="0"/>
          <w:marRight w:val="0"/>
          <w:marTop w:val="0"/>
          <w:marBottom w:val="0"/>
          <w:divBdr>
            <w:top w:val="none" w:sz="0" w:space="0" w:color="auto"/>
            <w:left w:val="none" w:sz="0" w:space="0" w:color="auto"/>
            <w:bottom w:val="none" w:sz="0" w:space="0" w:color="auto"/>
            <w:right w:val="none" w:sz="0" w:space="0" w:color="auto"/>
          </w:divBdr>
        </w:div>
      </w:divsChild>
    </w:div>
    <w:div w:id="1187523675">
      <w:bodyDiv w:val="1"/>
      <w:marLeft w:val="0"/>
      <w:marRight w:val="0"/>
      <w:marTop w:val="0"/>
      <w:marBottom w:val="0"/>
      <w:divBdr>
        <w:top w:val="none" w:sz="0" w:space="0" w:color="auto"/>
        <w:left w:val="none" w:sz="0" w:space="0" w:color="auto"/>
        <w:bottom w:val="none" w:sz="0" w:space="0" w:color="auto"/>
        <w:right w:val="none" w:sz="0" w:space="0" w:color="auto"/>
      </w:divBdr>
      <w:divsChild>
        <w:div w:id="1314026446">
          <w:marLeft w:val="0"/>
          <w:marRight w:val="0"/>
          <w:marTop w:val="75"/>
          <w:marBottom w:val="0"/>
          <w:divBdr>
            <w:top w:val="none" w:sz="0" w:space="0" w:color="auto"/>
            <w:left w:val="none" w:sz="0" w:space="0" w:color="auto"/>
            <w:bottom w:val="none" w:sz="0" w:space="0" w:color="auto"/>
            <w:right w:val="none" w:sz="0" w:space="0" w:color="auto"/>
          </w:divBdr>
          <w:divsChild>
            <w:div w:id="1489705622">
              <w:marLeft w:val="0"/>
              <w:marRight w:val="0"/>
              <w:marTop w:val="0"/>
              <w:marBottom w:val="0"/>
              <w:divBdr>
                <w:top w:val="none" w:sz="0" w:space="0" w:color="auto"/>
                <w:left w:val="none" w:sz="0" w:space="0" w:color="auto"/>
                <w:bottom w:val="none" w:sz="0" w:space="0" w:color="auto"/>
                <w:right w:val="none" w:sz="0" w:space="0" w:color="auto"/>
              </w:divBdr>
            </w:div>
            <w:div w:id="235555867">
              <w:marLeft w:val="0"/>
              <w:marRight w:val="0"/>
              <w:marTop w:val="0"/>
              <w:marBottom w:val="0"/>
              <w:divBdr>
                <w:top w:val="none" w:sz="0" w:space="0" w:color="auto"/>
                <w:left w:val="none" w:sz="0" w:space="0" w:color="auto"/>
                <w:bottom w:val="none" w:sz="0" w:space="0" w:color="auto"/>
                <w:right w:val="none" w:sz="0" w:space="0" w:color="auto"/>
              </w:divBdr>
            </w:div>
          </w:divsChild>
        </w:div>
        <w:div w:id="1103382375">
          <w:marLeft w:val="0"/>
          <w:marRight w:val="0"/>
          <w:marTop w:val="0"/>
          <w:marBottom w:val="150"/>
          <w:divBdr>
            <w:top w:val="none" w:sz="0" w:space="0" w:color="auto"/>
            <w:left w:val="none" w:sz="0" w:space="0" w:color="auto"/>
            <w:bottom w:val="single" w:sz="6" w:space="0" w:color="CCCCCC"/>
            <w:right w:val="none" w:sz="0" w:space="0" w:color="auto"/>
          </w:divBdr>
          <w:divsChild>
            <w:div w:id="1075515498">
              <w:marLeft w:val="300"/>
              <w:marRight w:val="0"/>
              <w:marTop w:val="0"/>
              <w:marBottom w:val="450"/>
              <w:divBdr>
                <w:top w:val="none" w:sz="0" w:space="0" w:color="auto"/>
                <w:left w:val="none" w:sz="0" w:space="0" w:color="auto"/>
                <w:bottom w:val="none" w:sz="0" w:space="0" w:color="auto"/>
                <w:right w:val="none" w:sz="0" w:space="0" w:color="auto"/>
              </w:divBdr>
            </w:div>
          </w:divsChild>
        </w:div>
        <w:div w:id="1738091518">
          <w:marLeft w:val="0"/>
          <w:marRight w:val="0"/>
          <w:marTop w:val="0"/>
          <w:marBottom w:val="0"/>
          <w:divBdr>
            <w:top w:val="none" w:sz="0" w:space="0" w:color="auto"/>
            <w:left w:val="none" w:sz="0" w:space="0" w:color="auto"/>
            <w:bottom w:val="none" w:sz="0" w:space="0" w:color="auto"/>
            <w:right w:val="none" w:sz="0" w:space="0" w:color="auto"/>
          </w:divBdr>
          <w:divsChild>
            <w:div w:id="1936396763">
              <w:marLeft w:val="0"/>
              <w:marRight w:val="0"/>
              <w:marTop w:val="0"/>
              <w:marBottom w:val="0"/>
              <w:divBdr>
                <w:top w:val="none" w:sz="0" w:space="0" w:color="auto"/>
                <w:left w:val="none" w:sz="0" w:space="0" w:color="auto"/>
                <w:bottom w:val="none" w:sz="0" w:space="0" w:color="auto"/>
                <w:right w:val="none" w:sz="0" w:space="0" w:color="auto"/>
              </w:divBdr>
              <w:divsChild>
                <w:div w:id="1499224297">
                  <w:marLeft w:val="0"/>
                  <w:marRight w:val="0"/>
                  <w:marTop w:val="0"/>
                  <w:marBottom w:val="0"/>
                  <w:divBdr>
                    <w:top w:val="none" w:sz="0" w:space="0" w:color="auto"/>
                    <w:left w:val="none" w:sz="0" w:space="0" w:color="auto"/>
                    <w:bottom w:val="none" w:sz="0" w:space="0" w:color="auto"/>
                    <w:right w:val="none" w:sz="0" w:space="0" w:color="auto"/>
                  </w:divBdr>
                </w:div>
              </w:divsChild>
            </w:div>
            <w:div w:id="1646548303">
              <w:marLeft w:val="0"/>
              <w:marRight w:val="0"/>
              <w:marTop w:val="0"/>
              <w:marBottom w:val="0"/>
              <w:divBdr>
                <w:top w:val="none" w:sz="0" w:space="0" w:color="auto"/>
                <w:left w:val="none" w:sz="0" w:space="0" w:color="auto"/>
                <w:bottom w:val="none" w:sz="0" w:space="0" w:color="auto"/>
                <w:right w:val="none" w:sz="0" w:space="0" w:color="auto"/>
              </w:divBdr>
              <w:divsChild>
                <w:div w:id="2145848539">
                  <w:marLeft w:val="0"/>
                  <w:marRight w:val="0"/>
                  <w:marTop w:val="0"/>
                  <w:marBottom w:val="0"/>
                  <w:divBdr>
                    <w:top w:val="none" w:sz="0" w:space="0" w:color="auto"/>
                    <w:left w:val="none" w:sz="0" w:space="0" w:color="auto"/>
                    <w:bottom w:val="none" w:sz="0" w:space="0" w:color="auto"/>
                    <w:right w:val="none" w:sz="0" w:space="0" w:color="auto"/>
                  </w:divBdr>
                </w:div>
                <w:div w:id="478108044">
                  <w:marLeft w:val="0"/>
                  <w:marRight w:val="0"/>
                  <w:marTop w:val="0"/>
                  <w:marBottom w:val="0"/>
                  <w:divBdr>
                    <w:top w:val="none" w:sz="0" w:space="0" w:color="auto"/>
                    <w:left w:val="none" w:sz="0" w:space="0" w:color="auto"/>
                    <w:bottom w:val="none" w:sz="0" w:space="0" w:color="auto"/>
                    <w:right w:val="none" w:sz="0" w:space="0" w:color="auto"/>
                  </w:divBdr>
                  <w:divsChild>
                    <w:div w:id="69600565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18695062">
              <w:marLeft w:val="0"/>
              <w:marRight w:val="0"/>
              <w:marTop w:val="0"/>
              <w:marBottom w:val="0"/>
              <w:divBdr>
                <w:top w:val="none" w:sz="0" w:space="0" w:color="auto"/>
                <w:left w:val="none" w:sz="0" w:space="0" w:color="auto"/>
                <w:bottom w:val="none" w:sz="0" w:space="0" w:color="auto"/>
                <w:right w:val="none" w:sz="0" w:space="0" w:color="auto"/>
              </w:divBdr>
              <w:divsChild>
                <w:div w:id="1265916023">
                  <w:marLeft w:val="0"/>
                  <w:marRight w:val="0"/>
                  <w:marTop w:val="0"/>
                  <w:marBottom w:val="0"/>
                  <w:divBdr>
                    <w:top w:val="none" w:sz="0" w:space="0" w:color="auto"/>
                    <w:left w:val="none" w:sz="0" w:space="0" w:color="auto"/>
                    <w:bottom w:val="none" w:sz="0" w:space="0" w:color="auto"/>
                    <w:right w:val="none" w:sz="0" w:space="0" w:color="auto"/>
                  </w:divBdr>
                </w:div>
                <w:div w:id="159586866">
                  <w:marLeft w:val="0"/>
                  <w:marRight w:val="0"/>
                  <w:marTop w:val="0"/>
                  <w:marBottom w:val="0"/>
                  <w:divBdr>
                    <w:top w:val="none" w:sz="0" w:space="0" w:color="auto"/>
                    <w:left w:val="none" w:sz="0" w:space="0" w:color="auto"/>
                    <w:bottom w:val="none" w:sz="0" w:space="0" w:color="auto"/>
                    <w:right w:val="none" w:sz="0" w:space="0" w:color="auto"/>
                  </w:divBdr>
                  <w:divsChild>
                    <w:div w:id="1910387159">
                      <w:marLeft w:val="300"/>
                      <w:marRight w:val="0"/>
                      <w:marTop w:val="0"/>
                      <w:marBottom w:val="0"/>
                      <w:divBdr>
                        <w:top w:val="none" w:sz="0" w:space="0" w:color="auto"/>
                        <w:left w:val="none" w:sz="0" w:space="0" w:color="auto"/>
                        <w:bottom w:val="none" w:sz="0" w:space="0" w:color="auto"/>
                        <w:right w:val="none" w:sz="0" w:space="0" w:color="auto"/>
                      </w:divBdr>
                    </w:div>
                  </w:divsChild>
                </w:div>
                <w:div w:id="1405451321">
                  <w:marLeft w:val="0"/>
                  <w:marRight w:val="0"/>
                  <w:marTop w:val="0"/>
                  <w:marBottom w:val="0"/>
                  <w:divBdr>
                    <w:top w:val="none" w:sz="0" w:space="0" w:color="auto"/>
                    <w:left w:val="none" w:sz="0" w:space="0" w:color="auto"/>
                    <w:bottom w:val="none" w:sz="0" w:space="0" w:color="auto"/>
                    <w:right w:val="none" w:sz="0" w:space="0" w:color="auto"/>
                  </w:divBdr>
                  <w:divsChild>
                    <w:div w:id="254438069">
                      <w:marLeft w:val="300"/>
                      <w:marRight w:val="0"/>
                      <w:marTop w:val="0"/>
                      <w:marBottom w:val="0"/>
                      <w:divBdr>
                        <w:top w:val="none" w:sz="0" w:space="0" w:color="auto"/>
                        <w:left w:val="none" w:sz="0" w:space="0" w:color="auto"/>
                        <w:bottom w:val="none" w:sz="0" w:space="0" w:color="auto"/>
                        <w:right w:val="none" w:sz="0" w:space="0" w:color="auto"/>
                      </w:divBdr>
                    </w:div>
                  </w:divsChild>
                </w:div>
                <w:div w:id="1956909888">
                  <w:marLeft w:val="0"/>
                  <w:marRight w:val="0"/>
                  <w:marTop w:val="0"/>
                  <w:marBottom w:val="0"/>
                  <w:divBdr>
                    <w:top w:val="none" w:sz="0" w:space="0" w:color="auto"/>
                    <w:left w:val="none" w:sz="0" w:space="0" w:color="auto"/>
                    <w:bottom w:val="none" w:sz="0" w:space="0" w:color="auto"/>
                    <w:right w:val="none" w:sz="0" w:space="0" w:color="auto"/>
                  </w:divBdr>
                  <w:divsChild>
                    <w:div w:id="1233538864">
                      <w:marLeft w:val="300"/>
                      <w:marRight w:val="0"/>
                      <w:marTop w:val="0"/>
                      <w:marBottom w:val="0"/>
                      <w:divBdr>
                        <w:top w:val="none" w:sz="0" w:space="0" w:color="auto"/>
                        <w:left w:val="none" w:sz="0" w:space="0" w:color="auto"/>
                        <w:bottom w:val="none" w:sz="0" w:space="0" w:color="auto"/>
                        <w:right w:val="none" w:sz="0" w:space="0" w:color="auto"/>
                      </w:divBdr>
                    </w:div>
                  </w:divsChild>
                </w:div>
                <w:div w:id="511141765">
                  <w:marLeft w:val="0"/>
                  <w:marRight w:val="0"/>
                  <w:marTop w:val="0"/>
                  <w:marBottom w:val="0"/>
                  <w:divBdr>
                    <w:top w:val="none" w:sz="0" w:space="0" w:color="auto"/>
                    <w:left w:val="none" w:sz="0" w:space="0" w:color="auto"/>
                    <w:bottom w:val="none" w:sz="0" w:space="0" w:color="auto"/>
                    <w:right w:val="none" w:sz="0" w:space="0" w:color="auto"/>
                  </w:divBdr>
                  <w:divsChild>
                    <w:div w:id="2037462280">
                      <w:marLeft w:val="300"/>
                      <w:marRight w:val="0"/>
                      <w:marTop w:val="0"/>
                      <w:marBottom w:val="0"/>
                      <w:divBdr>
                        <w:top w:val="none" w:sz="0" w:space="0" w:color="auto"/>
                        <w:left w:val="none" w:sz="0" w:space="0" w:color="auto"/>
                        <w:bottom w:val="none" w:sz="0" w:space="0" w:color="auto"/>
                        <w:right w:val="none" w:sz="0" w:space="0" w:color="auto"/>
                      </w:divBdr>
                    </w:div>
                  </w:divsChild>
                </w:div>
                <w:div w:id="857548079">
                  <w:marLeft w:val="0"/>
                  <w:marRight w:val="0"/>
                  <w:marTop w:val="0"/>
                  <w:marBottom w:val="0"/>
                  <w:divBdr>
                    <w:top w:val="none" w:sz="0" w:space="0" w:color="auto"/>
                    <w:left w:val="none" w:sz="0" w:space="0" w:color="auto"/>
                    <w:bottom w:val="none" w:sz="0" w:space="0" w:color="auto"/>
                    <w:right w:val="none" w:sz="0" w:space="0" w:color="auto"/>
                  </w:divBdr>
                  <w:divsChild>
                    <w:div w:id="203969949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308046880">
              <w:marLeft w:val="0"/>
              <w:marRight w:val="0"/>
              <w:marTop w:val="0"/>
              <w:marBottom w:val="0"/>
              <w:divBdr>
                <w:top w:val="none" w:sz="0" w:space="0" w:color="auto"/>
                <w:left w:val="none" w:sz="0" w:space="0" w:color="auto"/>
                <w:bottom w:val="none" w:sz="0" w:space="0" w:color="auto"/>
                <w:right w:val="none" w:sz="0" w:space="0" w:color="auto"/>
              </w:divBdr>
              <w:divsChild>
                <w:div w:id="558252155">
                  <w:marLeft w:val="0"/>
                  <w:marRight w:val="0"/>
                  <w:marTop w:val="0"/>
                  <w:marBottom w:val="0"/>
                  <w:divBdr>
                    <w:top w:val="none" w:sz="0" w:space="0" w:color="auto"/>
                    <w:left w:val="none" w:sz="0" w:space="0" w:color="auto"/>
                    <w:bottom w:val="none" w:sz="0" w:space="0" w:color="auto"/>
                    <w:right w:val="none" w:sz="0" w:space="0" w:color="auto"/>
                  </w:divBdr>
                </w:div>
              </w:divsChild>
            </w:div>
            <w:div w:id="1858888105">
              <w:marLeft w:val="0"/>
              <w:marRight w:val="0"/>
              <w:marTop w:val="0"/>
              <w:marBottom w:val="0"/>
              <w:divBdr>
                <w:top w:val="none" w:sz="0" w:space="0" w:color="auto"/>
                <w:left w:val="none" w:sz="0" w:space="0" w:color="auto"/>
                <w:bottom w:val="none" w:sz="0" w:space="0" w:color="auto"/>
                <w:right w:val="none" w:sz="0" w:space="0" w:color="auto"/>
              </w:divBdr>
              <w:divsChild>
                <w:div w:id="235940696">
                  <w:marLeft w:val="0"/>
                  <w:marRight w:val="0"/>
                  <w:marTop w:val="0"/>
                  <w:marBottom w:val="0"/>
                  <w:divBdr>
                    <w:top w:val="none" w:sz="0" w:space="0" w:color="auto"/>
                    <w:left w:val="none" w:sz="0" w:space="0" w:color="auto"/>
                    <w:bottom w:val="none" w:sz="0" w:space="0" w:color="auto"/>
                    <w:right w:val="none" w:sz="0" w:space="0" w:color="auto"/>
                  </w:divBdr>
                </w:div>
              </w:divsChild>
            </w:div>
            <w:div w:id="1966495703">
              <w:marLeft w:val="0"/>
              <w:marRight w:val="0"/>
              <w:marTop w:val="0"/>
              <w:marBottom w:val="0"/>
              <w:divBdr>
                <w:top w:val="none" w:sz="0" w:space="0" w:color="auto"/>
                <w:left w:val="none" w:sz="0" w:space="0" w:color="auto"/>
                <w:bottom w:val="none" w:sz="0" w:space="0" w:color="auto"/>
                <w:right w:val="none" w:sz="0" w:space="0" w:color="auto"/>
              </w:divBdr>
              <w:divsChild>
                <w:div w:id="1152717398">
                  <w:marLeft w:val="0"/>
                  <w:marRight w:val="0"/>
                  <w:marTop w:val="0"/>
                  <w:marBottom w:val="0"/>
                  <w:divBdr>
                    <w:top w:val="none" w:sz="0" w:space="0" w:color="auto"/>
                    <w:left w:val="none" w:sz="0" w:space="0" w:color="auto"/>
                    <w:bottom w:val="none" w:sz="0" w:space="0" w:color="auto"/>
                    <w:right w:val="none" w:sz="0" w:space="0" w:color="auto"/>
                  </w:divBdr>
                </w:div>
              </w:divsChild>
            </w:div>
            <w:div w:id="1669555096">
              <w:marLeft w:val="0"/>
              <w:marRight w:val="0"/>
              <w:marTop w:val="0"/>
              <w:marBottom w:val="0"/>
              <w:divBdr>
                <w:top w:val="none" w:sz="0" w:space="0" w:color="auto"/>
                <w:left w:val="none" w:sz="0" w:space="0" w:color="auto"/>
                <w:bottom w:val="none" w:sz="0" w:space="0" w:color="auto"/>
                <w:right w:val="none" w:sz="0" w:space="0" w:color="auto"/>
              </w:divBdr>
            </w:div>
            <w:div w:id="1364211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1184112">
      <w:bodyDiv w:val="1"/>
      <w:marLeft w:val="0"/>
      <w:marRight w:val="0"/>
      <w:marTop w:val="0"/>
      <w:marBottom w:val="0"/>
      <w:divBdr>
        <w:top w:val="none" w:sz="0" w:space="0" w:color="auto"/>
        <w:left w:val="none" w:sz="0" w:space="0" w:color="auto"/>
        <w:bottom w:val="none" w:sz="0" w:space="0" w:color="auto"/>
        <w:right w:val="none" w:sz="0" w:space="0" w:color="auto"/>
      </w:divBdr>
      <w:divsChild>
        <w:div w:id="329256868">
          <w:marLeft w:val="0"/>
          <w:marRight w:val="0"/>
          <w:marTop w:val="0"/>
          <w:marBottom w:val="0"/>
          <w:divBdr>
            <w:top w:val="none" w:sz="0" w:space="0" w:color="auto"/>
            <w:left w:val="none" w:sz="0" w:space="0" w:color="auto"/>
            <w:bottom w:val="none" w:sz="0" w:space="0" w:color="auto"/>
            <w:right w:val="none" w:sz="0" w:space="0" w:color="auto"/>
          </w:divBdr>
          <w:divsChild>
            <w:div w:id="820776257">
              <w:marLeft w:val="0"/>
              <w:marRight w:val="0"/>
              <w:marTop w:val="0"/>
              <w:marBottom w:val="0"/>
              <w:divBdr>
                <w:top w:val="none" w:sz="0" w:space="0" w:color="auto"/>
                <w:left w:val="none" w:sz="0" w:space="0" w:color="auto"/>
                <w:bottom w:val="none" w:sz="0" w:space="0" w:color="auto"/>
                <w:right w:val="none" w:sz="0" w:space="0" w:color="auto"/>
              </w:divBdr>
              <w:divsChild>
                <w:div w:id="1790200431">
                  <w:marLeft w:val="0"/>
                  <w:marRight w:val="0"/>
                  <w:marTop w:val="0"/>
                  <w:marBottom w:val="0"/>
                  <w:divBdr>
                    <w:top w:val="none" w:sz="0" w:space="0" w:color="auto"/>
                    <w:left w:val="none" w:sz="0" w:space="0" w:color="auto"/>
                    <w:bottom w:val="none" w:sz="0" w:space="0" w:color="auto"/>
                    <w:right w:val="none" w:sz="0" w:space="0" w:color="auto"/>
                  </w:divBdr>
                  <w:divsChild>
                    <w:div w:id="1802112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663644">
          <w:marLeft w:val="0"/>
          <w:marRight w:val="0"/>
          <w:marTop w:val="0"/>
          <w:marBottom w:val="0"/>
          <w:divBdr>
            <w:top w:val="none" w:sz="0" w:space="0" w:color="auto"/>
            <w:left w:val="none" w:sz="0" w:space="0" w:color="auto"/>
            <w:bottom w:val="none" w:sz="0" w:space="0" w:color="auto"/>
            <w:right w:val="none" w:sz="0" w:space="0" w:color="auto"/>
          </w:divBdr>
        </w:div>
        <w:div w:id="452865369">
          <w:marLeft w:val="0"/>
          <w:marRight w:val="0"/>
          <w:marTop w:val="0"/>
          <w:marBottom w:val="0"/>
          <w:divBdr>
            <w:top w:val="none" w:sz="0" w:space="0" w:color="auto"/>
            <w:left w:val="none" w:sz="0" w:space="0" w:color="auto"/>
            <w:bottom w:val="none" w:sz="0" w:space="0" w:color="auto"/>
            <w:right w:val="none" w:sz="0" w:space="0" w:color="auto"/>
          </w:divBdr>
          <w:divsChild>
            <w:div w:id="873350336">
              <w:marLeft w:val="0"/>
              <w:marRight w:val="0"/>
              <w:marTop w:val="0"/>
              <w:marBottom w:val="0"/>
              <w:divBdr>
                <w:top w:val="none" w:sz="0" w:space="0" w:color="auto"/>
                <w:left w:val="none" w:sz="0" w:space="0" w:color="auto"/>
                <w:bottom w:val="none" w:sz="0" w:space="0" w:color="auto"/>
                <w:right w:val="none" w:sz="0" w:space="0" w:color="auto"/>
              </w:divBdr>
              <w:divsChild>
                <w:div w:id="214392576">
                  <w:marLeft w:val="0"/>
                  <w:marRight w:val="0"/>
                  <w:marTop w:val="0"/>
                  <w:marBottom w:val="0"/>
                  <w:divBdr>
                    <w:top w:val="none" w:sz="0" w:space="0" w:color="auto"/>
                    <w:left w:val="none" w:sz="0" w:space="0" w:color="auto"/>
                    <w:bottom w:val="none" w:sz="0" w:space="0" w:color="auto"/>
                    <w:right w:val="none" w:sz="0" w:space="0" w:color="auto"/>
                  </w:divBdr>
                </w:div>
                <w:div w:id="747001999">
                  <w:marLeft w:val="0"/>
                  <w:marRight w:val="0"/>
                  <w:marTop w:val="0"/>
                  <w:marBottom w:val="0"/>
                  <w:divBdr>
                    <w:top w:val="none" w:sz="0" w:space="0" w:color="auto"/>
                    <w:left w:val="none" w:sz="0" w:space="0" w:color="auto"/>
                    <w:bottom w:val="none" w:sz="0" w:space="0" w:color="auto"/>
                    <w:right w:val="none" w:sz="0" w:space="0" w:color="auto"/>
                  </w:divBdr>
                </w:div>
                <w:div w:id="1873108640">
                  <w:marLeft w:val="0"/>
                  <w:marRight w:val="0"/>
                  <w:marTop w:val="0"/>
                  <w:marBottom w:val="0"/>
                  <w:divBdr>
                    <w:top w:val="none" w:sz="0" w:space="0" w:color="auto"/>
                    <w:left w:val="none" w:sz="0" w:space="0" w:color="auto"/>
                    <w:bottom w:val="none" w:sz="0" w:space="0" w:color="auto"/>
                    <w:right w:val="none" w:sz="0" w:space="0" w:color="auto"/>
                  </w:divBdr>
                  <w:divsChild>
                    <w:div w:id="38214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3333360">
              <w:marLeft w:val="0"/>
              <w:marRight w:val="0"/>
              <w:marTop w:val="0"/>
              <w:marBottom w:val="0"/>
              <w:divBdr>
                <w:top w:val="none" w:sz="0" w:space="0" w:color="auto"/>
                <w:left w:val="none" w:sz="0" w:space="0" w:color="auto"/>
                <w:bottom w:val="none" w:sz="0" w:space="0" w:color="auto"/>
                <w:right w:val="none" w:sz="0" w:space="0" w:color="auto"/>
              </w:divBdr>
              <w:divsChild>
                <w:div w:id="88433535">
                  <w:marLeft w:val="0"/>
                  <w:marRight w:val="0"/>
                  <w:marTop w:val="0"/>
                  <w:marBottom w:val="0"/>
                  <w:divBdr>
                    <w:top w:val="none" w:sz="0" w:space="0" w:color="auto"/>
                    <w:left w:val="none" w:sz="0" w:space="0" w:color="auto"/>
                    <w:bottom w:val="none" w:sz="0" w:space="0" w:color="auto"/>
                    <w:right w:val="none" w:sz="0" w:space="0" w:color="auto"/>
                  </w:divBdr>
                </w:div>
                <w:div w:id="415829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8973723">
      <w:bodyDiv w:val="1"/>
      <w:marLeft w:val="0"/>
      <w:marRight w:val="0"/>
      <w:marTop w:val="0"/>
      <w:marBottom w:val="0"/>
      <w:divBdr>
        <w:top w:val="none" w:sz="0" w:space="0" w:color="auto"/>
        <w:left w:val="none" w:sz="0" w:space="0" w:color="auto"/>
        <w:bottom w:val="none" w:sz="0" w:space="0" w:color="auto"/>
        <w:right w:val="none" w:sz="0" w:space="0" w:color="auto"/>
      </w:divBdr>
      <w:divsChild>
        <w:div w:id="564336371">
          <w:marLeft w:val="0"/>
          <w:marRight w:val="0"/>
          <w:marTop w:val="150"/>
          <w:marBottom w:val="0"/>
          <w:divBdr>
            <w:top w:val="none" w:sz="0" w:space="0" w:color="auto"/>
            <w:left w:val="none" w:sz="0" w:space="0" w:color="auto"/>
            <w:bottom w:val="none" w:sz="0" w:space="0" w:color="auto"/>
            <w:right w:val="none" w:sz="0" w:space="0" w:color="auto"/>
          </w:divBdr>
          <w:divsChild>
            <w:div w:id="126166009">
              <w:marLeft w:val="0"/>
              <w:marRight w:val="0"/>
              <w:marTop w:val="0"/>
              <w:marBottom w:val="0"/>
              <w:divBdr>
                <w:top w:val="none" w:sz="0" w:space="0" w:color="auto"/>
                <w:left w:val="none" w:sz="0" w:space="0" w:color="auto"/>
                <w:bottom w:val="none" w:sz="0" w:space="0" w:color="auto"/>
                <w:right w:val="none" w:sz="0" w:space="0" w:color="auto"/>
              </w:divBdr>
            </w:div>
            <w:div w:id="447504768">
              <w:marLeft w:val="0"/>
              <w:marRight w:val="0"/>
              <w:marTop w:val="0"/>
              <w:marBottom w:val="0"/>
              <w:divBdr>
                <w:top w:val="none" w:sz="0" w:space="0" w:color="auto"/>
                <w:left w:val="none" w:sz="0" w:space="0" w:color="auto"/>
                <w:bottom w:val="none" w:sz="0" w:space="0" w:color="auto"/>
                <w:right w:val="none" w:sz="0" w:space="0" w:color="auto"/>
              </w:divBdr>
            </w:div>
          </w:divsChild>
        </w:div>
        <w:div w:id="1173104321">
          <w:marLeft w:val="0"/>
          <w:marRight w:val="0"/>
          <w:marTop w:val="0"/>
          <w:marBottom w:val="0"/>
          <w:divBdr>
            <w:top w:val="none" w:sz="0" w:space="0" w:color="auto"/>
            <w:left w:val="none" w:sz="0" w:space="0" w:color="auto"/>
            <w:bottom w:val="none" w:sz="0" w:space="0" w:color="auto"/>
            <w:right w:val="none" w:sz="0" w:space="0" w:color="auto"/>
          </w:divBdr>
          <w:divsChild>
            <w:div w:id="30738701">
              <w:marLeft w:val="0"/>
              <w:marRight w:val="0"/>
              <w:marTop w:val="0"/>
              <w:marBottom w:val="0"/>
              <w:divBdr>
                <w:top w:val="none" w:sz="0" w:space="0" w:color="auto"/>
                <w:left w:val="none" w:sz="0" w:space="0" w:color="auto"/>
                <w:bottom w:val="none" w:sz="0" w:space="0" w:color="auto"/>
                <w:right w:val="none" w:sz="0" w:space="0" w:color="auto"/>
              </w:divBdr>
              <w:divsChild>
                <w:div w:id="807936696">
                  <w:marLeft w:val="0"/>
                  <w:marRight w:val="0"/>
                  <w:marTop w:val="0"/>
                  <w:marBottom w:val="0"/>
                  <w:divBdr>
                    <w:top w:val="none" w:sz="0" w:space="0" w:color="auto"/>
                    <w:left w:val="none" w:sz="0" w:space="0" w:color="auto"/>
                    <w:bottom w:val="none" w:sz="0" w:space="0" w:color="auto"/>
                    <w:right w:val="none" w:sz="0" w:space="0" w:color="auto"/>
                  </w:divBdr>
                  <w:divsChild>
                    <w:div w:id="2132938450">
                      <w:marLeft w:val="0"/>
                      <w:marRight w:val="0"/>
                      <w:marTop w:val="0"/>
                      <w:marBottom w:val="0"/>
                      <w:divBdr>
                        <w:top w:val="none" w:sz="0" w:space="0" w:color="auto"/>
                        <w:left w:val="none" w:sz="0" w:space="0" w:color="auto"/>
                        <w:bottom w:val="none" w:sz="0" w:space="0" w:color="auto"/>
                        <w:right w:val="none" w:sz="0" w:space="0" w:color="auto"/>
                      </w:divBdr>
                    </w:div>
                    <w:div w:id="480270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4021844">
      <w:bodyDiv w:val="1"/>
      <w:marLeft w:val="0"/>
      <w:marRight w:val="0"/>
      <w:marTop w:val="0"/>
      <w:marBottom w:val="0"/>
      <w:divBdr>
        <w:top w:val="none" w:sz="0" w:space="0" w:color="auto"/>
        <w:left w:val="none" w:sz="0" w:space="0" w:color="auto"/>
        <w:bottom w:val="none" w:sz="0" w:space="0" w:color="auto"/>
        <w:right w:val="none" w:sz="0" w:space="0" w:color="auto"/>
      </w:divBdr>
      <w:divsChild>
        <w:div w:id="1134105736">
          <w:marLeft w:val="0"/>
          <w:marRight w:val="0"/>
          <w:marTop w:val="0"/>
          <w:marBottom w:val="120"/>
          <w:divBdr>
            <w:top w:val="none" w:sz="0" w:space="0" w:color="auto"/>
            <w:left w:val="none" w:sz="0" w:space="0" w:color="auto"/>
            <w:bottom w:val="none" w:sz="0" w:space="0" w:color="auto"/>
            <w:right w:val="none" w:sz="0" w:space="0" w:color="auto"/>
          </w:divBdr>
          <w:divsChild>
            <w:div w:id="1676956703">
              <w:marLeft w:val="0"/>
              <w:marRight w:val="0"/>
              <w:marTop w:val="0"/>
              <w:marBottom w:val="0"/>
              <w:divBdr>
                <w:top w:val="none" w:sz="0" w:space="0" w:color="auto"/>
                <w:left w:val="none" w:sz="0" w:space="0" w:color="auto"/>
                <w:bottom w:val="none" w:sz="0" w:space="0" w:color="auto"/>
                <w:right w:val="none" w:sz="0" w:space="0" w:color="auto"/>
              </w:divBdr>
              <w:divsChild>
                <w:div w:id="1763793262">
                  <w:marLeft w:val="0"/>
                  <w:marRight w:val="0"/>
                  <w:marTop w:val="0"/>
                  <w:marBottom w:val="0"/>
                  <w:divBdr>
                    <w:top w:val="none" w:sz="0" w:space="0" w:color="auto"/>
                    <w:left w:val="none" w:sz="0" w:space="0" w:color="auto"/>
                    <w:bottom w:val="none" w:sz="0" w:space="0" w:color="auto"/>
                    <w:right w:val="none" w:sz="0" w:space="0" w:color="auto"/>
                  </w:divBdr>
                  <w:divsChild>
                    <w:div w:id="306714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5956635">
              <w:marLeft w:val="0"/>
              <w:marRight w:val="0"/>
              <w:marTop w:val="0"/>
              <w:marBottom w:val="0"/>
              <w:divBdr>
                <w:top w:val="none" w:sz="0" w:space="0" w:color="auto"/>
                <w:left w:val="none" w:sz="0" w:space="0" w:color="auto"/>
                <w:bottom w:val="single" w:sz="6" w:space="0" w:color="000000"/>
                <w:right w:val="none" w:sz="0" w:space="0" w:color="auto"/>
              </w:divBdr>
              <w:divsChild>
                <w:div w:id="1688867000">
                  <w:marLeft w:val="0"/>
                  <w:marRight w:val="0"/>
                  <w:marTop w:val="0"/>
                  <w:marBottom w:val="0"/>
                  <w:divBdr>
                    <w:top w:val="none" w:sz="0" w:space="0" w:color="auto"/>
                    <w:left w:val="none" w:sz="0" w:space="0" w:color="auto"/>
                    <w:bottom w:val="none" w:sz="0" w:space="0" w:color="auto"/>
                    <w:right w:val="none" w:sz="0" w:space="0" w:color="auto"/>
                  </w:divBdr>
                  <w:divsChild>
                    <w:div w:id="1549222862">
                      <w:marLeft w:val="0"/>
                      <w:marRight w:val="0"/>
                      <w:marTop w:val="0"/>
                      <w:marBottom w:val="0"/>
                      <w:divBdr>
                        <w:top w:val="none" w:sz="0" w:space="0" w:color="auto"/>
                        <w:left w:val="none" w:sz="0" w:space="0" w:color="auto"/>
                        <w:bottom w:val="none" w:sz="0" w:space="0" w:color="auto"/>
                        <w:right w:val="none" w:sz="0" w:space="0" w:color="auto"/>
                      </w:divBdr>
                      <w:divsChild>
                        <w:div w:id="1141115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209122">
                  <w:marLeft w:val="0"/>
                  <w:marRight w:val="0"/>
                  <w:marTop w:val="0"/>
                  <w:marBottom w:val="0"/>
                  <w:divBdr>
                    <w:top w:val="none" w:sz="0" w:space="0" w:color="auto"/>
                    <w:left w:val="none" w:sz="0" w:space="0" w:color="auto"/>
                    <w:bottom w:val="none" w:sz="0" w:space="0" w:color="auto"/>
                    <w:right w:val="none" w:sz="0" w:space="0" w:color="auto"/>
                  </w:divBdr>
                  <w:divsChild>
                    <w:div w:id="1006516261">
                      <w:marLeft w:val="0"/>
                      <w:marRight w:val="0"/>
                      <w:marTop w:val="0"/>
                      <w:marBottom w:val="0"/>
                      <w:divBdr>
                        <w:top w:val="none" w:sz="0" w:space="0" w:color="auto"/>
                        <w:left w:val="none" w:sz="0" w:space="0" w:color="auto"/>
                        <w:bottom w:val="none" w:sz="0" w:space="0" w:color="auto"/>
                        <w:right w:val="none" w:sz="0" w:space="0" w:color="auto"/>
                      </w:divBdr>
                      <w:divsChild>
                        <w:div w:id="1615290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7087126">
          <w:marLeft w:val="0"/>
          <w:marRight w:val="0"/>
          <w:marTop w:val="0"/>
          <w:marBottom w:val="0"/>
          <w:divBdr>
            <w:top w:val="none" w:sz="0" w:space="0" w:color="auto"/>
            <w:left w:val="none" w:sz="0" w:space="0" w:color="auto"/>
            <w:bottom w:val="none" w:sz="0" w:space="0" w:color="auto"/>
            <w:right w:val="none" w:sz="0" w:space="0" w:color="auto"/>
          </w:divBdr>
        </w:div>
        <w:div w:id="1011496438">
          <w:marLeft w:val="0"/>
          <w:marRight w:val="0"/>
          <w:marTop w:val="0"/>
          <w:marBottom w:val="0"/>
          <w:divBdr>
            <w:top w:val="none" w:sz="0" w:space="0" w:color="auto"/>
            <w:left w:val="none" w:sz="0" w:space="0" w:color="auto"/>
            <w:bottom w:val="none" w:sz="0" w:space="0" w:color="auto"/>
            <w:right w:val="none" w:sz="0" w:space="0" w:color="auto"/>
          </w:divBdr>
          <w:divsChild>
            <w:div w:id="465127185">
              <w:marLeft w:val="0"/>
              <w:marRight w:val="0"/>
              <w:marTop w:val="0"/>
              <w:marBottom w:val="120"/>
              <w:divBdr>
                <w:top w:val="none" w:sz="0" w:space="0" w:color="auto"/>
                <w:left w:val="none" w:sz="0" w:space="0" w:color="auto"/>
                <w:bottom w:val="none" w:sz="0" w:space="0" w:color="auto"/>
                <w:right w:val="none" w:sz="0" w:space="0" w:color="auto"/>
              </w:divBdr>
              <w:divsChild>
                <w:div w:id="760880858">
                  <w:marLeft w:val="0"/>
                  <w:marRight w:val="0"/>
                  <w:marTop w:val="0"/>
                  <w:marBottom w:val="0"/>
                  <w:divBdr>
                    <w:top w:val="none" w:sz="0" w:space="0" w:color="auto"/>
                    <w:left w:val="none" w:sz="0" w:space="0" w:color="auto"/>
                    <w:bottom w:val="none" w:sz="0" w:space="0" w:color="auto"/>
                    <w:right w:val="none" w:sz="0" w:space="0" w:color="auto"/>
                  </w:divBdr>
                </w:div>
              </w:divsChild>
            </w:div>
            <w:div w:id="1917475692">
              <w:marLeft w:val="0"/>
              <w:marRight w:val="0"/>
              <w:marTop w:val="0"/>
              <w:marBottom w:val="120"/>
              <w:divBdr>
                <w:top w:val="none" w:sz="0" w:space="0" w:color="auto"/>
                <w:left w:val="none" w:sz="0" w:space="0" w:color="auto"/>
                <w:bottom w:val="none" w:sz="0" w:space="0" w:color="auto"/>
                <w:right w:val="none" w:sz="0" w:space="0" w:color="auto"/>
              </w:divBdr>
              <w:divsChild>
                <w:div w:id="1972323346">
                  <w:marLeft w:val="0"/>
                  <w:marRight w:val="0"/>
                  <w:marTop w:val="0"/>
                  <w:marBottom w:val="0"/>
                  <w:divBdr>
                    <w:top w:val="none" w:sz="0" w:space="0" w:color="auto"/>
                    <w:left w:val="none" w:sz="0" w:space="0" w:color="auto"/>
                    <w:bottom w:val="none" w:sz="0" w:space="0" w:color="auto"/>
                    <w:right w:val="none" w:sz="0" w:space="0" w:color="auto"/>
                  </w:divBdr>
                </w:div>
              </w:divsChild>
            </w:div>
            <w:div w:id="319385749">
              <w:marLeft w:val="0"/>
              <w:marRight w:val="0"/>
              <w:marTop w:val="0"/>
              <w:marBottom w:val="120"/>
              <w:divBdr>
                <w:top w:val="none" w:sz="0" w:space="0" w:color="auto"/>
                <w:left w:val="none" w:sz="0" w:space="0" w:color="auto"/>
                <w:bottom w:val="none" w:sz="0" w:space="0" w:color="auto"/>
                <w:right w:val="none" w:sz="0" w:space="0" w:color="auto"/>
              </w:divBdr>
              <w:divsChild>
                <w:div w:id="1710951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2583467">
          <w:marLeft w:val="0"/>
          <w:marRight w:val="0"/>
          <w:marTop w:val="0"/>
          <w:marBottom w:val="480"/>
          <w:divBdr>
            <w:top w:val="none" w:sz="0" w:space="0" w:color="auto"/>
            <w:left w:val="none" w:sz="0" w:space="0" w:color="auto"/>
            <w:bottom w:val="single" w:sz="12" w:space="24" w:color="EBEBEB"/>
            <w:right w:val="none" w:sz="0" w:space="0" w:color="auto"/>
          </w:divBdr>
          <w:divsChild>
            <w:div w:id="615522150">
              <w:marLeft w:val="0"/>
              <w:marRight w:val="0"/>
              <w:marTop w:val="0"/>
              <w:marBottom w:val="0"/>
              <w:divBdr>
                <w:top w:val="none" w:sz="0" w:space="0" w:color="auto"/>
                <w:left w:val="none" w:sz="0" w:space="0" w:color="auto"/>
                <w:bottom w:val="none" w:sz="0" w:space="0" w:color="auto"/>
                <w:right w:val="none" w:sz="0" w:space="0" w:color="auto"/>
              </w:divBdr>
              <w:divsChild>
                <w:div w:id="1461075887">
                  <w:marLeft w:val="0"/>
                  <w:marRight w:val="0"/>
                  <w:marTop w:val="0"/>
                  <w:marBottom w:val="0"/>
                  <w:divBdr>
                    <w:top w:val="none" w:sz="0" w:space="0" w:color="auto"/>
                    <w:left w:val="none" w:sz="0" w:space="0" w:color="auto"/>
                    <w:bottom w:val="none" w:sz="0" w:space="0" w:color="auto"/>
                    <w:right w:val="none" w:sz="0" w:space="0" w:color="auto"/>
                  </w:divBdr>
                </w:div>
                <w:div w:id="719787761">
                  <w:marLeft w:val="0"/>
                  <w:marRight w:val="0"/>
                  <w:marTop w:val="0"/>
                  <w:marBottom w:val="0"/>
                  <w:divBdr>
                    <w:top w:val="none" w:sz="0" w:space="0" w:color="auto"/>
                    <w:left w:val="none" w:sz="0" w:space="0" w:color="auto"/>
                    <w:bottom w:val="none" w:sz="0" w:space="0" w:color="auto"/>
                    <w:right w:val="none" w:sz="0" w:space="0" w:color="auto"/>
                  </w:divBdr>
                </w:div>
                <w:div w:id="463081529">
                  <w:marLeft w:val="0"/>
                  <w:marRight w:val="0"/>
                  <w:marTop w:val="0"/>
                  <w:marBottom w:val="0"/>
                  <w:divBdr>
                    <w:top w:val="none" w:sz="0" w:space="0" w:color="auto"/>
                    <w:left w:val="none" w:sz="0" w:space="0" w:color="auto"/>
                    <w:bottom w:val="none" w:sz="0" w:space="0" w:color="auto"/>
                    <w:right w:val="none" w:sz="0" w:space="0" w:color="auto"/>
                  </w:divBdr>
                </w:div>
                <w:div w:id="1973976514">
                  <w:marLeft w:val="0"/>
                  <w:marRight w:val="0"/>
                  <w:marTop w:val="0"/>
                  <w:marBottom w:val="0"/>
                  <w:divBdr>
                    <w:top w:val="none" w:sz="0" w:space="0" w:color="auto"/>
                    <w:left w:val="none" w:sz="0" w:space="0" w:color="auto"/>
                    <w:bottom w:val="none" w:sz="0" w:space="0" w:color="auto"/>
                    <w:right w:val="none" w:sz="0" w:space="0" w:color="auto"/>
                  </w:divBdr>
                </w:div>
                <w:div w:id="373966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4863177">
          <w:marLeft w:val="0"/>
          <w:marRight w:val="0"/>
          <w:marTop w:val="0"/>
          <w:marBottom w:val="0"/>
          <w:divBdr>
            <w:top w:val="none" w:sz="0" w:space="0" w:color="auto"/>
            <w:left w:val="none" w:sz="0" w:space="0" w:color="auto"/>
            <w:bottom w:val="none" w:sz="0" w:space="0" w:color="auto"/>
            <w:right w:val="none" w:sz="0" w:space="0" w:color="auto"/>
          </w:divBdr>
          <w:divsChild>
            <w:div w:id="662390568">
              <w:marLeft w:val="0"/>
              <w:marRight w:val="0"/>
              <w:marTop w:val="0"/>
              <w:marBottom w:val="0"/>
              <w:divBdr>
                <w:top w:val="none" w:sz="0" w:space="0" w:color="auto"/>
                <w:left w:val="none" w:sz="0" w:space="0" w:color="auto"/>
                <w:bottom w:val="none" w:sz="0" w:space="0" w:color="auto"/>
                <w:right w:val="none" w:sz="0" w:space="0" w:color="auto"/>
              </w:divBdr>
              <w:divsChild>
                <w:div w:id="2047480923">
                  <w:marLeft w:val="0"/>
                  <w:marRight w:val="0"/>
                  <w:marTop w:val="0"/>
                  <w:marBottom w:val="0"/>
                  <w:divBdr>
                    <w:top w:val="none" w:sz="0" w:space="0" w:color="auto"/>
                    <w:left w:val="none" w:sz="0" w:space="0" w:color="auto"/>
                    <w:bottom w:val="none" w:sz="0" w:space="0" w:color="auto"/>
                    <w:right w:val="none" w:sz="0" w:space="0" w:color="auto"/>
                  </w:divBdr>
                </w:div>
                <w:div w:id="398551506">
                  <w:marLeft w:val="0"/>
                  <w:marRight w:val="0"/>
                  <w:marTop w:val="0"/>
                  <w:marBottom w:val="0"/>
                  <w:divBdr>
                    <w:top w:val="none" w:sz="0" w:space="0" w:color="auto"/>
                    <w:left w:val="none" w:sz="0" w:space="0" w:color="auto"/>
                    <w:bottom w:val="none" w:sz="0" w:space="0" w:color="auto"/>
                    <w:right w:val="none" w:sz="0" w:space="0" w:color="auto"/>
                  </w:divBdr>
                  <w:divsChild>
                    <w:div w:id="178324075">
                      <w:marLeft w:val="0"/>
                      <w:marRight w:val="0"/>
                      <w:marTop w:val="240"/>
                      <w:marBottom w:val="240"/>
                      <w:divBdr>
                        <w:top w:val="single" w:sz="12" w:space="0" w:color="EBEBEB"/>
                        <w:left w:val="none" w:sz="0" w:space="0" w:color="auto"/>
                        <w:bottom w:val="single" w:sz="12" w:space="0" w:color="EBEBEB"/>
                        <w:right w:val="none" w:sz="0" w:space="0" w:color="auto"/>
                      </w:divBdr>
                      <w:divsChild>
                        <w:div w:id="36159210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3868196">
                  <w:marLeft w:val="0"/>
                  <w:marRight w:val="0"/>
                  <w:marTop w:val="0"/>
                  <w:marBottom w:val="0"/>
                  <w:divBdr>
                    <w:top w:val="none" w:sz="0" w:space="0" w:color="auto"/>
                    <w:left w:val="none" w:sz="0" w:space="0" w:color="auto"/>
                    <w:bottom w:val="none" w:sz="0" w:space="0" w:color="auto"/>
                    <w:right w:val="none" w:sz="0" w:space="0" w:color="auto"/>
                  </w:divBdr>
                </w:div>
                <w:div w:id="1456563503">
                  <w:marLeft w:val="0"/>
                  <w:marRight w:val="0"/>
                  <w:marTop w:val="0"/>
                  <w:marBottom w:val="0"/>
                  <w:divBdr>
                    <w:top w:val="none" w:sz="0" w:space="0" w:color="auto"/>
                    <w:left w:val="none" w:sz="0" w:space="0" w:color="auto"/>
                    <w:bottom w:val="none" w:sz="0" w:space="0" w:color="auto"/>
                    <w:right w:val="none" w:sz="0" w:space="0" w:color="auto"/>
                  </w:divBdr>
                </w:div>
                <w:div w:id="82267062">
                  <w:marLeft w:val="0"/>
                  <w:marRight w:val="0"/>
                  <w:marTop w:val="0"/>
                  <w:marBottom w:val="0"/>
                  <w:divBdr>
                    <w:top w:val="none" w:sz="0" w:space="0" w:color="auto"/>
                    <w:left w:val="none" w:sz="0" w:space="0" w:color="auto"/>
                    <w:bottom w:val="none" w:sz="0" w:space="0" w:color="auto"/>
                    <w:right w:val="none" w:sz="0" w:space="0" w:color="auto"/>
                  </w:divBdr>
                </w:div>
                <w:div w:id="747576266">
                  <w:marLeft w:val="0"/>
                  <w:marRight w:val="0"/>
                  <w:marTop w:val="0"/>
                  <w:marBottom w:val="0"/>
                  <w:divBdr>
                    <w:top w:val="none" w:sz="0" w:space="0" w:color="auto"/>
                    <w:left w:val="none" w:sz="0" w:space="0" w:color="auto"/>
                    <w:bottom w:val="none" w:sz="0" w:space="0" w:color="auto"/>
                    <w:right w:val="none" w:sz="0" w:space="0" w:color="auto"/>
                  </w:divBdr>
                </w:div>
                <w:div w:id="86654579">
                  <w:marLeft w:val="0"/>
                  <w:marRight w:val="0"/>
                  <w:marTop w:val="0"/>
                  <w:marBottom w:val="0"/>
                  <w:divBdr>
                    <w:top w:val="none" w:sz="0" w:space="0" w:color="auto"/>
                    <w:left w:val="none" w:sz="0" w:space="0" w:color="auto"/>
                    <w:bottom w:val="none" w:sz="0" w:space="0" w:color="auto"/>
                    <w:right w:val="none" w:sz="0" w:space="0" w:color="auto"/>
                  </w:divBdr>
                </w:div>
                <w:div w:id="929319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5232751">
          <w:marLeft w:val="0"/>
          <w:marRight w:val="0"/>
          <w:marTop w:val="0"/>
          <w:marBottom w:val="0"/>
          <w:divBdr>
            <w:top w:val="none" w:sz="0" w:space="0" w:color="auto"/>
            <w:left w:val="none" w:sz="0" w:space="0" w:color="auto"/>
            <w:bottom w:val="none" w:sz="0" w:space="0" w:color="auto"/>
            <w:right w:val="none" w:sz="0" w:space="0" w:color="auto"/>
          </w:divBdr>
          <w:divsChild>
            <w:div w:id="1522161977">
              <w:marLeft w:val="0"/>
              <w:marRight w:val="0"/>
              <w:marTop w:val="0"/>
              <w:marBottom w:val="0"/>
              <w:divBdr>
                <w:top w:val="none" w:sz="0" w:space="0" w:color="auto"/>
                <w:left w:val="none" w:sz="0" w:space="0" w:color="auto"/>
                <w:bottom w:val="none" w:sz="0" w:space="0" w:color="auto"/>
                <w:right w:val="none" w:sz="0" w:space="0" w:color="auto"/>
              </w:divBdr>
            </w:div>
          </w:divsChild>
        </w:div>
        <w:div w:id="837428715">
          <w:marLeft w:val="0"/>
          <w:marRight w:val="0"/>
          <w:marTop w:val="0"/>
          <w:marBottom w:val="0"/>
          <w:divBdr>
            <w:top w:val="none" w:sz="0" w:space="0" w:color="auto"/>
            <w:left w:val="none" w:sz="0" w:space="0" w:color="auto"/>
            <w:bottom w:val="none" w:sz="0" w:space="0" w:color="auto"/>
            <w:right w:val="none" w:sz="0" w:space="0" w:color="auto"/>
          </w:divBdr>
        </w:div>
        <w:div w:id="785468565">
          <w:marLeft w:val="0"/>
          <w:marRight w:val="0"/>
          <w:marTop w:val="0"/>
          <w:marBottom w:val="0"/>
          <w:divBdr>
            <w:top w:val="none" w:sz="0" w:space="0" w:color="auto"/>
            <w:left w:val="none" w:sz="0" w:space="0" w:color="auto"/>
            <w:bottom w:val="none" w:sz="0" w:space="0" w:color="auto"/>
            <w:right w:val="none" w:sz="0" w:space="0" w:color="auto"/>
          </w:divBdr>
        </w:div>
        <w:div w:id="1396315405">
          <w:marLeft w:val="0"/>
          <w:marRight w:val="0"/>
          <w:marTop w:val="0"/>
          <w:marBottom w:val="0"/>
          <w:divBdr>
            <w:top w:val="none" w:sz="0" w:space="0" w:color="auto"/>
            <w:left w:val="none" w:sz="0" w:space="0" w:color="auto"/>
            <w:bottom w:val="none" w:sz="0" w:space="0" w:color="auto"/>
            <w:right w:val="none" w:sz="0" w:space="0" w:color="auto"/>
          </w:divBdr>
          <w:divsChild>
            <w:div w:id="423233695">
              <w:marLeft w:val="0"/>
              <w:marRight w:val="0"/>
              <w:marTop w:val="0"/>
              <w:marBottom w:val="0"/>
              <w:divBdr>
                <w:top w:val="none" w:sz="0" w:space="0" w:color="auto"/>
                <w:left w:val="none" w:sz="0" w:space="0" w:color="auto"/>
                <w:bottom w:val="none" w:sz="0" w:space="0" w:color="auto"/>
                <w:right w:val="none" w:sz="0" w:space="0" w:color="auto"/>
              </w:divBdr>
            </w:div>
          </w:divsChild>
        </w:div>
        <w:div w:id="816917126">
          <w:marLeft w:val="0"/>
          <w:marRight w:val="0"/>
          <w:marTop w:val="0"/>
          <w:marBottom w:val="0"/>
          <w:divBdr>
            <w:top w:val="none" w:sz="0" w:space="0" w:color="auto"/>
            <w:left w:val="none" w:sz="0" w:space="0" w:color="auto"/>
            <w:bottom w:val="none" w:sz="0" w:space="0" w:color="auto"/>
            <w:right w:val="none" w:sz="0" w:space="0" w:color="auto"/>
          </w:divBdr>
        </w:div>
        <w:div w:id="2079595633">
          <w:marLeft w:val="0"/>
          <w:marRight w:val="0"/>
          <w:marTop w:val="0"/>
          <w:marBottom w:val="0"/>
          <w:divBdr>
            <w:top w:val="none" w:sz="0" w:space="0" w:color="auto"/>
            <w:left w:val="none" w:sz="0" w:space="0" w:color="auto"/>
            <w:bottom w:val="none" w:sz="0" w:space="0" w:color="auto"/>
            <w:right w:val="none" w:sz="0" w:space="0" w:color="auto"/>
          </w:divBdr>
        </w:div>
        <w:div w:id="2108883539">
          <w:marLeft w:val="0"/>
          <w:marRight w:val="0"/>
          <w:marTop w:val="0"/>
          <w:marBottom w:val="0"/>
          <w:divBdr>
            <w:top w:val="none" w:sz="0" w:space="0" w:color="auto"/>
            <w:left w:val="none" w:sz="0" w:space="0" w:color="auto"/>
            <w:bottom w:val="none" w:sz="0" w:space="0" w:color="auto"/>
            <w:right w:val="none" w:sz="0" w:space="0" w:color="auto"/>
          </w:divBdr>
          <w:divsChild>
            <w:div w:id="730691692">
              <w:marLeft w:val="0"/>
              <w:marRight w:val="0"/>
              <w:marTop w:val="0"/>
              <w:marBottom w:val="0"/>
              <w:divBdr>
                <w:top w:val="none" w:sz="0" w:space="0" w:color="auto"/>
                <w:left w:val="none" w:sz="0" w:space="0" w:color="auto"/>
                <w:bottom w:val="none" w:sz="0" w:space="0" w:color="auto"/>
                <w:right w:val="none" w:sz="0" w:space="0" w:color="auto"/>
              </w:divBdr>
            </w:div>
          </w:divsChild>
        </w:div>
        <w:div w:id="1085301789">
          <w:marLeft w:val="0"/>
          <w:marRight w:val="0"/>
          <w:marTop w:val="0"/>
          <w:marBottom w:val="0"/>
          <w:divBdr>
            <w:top w:val="none" w:sz="0" w:space="0" w:color="auto"/>
            <w:left w:val="none" w:sz="0" w:space="0" w:color="auto"/>
            <w:bottom w:val="none" w:sz="0" w:space="0" w:color="auto"/>
            <w:right w:val="none" w:sz="0" w:space="0" w:color="auto"/>
          </w:divBdr>
        </w:div>
        <w:div w:id="1370373036">
          <w:marLeft w:val="0"/>
          <w:marRight w:val="0"/>
          <w:marTop w:val="0"/>
          <w:marBottom w:val="0"/>
          <w:divBdr>
            <w:top w:val="none" w:sz="0" w:space="0" w:color="auto"/>
            <w:left w:val="none" w:sz="0" w:space="0" w:color="auto"/>
            <w:bottom w:val="none" w:sz="0" w:space="0" w:color="auto"/>
            <w:right w:val="none" w:sz="0" w:space="0" w:color="auto"/>
          </w:divBdr>
        </w:div>
        <w:div w:id="948589400">
          <w:marLeft w:val="0"/>
          <w:marRight w:val="0"/>
          <w:marTop w:val="0"/>
          <w:marBottom w:val="0"/>
          <w:divBdr>
            <w:top w:val="none" w:sz="0" w:space="0" w:color="auto"/>
            <w:left w:val="none" w:sz="0" w:space="0" w:color="auto"/>
            <w:bottom w:val="none" w:sz="0" w:space="0" w:color="auto"/>
            <w:right w:val="none" w:sz="0" w:space="0" w:color="auto"/>
          </w:divBdr>
          <w:divsChild>
            <w:div w:id="1227452308">
              <w:marLeft w:val="0"/>
              <w:marRight w:val="0"/>
              <w:marTop w:val="0"/>
              <w:marBottom w:val="0"/>
              <w:divBdr>
                <w:top w:val="none" w:sz="0" w:space="0" w:color="auto"/>
                <w:left w:val="none" w:sz="0" w:space="0" w:color="auto"/>
                <w:bottom w:val="none" w:sz="0" w:space="0" w:color="auto"/>
                <w:right w:val="none" w:sz="0" w:space="0" w:color="auto"/>
              </w:divBdr>
            </w:div>
          </w:divsChild>
        </w:div>
        <w:div w:id="2066103532">
          <w:marLeft w:val="0"/>
          <w:marRight w:val="0"/>
          <w:marTop w:val="0"/>
          <w:marBottom w:val="0"/>
          <w:divBdr>
            <w:top w:val="none" w:sz="0" w:space="0" w:color="auto"/>
            <w:left w:val="none" w:sz="0" w:space="0" w:color="auto"/>
            <w:bottom w:val="none" w:sz="0" w:space="0" w:color="auto"/>
            <w:right w:val="none" w:sz="0" w:space="0" w:color="auto"/>
          </w:divBdr>
        </w:div>
        <w:div w:id="934826254">
          <w:marLeft w:val="0"/>
          <w:marRight w:val="0"/>
          <w:marTop w:val="0"/>
          <w:marBottom w:val="0"/>
          <w:divBdr>
            <w:top w:val="none" w:sz="0" w:space="0" w:color="auto"/>
            <w:left w:val="none" w:sz="0" w:space="0" w:color="auto"/>
            <w:bottom w:val="none" w:sz="0" w:space="0" w:color="auto"/>
            <w:right w:val="none" w:sz="0" w:space="0" w:color="auto"/>
          </w:divBdr>
        </w:div>
        <w:div w:id="776363254">
          <w:marLeft w:val="0"/>
          <w:marRight w:val="0"/>
          <w:marTop w:val="0"/>
          <w:marBottom w:val="0"/>
          <w:divBdr>
            <w:top w:val="none" w:sz="0" w:space="0" w:color="auto"/>
            <w:left w:val="none" w:sz="0" w:space="0" w:color="auto"/>
            <w:bottom w:val="none" w:sz="0" w:space="0" w:color="auto"/>
            <w:right w:val="none" w:sz="0" w:space="0" w:color="auto"/>
          </w:divBdr>
          <w:divsChild>
            <w:div w:id="884366867">
              <w:marLeft w:val="0"/>
              <w:marRight w:val="0"/>
              <w:marTop w:val="0"/>
              <w:marBottom w:val="0"/>
              <w:divBdr>
                <w:top w:val="none" w:sz="0" w:space="0" w:color="auto"/>
                <w:left w:val="none" w:sz="0" w:space="0" w:color="auto"/>
                <w:bottom w:val="none" w:sz="0" w:space="0" w:color="auto"/>
                <w:right w:val="none" w:sz="0" w:space="0" w:color="auto"/>
              </w:divBdr>
            </w:div>
          </w:divsChild>
        </w:div>
        <w:div w:id="1738554557">
          <w:marLeft w:val="0"/>
          <w:marRight w:val="0"/>
          <w:marTop w:val="0"/>
          <w:marBottom w:val="0"/>
          <w:divBdr>
            <w:top w:val="none" w:sz="0" w:space="0" w:color="auto"/>
            <w:left w:val="none" w:sz="0" w:space="0" w:color="auto"/>
            <w:bottom w:val="none" w:sz="0" w:space="0" w:color="auto"/>
            <w:right w:val="none" w:sz="0" w:space="0" w:color="auto"/>
          </w:divBdr>
        </w:div>
        <w:div w:id="1190801947">
          <w:marLeft w:val="0"/>
          <w:marRight w:val="0"/>
          <w:marTop w:val="0"/>
          <w:marBottom w:val="0"/>
          <w:divBdr>
            <w:top w:val="none" w:sz="0" w:space="0" w:color="auto"/>
            <w:left w:val="none" w:sz="0" w:space="0" w:color="auto"/>
            <w:bottom w:val="none" w:sz="0" w:space="0" w:color="auto"/>
            <w:right w:val="none" w:sz="0" w:space="0" w:color="auto"/>
          </w:divBdr>
        </w:div>
        <w:div w:id="1305116260">
          <w:marLeft w:val="0"/>
          <w:marRight w:val="0"/>
          <w:marTop w:val="0"/>
          <w:marBottom w:val="0"/>
          <w:divBdr>
            <w:top w:val="none" w:sz="0" w:space="0" w:color="auto"/>
            <w:left w:val="none" w:sz="0" w:space="0" w:color="auto"/>
            <w:bottom w:val="none" w:sz="0" w:space="0" w:color="auto"/>
            <w:right w:val="none" w:sz="0" w:space="0" w:color="auto"/>
          </w:divBdr>
          <w:divsChild>
            <w:div w:id="1435514322">
              <w:marLeft w:val="0"/>
              <w:marRight w:val="0"/>
              <w:marTop w:val="0"/>
              <w:marBottom w:val="0"/>
              <w:divBdr>
                <w:top w:val="none" w:sz="0" w:space="0" w:color="auto"/>
                <w:left w:val="none" w:sz="0" w:space="0" w:color="auto"/>
                <w:bottom w:val="none" w:sz="0" w:space="0" w:color="auto"/>
                <w:right w:val="none" w:sz="0" w:space="0" w:color="auto"/>
              </w:divBdr>
            </w:div>
          </w:divsChild>
        </w:div>
        <w:div w:id="1691638489">
          <w:marLeft w:val="0"/>
          <w:marRight w:val="0"/>
          <w:marTop w:val="0"/>
          <w:marBottom w:val="0"/>
          <w:divBdr>
            <w:top w:val="none" w:sz="0" w:space="0" w:color="auto"/>
            <w:left w:val="none" w:sz="0" w:space="0" w:color="auto"/>
            <w:bottom w:val="none" w:sz="0" w:space="0" w:color="auto"/>
            <w:right w:val="none" w:sz="0" w:space="0" w:color="auto"/>
          </w:divBdr>
        </w:div>
        <w:div w:id="1306352895">
          <w:marLeft w:val="0"/>
          <w:marRight w:val="0"/>
          <w:marTop w:val="0"/>
          <w:marBottom w:val="0"/>
          <w:divBdr>
            <w:top w:val="none" w:sz="0" w:space="0" w:color="auto"/>
            <w:left w:val="none" w:sz="0" w:space="0" w:color="auto"/>
            <w:bottom w:val="none" w:sz="0" w:space="0" w:color="auto"/>
            <w:right w:val="none" w:sz="0" w:space="0" w:color="auto"/>
          </w:divBdr>
        </w:div>
        <w:div w:id="357199635">
          <w:marLeft w:val="0"/>
          <w:marRight w:val="0"/>
          <w:marTop w:val="0"/>
          <w:marBottom w:val="0"/>
          <w:divBdr>
            <w:top w:val="none" w:sz="0" w:space="0" w:color="auto"/>
            <w:left w:val="none" w:sz="0" w:space="0" w:color="auto"/>
            <w:bottom w:val="none" w:sz="0" w:space="0" w:color="auto"/>
            <w:right w:val="none" w:sz="0" w:space="0" w:color="auto"/>
          </w:divBdr>
          <w:divsChild>
            <w:div w:id="1271548650">
              <w:marLeft w:val="0"/>
              <w:marRight w:val="0"/>
              <w:marTop w:val="0"/>
              <w:marBottom w:val="0"/>
              <w:divBdr>
                <w:top w:val="none" w:sz="0" w:space="0" w:color="auto"/>
                <w:left w:val="none" w:sz="0" w:space="0" w:color="auto"/>
                <w:bottom w:val="none" w:sz="0" w:space="0" w:color="auto"/>
                <w:right w:val="none" w:sz="0" w:space="0" w:color="auto"/>
              </w:divBdr>
            </w:div>
          </w:divsChild>
        </w:div>
        <w:div w:id="1611476372">
          <w:marLeft w:val="0"/>
          <w:marRight w:val="0"/>
          <w:marTop w:val="0"/>
          <w:marBottom w:val="0"/>
          <w:divBdr>
            <w:top w:val="none" w:sz="0" w:space="0" w:color="auto"/>
            <w:left w:val="none" w:sz="0" w:space="0" w:color="auto"/>
            <w:bottom w:val="none" w:sz="0" w:space="0" w:color="auto"/>
            <w:right w:val="none" w:sz="0" w:space="0" w:color="auto"/>
          </w:divBdr>
        </w:div>
        <w:div w:id="629943989">
          <w:marLeft w:val="0"/>
          <w:marRight w:val="0"/>
          <w:marTop w:val="0"/>
          <w:marBottom w:val="0"/>
          <w:divBdr>
            <w:top w:val="none" w:sz="0" w:space="0" w:color="auto"/>
            <w:left w:val="none" w:sz="0" w:space="0" w:color="auto"/>
            <w:bottom w:val="none" w:sz="0" w:space="0" w:color="auto"/>
            <w:right w:val="none" w:sz="0" w:space="0" w:color="auto"/>
          </w:divBdr>
        </w:div>
        <w:div w:id="2091543631">
          <w:marLeft w:val="0"/>
          <w:marRight w:val="0"/>
          <w:marTop w:val="0"/>
          <w:marBottom w:val="0"/>
          <w:divBdr>
            <w:top w:val="none" w:sz="0" w:space="0" w:color="auto"/>
            <w:left w:val="none" w:sz="0" w:space="0" w:color="auto"/>
            <w:bottom w:val="none" w:sz="0" w:space="0" w:color="auto"/>
            <w:right w:val="none" w:sz="0" w:space="0" w:color="auto"/>
          </w:divBdr>
          <w:divsChild>
            <w:div w:id="1970896818">
              <w:marLeft w:val="0"/>
              <w:marRight w:val="0"/>
              <w:marTop w:val="0"/>
              <w:marBottom w:val="0"/>
              <w:divBdr>
                <w:top w:val="none" w:sz="0" w:space="0" w:color="auto"/>
                <w:left w:val="none" w:sz="0" w:space="0" w:color="auto"/>
                <w:bottom w:val="none" w:sz="0" w:space="0" w:color="auto"/>
                <w:right w:val="none" w:sz="0" w:space="0" w:color="auto"/>
              </w:divBdr>
            </w:div>
          </w:divsChild>
        </w:div>
        <w:div w:id="939946179">
          <w:marLeft w:val="0"/>
          <w:marRight w:val="0"/>
          <w:marTop w:val="0"/>
          <w:marBottom w:val="0"/>
          <w:divBdr>
            <w:top w:val="none" w:sz="0" w:space="0" w:color="auto"/>
            <w:left w:val="none" w:sz="0" w:space="0" w:color="auto"/>
            <w:bottom w:val="none" w:sz="0" w:space="0" w:color="auto"/>
            <w:right w:val="none" w:sz="0" w:space="0" w:color="auto"/>
          </w:divBdr>
        </w:div>
        <w:div w:id="185483848">
          <w:marLeft w:val="0"/>
          <w:marRight w:val="0"/>
          <w:marTop w:val="0"/>
          <w:marBottom w:val="0"/>
          <w:divBdr>
            <w:top w:val="none" w:sz="0" w:space="0" w:color="auto"/>
            <w:left w:val="none" w:sz="0" w:space="0" w:color="auto"/>
            <w:bottom w:val="none" w:sz="0" w:space="0" w:color="auto"/>
            <w:right w:val="none" w:sz="0" w:space="0" w:color="auto"/>
          </w:divBdr>
        </w:div>
        <w:div w:id="1046220350">
          <w:marLeft w:val="0"/>
          <w:marRight w:val="0"/>
          <w:marTop w:val="0"/>
          <w:marBottom w:val="0"/>
          <w:divBdr>
            <w:top w:val="none" w:sz="0" w:space="0" w:color="auto"/>
            <w:left w:val="none" w:sz="0" w:space="0" w:color="auto"/>
            <w:bottom w:val="none" w:sz="0" w:space="0" w:color="auto"/>
            <w:right w:val="none" w:sz="0" w:space="0" w:color="auto"/>
          </w:divBdr>
          <w:divsChild>
            <w:div w:id="1328090091">
              <w:marLeft w:val="0"/>
              <w:marRight w:val="0"/>
              <w:marTop w:val="0"/>
              <w:marBottom w:val="0"/>
              <w:divBdr>
                <w:top w:val="none" w:sz="0" w:space="0" w:color="auto"/>
                <w:left w:val="none" w:sz="0" w:space="0" w:color="auto"/>
                <w:bottom w:val="none" w:sz="0" w:space="0" w:color="auto"/>
                <w:right w:val="none" w:sz="0" w:space="0" w:color="auto"/>
              </w:divBdr>
            </w:div>
          </w:divsChild>
        </w:div>
        <w:div w:id="1581332462">
          <w:marLeft w:val="0"/>
          <w:marRight w:val="0"/>
          <w:marTop w:val="0"/>
          <w:marBottom w:val="0"/>
          <w:divBdr>
            <w:top w:val="none" w:sz="0" w:space="0" w:color="auto"/>
            <w:left w:val="none" w:sz="0" w:space="0" w:color="auto"/>
            <w:bottom w:val="none" w:sz="0" w:space="0" w:color="auto"/>
            <w:right w:val="none" w:sz="0" w:space="0" w:color="auto"/>
          </w:divBdr>
        </w:div>
        <w:div w:id="749156154">
          <w:marLeft w:val="0"/>
          <w:marRight w:val="0"/>
          <w:marTop w:val="0"/>
          <w:marBottom w:val="0"/>
          <w:divBdr>
            <w:top w:val="none" w:sz="0" w:space="0" w:color="auto"/>
            <w:left w:val="none" w:sz="0" w:space="0" w:color="auto"/>
            <w:bottom w:val="none" w:sz="0" w:space="0" w:color="auto"/>
            <w:right w:val="none" w:sz="0" w:space="0" w:color="auto"/>
          </w:divBdr>
        </w:div>
        <w:div w:id="1181816191">
          <w:marLeft w:val="0"/>
          <w:marRight w:val="0"/>
          <w:marTop w:val="0"/>
          <w:marBottom w:val="0"/>
          <w:divBdr>
            <w:top w:val="none" w:sz="0" w:space="0" w:color="auto"/>
            <w:left w:val="none" w:sz="0" w:space="0" w:color="auto"/>
            <w:bottom w:val="none" w:sz="0" w:space="0" w:color="auto"/>
            <w:right w:val="none" w:sz="0" w:space="0" w:color="auto"/>
          </w:divBdr>
          <w:divsChild>
            <w:div w:id="1386490938">
              <w:marLeft w:val="0"/>
              <w:marRight w:val="0"/>
              <w:marTop w:val="0"/>
              <w:marBottom w:val="0"/>
              <w:divBdr>
                <w:top w:val="none" w:sz="0" w:space="0" w:color="auto"/>
                <w:left w:val="none" w:sz="0" w:space="0" w:color="auto"/>
                <w:bottom w:val="none" w:sz="0" w:space="0" w:color="auto"/>
                <w:right w:val="none" w:sz="0" w:space="0" w:color="auto"/>
              </w:divBdr>
            </w:div>
          </w:divsChild>
        </w:div>
        <w:div w:id="1043140623">
          <w:marLeft w:val="0"/>
          <w:marRight w:val="0"/>
          <w:marTop w:val="0"/>
          <w:marBottom w:val="0"/>
          <w:divBdr>
            <w:top w:val="none" w:sz="0" w:space="0" w:color="auto"/>
            <w:left w:val="none" w:sz="0" w:space="0" w:color="auto"/>
            <w:bottom w:val="none" w:sz="0" w:space="0" w:color="auto"/>
            <w:right w:val="none" w:sz="0" w:space="0" w:color="auto"/>
          </w:divBdr>
        </w:div>
        <w:div w:id="619990683">
          <w:marLeft w:val="0"/>
          <w:marRight w:val="0"/>
          <w:marTop w:val="0"/>
          <w:marBottom w:val="0"/>
          <w:divBdr>
            <w:top w:val="none" w:sz="0" w:space="0" w:color="auto"/>
            <w:left w:val="none" w:sz="0" w:space="0" w:color="auto"/>
            <w:bottom w:val="none" w:sz="0" w:space="0" w:color="auto"/>
            <w:right w:val="none" w:sz="0" w:space="0" w:color="auto"/>
          </w:divBdr>
        </w:div>
        <w:div w:id="2043630948">
          <w:marLeft w:val="0"/>
          <w:marRight w:val="0"/>
          <w:marTop w:val="0"/>
          <w:marBottom w:val="0"/>
          <w:divBdr>
            <w:top w:val="none" w:sz="0" w:space="0" w:color="auto"/>
            <w:left w:val="none" w:sz="0" w:space="0" w:color="auto"/>
            <w:bottom w:val="none" w:sz="0" w:space="0" w:color="auto"/>
            <w:right w:val="none" w:sz="0" w:space="0" w:color="auto"/>
          </w:divBdr>
          <w:divsChild>
            <w:div w:id="553784294">
              <w:marLeft w:val="0"/>
              <w:marRight w:val="0"/>
              <w:marTop w:val="0"/>
              <w:marBottom w:val="0"/>
              <w:divBdr>
                <w:top w:val="none" w:sz="0" w:space="0" w:color="auto"/>
                <w:left w:val="none" w:sz="0" w:space="0" w:color="auto"/>
                <w:bottom w:val="none" w:sz="0" w:space="0" w:color="auto"/>
                <w:right w:val="none" w:sz="0" w:space="0" w:color="auto"/>
              </w:divBdr>
            </w:div>
          </w:divsChild>
        </w:div>
        <w:div w:id="97605505">
          <w:marLeft w:val="0"/>
          <w:marRight w:val="0"/>
          <w:marTop w:val="0"/>
          <w:marBottom w:val="0"/>
          <w:divBdr>
            <w:top w:val="none" w:sz="0" w:space="0" w:color="auto"/>
            <w:left w:val="none" w:sz="0" w:space="0" w:color="auto"/>
            <w:bottom w:val="none" w:sz="0" w:space="0" w:color="auto"/>
            <w:right w:val="none" w:sz="0" w:space="0" w:color="auto"/>
          </w:divBdr>
        </w:div>
        <w:div w:id="209152648">
          <w:marLeft w:val="0"/>
          <w:marRight w:val="0"/>
          <w:marTop w:val="0"/>
          <w:marBottom w:val="0"/>
          <w:divBdr>
            <w:top w:val="none" w:sz="0" w:space="0" w:color="auto"/>
            <w:left w:val="none" w:sz="0" w:space="0" w:color="auto"/>
            <w:bottom w:val="none" w:sz="0" w:space="0" w:color="auto"/>
            <w:right w:val="none" w:sz="0" w:space="0" w:color="auto"/>
          </w:divBdr>
        </w:div>
        <w:div w:id="813836345">
          <w:marLeft w:val="0"/>
          <w:marRight w:val="0"/>
          <w:marTop w:val="0"/>
          <w:marBottom w:val="0"/>
          <w:divBdr>
            <w:top w:val="none" w:sz="0" w:space="0" w:color="auto"/>
            <w:left w:val="none" w:sz="0" w:space="0" w:color="auto"/>
            <w:bottom w:val="none" w:sz="0" w:space="0" w:color="auto"/>
            <w:right w:val="none" w:sz="0" w:space="0" w:color="auto"/>
          </w:divBdr>
          <w:divsChild>
            <w:div w:id="477186681">
              <w:marLeft w:val="0"/>
              <w:marRight w:val="0"/>
              <w:marTop w:val="0"/>
              <w:marBottom w:val="0"/>
              <w:divBdr>
                <w:top w:val="none" w:sz="0" w:space="0" w:color="auto"/>
                <w:left w:val="none" w:sz="0" w:space="0" w:color="auto"/>
                <w:bottom w:val="none" w:sz="0" w:space="0" w:color="auto"/>
                <w:right w:val="none" w:sz="0" w:space="0" w:color="auto"/>
              </w:divBdr>
            </w:div>
          </w:divsChild>
        </w:div>
        <w:div w:id="688260347">
          <w:marLeft w:val="0"/>
          <w:marRight w:val="0"/>
          <w:marTop w:val="0"/>
          <w:marBottom w:val="0"/>
          <w:divBdr>
            <w:top w:val="none" w:sz="0" w:space="0" w:color="auto"/>
            <w:left w:val="none" w:sz="0" w:space="0" w:color="auto"/>
            <w:bottom w:val="none" w:sz="0" w:space="0" w:color="auto"/>
            <w:right w:val="none" w:sz="0" w:space="0" w:color="auto"/>
          </w:divBdr>
        </w:div>
        <w:div w:id="185948751">
          <w:marLeft w:val="0"/>
          <w:marRight w:val="0"/>
          <w:marTop w:val="0"/>
          <w:marBottom w:val="0"/>
          <w:divBdr>
            <w:top w:val="none" w:sz="0" w:space="0" w:color="auto"/>
            <w:left w:val="none" w:sz="0" w:space="0" w:color="auto"/>
            <w:bottom w:val="none" w:sz="0" w:space="0" w:color="auto"/>
            <w:right w:val="none" w:sz="0" w:space="0" w:color="auto"/>
          </w:divBdr>
        </w:div>
        <w:div w:id="1912274995">
          <w:marLeft w:val="0"/>
          <w:marRight w:val="0"/>
          <w:marTop w:val="0"/>
          <w:marBottom w:val="0"/>
          <w:divBdr>
            <w:top w:val="none" w:sz="0" w:space="0" w:color="auto"/>
            <w:left w:val="none" w:sz="0" w:space="0" w:color="auto"/>
            <w:bottom w:val="none" w:sz="0" w:space="0" w:color="auto"/>
            <w:right w:val="none" w:sz="0" w:space="0" w:color="auto"/>
          </w:divBdr>
          <w:divsChild>
            <w:div w:id="1041899789">
              <w:marLeft w:val="0"/>
              <w:marRight w:val="0"/>
              <w:marTop w:val="0"/>
              <w:marBottom w:val="0"/>
              <w:divBdr>
                <w:top w:val="none" w:sz="0" w:space="0" w:color="auto"/>
                <w:left w:val="none" w:sz="0" w:space="0" w:color="auto"/>
                <w:bottom w:val="none" w:sz="0" w:space="0" w:color="auto"/>
                <w:right w:val="none" w:sz="0" w:space="0" w:color="auto"/>
              </w:divBdr>
            </w:div>
          </w:divsChild>
        </w:div>
        <w:div w:id="488912071">
          <w:marLeft w:val="0"/>
          <w:marRight w:val="0"/>
          <w:marTop w:val="0"/>
          <w:marBottom w:val="0"/>
          <w:divBdr>
            <w:top w:val="none" w:sz="0" w:space="0" w:color="auto"/>
            <w:left w:val="none" w:sz="0" w:space="0" w:color="auto"/>
            <w:bottom w:val="none" w:sz="0" w:space="0" w:color="auto"/>
            <w:right w:val="none" w:sz="0" w:space="0" w:color="auto"/>
          </w:divBdr>
        </w:div>
        <w:div w:id="1380010063">
          <w:marLeft w:val="0"/>
          <w:marRight w:val="0"/>
          <w:marTop w:val="0"/>
          <w:marBottom w:val="0"/>
          <w:divBdr>
            <w:top w:val="none" w:sz="0" w:space="0" w:color="auto"/>
            <w:left w:val="none" w:sz="0" w:space="0" w:color="auto"/>
            <w:bottom w:val="none" w:sz="0" w:space="0" w:color="auto"/>
            <w:right w:val="none" w:sz="0" w:space="0" w:color="auto"/>
          </w:divBdr>
        </w:div>
        <w:div w:id="1159420305">
          <w:marLeft w:val="0"/>
          <w:marRight w:val="0"/>
          <w:marTop w:val="0"/>
          <w:marBottom w:val="0"/>
          <w:divBdr>
            <w:top w:val="none" w:sz="0" w:space="0" w:color="auto"/>
            <w:left w:val="none" w:sz="0" w:space="0" w:color="auto"/>
            <w:bottom w:val="none" w:sz="0" w:space="0" w:color="auto"/>
            <w:right w:val="none" w:sz="0" w:space="0" w:color="auto"/>
          </w:divBdr>
          <w:divsChild>
            <w:div w:id="761681781">
              <w:marLeft w:val="0"/>
              <w:marRight w:val="0"/>
              <w:marTop w:val="0"/>
              <w:marBottom w:val="0"/>
              <w:divBdr>
                <w:top w:val="none" w:sz="0" w:space="0" w:color="auto"/>
                <w:left w:val="none" w:sz="0" w:space="0" w:color="auto"/>
                <w:bottom w:val="none" w:sz="0" w:space="0" w:color="auto"/>
                <w:right w:val="none" w:sz="0" w:space="0" w:color="auto"/>
              </w:divBdr>
            </w:div>
          </w:divsChild>
        </w:div>
        <w:div w:id="621695094">
          <w:marLeft w:val="0"/>
          <w:marRight w:val="0"/>
          <w:marTop w:val="0"/>
          <w:marBottom w:val="0"/>
          <w:divBdr>
            <w:top w:val="none" w:sz="0" w:space="0" w:color="auto"/>
            <w:left w:val="none" w:sz="0" w:space="0" w:color="auto"/>
            <w:bottom w:val="none" w:sz="0" w:space="0" w:color="auto"/>
            <w:right w:val="none" w:sz="0" w:space="0" w:color="auto"/>
          </w:divBdr>
        </w:div>
        <w:div w:id="1385526472">
          <w:marLeft w:val="0"/>
          <w:marRight w:val="0"/>
          <w:marTop w:val="0"/>
          <w:marBottom w:val="0"/>
          <w:divBdr>
            <w:top w:val="none" w:sz="0" w:space="0" w:color="auto"/>
            <w:left w:val="none" w:sz="0" w:space="0" w:color="auto"/>
            <w:bottom w:val="none" w:sz="0" w:space="0" w:color="auto"/>
            <w:right w:val="none" w:sz="0" w:space="0" w:color="auto"/>
          </w:divBdr>
        </w:div>
        <w:div w:id="1334069721">
          <w:marLeft w:val="0"/>
          <w:marRight w:val="0"/>
          <w:marTop w:val="0"/>
          <w:marBottom w:val="0"/>
          <w:divBdr>
            <w:top w:val="none" w:sz="0" w:space="0" w:color="auto"/>
            <w:left w:val="none" w:sz="0" w:space="0" w:color="auto"/>
            <w:bottom w:val="none" w:sz="0" w:space="0" w:color="auto"/>
            <w:right w:val="none" w:sz="0" w:space="0" w:color="auto"/>
          </w:divBdr>
          <w:divsChild>
            <w:div w:id="999306376">
              <w:marLeft w:val="0"/>
              <w:marRight w:val="0"/>
              <w:marTop w:val="0"/>
              <w:marBottom w:val="0"/>
              <w:divBdr>
                <w:top w:val="none" w:sz="0" w:space="0" w:color="auto"/>
                <w:left w:val="none" w:sz="0" w:space="0" w:color="auto"/>
                <w:bottom w:val="none" w:sz="0" w:space="0" w:color="auto"/>
                <w:right w:val="none" w:sz="0" w:space="0" w:color="auto"/>
              </w:divBdr>
            </w:div>
          </w:divsChild>
        </w:div>
        <w:div w:id="970790155">
          <w:marLeft w:val="0"/>
          <w:marRight w:val="0"/>
          <w:marTop w:val="0"/>
          <w:marBottom w:val="0"/>
          <w:divBdr>
            <w:top w:val="none" w:sz="0" w:space="0" w:color="auto"/>
            <w:left w:val="none" w:sz="0" w:space="0" w:color="auto"/>
            <w:bottom w:val="none" w:sz="0" w:space="0" w:color="auto"/>
            <w:right w:val="none" w:sz="0" w:space="0" w:color="auto"/>
          </w:divBdr>
        </w:div>
        <w:div w:id="1596982124">
          <w:marLeft w:val="0"/>
          <w:marRight w:val="0"/>
          <w:marTop w:val="0"/>
          <w:marBottom w:val="0"/>
          <w:divBdr>
            <w:top w:val="none" w:sz="0" w:space="0" w:color="auto"/>
            <w:left w:val="none" w:sz="0" w:space="0" w:color="auto"/>
            <w:bottom w:val="none" w:sz="0" w:space="0" w:color="auto"/>
            <w:right w:val="none" w:sz="0" w:space="0" w:color="auto"/>
          </w:divBdr>
        </w:div>
        <w:div w:id="829949529">
          <w:marLeft w:val="0"/>
          <w:marRight w:val="0"/>
          <w:marTop w:val="0"/>
          <w:marBottom w:val="0"/>
          <w:divBdr>
            <w:top w:val="none" w:sz="0" w:space="0" w:color="auto"/>
            <w:left w:val="none" w:sz="0" w:space="0" w:color="auto"/>
            <w:bottom w:val="none" w:sz="0" w:space="0" w:color="auto"/>
            <w:right w:val="none" w:sz="0" w:space="0" w:color="auto"/>
          </w:divBdr>
          <w:divsChild>
            <w:div w:id="1522665410">
              <w:marLeft w:val="0"/>
              <w:marRight w:val="0"/>
              <w:marTop w:val="0"/>
              <w:marBottom w:val="0"/>
              <w:divBdr>
                <w:top w:val="none" w:sz="0" w:space="0" w:color="auto"/>
                <w:left w:val="none" w:sz="0" w:space="0" w:color="auto"/>
                <w:bottom w:val="none" w:sz="0" w:space="0" w:color="auto"/>
                <w:right w:val="none" w:sz="0" w:space="0" w:color="auto"/>
              </w:divBdr>
            </w:div>
          </w:divsChild>
        </w:div>
        <w:div w:id="236981223">
          <w:marLeft w:val="0"/>
          <w:marRight w:val="0"/>
          <w:marTop w:val="0"/>
          <w:marBottom w:val="0"/>
          <w:divBdr>
            <w:top w:val="none" w:sz="0" w:space="0" w:color="auto"/>
            <w:left w:val="none" w:sz="0" w:space="0" w:color="auto"/>
            <w:bottom w:val="none" w:sz="0" w:space="0" w:color="auto"/>
            <w:right w:val="none" w:sz="0" w:space="0" w:color="auto"/>
          </w:divBdr>
        </w:div>
        <w:div w:id="778180665">
          <w:marLeft w:val="0"/>
          <w:marRight w:val="0"/>
          <w:marTop w:val="0"/>
          <w:marBottom w:val="0"/>
          <w:divBdr>
            <w:top w:val="none" w:sz="0" w:space="0" w:color="auto"/>
            <w:left w:val="none" w:sz="0" w:space="0" w:color="auto"/>
            <w:bottom w:val="none" w:sz="0" w:space="0" w:color="auto"/>
            <w:right w:val="none" w:sz="0" w:space="0" w:color="auto"/>
          </w:divBdr>
        </w:div>
        <w:div w:id="1165121734">
          <w:marLeft w:val="0"/>
          <w:marRight w:val="0"/>
          <w:marTop w:val="0"/>
          <w:marBottom w:val="0"/>
          <w:divBdr>
            <w:top w:val="none" w:sz="0" w:space="0" w:color="auto"/>
            <w:left w:val="none" w:sz="0" w:space="0" w:color="auto"/>
            <w:bottom w:val="none" w:sz="0" w:space="0" w:color="auto"/>
            <w:right w:val="none" w:sz="0" w:space="0" w:color="auto"/>
          </w:divBdr>
          <w:divsChild>
            <w:div w:id="1103115796">
              <w:marLeft w:val="0"/>
              <w:marRight w:val="0"/>
              <w:marTop w:val="0"/>
              <w:marBottom w:val="0"/>
              <w:divBdr>
                <w:top w:val="none" w:sz="0" w:space="0" w:color="auto"/>
                <w:left w:val="none" w:sz="0" w:space="0" w:color="auto"/>
                <w:bottom w:val="none" w:sz="0" w:space="0" w:color="auto"/>
                <w:right w:val="none" w:sz="0" w:space="0" w:color="auto"/>
              </w:divBdr>
            </w:div>
          </w:divsChild>
        </w:div>
        <w:div w:id="1133136910">
          <w:marLeft w:val="0"/>
          <w:marRight w:val="0"/>
          <w:marTop w:val="0"/>
          <w:marBottom w:val="0"/>
          <w:divBdr>
            <w:top w:val="none" w:sz="0" w:space="0" w:color="auto"/>
            <w:left w:val="none" w:sz="0" w:space="0" w:color="auto"/>
            <w:bottom w:val="none" w:sz="0" w:space="0" w:color="auto"/>
            <w:right w:val="none" w:sz="0" w:space="0" w:color="auto"/>
          </w:divBdr>
        </w:div>
        <w:div w:id="1201281626">
          <w:marLeft w:val="0"/>
          <w:marRight w:val="0"/>
          <w:marTop w:val="0"/>
          <w:marBottom w:val="0"/>
          <w:divBdr>
            <w:top w:val="none" w:sz="0" w:space="0" w:color="auto"/>
            <w:left w:val="none" w:sz="0" w:space="0" w:color="auto"/>
            <w:bottom w:val="none" w:sz="0" w:space="0" w:color="auto"/>
            <w:right w:val="none" w:sz="0" w:space="0" w:color="auto"/>
          </w:divBdr>
        </w:div>
        <w:div w:id="1164664221">
          <w:marLeft w:val="0"/>
          <w:marRight w:val="0"/>
          <w:marTop w:val="0"/>
          <w:marBottom w:val="0"/>
          <w:divBdr>
            <w:top w:val="none" w:sz="0" w:space="0" w:color="auto"/>
            <w:left w:val="none" w:sz="0" w:space="0" w:color="auto"/>
            <w:bottom w:val="none" w:sz="0" w:space="0" w:color="auto"/>
            <w:right w:val="none" w:sz="0" w:space="0" w:color="auto"/>
          </w:divBdr>
          <w:divsChild>
            <w:div w:id="2041928832">
              <w:marLeft w:val="0"/>
              <w:marRight w:val="0"/>
              <w:marTop w:val="0"/>
              <w:marBottom w:val="0"/>
              <w:divBdr>
                <w:top w:val="none" w:sz="0" w:space="0" w:color="auto"/>
                <w:left w:val="none" w:sz="0" w:space="0" w:color="auto"/>
                <w:bottom w:val="none" w:sz="0" w:space="0" w:color="auto"/>
                <w:right w:val="none" w:sz="0" w:space="0" w:color="auto"/>
              </w:divBdr>
            </w:div>
          </w:divsChild>
        </w:div>
        <w:div w:id="1982614613">
          <w:marLeft w:val="0"/>
          <w:marRight w:val="0"/>
          <w:marTop w:val="0"/>
          <w:marBottom w:val="0"/>
          <w:divBdr>
            <w:top w:val="none" w:sz="0" w:space="0" w:color="auto"/>
            <w:left w:val="none" w:sz="0" w:space="0" w:color="auto"/>
            <w:bottom w:val="none" w:sz="0" w:space="0" w:color="auto"/>
            <w:right w:val="none" w:sz="0" w:space="0" w:color="auto"/>
          </w:divBdr>
        </w:div>
        <w:div w:id="1829321455">
          <w:marLeft w:val="0"/>
          <w:marRight w:val="0"/>
          <w:marTop w:val="0"/>
          <w:marBottom w:val="0"/>
          <w:divBdr>
            <w:top w:val="none" w:sz="0" w:space="0" w:color="auto"/>
            <w:left w:val="none" w:sz="0" w:space="0" w:color="auto"/>
            <w:bottom w:val="none" w:sz="0" w:space="0" w:color="auto"/>
            <w:right w:val="none" w:sz="0" w:space="0" w:color="auto"/>
          </w:divBdr>
        </w:div>
        <w:div w:id="149493389">
          <w:marLeft w:val="0"/>
          <w:marRight w:val="0"/>
          <w:marTop w:val="0"/>
          <w:marBottom w:val="0"/>
          <w:divBdr>
            <w:top w:val="none" w:sz="0" w:space="0" w:color="auto"/>
            <w:left w:val="none" w:sz="0" w:space="0" w:color="auto"/>
            <w:bottom w:val="none" w:sz="0" w:space="0" w:color="auto"/>
            <w:right w:val="none" w:sz="0" w:space="0" w:color="auto"/>
          </w:divBdr>
          <w:divsChild>
            <w:div w:id="2074699256">
              <w:marLeft w:val="0"/>
              <w:marRight w:val="0"/>
              <w:marTop w:val="0"/>
              <w:marBottom w:val="0"/>
              <w:divBdr>
                <w:top w:val="none" w:sz="0" w:space="0" w:color="auto"/>
                <w:left w:val="none" w:sz="0" w:space="0" w:color="auto"/>
                <w:bottom w:val="none" w:sz="0" w:space="0" w:color="auto"/>
                <w:right w:val="none" w:sz="0" w:space="0" w:color="auto"/>
              </w:divBdr>
            </w:div>
          </w:divsChild>
        </w:div>
        <w:div w:id="1037658905">
          <w:marLeft w:val="0"/>
          <w:marRight w:val="0"/>
          <w:marTop w:val="0"/>
          <w:marBottom w:val="0"/>
          <w:divBdr>
            <w:top w:val="none" w:sz="0" w:space="0" w:color="auto"/>
            <w:left w:val="none" w:sz="0" w:space="0" w:color="auto"/>
            <w:bottom w:val="none" w:sz="0" w:space="0" w:color="auto"/>
            <w:right w:val="none" w:sz="0" w:space="0" w:color="auto"/>
          </w:divBdr>
        </w:div>
        <w:div w:id="1304579956">
          <w:marLeft w:val="0"/>
          <w:marRight w:val="0"/>
          <w:marTop w:val="0"/>
          <w:marBottom w:val="0"/>
          <w:divBdr>
            <w:top w:val="none" w:sz="0" w:space="0" w:color="auto"/>
            <w:left w:val="none" w:sz="0" w:space="0" w:color="auto"/>
            <w:bottom w:val="none" w:sz="0" w:space="0" w:color="auto"/>
            <w:right w:val="none" w:sz="0" w:space="0" w:color="auto"/>
          </w:divBdr>
        </w:div>
        <w:div w:id="1066954934">
          <w:marLeft w:val="0"/>
          <w:marRight w:val="0"/>
          <w:marTop w:val="0"/>
          <w:marBottom w:val="0"/>
          <w:divBdr>
            <w:top w:val="none" w:sz="0" w:space="0" w:color="auto"/>
            <w:left w:val="none" w:sz="0" w:space="0" w:color="auto"/>
            <w:bottom w:val="none" w:sz="0" w:space="0" w:color="auto"/>
            <w:right w:val="none" w:sz="0" w:space="0" w:color="auto"/>
          </w:divBdr>
          <w:divsChild>
            <w:div w:id="819158214">
              <w:marLeft w:val="0"/>
              <w:marRight w:val="0"/>
              <w:marTop w:val="0"/>
              <w:marBottom w:val="0"/>
              <w:divBdr>
                <w:top w:val="none" w:sz="0" w:space="0" w:color="auto"/>
                <w:left w:val="none" w:sz="0" w:space="0" w:color="auto"/>
                <w:bottom w:val="none" w:sz="0" w:space="0" w:color="auto"/>
                <w:right w:val="none" w:sz="0" w:space="0" w:color="auto"/>
              </w:divBdr>
            </w:div>
          </w:divsChild>
        </w:div>
        <w:div w:id="799303165">
          <w:marLeft w:val="0"/>
          <w:marRight w:val="0"/>
          <w:marTop w:val="0"/>
          <w:marBottom w:val="0"/>
          <w:divBdr>
            <w:top w:val="none" w:sz="0" w:space="0" w:color="auto"/>
            <w:left w:val="none" w:sz="0" w:space="0" w:color="auto"/>
            <w:bottom w:val="none" w:sz="0" w:space="0" w:color="auto"/>
            <w:right w:val="none" w:sz="0" w:space="0" w:color="auto"/>
          </w:divBdr>
        </w:div>
        <w:div w:id="1299841630">
          <w:marLeft w:val="0"/>
          <w:marRight w:val="0"/>
          <w:marTop w:val="0"/>
          <w:marBottom w:val="0"/>
          <w:divBdr>
            <w:top w:val="none" w:sz="0" w:space="0" w:color="auto"/>
            <w:left w:val="none" w:sz="0" w:space="0" w:color="auto"/>
            <w:bottom w:val="none" w:sz="0" w:space="0" w:color="auto"/>
            <w:right w:val="none" w:sz="0" w:space="0" w:color="auto"/>
          </w:divBdr>
        </w:div>
        <w:div w:id="1568953817">
          <w:marLeft w:val="0"/>
          <w:marRight w:val="0"/>
          <w:marTop w:val="0"/>
          <w:marBottom w:val="0"/>
          <w:divBdr>
            <w:top w:val="none" w:sz="0" w:space="0" w:color="auto"/>
            <w:left w:val="none" w:sz="0" w:space="0" w:color="auto"/>
            <w:bottom w:val="none" w:sz="0" w:space="0" w:color="auto"/>
            <w:right w:val="none" w:sz="0" w:space="0" w:color="auto"/>
          </w:divBdr>
          <w:divsChild>
            <w:div w:id="1178469442">
              <w:marLeft w:val="0"/>
              <w:marRight w:val="0"/>
              <w:marTop w:val="0"/>
              <w:marBottom w:val="0"/>
              <w:divBdr>
                <w:top w:val="none" w:sz="0" w:space="0" w:color="auto"/>
                <w:left w:val="none" w:sz="0" w:space="0" w:color="auto"/>
                <w:bottom w:val="none" w:sz="0" w:space="0" w:color="auto"/>
                <w:right w:val="none" w:sz="0" w:space="0" w:color="auto"/>
              </w:divBdr>
            </w:div>
          </w:divsChild>
        </w:div>
        <w:div w:id="360084121">
          <w:marLeft w:val="0"/>
          <w:marRight w:val="0"/>
          <w:marTop w:val="0"/>
          <w:marBottom w:val="0"/>
          <w:divBdr>
            <w:top w:val="none" w:sz="0" w:space="0" w:color="auto"/>
            <w:left w:val="none" w:sz="0" w:space="0" w:color="auto"/>
            <w:bottom w:val="none" w:sz="0" w:space="0" w:color="auto"/>
            <w:right w:val="none" w:sz="0" w:space="0" w:color="auto"/>
          </w:divBdr>
        </w:div>
        <w:div w:id="2067365075">
          <w:marLeft w:val="0"/>
          <w:marRight w:val="0"/>
          <w:marTop w:val="0"/>
          <w:marBottom w:val="0"/>
          <w:divBdr>
            <w:top w:val="none" w:sz="0" w:space="0" w:color="auto"/>
            <w:left w:val="none" w:sz="0" w:space="0" w:color="auto"/>
            <w:bottom w:val="none" w:sz="0" w:space="0" w:color="auto"/>
            <w:right w:val="none" w:sz="0" w:space="0" w:color="auto"/>
          </w:divBdr>
        </w:div>
        <w:div w:id="122624535">
          <w:marLeft w:val="0"/>
          <w:marRight w:val="0"/>
          <w:marTop w:val="0"/>
          <w:marBottom w:val="0"/>
          <w:divBdr>
            <w:top w:val="none" w:sz="0" w:space="0" w:color="auto"/>
            <w:left w:val="none" w:sz="0" w:space="0" w:color="auto"/>
            <w:bottom w:val="none" w:sz="0" w:space="0" w:color="auto"/>
            <w:right w:val="none" w:sz="0" w:space="0" w:color="auto"/>
          </w:divBdr>
          <w:divsChild>
            <w:div w:id="1553493230">
              <w:marLeft w:val="0"/>
              <w:marRight w:val="0"/>
              <w:marTop w:val="0"/>
              <w:marBottom w:val="0"/>
              <w:divBdr>
                <w:top w:val="none" w:sz="0" w:space="0" w:color="auto"/>
                <w:left w:val="none" w:sz="0" w:space="0" w:color="auto"/>
                <w:bottom w:val="none" w:sz="0" w:space="0" w:color="auto"/>
                <w:right w:val="none" w:sz="0" w:space="0" w:color="auto"/>
              </w:divBdr>
            </w:div>
          </w:divsChild>
        </w:div>
        <w:div w:id="1681082559">
          <w:marLeft w:val="0"/>
          <w:marRight w:val="0"/>
          <w:marTop w:val="0"/>
          <w:marBottom w:val="0"/>
          <w:divBdr>
            <w:top w:val="none" w:sz="0" w:space="0" w:color="auto"/>
            <w:left w:val="none" w:sz="0" w:space="0" w:color="auto"/>
            <w:bottom w:val="none" w:sz="0" w:space="0" w:color="auto"/>
            <w:right w:val="none" w:sz="0" w:space="0" w:color="auto"/>
          </w:divBdr>
        </w:div>
        <w:div w:id="1589120444">
          <w:marLeft w:val="0"/>
          <w:marRight w:val="0"/>
          <w:marTop w:val="0"/>
          <w:marBottom w:val="0"/>
          <w:divBdr>
            <w:top w:val="none" w:sz="0" w:space="0" w:color="auto"/>
            <w:left w:val="none" w:sz="0" w:space="0" w:color="auto"/>
            <w:bottom w:val="none" w:sz="0" w:space="0" w:color="auto"/>
            <w:right w:val="none" w:sz="0" w:space="0" w:color="auto"/>
          </w:divBdr>
        </w:div>
        <w:div w:id="27148788">
          <w:marLeft w:val="0"/>
          <w:marRight w:val="0"/>
          <w:marTop w:val="480"/>
          <w:marBottom w:val="480"/>
          <w:divBdr>
            <w:top w:val="none" w:sz="0" w:space="0" w:color="auto"/>
            <w:left w:val="none" w:sz="0" w:space="0" w:color="auto"/>
            <w:bottom w:val="none" w:sz="0" w:space="0" w:color="auto"/>
            <w:right w:val="none" w:sz="0" w:space="0" w:color="auto"/>
          </w:divBdr>
        </w:div>
      </w:divsChild>
    </w:div>
    <w:div w:id="1224292044">
      <w:bodyDiv w:val="1"/>
      <w:marLeft w:val="0"/>
      <w:marRight w:val="0"/>
      <w:marTop w:val="0"/>
      <w:marBottom w:val="0"/>
      <w:divBdr>
        <w:top w:val="none" w:sz="0" w:space="0" w:color="auto"/>
        <w:left w:val="none" w:sz="0" w:space="0" w:color="auto"/>
        <w:bottom w:val="none" w:sz="0" w:space="0" w:color="auto"/>
        <w:right w:val="none" w:sz="0" w:space="0" w:color="auto"/>
      </w:divBdr>
      <w:divsChild>
        <w:div w:id="860557172">
          <w:marLeft w:val="0"/>
          <w:marRight w:val="0"/>
          <w:marTop w:val="0"/>
          <w:marBottom w:val="0"/>
          <w:divBdr>
            <w:top w:val="none" w:sz="0" w:space="0" w:color="auto"/>
            <w:left w:val="none" w:sz="0" w:space="0" w:color="auto"/>
            <w:bottom w:val="none" w:sz="0" w:space="0" w:color="auto"/>
            <w:right w:val="none" w:sz="0" w:space="0" w:color="auto"/>
          </w:divBdr>
          <w:divsChild>
            <w:div w:id="156727115">
              <w:marLeft w:val="1200"/>
              <w:marRight w:val="0"/>
              <w:marTop w:val="240"/>
              <w:marBottom w:val="240"/>
              <w:divBdr>
                <w:top w:val="none" w:sz="0" w:space="0" w:color="auto"/>
                <w:left w:val="none" w:sz="0" w:space="0" w:color="auto"/>
                <w:bottom w:val="none" w:sz="0" w:space="0" w:color="auto"/>
                <w:right w:val="none" w:sz="0" w:space="0" w:color="auto"/>
              </w:divBdr>
            </w:div>
            <w:div w:id="638652375">
              <w:marLeft w:val="1200"/>
              <w:marRight w:val="0"/>
              <w:marTop w:val="240"/>
              <w:marBottom w:val="240"/>
              <w:divBdr>
                <w:top w:val="none" w:sz="0" w:space="0" w:color="auto"/>
                <w:left w:val="none" w:sz="0" w:space="0" w:color="auto"/>
                <w:bottom w:val="none" w:sz="0" w:space="0" w:color="auto"/>
                <w:right w:val="none" w:sz="0" w:space="0" w:color="auto"/>
              </w:divBdr>
            </w:div>
          </w:divsChild>
        </w:div>
        <w:div w:id="1819570489">
          <w:marLeft w:val="0"/>
          <w:marRight w:val="0"/>
          <w:marTop w:val="0"/>
          <w:marBottom w:val="0"/>
          <w:divBdr>
            <w:top w:val="none" w:sz="0" w:space="0" w:color="auto"/>
            <w:left w:val="none" w:sz="0" w:space="0" w:color="auto"/>
            <w:bottom w:val="none" w:sz="0" w:space="0" w:color="auto"/>
            <w:right w:val="none" w:sz="0" w:space="0" w:color="auto"/>
          </w:divBdr>
        </w:div>
        <w:div w:id="1008870994">
          <w:marLeft w:val="0"/>
          <w:marRight w:val="0"/>
          <w:marTop w:val="0"/>
          <w:marBottom w:val="0"/>
          <w:divBdr>
            <w:top w:val="none" w:sz="0" w:space="0" w:color="auto"/>
            <w:left w:val="none" w:sz="0" w:space="0" w:color="auto"/>
            <w:bottom w:val="none" w:sz="0" w:space="0" w:color="auto"/>
            <w:right w:val="none" w:sz="0" w:space="0" w:color="auto"/>
          </w:divBdr>
        </w:div>
        <w:div w:id="476068039">
          <w:marLeft w:val="0"/>
          <w:marRight w:val="0"/>
          <w:marTop w:val="0"/>
          <w:marBottom w:val="0"/>
          <w:divBdr>
            <w:top w:val="none" w:sz="0" w:space="0" w:color="auto"/>
            <w:left w:val="none" w:sz="0" w:space="0" w:color="auto"/>
            <w:bottom w:val="none" w:sz="0" w:space="0" w:color="auto"/>
            <w:right w:val="none" w:sz="0" w:space="0" w:color="auto"/>
          </w:divBdr>
          <w:divsChild>
            <w:div w:id="871114385">
              <w:marLeft w:val="0"/>
              <w:marRight w:val="0"/>
              <w:marTop w:val="0"/>
              <w:marBottom w:val="0"/>
              <w:divBdr>
                <w:top w:val="none" w:sz="0" w:space="0" w:color="auto"/>
                <w:left w:val="none" w:sz="0" w:space="0" w:color="auto"/>
                <w:bottom w:val="none" w:sz="0" w:space="0" w:color="auto"/>
                <w:right w:val="none" w:sz="0" w:space="0" w:color="auto"/>
              </w:divBdr>
              <w:divsChild>
                <w:div w:id="2044477406">
                  <w:marLeft w:val="0"/>
                  <w:marRight w:val="0"/>
                  <w:marTop w:val="0"/>
                  <w:marBottom w:val="0"/>
                  <w:divBdr>
                    <w:top w:val="none" w:sz="0" w:space="0" w:color="auto"/>
                    <w:left w:val="none" w:sz="0" w:space="0" w:color="auto"/>
                    <w:bottom w:val="none" w:sz="0" w:space="0" w:color="auto"/>
                    <w:right w:val="none" w:sz="0" w:space="0" w:color="auto"/>
                  </w:divBdr>
                  <w:divsChild>
                    <w:div w:id="514078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4752851">
      <w:bodyDiv w:val="1"/>
      <w:marLeft w:val="0"/>
      <w:marRight w:val="0"/>
      <w:marTop w:val="0"/>
      <w:marBottom w:val="0"/>
      <w:divBdr>
        <w:top w:val="none" w:sz="0" w:space="0" w:color="auto"/>
        <w:left w:val="none" w:sz="0" w:space="0" w:color="auto"/>
        <w:bottom w:val="none" w:sz="0" w:space="0" w:color="auto"/>
        <w:right w:val="none" w:sz="0" w:space="0" w:color="auto"/>
      </w:divBdr>
    </w:div>
    <w:div w:id="1231696113">
      <w:bodyDiv w:val="1"/>
      <w:marLeft w:val="0"/>
      <w:marRight w:val="0"/>
      <w:marTop w:val="0"/>
      <w:marBottom w:val="0"/>
      <w:divBdr>
        <w:top w:val="none" w:sz="0" w:space="0" w:color="auto"/>
        <w:left w:val="none" w:sz="0" w:space="0" w:color="auto"/>
        <w:bottom w:val="none" w:sz="0" w:space="0" w:color="auto"/>
        <w:right w:val="none" w:sz="0" w:space="0" w:color="auto"/>
      </w:divBdr>
      <w:divsChild>
        <w:div w:id="1217282615">
          <w:marLeft w:val="0"/>
          <w:marRight w:val="0"/>
          <w:marTop w:val="0"/>
          <w:marBottom w:val="0"/>
          <w:divBdr>
            <w:top w:val="none" w:sz="0" w:space="0" w:color="auto"/>
            <w:left w:val="none" w:sz="0" w:space="0" w:color="auto"/>
            <w:bottom w:val="none" w:sz="0" w:space="0" w:color="auto"/>
            <w:right w:val="none" w:sz="0" w:space="0" w:color="auto"/>
          </w:divBdr>
        </w:div>
      </w:divsChild>
    </w:div>
    <w:div w:id="1243956346">
      <w:bodyDiv w:val="1"/>
      <w:marLeft w:val="0"/>
      <w:marRight w:val="0"/>
      <w:marTop w:val="0"/>
      <w:marBottom w:val="0"/>
      <w:divBdr>
        <w:top w:val="none" w:sz="0" w:space="0" w:color="auto"/>
        <w:left w:val="none" w:sz="0" w:space="0" w:color="auto"/>
        <w:bottom w:val="none" w:sz="0" w:space="0" w:color="auto"/>
        <w:right w:val="none" w:sz="0" w:space="0" w:color="auto"/>
      </w:divBdr>
      <w:divsChild>
        <w:div w:id="971327729">
          <w:marLeft w:val="0"/>
          <w:marRight w:val="0"/>
          <w:marTop w:val="0"/>
          <w:marBottom w:val="0"/>
          <w:divBdr>
            <w:top w:val="none" w:sz="0" w:space="0" w:color="auto"/>
            <w:left w:val="none" w:sz="0" w:space="0" w:color="auto"/>
            <w:bottom w:val="single" w:sz="6" w:space="12" w:color="DDDDDD"/>
            <w:right w:val="none" w:sz="0" w:space="0" w:color="auto"/>
          </w:divBdr>
          <w:divsChild>
            <w:div w:id="1063865718">
              <w:marLeft w:val="0"/>
              <w:marRight w:val="0"/>
              <w:marTop w:val="0"/>
              <w:marBottom w:val="0"/>
              <w:divBdr>
                <w:top w:val="none" w:sz="0" w:space="0" w:color="auto"/>
                <w:left w:val="none" w:sz="0" w:space="0" w:color="auto"/>
                <w:bottom w:val="none" w:sz="0" w:space="0" w:color="auto"/>
                <w:right w:val="none" w:sz="0" w:space="0" w:color="auto"/>
              </w:divBdr>
              <w:divsChild>
                <w:div w:id="1915234685">
                  <w:marLeft w:val="0"/>
                  <w:marRight w:val="0"/>
                  <w:marTop w:val="0"/>
                  <w:marBottom w:val="0"/>
                  <w:divBdr>
                    <w:top w:val="none" w:sz="0" w:space="0" w:color="auto"/>
                    <w:left w:val="none" w:sz="0" w:space="0" w:color="auto"/>
                    <w:bottom w:val="none" w:sz="0" w:space="0" w:color="auto"/>
                    <w:right w:val="none" w:sz="0" w:space="0" w:color="auto"/>
                  </w:divBdr>
                  <w:divsChild>
                    <w:div w:id="265236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7096421">
          <w:marLeft w:val="0"/>
          <w:marRight w:val="0"/>
          <w:marTop w:val="0"/>
          <w:marBottom w:val="0"/>
          <w:divBdr>
            <w:top w:val="none" w:sz="0" w:space="0" w:color="auto"/>
            <w:left w:val="none" w:sz="0" w:space="0" w:color="auto"/>
            <w:bottom w:val="single" w:sz="6" w:space="12" w:color="DDDDDD"/>
            <w:right w:val="none" w:sz="0" w:space="0" w:color="auto"/>
          </w:divBdr>
          <w:divsChild>
            <w:div w:id="1107387822">
              <w:marLeft w:val="0"/>
              <w:marRight w:val="0"/>
              <w:marTop w:val="0"/>
              <w:marBottom w:val="0"/>
              <w:divBdr>
                <w:top w:val="none" w:sz="0" w:space="0" w:color="auto"/>
                <w:left w:val="none" w:sz="0" w:space="0" w:color="auto"/>
                <w:bottom w:val="none" w:sz="0" w:space="0" w:color="auto"/>
                <w:right w:val="none" w:sz="0" w:space="0" w:color="auto"/>
              </w:divBdr>
              <w:divsChild>
                <w:div w:id="708720462">
                  <w:marLeft w:val="0"/>
                  <w:marRight w:val="0"/>
                  <w:marTop w:val="0"/>
                  <w:marBottom w:val="0"/>
                  <w:divBdr>
                    <w:top w:val="none" w:sz="0" w:space="0" w:color="auto"/>
                    <w:left w:val="none" w:sz="0" w:space="0" w:color="auto"/>
                    <w:bottom w:val="none" w:sz="0" w:space="0" w:color="auto"/>
                    <w:right w:val="none" w:sz="0" w:space="0" w:color="auto"/>
                  </w:divBdr>
                  <w:divsChild>
                    <w:div w:id="1379938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9744911">
          <w:marLeft w:val="0"/>
          <w:marRight w:val="0"/>
          <w:marTop w:val="0"/>
          <w:marBottom w:val="0"/>
          <w:divBdr>
            <w:top w:val="none" w:sz="0" w:space="0" w:color="auto"/>
            <w:left w:val="none" w:sz="0" w:space="0" w:color="auto"/>
            <w:bottom w:val="single" w:sz="6" w:space="12" w:color="DDDDDD"/>
            <w:right w:val="none" w:sz="0" w:space="0" w:color="auto"/>
          </w:divBdr>
          <w:divsChild>
            <w:div w:id="110364469">
              <w:marLeft w:val="0"/>
              <w:marRight w:val="0"/>
              <w:marTop w:val="0"/>
              <w:marBottom w:val="0"/>
              <w:divBdr>
                <w:top w:val="none" w:sz="0" w:space="0" w:color="auto"/>
                <w:left w:val="none" w:sz="0" w:space="0" w:color="auto"/>
                <w:bottom w:val="none" w:sz="0" w:space="0" w:color="auto"/>
                <w:right w:val="none" w:sz="0" w:space="0" w:color="auto"/>
              </w:divBdr>
              <w:divsChild>
                <w:div w:id="292370383">
                  <w:marLeft w:val="0"/>
                  <w:marRight w:val="0"/>
                  <w:marTop w:val="0"/>
                  <w:marBottom w:val="0"/>
                  <w:divBdr>
                    <w:top w:val="none" w:sz="0" w:space="0" w:color="auto"/>
                    <w:left w:val="none" w:sz="0" w:space="0" w:color="auto"/>
                    <w:bottom w:val="none" w:sz="0" w:space="0" w:color="auto"/>
                    <w:right w:val="none" w:sz="0" w:space="0" w:color="auto"/>
                  </w:divBdr>
                  <w:divsChild>
                    <w:div w:id="1064063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6937150">
          <w:marLeft w:val="0"/>
          <w:marRight w:val="0"/>
          <w:marTop w:val="0"/>
          <w:marBottom w:val="0"/>
          <w:divBdr>
            <w:top w:val="none" w:sz="0" w:space="0" w:color="auto"/>
            <w:left w:val="none" w:sz="0" w:space="0" w:color="auto"/>
            <w:bottom w:val="single" w:sz="6" w:space="12" w:color="DDDDDD"/>
            <w:right w:val="none" w:sz="0" w:space="0" w:color="auto"/>
          </w:divBdr>
          <w:divsChild>
            <w:div w:id="1415516675">
              <w:marLeft w:val="0"/>
              <w:marRight w:val="0"/>
              <w:marTop w:val="0"/>
              <w:marBottom w:val="0"/>
              <w:divBdr>
                <w:top w:val="none" w:sz="0" w:space="0" w:color="auto"/>
                <w:left w:val="none" w:sz="0" w:space="0" w:color="auto"/>
                <w:bottom w:val="none" w:sz="0" w:space="0" w:color="auto"/>
                <w:right w:val="none" w:sz="0" w:space="0" w:color="auto"/>
              </w:divBdr>
              <w:divsChild>
                <w:div w:id="845292772">
                  <w:marLeft w:val="0"/>
                  <w:marRight w:val="0"/>
                  <w:marTop w:val="0"/>
                  <w:marBottom w:val="0"/>
                  <w:divBdr>
                    <w:top w:val="none" w:sz="0" w:space="0" w:color="auto"/>
                    <w:left w:val="none" w:sz="0" w:space="0" w:color="auto"/>
                    <w:bottom w:val="none" w:sz="0" w:space="0" w:color="auto"/>
                    <w:right w:val="none" w:sz="0" w:space="0" w:color="auto"/>
                  </w:divBdr>
                  <w:divsChild>
                    <w:div w:id="1410150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8053873">
          <w:marLeft w:val="0"/>
          <w:marRight w:val="0"/>
          <w:marTop w:val="0"/>
          <w:marBottom w:val="0"/>
          <w:divBdr>
            <w:top w:val="none" w:sz="0" w:space="0" w:color="auto"/>
            <w:left w:val="none" w:sz="0" w:space="0" w:color="auto"/>
            <w:bottom w:val="single" w:sz="6" w:space="12" w:color="DDDDDD"/>
            <w:right w:val="none" w:sz="0" w:space="0" w:color="auto"/>
          </w:divBdr>
          <w:divsChild>
            <w:div w:id="849875669">
              <w:marLeft w:val="0"/>
              <w:marRight w:val="0"/>
              <w:marTop w:val="0"/>
              <w:marBottom w:val="0"/>
              <w:divBdr>
                <w:top w:val="none" w:sz="0" w:space="0" w:color="auto"/>
                <w:left w:val="none" w:sz="0" w:space="0" w:color="auto"/>
                <w:bottom w:val="none" w:sz="0" w:space="0" w:color="auto"/>
                <w:right w:val="none" w:sz="0" w:space="0" w:color="auto"/>
              </w:divBdr>
              <w:divsChild>
                <w:div w:id="1377192483">
                  <w:marLeft w:val="0"/>
                  <w:marRight w:val="0"/>
                  <w:marTop w:val="0"/>
                  <w:marBottom w:val="0"/>
                  <w:divBdr>
                    <w:top w:val="none" w:sz="0" w:space="0" w:color="auto"/>
                    <w:left w:val="none" w:sz="0" w:space="0" w:color="auto"/>
                    <w:bottom w:val="none" w:sz="0" w:space="0" w:color="auto"/>
                    <w:right w:val="none" w:sz="0" w:space="0" w:color="auto"/>
                  </w:divBdr>
                  <w:divsChild>
                    <w:div w:id="2000303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9460749">
          <w:marLeft w:val="0"/>
          <w:marRight w:val="0"/>
          <w:marTop w:val="0"/>
          <w:marBottom w:val="0"/>
          <w:divBdr>
            <w:top w:val="none" w:sz="0" w:space="0" w:color="auto"/>
            <w:left w:val="none" w:sz="0" w:space="0" w:color="auto"/>
            <w:bottom w:val="single" w:sz="6" w:space="12" w:color="DDDDDD"/>
            <w:right w:val="none" w:sz="0" w:space="0" w:color="auto"/>
          </w:divBdr>
          <w:divsChild>
            <w:div w:id="1439521750">
              <w:marLeft w:val="0"/>
              <w:marRight w:val="0"/>
              <w:marTop w:val="0"/>
              <w:marBottom w:val="0"/>
              <w:divBdr>
                <w:top w:val="none" w:sz="0" w:space="0" w:color="auto"/>
                <w:left w:val="none" w:sz="0" w:space="0" w:color="auto"/>
                <w:bottom w:val="none" w:sz="0" w:space="0" w:color="auto"/>
                <w:right w:val="none" w:sz="0" w:space="0" w:color="auto"/>
              </w:divBdr>
              <w:divsChild>
                <w:div w:id="140463629">
                  <w:marLeft w:val="0"/>
                  <w:marRight w:val="0"/>
                  <w:marTop w:val="0"/>
                  <w:marBottom w:val="0"/>
                  <w:divBdr>
                    <w:top w:val="none" w:sz="0" w:space="0" w:color="auto"/>
                    <w:left w:val="none" w:sz="0" w:space="0" w:color="auto"/>
                    <w:bottom w:val="none" w:sz="0" w:space="0" w:color="auto"/>
                    <w:right w:val="none" w:sz="0" w:space="0" w:color="auto"/>
                  </w:divBdr>
                  <w:divsChild>
                    <w:div w:id="1952084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268232">
          <w:marLeft w:val="0"/>
          <w:marRight w:val="0"/>
          <w:marTop w:val="0"/>
          <w:marBottom w:val="0"/>
          <w:divBdr>
            <w:top w:val="none" w:sz="0" w:space="0" w:color="auto"/>
            <w:left w:val="none" w:sz="0" w:space="0" w:color="auto"/>
            <w:bottom w:val="single" w:sz="6" w:space="12" w:color="DDDDDD"/>
            <w:right w:val="none" w:sz="0" w:space="0" w:color="auto"/>
          </w:divBdr>
          <w:divsChild>
            <w:div w:id="1647129634">
              <w:marLeft w:val="0"/>
              <w:marRight w:val="0"/>
              <w:marTop w:val="0"/>
              <w:marBottom w:val="0"/>
              <w:divBdr>
                <w:top w:val="none" w:sz="0" w:space="0" w:color="auto"/>
                <w:left w:val="none" w:sz="0" w:space="0" w:color="auto"/>
                <w:bottom w:val="none" w:sz="0" w:space="0" w:color="auto"/>
                <w:right w:val="none" w:sz="0" w:space="0" w:color="auto"/>
              </w:divBdr>
              <w:divsChild>
                <w:div w:id="1899626742">
                  <w:marLeft w:val="0"/>
                  <w:marRight w:val="0"/>
                  <w:marTop w:val="0"/>
                  <w:marBottom w:val="0"/>
                  <w:divBdr>
                    <w:top w:val="none" w:sz="0" w:space="0" w:color="auto"/>
                    <w:left w:val="none" w:sz="0" w:space="0" w:color="auto"/>
                    <w:bottom w:val="none" w:sz="0" w:space="0" w:color="auto"/>
                    <w:right w:val="none" w:sz="0" w:space="0" w:color="auto"/>
                  </w:divBdr>
                  <w:divsChild>
                    <w:div w:id="810904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4454710">
          <w:marLeft w:val="0"/>
          <w:marRight w:val="0"/>
          <w:marTop w:val="0"/>
          <w:marBottom w:val="0"/>
          <w:divBdr>
            <w:top w:val="none" w:sz="0" w:space="0" w:color="auto"/>
            <w:left w:val="none" w:sz="0" w:space="0" w:color="auto"/>
            <w:bottom w:val="single" w:sz="6" w:space="12" w:color="DDDDDD"/>
            <w:right w:val="none" w:sz="0" w:space="0" w:color="auto"/>
          </w:divBdr>
          <w:divsChild>
            <w:div w:id="1685129055">
              <w:marLeft w:val="0"/>
              <w:marRight w:val="0"/>
              <w:marTop w:val="0"/>
              <w:marBottom w:val="0"/>
              <w:divBdr>
                <w:top w:val="none" w:sz="0" w:space="0" w:color="auto"/>
                <w:left w:val="none" w:sz="0" w:space="0" w:color="auto"/>
                <w:bottom w:val="none" w:sz="0" w:space="0" w:color="auto"/>
                <w:right w:val="none" w:sz="0" w:space="0" w:color="auto"/>
              </w:divBdr>
              <w:divsChild>
                <w:div w:id="1023436333">
                  <w:marLeft w:val="0"/>
                  <w:marRight w:val="0"/>
                  <w:marTop w:val="0"/>
                  <w:marBottom w:val="0"/>
                  <w:divBdr>
                    <w:top w:val="none" w:sz="0" w:space="0" w:color="auto"/>
                    <w:left w:val="none" w:sz="0" w:space="0" w:color="auto"/>
                    <w:bottom w:val="none" w:sz="0" w:space="0" w:color="auto"/>
                    <w:right w:val="none" w:sz="0" w:space="0" w:color="auto"/>
                  </w:divBdr>
                  <w:divsChild>
                    <w:div w:id="19424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713677">
          <w:marLeft w:val="0"/>
          <w:marRight w:val="0"/>
          <w:marTop w:val="0"/>
          <w:marBottom w:val="0"/>
          <w:divBdr>
            <w:top w:val="none" w:sz="0" w:space="0" w:color="auto"/>
            <w:left w:val="none" w:sz="0" w:space="0" w:color="auto"/>
            <w:bottom w:val="single" w:sz="6" w:space="12" w:color="DDDDDD"/>
            <w:right w:val="none" w:sz="0" w:space="0" w:color="auto"/>
          </w:divBdr>
          <w:divsChild>
            <w:div w:id="1471825445">
              <w:marLeft w:val="0"/>
              <w:marRight w:val="0"/>
              <w:marTop w:val="0"/>
              <w:marBottom w:val="0"/>
              <w:divBdr>
                <w:top w:val="none" w:sz="0" w:space="0" w:color="auto"/>
                <w:left w:val="none" w:sz="0" w:space="0" w:color="auto"/>
                <w:bottom w:val="none" w:sz="0" w:space="0" w:color="auto"/>
                <w:right w:val="none" w:sz="0" w:space="0" w:color="auto"/>
              </w:divBdr>
              <w:divsChild>
                <w:div w:id="745298676">
                  <w:marLeft w:val="0"/>
                  <w:marRight w:val="0"/>
                  <w:marTop w:val="0"/>
                  <w:marBottom w:val="0"/>
                  <w:divBdr>
                    <w:top w:val="none" w:sz="0" w:space="0" w:color="auto"/>
                    <w:left w:val="none" w:sz="0" w:space="0" w:color="auto"/>
                    <w:bottom w:val="none" w:sz="0" w:space="0" w:color="auto"/>
                    <w:right w:val="none" w:sz="0" w:space="0" w:color="auto"/>
                  </w:divBdr>
                  <w:divsChild>
                    <w:div w:id="570500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8666688">
          <w:marLeft w:val="0"/>
          <w:marRight w:val="0"/>
          <w:marTop w:val="0"/>
          <w:marBottom w:val="0"/>
          <w:divBdr>
            <w:top w:val="none" w:sz="0" w:space="0" w:color="auto"/>
            <w:left w:val="none" w:sz="0" w:space="0" w:color="auto"/>
            <w:bottom w:val="single" w:sz="6" w:space="12" w:color="DDDDDD"/>
            <w:right w:val="none" w:sz="0" w:space="0" w:color="auto"/>
          </w:divBdr>
          <w:divsChild>
            <w:div w:id="157383100">
              <w:marLeft w:val="0"/>
              <w:marRight w:val="0"/>
              <w:marTop w:val="0"/>
              <w:marBottom w:val="0"/>
              <w:divBdr>
                <w:top w:val="none" w:sz="0" w:space="0" w:color="auto"/>
                <w:left w:val="none" w:sz="0" w:space="0" w:color="auto"/>
                <w:bottom w:val="none" w:sz="0" w:space="0" w:color="auto"/>
                <w:right w:val="none" w:sz="0" w:space="0" w:color="auto"/>
              </w:divBdr>
              <w:divsChild>
                <w:div w:id="984773300">
                  <w:marLeft w:val="0"/>
                  <w:marRight w:val="0"/>
                  <w:marTop w:val="0"/>
                  <w:marBottom w:val="0"/>
                  <w:divBdr>
                    <w:top w:val="none" w:sz="0" w:space="0" w:color="auto"/>
                    <w:left w:val="none" w:sz="0" w:space="0" w:color="auto"/>
                    <w:bottom w:val="none" w:sz="0" w:space="0" w:color="auto"/>
                    <w:right w:val="none" w:sz="0" w:space="0" w:color="auto"/>
                  </w:divBdr>
                  <w:divsChild>
                    <w:div w:id="333805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6904708">
          <w:marLeft w:val="0"/>
          <w:marRight w:val="0"/>
          <w:marTop w:val="0"/>
          <w:marBottom w:val="0"/>
          <w:divBdr>
            <w:top w:val="none" w:sz="0" w:space="0" w:color="auto"/>
            <w:left w:val="none" w:sz="0" w:space="0" w:color="auto"/>
            <w:bottom w:val="single" w:sz="6" w:space="12" w:color="DDDDDD"/>
            <w:right w:val="none" w:sz="0" w:space="0" w:color="auto"/>
          </w:divBdr>
          <w:divsChild>
            <w:div w:id="355347766">
              <w:marLeft w:val="0"/>
              <w:marRight w:val="0"/>
              <w:marTop w:val="0"/>
              <w:marBottom w:val="0"/>
              <w:divBdr>
                <w:top w:val="none" w:sz="0" w:space="0" w:color="auto"/>
                <w:left w:val="none" w:sz="0" w:space="0" w:color="auto"/>
                <w:bottom w:val="none" w:sz="0" w:space="0" w:color="auto"/>
                <w:right w:val="none" w:sz="0" w:space="0" w:color="auto"/>
              </w:divBdr>
              <w:divsChild>
                <w:div w:id="295526988">
                  <w:marLeft w:val="0"/>
                  <w:marRight w:val="0"/>
                  <w:marTop w:val="0"/>
                  <w:marBottom w:val="0"/>
                  <w:divBdr>
                    <w:top w:val="none" w:sz="0" w:space="0" w:color="auto"/>
                    <w:left w:val="none" w:sz="0" w:space="0" w:color="auto"/>
                    <w:bottom w:val="none" w:sz="0" w:space="0" w:color="auto"/>
                    <w:right w:val="none" w:sz="0" w:space="0" w:color="auto"/>
                  </w:divBdr>
                  <w:divsChild>
                    <w:div w:id="302009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7904274">
          <w:marLeft w:val="0"/>
          <w:marRight w:val="0"/>
          <w:marTop w:val="0"/>
          <w:marBottom w:val="0"/>
          <w:divBdr>
            <w:top w:val="none" w:sz="0" w:space="0" w:color="auto"/>
            <w:left w:val="none" w:sz="0" w:space="0" w:color="auto"/>
            <w:bottom w:val="single" w:sz="6" w:space="12" w:color="DDDDDD"/>
            <w:right w:val="none" w:sz="0" w:space="0" w:color="auto"/>
          </w:divBdr>
          <w:divsChild>
            <w:div w:id="2058501965">
              <w:marLeft w:val="0"/>
              <w:marRight w:val="0"/>
              <w:marTop w:val="0"/>
              <w:marBottom w:val="0"/>
              <w:divBdr>
                <w:top w:val="none" w:sz="0" w:space="0" w:color="auto"/>
                <w:left w:val="none" w:sz="0" w:space="0" w:color="auto"/>
                <w:bottom w:val="none" w:sz="0" w:space="0" w:color="auto"/>
                <w:right w:val="none" w:sz="0" w:space="0" w:color="auto"/>
              </w:divBdr>
              <w:divsChild>
                <w:div w:id="391006707">
                  <w:marLeft w:val="0"/>
                  <w:marRight w:val="0"/>
                  <w:marTop w:val="0"/>
                  <w:marBottom w:val="0"/>
                  <w:divBdr>
                    <w:top w:val="none" w:sz="0" w:space="0" w:color="auto"/>
                    <w:left w:val="none" w:sz="0" w:space="0" w:color="auto"/>
                    <w:bottom w:val="none" w:sz="0" w:space="0" w:color="auto"/>
                    <w:right w:val="none" w:sz="0" w:space="0" w:color="auto"/>
                  </w:divBdr>
                  <w:divsChild>
                    <w:div w:id="2069568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8758920">
          <w:marLeft w:val="0"/>
          <w:marRight w:val="0"/>
          <w:marTop w:val="0"/>
          <w:marBottom w:val="0"/>
          <w:divBdr>
            <w:top w:val="none" w:sz="0" w:space="0" w:color="auto"/>
            <w:left w:val="none" w:sz="0" w:space="0" w:color="auto"/>
            <w:bottom w:val="single" w:sz="6" w:space="12" w:color="DDDDDD"/>
            <w:right w:val="none" w:sz="0" w:space="0" w:color="auto"/>
          </w:divBdr>
          <w:divsChild>
            <w:div w:id="1661809376">
              <w:marLeft w:val="0"/>
              <w:marRight w:val="0"/>
              <w:marTop w:val="0"/>
              <w:marBottom w:val="0"/>
              <w:divBdr>
                <w:top w:val="none" w:sz="0" w:space="0" w:color="auto"/>
                <w:left w:val="none" w:sz="0" w:space="0" w:color="auto"/>
                <w:bottom w:val="none" w:sz="0" w:space="0" w:color="auto"/>
                <w:right w:val="none" w:sz="0" w:space="0" w:color="auto"/>
              </w:divBdr>
              <w:divsChild>
                <w:div w:id="383798794">
                  <w:marLeft w:val="0"/>
                  <w:marRight w:val="0"/>
                  <w:marTop w:val="0"/>
                  <w:marBottom w:val="0"/>
                  <w:divBdr>
                    <w:top w:val="none" w:sz="0" w:space="0" w:color="auto"/>
                    <w:left w:val="none" w:sz="0" w:space="0" w:color="auto"/>
                    <w:bottom w:val="none" w:sz="0" w:space="0" w:color="auto"/>
                    <w:right w:val="none" w:sz="0" w:space="0" w:color="auto"/>
                  </w:divBdr>
                  <w:divsChild>
                    <w:div w:id="323558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6827222">
          <w:marLeft w:val="0"/>
          <w:marRight w:val="0"/>
          <w:marTop w:val="0"/>
          <w:marBottom w:val="0"/>
          <w:divBdr>
            <w:top w:val="none" w:sz="0" w:space="0" w:color="auto"/>
            <w:left w:val="none" w:sz="0" w:space="0" w:color="auto"/>
            <w:bottom w:val="single" w:sz="6" w:space="12" w:color="DDDDDD"/>
            <w:right w:val="none" w:sz="0" w:space="0" w:color="auto"/>
          </w:divBdr>
          <w:divsChild>
            <w:div w:id="613832372">
              <w:marLeft w:val="0"/>
              <w:marRight w:val="0"/>
              <w:marTop w:val="0"/>
              <w:marBottom w:val="0"/>
              <w:divBdr>
                <w:top w:val="none" w:sz="0" w:space="0" w:color="auto"/>
                <w:left w:val="none" w:sz="0" w:space="0" w:color="auto"/>
                <w:bottom w:val="none" w:sz="0" w:space="0" w:color="auto"/>
                <w:right w:val="none" w:sz="0" w:space="0" w:color="auto"/>
              </w:divBdr>
              <w:divsChild>
                <w:div w:id="1975330833">
                  <w:marLeft w:val="0"/>
                  <w:marRight w:val="0"/>
                  <w:marTop w:val="0"/>
                  <w:marBottom w:val="0"/>
                  <w:divBdr>
                    <w:top w:val="none" w:sz="0" w:space="0" w:color="auto"/>
                    <w:left w:val="none" w:sz="0" w:space="0" w:color="auto"/>
                    <w:bottom w:val="none" w:sz="0" w:space="0" w:color="auto"/>
                    <w:right w:val="none" w:sz="0" w:space="0" w:color="auto"/>
                  </w:divBdr>
                  <w:divsChild>
                    <w:div w:id="1308509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5892096">
          <w:marLeft w:val="0"/>
          <w:marRight w:val="0"/>
          <w:marTop w:val="0"/>
          <w:marBottom w:val="0"/>
          <w:divBdr>
            <w:top w:val="none" w:sz="0" w:space="0" w:color="auto"/>
            <w:left w:val="none" w:sz="0" w:space="0" w:color="auto"/>
            <w:bottom w:val="single" w:sz="6" w:space="12" w:color="DDDDDD"/>
            <w:right w:val="none" w:sz="0" w:space="0" w:color="auto"/>
          </w:divBdr>
          <w:divsChild>
            <w:div w:id="710306542">
              <w:marLeft w:val="0"/>
              <w:marRight w:val="0"/>
              <w:marTop w:val="0"/>
              <w:marBottom w:val="0"/>
              <w:divBdr>
                <w:top w:val="none" w:sz="0" w:space="0" w:color="auto"/>
                <w:left w:val="none" w:sz="0" w:space="0" w:color="auto"/>
                <w:bottom w:val="none" w:sz="0" w:space="0" w:color="auto"/>
                <w:right w:val="none" w:sz="0" w:space="0" w:color="auto"/>
              </w:divBdr>
              <w:divsChild>
                <w:div w:id="976371067">
                  <w:marLeft w:val="0"/>
                  <w:marRight w:val="0"/>
                  <w:marTop w:val="0"/>
                  <w:marBottom w:val="0"/>
                  <w:divBdr>
                    <w:top w:val="none" w:sz="0" w:space="0" w:color="auto"/>
                    <w:left w:val="none" w:sz="0" w:space="0" w:color="auto"/>
                    <w:bottom w:val="none" w:sz="0" w:space="0" w:color="auto"/>
                    <w:right w:val="none" w:sz="0" w:space="0" w:color="auto"/>
                  </w:divBdr>
                  <w:divsChild>
                    <w:div w:id="1337922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4810586">
          <w:marLeft w:val="0"/>
          <w:marRight w:val="0"/>
          <w:marTop w:val="0"/>
          <w:marBottom w:val="0"/>
          <w:divBdr>
            <w:top w:val="none" w:sz="0" w:space="0" w:color="auto"/>
            <w:left w:val="none" w:sz="0" w:space="0" w:color="auto"/>
            <w:bottom w:val="single" w:sz="6" w:space="12" w:color="DDDDDD"/>
            <w:right w:val="none" w:sz="0" w:space="0" w:color="auto"/>
          </w:divBdr>
          <w:divsChild>
            <w:div w:id="791166642">
              <w:marLeft w:val="0"/>
              <w:marRight w:val="0"/>
              <w:marTop w:val="0"/>
              <w:marBottom w:val="0"/>
              <w:divBdr>
                <w:top w:val="none" w:sz="0" w:space="0" w:color="auto"/>
                <w:left w:val="none" w:sz="0" w:space="0" w:color="auto"/>
                <w:bottom w:val="none" w:sz="0" w:space="0" w:color="auto"/>
                <w:right w:val="none" w:sz="0" w:space="0" w:color="auto"/>
              </w:divBdr>
              <w:divsChild>
                <w:div w:id="776292999">
                  <w:marLeft w:val="0"/>
                  <w:marRight w:val="0"/>
                  <w:marTop w:val="0"/>
                  <w:marBottom w:val="0"/>
                  <w:divBdr>
                    <w:top w:val="none" w:sz="0" w:space="0" w:color="auto"/>
                    <w:left w:val="none" w:sz="0" w:space="0" w:color="auto"/>
                    <w:bottom w:val="none" w:sz="0" w:space="0" w:color="auto"/>
                    <w:right w:val="none" w:sz="0" w:space="0" w:color="auto"/>
                  </w:divBdr>
                  <w:divsChild>
                    <w:div w:id="871578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6230919">
          <w:marLeft w:val="0"/>
          <w:marRight w:val="0"/>
          <w:marTop w:val="0"/>
          <w:marBottom w:val="0"/>
          <w:divBdr>
            <w:top w:val="none" w:sz="0" w:space="0" w:color="auto"/>
            <w:left w:val="none" w:sz="0" w:space="0" w:color="auto"/>
            <w:bottom w:val="single" w:sz="6" w:space="12" w:color="DDDDDD"/>
            <w:right w:val="none" w:sz="0" w:space="0" w:color="auto"/>
          </w:divBdr>
          <w:divsChild>
            <w:div w:id="1841306752">
              <w:marLeft w:val="0"/>
              <w:marRight w:val="0"/>
              <w:marTop w:val="0"/>
              <w:marBottom w:val="0"/>
              <w:divBdr>
                <w:top w:val="none" w:sz="0" w:space="0" w:color="auto"/>
                <w:left w:val="none" w:sz="0" w:space="0" w:color="auto"/>
                <w:bottom w:val="none" w:sz="0" w:space="0" w:color="auto"/>
                <w:right w:val="none" w:sz="0" w:space="0" w:color="auto"/>
              </w:divBdr>
              <w:divsChild>
                <w:div w:id="1833063222">
                  <w:marLeft w:val="0"/>
                  <w:marRight w:val="0"/>
                  <w:marTop w:val="0"/>
                  <w:marBottom w:val="0"/>
                  <w:divBdr>
                    <w:top w:val="none" w:sz="0" w:space="0" w:color="auto"/>
                    <w:left w:val="none" w:sz="0" w:space="0" w:color="auto"/>
                    <w:bottom w:val="none" w:sz="0" w:space="0" w:color="auto"/>
                    <w:right w:val="none" w:sz="0" w:space="0" w:color="auto"/>
                  </w:divBdr>
                  <w:divsChild>
                    <w:div w:id="1384980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8589317">
          <w:marLeft w:val="0"/>
          <w:marRight w:val="0"/>
          <w:marTop w:val="0"/>
          <w:marBottom w:val="0"/>
          <w:divBdr>
            <w:top w:val="none" w:sz="0" w:space="0" w:color="auto"/>
            <w:left w:val="none" w:sz="0" w:space="0" w:color="auto"/>
            <w:bottom w:val="single" w:sz="6" w:space="12" w:color="DDDDDD"/>
            <w:right w:val="none" w:sz="0" w:space="0" w:color="auto"/>
          </w:divBdr>
          <w:divsChild>
            <w:div w:id="360326348">
              <w:marLeft w:val="0"/>
              <w:marRight w:val="0"/>
              <w:marTop w:val="0"/>
              <w:marBottom w:val="0"/>
              <w:divBdr>
                <w:top w:val="none" w:sz="0" w:space="0" w:color="auto"/>
                <w:left w:val="none" w:sz="0" w:space="0" w:color="auto"/>
                <w:bottom w:val="none" w:sz="0" w:space="0" w:color="auto"/>
                <w:right w:val="none" w:sz="0" w:space="0" w:color="auto"/>
              </w:divBdr>
              <w:divsChild>
                <w:div w:id="329263127">
                  <w:marLeft w:val="0"/>
                  <w:marRight w:val="0"/>
                  <w:marTop w:val="0"/>
                  <w:marBottom w:val="0"/>
                  <w:divBdr>
                    <w:top w:val="none" w:sz="0" w:space="0" w:color="auto"/>
                    <w:left w:val="none" w:sz="0" w:space="0" w:color="auto"/>
                    <w:bottom w:val="none" w:sz="0" w:space="0" w:color="auto"/>
                    <w:right w:val="none" w:sz="0" w:space="0" w:color="auto"/>
                  </w:divBdr>
                  <w:divsChild>
                    <w:div w:id="1625623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6932667">
          <w:marLeft w:val="0"/>
          <w:marRight w:val="0"/>
          <w:marTop w:val="0"/>
          <w:marBottom w:val="0"/>
          <w:divBdr>
            <w:top w:val="none" w:sz="0" w:space="0" w:color="auto"/>
            <w:left w:val="none" w:sz="0" w:space="0" w:color="auto"/>
            <w:bottom w:val="single" w:sz="6" w:space="12" w:color="DDDDDD"/>
            <w:right w:val="none" w:sz="0" w:space="0" w:color="auto"/>
          </w:divBdr>
          <w:divsChild>
            <w:div w:id="587273532">
              <w:marLeft w:val="0"/>
              <w:marRight w:val="0"/>
              <w:marTop w:val="0"/>
              <w:marBottom w:val="0"/>
              <w:divBdr>
                <w:top w:val="none" w:sz="0" w:space="0" w:color="auto"/>
                <w:left w:val="none" w:sz="0" w:space="0" w:color="auto"/>
                <w:bottom w:val="none" w:sz="0" w:space="0" w:color="auto"/>
                <w:right w:val="none" w:sz="0" w:space="0" w:color="auto"/>
              </w:divBdr>
              <w:divsChild>
                <w:div w:id="820971505">
                  <w:marLeft w:val="0"/>
                  <w:marRight w:val="0"/>
                  <w:marTop w:val="0"/>
                  <w:marBottom w:val="0"/>
                  <w:divBdr>
                    <w:top w:val="none" w:sz="0" w:space="0" w:color="auto"/>
                    <w:left w:val="none" w:sz="0" w:space="0" w:color="auto"/>
                    <w:bottom w:val="none" w:sz="0" w:space="0" w:color="auto"/>
                    <w:right w:val="none" w:sz="0" w:space="0" w:color="auto"/>
                  </w:divBdr>
                  <w:divsChild>
                    <w:div w:id="1986354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0131659">
          <w:marLeft w:val="0"/>
          <w:marRight w:val="0"/>
          <w:marTop w:val="0"/>
          <w:marBottom w:val="0"/>
          <w:divBdr>
            <w:top w:val="none" w:sz="0" w:space="0" w:color="auto"/>
            <w:left w:val="none" w:sz="0" w:space="0" w:color="auto"/>
            <w:bottom w:val="single" w:sz="6" w:space="12" w:color="DDDDDD"/>
            <w:right w:val="none" w:sz="0" w:space="0" w:color="auto"/>
          </w:divBdr>
          <w:divsChild>
            <w:div w:id="295306456">
              <w:marLeft w:val="0"/>
              <w:marRight w:val="0"/>
              <w:marTop w:val="0"/>
              <w:marBottom w:val="0"/>
              <w:divBdr>
                <w:top w:val="none" w:sz="0" w:space="0" w:color="auto"/>
                <w:left w:val="none" w:sz="0" w:space="0" w:color="auto"/>
                <w:bottom w:val="none" w:sz="0" w:space="0" w:color="auto"/>
                <w:right w:val="none" w:sz="0" w:space="0" w:color="auto"/>
              </w:divBdr>
              <w:divsChild>
                <w:div w:id="1787113659">
                  <w:marLeft w:val="0"/>
                  <w:marRight w:val="0"/>
                  <w:marTop w:val="0"/>
                  <w:marBottom w:val="0"/>
                  <w:divBdr>
                    <w:top w:val="none" w:sz="0" w:space="0" w:color="auto"/>
                    <w:left w:val="none" w:sz="0" w:space="0" w:color="auto"/>
                    <w:bottom w:val="none" w:sz="0" w:space="0" w:color="auto"/>
                    <w:right w:val="none" w:sz="0" w:space="0" w:color="auto"/>
                  </w:divBdr>
                  <w:divsChild>
                    <w:div w:id="1941520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7786677">
          <w:marLeft w:val="0"/>
          <w:marRight w:val="0"/>
          <w:marTop w:val="0"/>
          <w:marBottom w:val="0"/>
          <w:divBdr>
            <w:top w:val="none" w:sz="0" w:space="0" w:color="auto"/>
            <w:left w:val="none" w:sz="0" w:space="0" w:color="auto"/>
            <w:bottom w:val="none" w:sz="0" w:space="0" w:color="auto"/>
            <w:right w:val="none" w:sz="0" w:space="0" w:color="auto"/>
          </w:divBdr>
          <w:divsChild>
            <w:div w:id="630745976">
              <w:marLeft w:val="0"/>
              <w:marRight w:val="0"/>
              <w:marTop w:val="0"/>
              <w:marBottom w:val="0"/>
              <w:divBdr>
                <w:top w:val="none" w:sz="0" w:space="0" w:color="auto"/>
                <w:left w:val="none" w:sz="0" w:space="0" w:color="auto"/>
                <w:bottom w:val="none" w:sz="0" w:space="0" w:color="auto"/>
                <w:right w:val="none" w:sz="0" w:space="0" w:color="auto"/>
              </w:divBdr>
              <w:divsChild>
                <w:div w:id="1219896290">
                  <w:marLeft w:val="0"/>
                  <w:marRight w:val="0"/>
                  <w:marTop w:val="0"/>
                  <w:marBottom w:val="0"/>
                  <w:divBdr>
                    <w:top w:val="none" w:sz="0" w:space="0" w:color="auto"/>
                    <w:left w:val="none" w:sz="0" w:space="0" w:color="auto"/>
                    <w:bottom w:val="none" w:sz="0" w:space="0" w:color="auto"/>
                    <w:right w:val="none" w:sz="0" w:space="0" w:color="auto"/>
                  </w:divBdr>
                  <w:divsChild>
                    <w:div w:id="1977028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1527739">
      <w:bodyDiv w:val="1"/>
      <w:marLeft w:val="0"/>
      <w:marRight w:val="0"/>
      <w:marTop w:val="0"/>
      <w:marBottom w:val="0"/>
      <w:divBdr>
        <w:top w:val="none" w:sz="0" w:space="0" w:color="auto"/>
        <w:left w:val="none" w:sz="0" w:space="0" w:color="auto"/>
        <w:bottom w:val="none" w:sz="0" w:space="0" w:color="auto"/>
        <w:right w:val="none" w:sz="0" w:space="0" w:color="auto"/>
      </w:divBdr>
      <w:divsChild>
        <w:div w:id="233051680">
          <w:marLeft w:val="0"/>
          <w:marRight w:val="0"/>
          <w:marTop w:val="0"/>
          <w:marBottom w:val="0"/>
          <w:divBdr>
            <w:top w:val="none" w:sz="0" w:space="0" w:color="auto"/>
            <w:left w:val="none" w:sz="0" w:space="0" w:color="auto"/>
            <w:bottom w:val="none" w:sz="0" w:space="0" w:color="auto"/>
            <w:right w:val="none" w:sz="0" w:space="0" w:color="auto"/>
          </w:divBdr>
          <w:divsChild>
            <w:div w:id="1301039527">
              <w:marLeft w:val="0"/>
              <w:marRight w:val="0"/>
              <w:marTop w:val="0"/>
              <w:marBottom w:val="120"/>
              <w:divBdr>
                <w:top w:val="none" w:sz="0" w:space="0" w:color="auto"/>
                <w:left w:val="none" w:sz="0" w:space="0" w:color="auto"/>
                <w:bottom w:val="none" w:sz="0" w:space="0" w:color="auto"/>
                <w:right w:val="none" w:sz="0" w:space="0" w:color="auto"/>
              </w:divBdr>
              <w:divsChild>
                <w:div w:id="290551231">
                  <w:marLeft w:val="0"/>
                  <w:marRight w:val="0"/>
                  <w:marTop w:val="0"/>
                  <w:marBottom w:val="0"/>
                  <w:divBdr>
                    <w:top w:val="none" w:sz="0" w:space="0" w:color="auto"/>
                    <w:left w:val="none" w:sz="0" w:space="0" w:color="auto"/>
                    <w:bottom w:val="none" w:sz="0" w:space="0" w:color="auto"/>
                    <w:right w:val="none" w:sz="0" w:space="0" w:color="auto"/>
                  </w:divBdr>
                </w:div>
              </w:divsChild>
            </w:div>
            <w:div w:id="1002244127">
              <w:marLeft w:val="0"/>
              <w:marRight w:val="0"/>
              <w:marTop w:val="0"/>
              <w:marBottom w:val="120"/>
              <w:divBdr>
                <w:top w:val="none" w:sz="0" w:space="0" w:color="auto"/>
                <w:left w:val="none" w:sz="0" w:space="0" w:color="auto"/>
                <w:bottom w:val="none" w:sz="0" w:space="0" w:color="auto"/>
                <w:right w:val="none" w:sz="0" w:space="0" w:color="auto"/>
              </w:divBdr>
              <w:divsChild>
                <w:div w:id="492568904">
                  <w:marLeft w:val="0"/>
                  <w:marRight w:val="0"/>
                  <w:marTop w:val="0"/>
                  <w:marBottom w:val="0"/>
                  <w:divBdr>
                    <w:top w:val="none" w:sz="0" w:space="0" w:color="auto"/>
                    <w:left w:val="none" w:sz="0" w:space="0" w:color="auto"/>
                    <w:bottom w:val="none" w:sz="0" w:space="0" w:color="auto"/>
                    <w:right w:val="none" w:sz="0" w:space="0" w:color="auto"/>
                  </w:divBdr>
                </w:div>
              </w:divsChild>
            </w:div>
            <w:div w:id="294993531">
              <w:marLeft w:val="0"/>
              <w:marRight w:val="0"/>
              <w:marTop w:val="0"/>
              <w:marBottom w:val="120"/>
              <w:divBdr>
                <w:top w:val="none" w:sz="0" w:space="0" w:color="auto"/>
                <w:left w:val="none" w:sz="0" w:space="0" w:color="auto"/>
                <w:bottom w:val="none" w:sz="0" w:space="0" w:color="auto"/>
                <w:right w:val="none" w:sz="0" w:space="0" w:color="auto"/>
              </w:divBdr>
              <w:divsChild>
                <w:div w:id="815217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1224359">
          <w:marLeft w:val="0"/>
          <w:marRight w:val="0"/>
          <w:marTop w:val="0"/>
          <w:marBottom w:val="480"/>
          <w:divBdr>
            <w:top w:val="none" w:sz="0" w:space="0" w:color="auto"/>
            <w:left w:val="none" w:sz="0" w:space="0" w:color="auto"/>
            <w:bottom w:val="single" w:sz="12" w:space="24" w:color="EBEBEB"/>
            <w:right w:val="none" w:sz="0" w:space="0" w:color="auto"/>
          </w:divBdr>
          <w:divsChild>
            <w:div w:id="670570114">
              <w:marLeft w:val="0"/>
              <w:marRight w:val="0"/>
              <w:marTop w:val="0"/>
              <w:marBottom w:val="0"/>
              <w:divBdr>
                <w:top w:val="none" w:sz="0" w:space="0" w:color="auto"/>
                <w:left w:val="none" w:sz="0" w:space="0" w:color="auto"/>
                <w:bottom w:val="none" w:sz="0" w:space="0" w:color="auto"/>
                <w:right w:val="none" w:sz="0" w:space="0" w:color="auto"/>
              </w:divBdr>
              <w:divsChild>
                <w:div w:id="1954169744">
                  <w:marLeft w:val="0"/>
                  <w:marRight w:val="0"/>
                  <w:marTop w:val="0"/>
                  <w:marBottom w:val="0"/>
                  <w:divBdr>
                    <w:top w:val="none" w:sz="0" w:space="0" w:color="auto"/>
                    <w:left w:val="none" w:sz="0" w:space="0" w:color="auto"/>
                    <w:bottom w:val="none" w:sz="0" w:space="0" w:color="auto"/>
                    <w:right w:val="none" w:sz="0" w:space="0" w:color="auto"/>
                  </w:divBdr>
                </w:div>
                <w:div w:id="340668650">
                  <w:marLeft w:val="0"/>
                  <w:marRight w:val="0"/>
                  <w:marTop w:val="0"/>
                  <w:marBottom w:val="0"/>
                  <w:divBdr>
                    <w:top w:val="none" w:sz="0" w:space="0" w:color="auto"/>
                    <w:left w:val="none" w:sz="0" w:space="0" w:color="auto"/>
                    <w:bottom w:val="none" w:sz="0" w:space="0" w:color="auto"/>
                    <w:right w:val="none" w:sz="0" w:space="0" w:color="auto"/>
                  </w:divBdr>
                </w:div>
                <w:div w:id="649095005">
                  <w:marLeft w:val="0"/>
                  <w:marRight w:val="0"/>
                  <w:marTop w:val="0"/>
                  <w:marBottom w:val="0"/>
                  <w:divBdr>
                    <w:top w:val="none" w:sz="0" w:space="0" w:color="auto"/>
                    <w:left w:val="none" w:sz="0" w:space="0" w:color="auto"/>
                    <w:bottom w:val="none" w:sz="0" w:space="0" w:color="auto"/>
                    <w:right w:val="none" w:sz="0" w:space="0" w:color="auto"/>
                  </w:divBdr>
                </w:div>
                <w:div w:id="1856574281">
                  <w:marLeft w:val="0"/>
                  <w:marRight w:val="0"/>
                  <w:marTop w:val="0"/>
                  <w:marBottom w:val="0"/>
                  <w:divBdr>
                    <w:top w:val="none" w:sz="0" w:space="0" w:color="auto"/>
                    <w:left w:val="none" w:sz="0" w:space="0" w:color="auto"/>
                    <w:bottom w:val="none" w:sz="0" w:space="0" w:color="auto"/>
                    <w:right w:val="none" w:sz="0" w:space="0" w:color="auto"/>
                  </w:divBdr>
                </w:div>
                <w:div w:id="1863476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9818825">
          <w:marLeft w:val="0"/>
          <w:marRight w:val="0"/>
          <w:marTop w:val="0"/>
          <w:marBottom w:val="0"/>
          <w:divBdr>
            <w:top w:val="none" w:sz="0" w:space="0" w:color="auto"/>
            <w:left w:val="none" w:sz="0" w:space="0" w:color="auto"/>
            <w:bottom w:val="none" w:sz="0" w:space="0" w:color="auto"/>
            <w:right w:val="none" w:sz="0" w:space="0" w:color="auto"/>
          </w:divBdr>
          <w:divsChild>
            <w:div w:id="984704274">
              <w:marLeft w:val="0"/>
              <w:marRight w:val="0"/>
              <w:marTop w:val="0"/>
              <w:marBottom w:val="0"/>
              <w:divBdr>
                <w:top w:val="none" w:sz="0" w:space="0" w:color="auto"/>
                <w:left w:val="none" w:sz="0" w:space="0" w:color="auto"/>
                <w:bottom w:val="none" w:sz="0" w:space="0" w:color="auto"/>
                <w:right w:val="none" w:sz="0" w:space="0" w:color="auto"/>
              </w:divBdr>
              <w:divsChild>
                <w:div w:id="252512574">
                  <w:marLeft w:val="0"/>
                  <w:marRight w:val="0"/>
                  <w:marTop w:val="0"/>
                  <w:marBottom w:val="0"/>
                  <w:divBdr>
                    <w:top w:val="none" w:sz="0" w:space="0" w:color="auto"/>
                    <w:left w:val="none" w:sz="0" w:space="0" w:color="auto"/>
                    <w:bottom w:val="none" w:sz="0" w:space="0" w:color="auto"/>
                    <w:right w:val="none" w:sz="0" w:space="0" w:color="auto"/>
                  </w:divBdr>
                  <w:divsChild>
                    <w:div w:id="1959296763">
                      <w:marLeft w:val="0"/>
                      <w:marRight w:val="0"/>
                      <w:marTop w:val="240"/>
                      <w:marBottom w:val="240"/>
                      <w:divBdr>
                        <w:top w:val="single" w:sz="12" w:space="0" w:color="EBEBEB"/>
                        <w:left w:val="none" w:sz="0" w:space="0" w:color="auto"/>
                        <w:bottom w:val="single" w:sz="12" w:space="0" w:color="EBEBEB"/>
                        <w:right w:val="none" w:sz="0" w:space="0" w:color="auto"/>
                      </w:divBdr>
                      <w:divsChild>
                        <w:div w:id="65680638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82462675">
                  <w:marLeft w:val="0"/>
                  <w:marRight w:val="0"/>
                  <w:marTop w:val="0"/>
                  <w:marBottom w:val="0"/>
                  <w:divBdr>
                    <w:top w:val="none" w:sz="0" w:space="0" w:color="auto"/>
                    <w:left w:val="none" w:sz="0" w:space="0" w:color="auto"/>
                    <w:bottom w:val="none" w:sz="0" w:space="0" w:color="auto"/>
                    <w:right w:val="none" w:sz="0" w:space="0" w:color="auto"/>
                  </w:divBdr>
                </w:div>
                <w:div w:id="213280568">
                  <w:marLeft w:val="0"/>
                  <w:marRight w:val="0"/>
                  <w:marTop w:val="0"/>
                  <w:marBottom w:val="0"/>
                  <w:divBdr>
                    <w:top w:val="none" w:sz="0" w:space="0" w:color="auto"/>
                    <w:left w:val="none" w:sz="0" w:space="0" w:color="auto"/>
                    <w:bottom w:val="none" w:sz="0" w:space="0" w:color="auto"/>
                    <w:right w:val="none" w:sz="0" w:space="0" w:color="auto"/>
                  </w:divBdr>
                </w:div>
                <w:div w:id="16390028">
                  <w:marLeft w:val="0"/>
                  <w:marRight w:val="0"/>
                  <w:marTop w:val="0"/>
                  <w:marBottom w:val="0"/>
                  <w:divBdr>
                    <w:top w:val="none" w:sz="0" w:space="0" w:color="auto"/>
                    <w:left w:val="none" w:sz="0" w:space="0" w:color="auto"/>
                    <w:bottom w:val="none" w:sz="0" w:space="0" w:color="auto"/>
                    <w:right w:val="none" w:sz="0" w:space="0" w:color="auto"/>
                  </w:divBdr>
                </w:div>
                <w:div w:id="862278783">
                  <w:marLeft w:val="0"/>
                  <w:marRight w:val="0"/>
                  <w:marTop w:val="0"/>
                  <w:marBottom w:val="0"/>
                  <w:divBdr>
                    <w:top w:val="none" w:sz="0" w:space="0" w:color="auto"/>
                    <w:left w:val="none" w:sz="0" w:space="0" w:color="auto"/>
                    <w:bottom w:val="none" w:sz="0" w:space="0" w:color="auto"/>
                    <w:right w:val="none" w:sz="0" w:space="0" w:color="auto"/>
                  </w:divBdr>
                </w:div>
              </w:divsChild>
            </w:div>
            <w:div w:id="366562876">
              <w:marLeft w:val="0"/>
              <w:marRight w:val="0"/>
              <w:marTop w:val="0"/>
              <w:marBottom w:val="0"/>
              <w:divBdr>
                <w:top w:val="none" w:sz="0" w:space="0" w:color="auto"/>
                <w:left w:val="none" w:sz="0" w:space="0" w:color="auto"/>
                <w:bottom w:val="none" w:sz="0" w:space="0" w:color="auto"/>
                <w:right w:val="none" w:sz="0" w:space="0" w:color="auto"/>
              </w:divBdr>
            </w:div>
          </w:divsChild>
        </w:div>
        <w:div w:id="656613784">
          <w:marLeft w:val="0"/>
          <w:marRight w:val="0"/>
          <w:marTop w:val="0"/>
          <w:marBottom w:val="0"/>
          <w:divBdr>
            <w:top w:val="none" w:sz="0" w:space="0" w:color="auto"/>
            <w:left w:val="none" w:sz="0" w:space="0" w:color="auto"/>
            <w:bottom w:val="none" w:sz="0" w:space="0" w:color="auto"/>
            <w:right w:val="none" w:sz="0" w:space="0" w:color="auto"/>
          </w:divBdr>
          <w:divsChild>
            <w:div w:id="628437704">
              <w:marLeft w:val="0"/>
              <w:marRight w:val="0"/>
              <w:marTop w:val="0"/>
              <w:marBottom w:val="0"/>
              <w:divBdr>
                <w:top w:val="none" w:sz="0" w:space="0" w:color="auto"/>
                <w:left w:val="none" w:sz="0" w:space="0" w:color="auto"/>
                <w:bottom w:val="none" w:sz="0" w:space="0" w:color="auto"/>
                <w:right w:val="none" w:sz="0" w:space="0" w:color="auto"/>
              </w:divBdr>
            </w:div>
          </w:divsChild>
        </w:div>
        <w:div w:id="1673486111">
          <w:marLeft w:val="0"/>
          <w:marRight w:val="0"/>
          <w:marTop w:val="0"/>
          <w:marBottom w:val="0"/>
          <w:divBdr>
            <w:top w:val="none" w:sz="0" w:space="0" w:color="auto"/>
            <w:left w:val="none" w:sz="0" w:space="0" w:color="auto"/>
            <w:bottom w:val="none" w:sz="0" w:space="0" w:color="auto"/>
            <w:right w:val="none" w:sz="0" w:space="0" w:color="auto"/>
          </w:divBdr>
        </w:div>
        <w:div w:id="1333216972">
          <w:marLeft w:val="0"/>
          <w:marRight w:val="0"/>
          <w:marTop w:val="0"/>
          <w:marBottom w:val="0"/>
          <w:divBdr>
            <w:top w:val="none" w:sz="0" w:space="0" w:color="auto"/>
            <w:left w:val="none" w:sz="0" w:space="0" w:color="auto"/>
            <w:bottom w:val="none" w:sz="0" w:space="0" w:color="auto"/>
            <w:right w:val="none" w:sz="0" w:space="0" w:color="auto"/>
          </w:divBdr>
        </w:div>
        <w:div w:id="285505851">
          <w:marLeft w:val="0"/>
          <w:marRight w:val="0"/>
          <w:marTop w:val="0"/>
          <w:marBottom w:val="0"/>
          <w:divBdr>
            <w:top w:val="none" w:sz="0" w:space="0" w:color="auto"/>
            <w:left w:val="none" w:sz="0" w:space="0" w:color="auto"/>
            <w:bottom w:val="none" w:sz="0" w:space="0" w:color="auto"/>
            <w:right w:val="none" w:sz="0" w:space="0" w:color="auto"/>
          </w:divBdr>
          <w:divsChild>
            <w:div w:id="419302651">
              <w:marLeft w:val="0"/>
              <w:marRight w:val="0"/>
              <w:marTop w:val="0"/>
              <w:marBottom w:val="0"/>
              <w:divBdr>
                <w:top w:val="none" w:sz="0" w:space="0" w:color="auto"/>
                <w:left w:val="none" w:sz="0" w:space="0" w:color="auto"/>
                <w:bottom w:val="none" w:sz="0" w:space="0" w:color="auto"/>
                <w:right w:val="none" w:sz="0" w:space="0" w:color="auto"/>
              </w:divBdr>
            </w:div>
          </w:divsChild>
        </w:div>
        <w:div w:id="81337439">
          <w:marLeft w:val="0"/>
          <w:marRight w:val="0"/>
          <w:marTop w:val="0"/>
          <w:marBottom w:val="0"/>
          <w:divBdr>
            <w:top w:val="none" w:sz="0" w:space="0" w:color="auto"/>
            <w:left w:val="none" w:sz="0" w:space="0" w:color="auto"/>
            <w:bottom w:val="none" w:sz="0" w:space="0" w:color="auto"/>
            <w:right w:val="none" w:sz="0" w:space="0" w:color="auto"/>
          </w:divBdr>
        </w:div>
        <w:div w:id="1997688590">
          <w:marLeft w:val="0"/>
          <w:marRight w:val="0"/>
          <w:marTop w:val="0"/>
          <w:marBottom w:val="0"/>
          <w:divBdr>
            <w:top w:val="none" w:sz="0" w:space="0" w:color="auto"/>
            <w:left w:val="none" w:sz="0" w:space="0" w:color="auto"/>
            <w:bottom w:val="none" w:sz="0" w:space="0" w:color="auto"/>
            <w:right w:val="none" w:sz="0" w:space="0" w:color="auto"/>
          </w:divBdr>
        </w:div>
        <w:div w:id="776020127">
          <w:marLeft w:val="0"/>
          <w:marRight w:val="0"/>
          <w:marTop w:val="0"/>
          <w:marBottom w:val="0"/>
          <w:divBdr>
            <w:top w:val="none" w:sz="0" w:space="0" w:color="auto"/>
            <w:left w:val="none" w:sz="0" w:space="0" w:color="auto"/>
            <w:bottom w:val="none" w:sz="0" w:space="0" w:color="auto"/>
            <w:right w:val="none" w:sz="0" w:space="0" w:color="auto"/>
          </w:divBdr>
          <w:divsChild>
            <w:div w:id="1762871983">
              <w:marLeft w:val="0"/>
              <w:marRight w:val="0"/>
              <w:marTop w:val="0"/>
              <w:marBottom w:val="0"/>
              <w:divBdr>
                <w:top w:val="none" w:sz="0" w:space="0" w:color="auto"/>
                <w:left w:val="none" w:sz="0" w:space="0" w:color="auto"/>
                <w:bottom w:val="none" w:sz="0" w:space="0" w:color="auto"/>
                <w:right w:val="none" w:sz="0" w:space="0" w:color="auto"/>
              </w:divBdr>
            </w:div>
          </w:divsChild>
        </w:div>
        <w:div w:id="160314384">
          <w:marLeft w:val="0"/>
          <w:marRight w:val="0"/>
          <w:marTop w:val="0"/>
          <w:marBottom w:val="0"/>
          <w:divBdr>
            <w:top w:val="none" w:sz="0" w:space="0" w:color="auto"/>
            <w:left w:val="none" w:sz="0" w:space="0" w:color="auto"/>
            <w:bottom w:val="none" w:sz="0" w:space="0" w:color="auto"/>
            <w:right w:val="none" w:sz="0" w:space="0" w:color="auto"/>
          </w:divBdr>
        </w:div>
        <w:div w:id="1848863821">
          <w:marLeft w:val="0"/>
          <w:marRight w:val="0"/>
          <w:marTop w:val="0"/>
          <w:marBottom w:val="0"/>
          <w:divBdr>
            <w:top w:val="none" w:sz="0" w:space="0" w:color="auto"/>
            <w:left w:val="none" w:sz="0" w:space="0" w:color="auto"/>
            <w:bottom w:val="none" w:sz="0" w:space="0" w:color="auto"/>
            <w:right w:val="none" w:sz="0" w:space="0" w:color="auto"/>
          </w:divBdr>
        </w:div>
        <w:div w:id="305664272">
          <w:marLeft w:val="0"/>
          <w:marRight w:val="0"/>
          <w:marTop w:val="0"/>
          <w:marBottom w:val="0"/>
          <w:divBdr>
            <w:top w:val="none" w:sz="0" w:space="0" w:color="auto"/>
            <w:left w:val="none" w:sz="0" w:space="0" w:color="auto"/>
            <w:bottom w:val="none" w:sz="0" w:space="0" w:color="auto"/>
            <w:right w:val="none" w:sz="0" w:space="0" w:color="auto"/>
          </w:divBdr>
          <w:divsChild>
            <w:div w:id="2124567922">
              <w:marLeft w:val="0"/>
              <w:marRight w:val="0"/>
              <w:marTop w:val="0"/>
              <w:marBottom w:val="0"/>
              <w:divBdr>
                <w:top w:val="none" w:sz="0" w:space="0" w:color="auto"/>
                <w:left w:val="none" w:sz="0" w:space="0" w:color="auto"/>
                <w:bottom w:val="none" w:sz="0" w:space="0" w:color="auto"/>
                <w:right w:val="none" w:sz="0" w:space="0" w:color="auto"/>
              </w:divBdr>
            </w:div>
          </w:divsChild>
        </w:div>
        <w:div w:id="544685764">
          <w:marLeft w:val="0"/>
          <w:marRight w:val="0"/>
          <w:marTop w:val="0"/>
          <w:marBottom w:val="0"/>
          <w:divBdr>
            <w:top w:val="none" w:sz="0" w:space="0" w:color="auto"/>
            <w:left w:val="none" w:sz="0" w:space="0" w:color="auto"/>
            <w:bottom w:val="none" w:sz="0" w:space="0" w:color="auto"/>
            <w:right w:val="none" w:sz="0" w:space="0" w:color="auto"/>
          </w:divBdr>
        </w:div>
        <w:div w:id="2110152736">
          <w:marLeft w:val="0"/>
          <w:marRight w:val="0"/>
          <w:marTop w:val="0"/>
          <w:marBottom w:val="0"/>
          <w:divBdr>
            <w:top w:val="none" w:sz="0" w:space="0" w:color="auto"/>
            <w:left w:val="none" w:sz="0" w:space="0" w:color="auto"/>
            <w:bottom w:val="none" w:sz="0" w:space="0" w:color="auto"/>
            <w:right w:val="none" w:sz="0" w:space="0" w:color="auto"/>
          </w:divBdr>
        </w:div>
        <w:div w:id="417944039">
          <w:marLeft w:val="0"/>
          <w:marRight w:val="0"/>
          <w:marTop w:val="0"/>
          <w:marBottom w:val="0"/>
          <w:divBdr>
            <w:top w:val="none" w:sz="0" w:space="0" w:color="auto"/>
            <w:left w:val="none" w:sz="0" w:space="0" w:color="auto"/>
            <w:bottom w:val="none" w:sz="0" w:space="0" w:color="auto"/>
            <w:right w:val="none" w:sz="0" w:space="0" w:color="auto"/>
          </w:divBdr>
          <w:divsChild>
            <w:div w:id="1477725767">
              <w:marLeft w:val="0"/>
              <w:marRight w:val="0"/>
              <w:marTop w:val="0"/>
              <w:marBottom w:val="0"/>
              <w:divBdr>
                <w:top w:val="none" w:sz="0" w:space="0" w:color="auto"/>
                <w:left w:val="none" w:sz="0" w:space="0" w:color="auto"/>
                <w:bottom w:val="none" w:sz="0" w:space="0" w:color="auto"/>
                <w:right w:val="none" w:sz="0" w:space="0" w:color="auto"/>
              </w:divBdr>
            </w:div>
          </w:divsChild>
        </w:div>
        <w:div w:id="760950125">
          <w:marLeft w:val="0"/>
          <w:marRight w:val="0"/>
          <w:marTop w:val="0"/>
          <w:marBottom w:val="0"/>
          <w:divBdr>
            <w:top w:val="none" w:sz="0" w:space="0" w:color="auto"/>
            <w:left w:val="none" w:sz="0" w:space="0" w:color="auto"/>
            <w:bottom w:val="none" w:sz="0" w:space="0" w:color="auto"/>
            <w:right w:val="none" w:sz="0" w:space="0" w:color="auto"/>
          </w:divBdr>
        </w:div>
        <w:div w:id="1075783882">
          <w:marLeft w:val="0"/>
          <w:marRight w:val="0"/>
          <w:marTop w:val="0"/>
          <w:marBottom w:val="0"/>
          <w:divBdr>
            <w:top w:val="none" w:sz="0" w:space="0" w:color="auto"/>
            <w:left w:val="none" w:sz="0" w:space="0" w:color="auto"/>
            <w:bottom w:val="none" w:sz="0" w:space="0" w:color="auto"/>
            <w:right w:val="none" w:sz="0" w:space="0" w:color="auto"/>
          </w:divBdr>
        </w:div>
        <w:div w:id="566110288">
          <w:marLeft w:val="0"/>
          <w:marRight w:val="0"/>
          <w:marTop w:val="0"/>
          <w:marBottom w:val="0"/>
          <w:divBdr>
            <w:top w:val="none" w:sz="0" w:space="0" w:color="auto"/>
            <w:left w:val="none" w:sz="0" w:space="0" w:color="auto"/>
            <w:bottom w:val="none" w:sz="0" w:space="0" w:color="auto"/>
            <w:right w:val="none" w:sz="0" w:space="0" w:color="auto"/>
          </w:divBdr>
          <w:divsChild>
            <w:div w:id="1909269934">
              <w:marLeft w:val="0"/>
              <w:marRight w:val="0"/>
              <w:marTop w:val="0"/>
              <w:marBottom w:val="0"/>
              <w:divBdr>
                <w:top w:val="none" w:sz="0" w:space="0" w:color="auto"/>
                <w:left w:val="none" w:sz="0" w:space="0" w:color="auto"/>
                <w:bottom w:val="none" w:sz="0" w:space="0" w:color="auto"/>
                <w:right w:val="none" w:sz="0" w:space="0" w:color="auto"/>
              </w:divBdr>
            </w:div>
          </w:divsChild>
        </w:div>
        <w:div w:id="255797053">
          <w:marLeft w:val="0"/>
          <w:marRight w:val="0"/>
          <w:marTop w:val="0"/>
          <w:marBottom w:val="0"/>
          <w:divBdr>
            <w:top w:val="none" w:sz="0" w:space="0" w:color="auto"/>
            <w:left w:val="none" w:sz="0" w:space="0" w:color="auto"/>
            <w:bottom w:val="none" w:sz="0" w:space="0" w:color="auto"/>
            <w:right w:val="none" w:sz="0" w:space="0" w:color="auto"/>
          </w:divBdr>
        </w:div>
        <w:div w:id="1394156790">
          <w:marLeft w:val="0"/>
          <w:marRight w:val="0"/>
          <w:marTop w:val="0"/>
          <w:marBottom w:val="0"/>
          <w:divBdr>
            <w:top w:val="none" w:sz="0" w:space="0" w:color="auto"/>
            <w:left w:val="none" w:sz="0" w:space="0" w:color="auto"/>
            <w:bottom w:val="none" w:sz="0" w:space="0" w:color="auto"/>
            <w:right w:val="none" w:sz="0" w:space="0" w:color="auto"/>
          </w:divBdr>
        </w:div>
        <w:div w:id="27805053">
          <w:marLeft w:val="0"/>
          <w:marRight w:val="0"/>
          <w:marTop w:val="0"/>
          <w:marBottom w:val="0"/>
          <w:divBdr>
            <w:top w:val="none" w:sz="0" w:space="0" w:color="auto"/>
            <w:left w:val="none" w:sz="0" w:space="0" w:color="auto"/>
            <w:bottom w:val="none" w:sz="0" w:space="0" w:color="auto"/>
            <w:right w:val="none" w:sz="0" w:space="0" w:color="auto"/>
          </w:divBdr>
          <w:divsChild>
            <w:div w:id="346831399">
              <w:marLeft w:val="0"/>
              <w:marRight w:val="0"/>
              <w:marTop w:val="0"/>
              <w:marBottom w:val="0"/>
              <w:divBdr>
                <w:top w:val="none" w:sz="0" w:space="0" w:color="auto"/>
                <w:left w:val="none" w:sz="0" w:space="0" w:color="auto"/>
                <w:bottom w:val="none" w:sz="0" w:space="0" w:color="auto"/>
                <w:right w:val="none" w:sz="0" w:space="0" w:color="auto"/>
              </w:divBdr>
            </w:div>
          </w:divsChild>
        </w:div>
        <w:div w:id="1904749834">
          <w:marLeft w:val="0"/>
          <w:marRight w:val="0"/>
          <w:marTop w:val="0"/>
          <w:marBottom w:val="0"/>
          <w:divBdr>
            <w:top w:val="none" w:sz="0" w:space="0" w:color="auto"/>
            <w:left w:val="none" w:sz="0" w:space="0" w:color="auto"/>
            <w:bottom w:val="none" w:sz="0" w:space="0" w:color="auto"/>
            <w:right w:val="none" w:sz="0" w:space="0" w:color="auto"/>
          </w:divBdr>
        </w:div>
        <w:div w:id="2063597924">
          <w:marLeft w:val="0"/>
          <w:marRight w:val="0"/>
          <w:marTop w:val="0"/>
          <w:marBottom w:val="0"/>
          <w:divBdr>
            <w:top w:val="none" w:sz="0" w:space="0" w:color="auto"/>
            <w:left w:val="none" w:sz="0" w:space="0" w:color="auto"/>
            <w:bottom w:val="none" w:sz="0" w:space="0" w:color="auto"/>
            <w:right w:val="none" w:sz="0" w:space="0" w:color="auto"/>
          </w:divBdr>
        </w:div>
        <w:div w:id="1510288981">
          <w:marLeft w:val="0"/>
          <w:marRight w:val="0"/>
          <w:marTop w:val="0"/>
          <w:marBottom w:val="0"/>
          <w:divBdr>
            <w:top w:val="none" w:sz="0" w:space="0" w:color="auto"/>
            <w:left w:val="none" w:sz="0" w:space="0" w:color="auto"/>
            <w:bottom w:val="none" w:sz="0" w:space="0" w:color="auto"/>
            <w:right w:val="none" w:sz="0" w:space="0" w:color="auto"/>
          </w:divBdr>
          <w:divsChild>
            <w:div w:id="1362901836">
              <w:marLeft w:val="0"/>
              <w:marRight w:val="0"/>
              <w:marTop w:val="0"/>
              <w:marBottom w:val="0"/>
              <w:divBdr>
                <w:top w:val="none" w:sz="0" w:space="0" w:color="auto"/>
                <w:left w:val="none" w:sz="0" w:space="0" w:color="auto"/>
                <w:bottom w:val="none" w:sz="0" w:space="0" w:color="auto"/>
                <w:right w:val="none" w:sz="0" w:space="0" w:color="auto"/>
              </w:divBdr>
            </w:div>
          </w:divsChild>
        </w:div>
        <w:div w:id="2083016260">
          <w:marLeft w:val="0"/>
          <w:marRight w:val="0"/>
          <w:marTop w:val="0"/>
          <w:marBottom w:val="0"/>
          <w:divBdr>
            <w:top w:val="none" w:sz="0" w:space="0" w:color="auto"/>
            <w:left w:val="none" w:sz="0" w:space="0" w:color="auto"/>
            <w:bottom w:val="none" w:sz="0" w:space="0" w:color="auto"/>
            <w:right w:val="none" w:sz="0" w:space="0" w:color="auto"/>
          </w:divBdr>
        </w:div>
        <w:div w:id="525213922">
          <w:marLeft w:val="0"/>
          <w:marRight w:val="0"/>
          <w:marTop w:val="0"/>
          <w:marBottom w:val="0"/>
          <w:divBdr>
            <w:top w:val="none" w:sz="0" w:space="0" w:color="auto"/>
            <w:left w:val="none" w:sz="0" w:space="0" w:color="auto"/>
            <w:bottom w:val="none" w:sz="0" w:space="0" w:color="auto"/>
            <w:right w:val="none" w:sz="0" w:space="0" w:color="auto"/>
          </w:divBdr>
        </w:div>
        <w:div w:id="1736472123">
          <w:marLeft w:val="0"/>
          <w:marRight w:val="0"/>
          <w:marTop w:val="0"/>
          <w:marBottom w:val="0"/>
          <w:divBdr>
            <w:top w:val="none" w:sz="0" w:space="0" w:color="auto"/>
            <w:left w:val="none" w:sz="0" w:space="0" w:color="auto"/>
            <w:bottom w:val="none" w:sz="0" w:space="0" w:color="auto"/>
            <w:right w:val="none" w:sz="0" w:space="0" w:color="auto"/>
          </w:divBdr>
          <w:divsChild>
            <w:div w:id="87233130">
              <w:marLeft w:val="0"/>
              <w:marRight w:val="0"/>
              <w:marTop w:val="0"/>
              <w:marBottom w:val="0"/>
              <w:divBdr>
                <w:top w:val="none" w:sz="0" w:space="0" w:color="auto"/>
                <w:left w:val="none" w:sz="0" w:space="0" w:color="auto"/>
                <w:bottom w:val="none" w:sz="0" w:space="0" w:color="auto"/>
                <w:right w:val="none" w:sz="0" w:space="0" w:color="auto"/>
              </w:divBdr>
            </w:div>
          </w:divsChild>
        </w:div>
        <w:div w:id="1930313747">
          <w:marLeft w:val="0"/>
          <w:marRight w:val="0"/>
          <w:marTop w:val="0"/>
          <w:marBottom w:val="0"/>
          <w:divBdr>
            <w:top w:val="none" w:sz="0" w:space="0" w:color="auto"/>
            <w:left w:val="none" w:sz="0" w:space="0" w:color="auto"/>
            <w:bottom w:val="none" w:sz="0" w:space="0" w:color="auto"/>
            <w:right w:val="none" w:sz="0" w:space="0" w:color="auto"/>
          </w:divBdr>
        </w:div>
        <w:div w:id="1002244283">
          <w:marLeft w:val="0"/>
          <w:marRight w:val="0"/>
          <w:marTop w:val="0"/>
          <w:marBottom w:val="0"/>
          <w:divBdr>
            <w:top w:val="none" w:sz="0" w:space="0" w:color="auto"/>
            <w:left w:val="none" w:sz="0" w:space="0" w:color="auto"/>
            <w:bottom w:val="none" w:sz="0" w:space="0" w:color="auto"/>
            <w:right w:val="none" w:sz="0" w:space="0" w:color="auto"/>
          </w:divBdr>
        </w:div>
        <w:div w:id="1684161693">
          <w:marLeft w:val="0"/>
          <w:marRight w:val="0"/>
          <w:marTop w:val="0"/>
          <w:marBottom w:val="0"/>
          <w:divBdr>
            <w:top w:val="none" w:sz="0" w:space="0" w:color="auto"/>
            <w:left w:val="none" w:sz="0" w:space="0" w:color="auto"/>
            <w:bottom w:val="none" w:sz="0" w:space="0" w:color="auto"/>
            <w:right w:val="none" w:sz="0" w:space="0" w:color="auto"/>
          </w:divBdr>
          <w:divsChild>
            <w:div w:id="1959488072">
              <w:marLeft w:val="0"/>
              <w:marRight w:val="0"/>
              <w:marTop w:val="0"/>
              <w:marBottom w:val="0"/>
              <w:divBdr>
                <w:top w:val="none" w:sz="0" w:space="0" w:color="auto"/>
                <w:left w:val="none" w:sz="0" w:space="0" w:color="auto"/>
                <w:bottom w:val="none" w:sz="0" w:space="0" w:color="auto"/>
                <w:right w:val="none" w:sz="0" w:space="0" w:color="auto"/>
              </w:divBdr>
            </w:div>
          </w:divsChild>
        </w:div>
        <w:div w:id="1315260406">
          <w:marLeft w:val="0"/>
          <w:marRight w:val="0"/>
          <w:marTop w:val="0"/>
          <w:marBottom w:val="0"/>
          <w:divBdr>
            <w:top w:val="none" w:sz="0" w:space="0" w:color="auto"/>
            <w:left w:val="none" w:sz="0" w:space="0" w:color="auto"/>
            <w:bottom w:val="none" w:sz="0" w:space="0" w:color="auto"/>
            <w:right w:val="none" w:sz="0" w:space="0" w:color="auto"/>
          </w:divBdr>
        </w:div>
        <w:div w:id="1451703123">
          <w:marLeft w:val="0"/>
          <w:marRight w:val="0"/>
          <w:marTop w:val="0"/>
          <w:marBottom w:val="0"/>
          <w:divBdr>
            <w:top w:val="none" w:sz="0" w:space="0" w:color="auto"/>
            <w:left w:val="none" w:sz="0" w:space="0" w:color="auto"/>
            <w:bottom w:val="none" w:sz="0" w:space="0" w:color="auto"/>
            <w:right w:val="none" w:sz="0" w:space="0" w:color="auto"/>
          </w:divBdr>
        </w:div>
        <w:div w:id="1878740199">
          <w:marLeft w:val="0"/>
          <w:marRight w:val="0"/>
          <w:marTop w:val="0"/>
          <w:marBottom w:val="0"/>
          <w:divBdr>
            <w:top w:val="none" w:sz="0" w:space="0" w:color="auto"/>
            <w:left w:val="none" w:sz="0" w:space="0" w:color="auto"/>
            <w:bottom w:val="none" w:sz="0" w:space="0" w:color="auto"/>
            <w:right w:val="none" w:sz="0" w:space="0" w:color="auto"/>
          </w:divBdr>
          <w:divsChild>
            <w:div w:id="1907833069">
              <w:marLeft w:val="0"/>
              <w:marRight w:val="0"/>
              <w:marTop w:val="0"/>
              <w:marBottom w:val="0"/>
              <w:divBdr>
                <w:top w:val="none" w:sz="0" w:space="0" w:color="auto"/>
                <w:left w:val="none" w:sz="0" w:space="0" w:color="auto"/>
                <w:bottom w:val="none" w:sz="0" w:space="0" w:color="auto"/>
                <w:right w:val="none" w:sz="0" w:space="0" w:color="auto"/>
              </w:divBdr>
            </w:div>
          </w:divsChild>
        </w:div>
        <w:div w:id="1335299217">
          <w:marLeft w:val="0"/>
          <w:marRight w:val="0"/>
          <w:marTop w:val="0"/>
          <w:marBottom w:val="0"/>
          <w:divBdr>
            <w:top w:val="none" w:sz="0" w:space="0" w:color="auto"/>
            <w:left w:val="none" w:sz="0" w:space="0" w:color="auto"/>
            <w:bottom w:val="none" w:sz="0" w:space="0" w:color="auto"/>
            <w:right w:val="none" w:sz="0" w:space="0" w:color="auto"/>
          </w:divBdr>
        </w:div>
        <w:div w:id="495733640">
          <w:marLeft w:val="0"/>
          <w:marRight w:val="0"/>
          <w:marTop w:val="0"/>
          <w:marBottom w:val="0"/>
          <w:divBdr>
            <w:top w:val="none" w:sz="0" w:space="0" w:color="auto"/>
            <w:left w:val="none" w:sz="0" w:space="0" w:color="auto"/>
            <w:bottom w:val="none" w:sz="0" w:space="0" w:color="auto"/>
            <w:right w:val="none" w:sz="0" w:space="0" w:color="auto"/>
          </w:divBdr>
        </w:div>
        <w:div w:id="190918816">
          <w:marLeft w:val="0"/>
          <w:marRight w:val="0"/>
          <w:marTop w:val="0"/>
          <w:marBottom w:val="0"/>
          <w:divBdr>
            <w:top w:val="none" w:sz="0" w:space="0" w:color="auto"/>
            <w:left w:val="none" w:sz="0" w:space="0" w:color="auto"/>
            <w:bottom w:val="none" w:sz="0" w:space="0" w:color="auto"/>
            <w:right w:val="none" w:sz="0" w:space="0" w:color="auto"/>
          </w:divBdr>
          <w:divsChild>
            <w:div w:id="1220897026">
              <w:marLeft w:val="0"/>
              <w:marRight w:val="0"/>
              <w:marTop w:val="0"/>
              <w:marBottom w:val="0"/>
              <w:divBdr>
                <w:top w:val="none" w:sz="0" w:space="0" w:color="auto"/>
                <w:left w:val="none" w:sz="0" w:space="0" w:color="auto"/>
                <w:bottom w:val="none" w:sz="0" w:space="0" w:color="auto"/>
                <w:right w:val="none" w:sz="0" w:space="0" w:color="auto"/>
              </w:divBdr>
            </w:div>
          </w:divsChild>
        </w:div>
        <w:div w:id="2021420767">
          <w:marLeft w:val="0"/>
          <w:marRight w:val="0"/>
          <w:marTop w:val="0"/>
          <w:marBottom w:val="0"/>
          <w:divBdr>
            <w:top w:val="none" w:sz="0" w:space="0" w:color="auto"/>
            <w:left w:val="none" w:sz="0" w:space="0" w:color="auto"/>
            <w:bottom w:val="none" w:sz="0" w:space="0" w:color="auto"/>
            <w:right w:val="none" w:sz="0" w:space="0" w:color="auto"/>
          </w:divBdr>
        </w:div>
        <w:div w:id="15811508">
          <w:marLeft w:val="0"/>
          <w:marRight w:val="0"/>
          <w:marTop w:val="0"/>
          <w:marBottom w:val="0"/>
          <w:divBdr>
            <w:top w:val="none" w:sz="0" w:space="0" w:color="auto"/>
            <w:left w:val="none" w:sz="0" w:space="0" w:color="auto"/>
            <w:bottom w:val="none" w:sz="0" w:space="0" w:color="auto"/>
            <w:right w:val="none" w:sz="0" w:space="0" w:color="auto"/>
          </w:divBdr>
        </w:div>
        <w:div w:id="500659897">
          <w:marLeft w:val="0"/>
          <w:marRight w:val="0"/>
          <w:marTop w:val="0"/>
          <w:marBottom w:val="0"/>
          <w:divBdr>
            <w:top w:val="none" w:sz="0" w:space="0" w:color="auto"/>
            <w:left w:val="none" w:sz="0" w:space="0" w:color="auto"/>
            <w:bottom w:val="none" w:sz="0" w:space="0" w:color="auto"/>
            <w:right w:val="none" w:sz="0" w:space="0" w:color="auto"/>
          </w:divBdr>
          <w:divsChild>
            <w:div w:id="2024892631">
              <w:marLeft w:val="0"/>
              <w:marRight w:val="0"/>
              <w:marTop w:val="0"/>
              <w:marBottom w:val="0"/>
              <w:divBdr>
                <w:top w:val="none" w:sz="0" w:space="0" w:color="auto"/>
                <w:left w:val="none" w:sz="0" w:space="0" w:color="auto"/>
                <w:bottom w:val="none" w:sz="0" w:space="0" w:color="auto"/>
                <w:right w:val="none" w:sz="0" w:space="0" w:color="auto"/>
              </w:divBdr>
            </w:div>
          </w:divsChild>
        </w:div>
        <w:div w:id="1267149919">
          <w:marLeft w:val="0"/>
          <w:marRight w:val="0"/>
          <w:marTop w:val="0"/>
          <w:marBottom w:val="0"/>
          <w:divBdr>
            <w:top w:val="none" w:sz="0" w:space="0" w:color="auto"/>
            <w:left w:val="none" w:sz="0" w:space="0" w:color="auto"/>
            <w:bottom w:val="none" w:sz="0" w:space="0" w:color="auto"/>
            <w:right w:val="none" w:sz="0" w:space="0" w:color="auto"/>
          </w:divBdr>
        </w:div>
        <w:div w:id="1306812892">
          <w:marLeft w:val="0"/>
          <w:marRight w:val="0"/>
          <w:marTop w:val="0"/>
          <w:marBottom w:val="0"/>
          <w:divBdr>
            <w:top w:val="none" w:sz="0" w:space="0" w:color="auto"/>
            <w:left w:val="none" w:sz="0" w:space="0" w:color="auto"/>
            <w:bottom w:val="none" w:sz="0" w:space="0" w:color="auto"/>
            <w:right w:val="none" w:sz="0" w:space="0" w:color="auto"/>
          </w:divBdr>
        </w:div>
        <w:div w:id="1869875674">
          <w:marLeft w:val="0"/>
          <w:marRight w:val="0"/>
          <w:marTop w:val="0"/>
          <w:marBottom w:val="0"/>
          <w:divBdr>
            <w:top w:val="none" w:sz="0" w:space="0" w:color="auto"/>
            <w:left w:val="none" w:sz="0" w:space="0" w:color="auto"/>
            <w:bottom w:val="none" w:sz="0" w:space="0" w:color="auto"/>
            <w:right w:val="none" w:sz="0" w:space="0" w:color="auto"/>
          </w:divBdr>
          <w:divsChild>
            <w:div w:id="1379819129">
              <w:marLeft w:val="0"/>
              <w:marRight w:val="0"/>
              <w:marTop w:val="0"/>
              <w:marBottom w:val="0"/>
              <w:divBdr>
                <w:top w:val="none" w:sz="0" w:space="0" w:color="auto"/>
                <w:left w:val="none" w:sz="0" w:space="0" w:color="auto"/>
                <w:bottom w:val="none" w:sz="0" w:space="0" w:color="auto"/>
                <w:right w:val="none" w:sz="0" w:space="0" w:color="auto"/>
              </w:divBdr>
            </w:div>
          </w:divsChild>
        </w:div>
        <w:div w:id="1932354725">
          <w:marLeft w:val="0"/>
          <w:marRight w:val="0"/>
          <w:marTop w:val="0"/>
          <w:marBottom w:val="0"/>
          <w:divBdr>
            <w:top w:val="none" w:sz="0" w:space="0" w:color="auto"/>
            <w:left w:val="none" w:sz="0" w:space="0" w:color="auto"/>
            <w:bottom w:val="none" w:sz="0" w:space="0" w:color="auto"/>
            <w:right w:val="none" w:sz="0" w:space="0" w:color="auto"/>
          </w:divBdr>
        </w:div>
        <w:div w:id="768507723">
          <w:marLeft w:val="0"/>
          <w:marRight w:val="0"/>
          <w:marTop w:val="0"/>
          <w:marBottom w:val="0"/>
          <w:divBdr>
            <w:top w:val="none" w:sz="0" w:space="0" w:color="auto"/>
            <w:left w:val="none" w:sz="0" w:space="0" w:color="auto"/>
            <w:bottom w:val="none" w:sz="0" w:space="0" w:color="auto"/>
            <w:right w:val="none" w:sz="0" w:space="0" w:color="auto"/>
          </w:divBdr>
        </w:div>
        <w:div w:id="2088990221">
          <w:marLeft w:val="0"/>
          <w:marRight w:val="0"/>
          <w:marTop w:val="0"/>
          <w:marBottom w:val="0"/>
          <w:divBdr>
            <w:top w:val="none" w:sz="0" w:space="0" w:color="auto"/>
            <w:left w:val="none" w:sz="0" w:space="0" w:color="auto"/>
            <w:bottom w:val="none" w:sz="0" w:space="0" w:color="auto"/>
            <w:right w:val="none" w:sz="0" w:space="0" w:color="auto"/>
          </w:divBdr>
          <w:divsChild>
            <w:div w:id="364329267">
              <w:marLeft w:val="0"/>
              <w:marRight w:val="0"/>
              <w:marTop w:val="0"/>
              <w:marBottom w:val="0"/>
              <w:divBdr>
                <w:top w:val="none" w:sz="0" w:space="0" w:color="auto"/>
                <w:left w:val="none" w:sz="0" w:space="0" w:color="auto"/>
                <w:bottom w:val="none" w:sz="0" w:space="0" w:color="auto"/>
                <w:right w:val="none" w:sz="0" w:space="0" w:color="auto"/>
              </w:divBdr>
            </w:div>
          </w:divsChild>
        </w:div>
        <w:div w:id="2096589272">
          <w:marLeft w:val="0"/>
          <w:marRight w:val="0"/>
          <w:marTop w:val="0"/>
          <w:marBottom w:val="0"/>
          <w:divBdr>
            <w:top w:val="none" w:sz="0" w:space="0" w:color="auto"/>
            <w:left w:val="none" w:sz="0" w:space="0" w:color="auto"/>
            <w:bottom w:val="none" w:sz="0" w:space="0" w:color="auto"/>
            <w:right w:val="none" w:sz="0" w:space="0" w:color="auto"/>
          </w:divBdr>
        </w:div>
        <w:div w:id="943532523">
          <w:marLeft w:val="0"/>
          <w:marRight w:val="0"/>
          <w:marTop w:val="0"/>
          <w:marBottom w:val="0"/>
          <w:divBdr>
            <w:top w:val="none" w:sz="0" w:space="0" w:color="auto"/>
            <w:left w:val="none" w:sz="0" w:space="0" w:color="auto"/>
            <w:bottom w:val="none" w:sz="0" w:space="0" w:color="auto"/>
            <w:right w:val="none" w:sz="0" w:space="0" w:color="auto"/>
          </w:divBdr>
        </w:div>
        <w:div w:id="910387737">
          <w:marLeft w:val="0"/>
          <w:marRight w:val="0"/>
          <w:marTop w:val="0"/>
          <w:marBottom w:val="0"/>
          <w:divBdr>
            <w:top w:val="none" w:sz="0" w:space="0" w:color="auto"/>
            <w:left w:val="none" w:sz="0" w:space="0" w:color="auto"/>
            <w:bottom w:val="none" w:sz="0" w:space="0" w:color="auto"/>
            <w:right w:val="none" w:sz="0" w:space="0" w:color="auto"/>
          </w:divBdr>
          <w:divsChild>
            <w:div w:id="812717893">
              <w:marLeft w:val="0"/>
              <w:marRight w:val="0"/>
              <w:marTop w:val="0"/>
              <w:marBottom w:val="0"/>
              <w:divBdr>
                <w:top w:val="none" w:sz="0" w:space="0" w:color="auto"/>
                <w:left w:val="none" w:sz="0" w:space="0" w:color="auto"/>
                <w:bottom w:val="none" w:sz="0" w:space="0" w:color="auto"/>
                <w:right w:val="none" w:sz="0" w:space="0" w:color="auto"/>
              </w:divBdr>
            </w:div>
          </w:divsChild>
        </w:div>
        <w:div w:id="1655066901">
          <w:marLeft w:val="0"/>
          <w:marRight w:val="0"/>
          <w:marTop w:val="0"/>
          <w:marBottom w:val="0"/>
          <w:divBdr>
            <w:top w:val="none" w:sz="0" w:space="0" w:color="auto"/>
            <w:left w:val="none" w:sz="0" w:space="0" w:color="auto"/>
            <w:bottom w:val="none" w:sz="0" w:space="0" w:color="auto"/>
            <w:right w:val="none" w:sz="0" w:space="0" w:color="auto"/>
          </w:divBdr>
        </w:div>
        <w:div w:id="905066702">
          <w:marLeft w:val="0"/>
          <w:marRight w:val="0"/>
          <w:marTop w:val="0"/>
          <w:marBottom w:val="0"/>
          <w:divBdr>
            <w:top w:val="none" w:sz="0" w:space="0" w:color="auto"/>
            <w:left w:val="none" w:sz="0" w:space="0" w:color="auto"/>
            <w:bottom w:val="none" w:sz="0" w:space="0" w:color="auto"/>
            <w:right w:val="none" w:sz="0" w:space="0" w:color="auto"/>
          </w:divBdr>
        </w:div>
        <w:div w:id="778522806">
          <w:marLeft w:val="0"/>
          <w:marRight w:val="0"/>
          <w:marTop w:val="0"/>
          <w:marBottom w:val="0"/>
          <w:divBdr>
            <w:top w:val="none" w:sz="0" w:space="0" w:color="auto"/>
            <w:left w:val="none" w:sz="0" w:space="0" w:color="auto"/>
            <w:bottom w:val="none" w:sz="0" w:space="0" w:color="auto"/>
            <w:right w:val="none" w:sz="0" w:space="0" w:color="auto"/>
          </w:divBdr>
          <w:divsChild>
            <w:div w:id="1559898469">
              <w:marLeft w:val="0"/>
              <w:marRight w:val="0"/>
              <w:marTop w:val="0"/>
              <w:marBottom w:val="0"/>
              <w:divBdr>
                <w:top w:val="none" w:sz="0" w:space="0" w:color="auto"/>
                <w:left w:val="none" w:sz="0" w:space="0" w:color="auto"/>
                <w:bottom w:val="none" w:sz="0" w:space="0" w:color="auto"/>
                <w:right w:val="none" w:sz="0" w:space="0" w:color="auto"/>
              </w:divBdr>
            </w:div>
          </w:divsChild>
        </w:div>
        <w:div w:id="2082677106">
          <w:marLeft w:val="0"/>
          <w:marRight w:val="0"/>
          <w:marTop w:val="0"/>
          <w:marBottom w:val="0"/>
          <w:divBdr>
            <w:top w:val="none" w:sz="0" w:space="0" w:color="auto"/>
            <w:left w:val="none" w:sz="0" w:space="0" w:color="auto"/>
            <w:bottom w:val="none" w:sz="0" w:space="0" w:color="auto"/>
            <w:right w:val="none" w:sz="0" w:space="0" w:color="auto"/>
          </w:divBdr>
        </w:div>
        <w:div w:id="494416115">
          <w:marLeft w:val="0"/>
          <w:marRight w:val="0"/>
          <w:marTop w:val="0"/>
          <w:marBottom w:val="0"/>
          <w:divBdr>
            <w:top w:val="none" w:sz="0" w:space="0" w:color="auto"/>
            <w:left w:val="none" w:sz="0" w:space="0" w:color="auto"/>
            <w:bottom w:val="none" w:sz="0" w:space="0" w:color="auto"/>
            <w:right w:val="none" w:sz="0" w:space="0" w:color="auto"/>
          </w:divBdr>
        </w:div>
        <w:div w:id="586958987">
          <w:marLeft w:val="0"/>
          <w:marRight w:val="0"/>
          <w:marTop w:val="0"/>
          <w:marBottom w:val="0"/>
          <w:divBdr>
            <w:top w:val="none" w:sz="0" w:space="0" w:color="auto"/>
            <w:left w:val="none" w:sz="0" w:space="0" w:color="auto"/>
            <w:bottom w:val="none" w:sz="0" w:space="0" w:color="auto"/>
            <w:right w:val="none" w:sz="0" w:space="0" w:color="auto"/>
          </w:divBdr>
          <w:divsChild>
            <w:div w:id="1830097225">
              <w:marLeft w:val="0"/>
              <w:marRight w:val="0"/>
              <w:marTop w:val="0"/>
              <w:marBottom w:val="0"/>
              <w:divBdr>
                <w:top w:val="none" w:sz="0" w:space="0" w:color="auto"/>
                <w:left w:val="none" w:sz="0" w:space="0" w:color="auto"/>
                <w:bottom w:val="none" w:sz="0" w:space="0" w:color="auto"/>
                <w:right w:val="none" w:sz="0" w:space="0" w:color="auto"/>
              </w:divBdr>
            </w:div>
          </w:divsChild>
        </w:div>
        <w:div w:id="553082244">
          <w:marLeft w:val="0"/>
          <w:marRight w:val="0"/>
          <w:marTop w:val="0"/>
          <w:marBottom w:val="0"/>
          <w:divBdr>
            <w:top w:val="none" w:sz="0" w:space="0" w:color="auto"/>
            <w:left w:val="none" w:sz="0" w:space="0" w:color="auto"/>
            <w:bottom w:val="none" w:sz="0" w:space="0" w:color="auto"/>
            <w:right w:val="none" w:sz="0" w:space="0" w:color="auto"/>
          </w:divBdr>
        </w:div>
        <w:div w:id="806051358">
          <w:marLeft w:val="0"/>
          <w:marRight w:val="0"/>
          <w:marTop w:val="0"/>
          <w:marBottom w:val="0"/>
          <w:divBdr>
            <w:top w:val="none" w:sz="0" w:space="0" w:color="auto"/>
            <w:left w:val="none" w:sz="0" w:space="0" w:color="auto"/>
            <w:bottom w:val="none" w:sz="0" w:space="0" w:color="auto"/>
            <w:right w:val="none" w:sz="0" w:space="0" w:color="auto"/>
          </w:divBdr>
        </w:div>
        <w:div w:id="1082534068">
          <w:marLeft w:val="0"/>
          <w:marRight w:val="0"/>
          <w:marTop w:val="0"/>
          <w:marBottom w:val="0"/>
          <w:divBdr>
            <w:top w:val="none" w:sz="0" w:space="0" w:color="auto"/>
            <w:left w:val="none" w:sz="0" w:space="0" w:color="auto"/>
            <w:bottom w:val="none" w:sz="0" w:space="0" w:color="auto"/>
            <w:right w:val="none" w:sz="0" w:space="0" w:color="auto"/>
          </w:divBdr>
          <w:divsChild>
            <w:div w:id="1012339171">
              <w:marLeft w:val="0"/>
              <w:marRight w:val="0"/>
              <w:marTop w:val="0"/>
              <w:marBottom w:val="0"/>
              <w:divBdr>
                <w:top w:val="none" w:sz="0" w:space="0" w:color="auto"/>
                <w:left w:val="none" w:sz="0" w:space="0" w:color="auto"/>
                <w:bottom w:val="none" w:sz="0" w:space="0" w:color="auto"/>
                <w:right w:val="none" w:sz="0" w:space="0" w:color="auto"/>
              </w:divBdr>
            </w:div>
          </w:divsChild>
        </w:div>
        <w:div w:id="62259246">
          <w:marLeft w:val="0"/>
          <w:marRight w:val="0"/>
          <w:marTop w:val="0"/>
          <w:marBottom w:val="0"/>
          <w:divBdr>
            <w:top w:val="none" w:sz="0" w:space="0" w:color="auto"/>
            <w:left w:val="none" w:sz="0" w:space="0" w:color="auto"/>
            <w:bottom w:val="none" w:sz="0" w:space="0" w:color="auto"/>
            <w:right w:val="none" w:sz="0" w:space="0" w:color="auto"/>
          </w:divBdr>
        </w:div>
        <w:div w:id="2001040438">
          <w:marLeft w:val="0"/>
          <w:marRight w:val="0"/>
          <w:marTop w:val="0"/>
          <w:marBottom w:val="0"/>
          <w:divBdr>
            <w:top w:val="none" w:sz="0" w:space="0" w:color="auto"/>
            <w:left w:val="none" w:sz="0" w:space="0" w:color="auto"/>
            <w:bottom w:val="none" w:sz="0" w:space="0" w:color="auto"/>
            <w:right w:val="none" w:sz="0" w:space="0" w:color="auto"/>
          </w:divBdr>
        </w:div>
        <w:div w:id="643197754">
          <w:marLeft w:val="0"/>
          <w:marRight w:val="0"/>
          <w:marTop w:val="0"/>
          <w:marBottom w:val="0"/>
          <w:divBdr>
            <w:top w:val="none" w:sz="0" w:space="0" w:color="auto"/>
            <w:left w:val="none" w:sz="0" w:space="0" w:color="auto"/>
            <w:bottom w:val="none" w:sz="0" w:space="0" w:color="auto"/>
            <w:right w:val="none" w:sz="0" w:space="0" w:color="auto"/>
          </w:divBdr>
          <w:divsChild>
            <w:div w:id="1922592683">
              <w:marLeft w:val="0"/>
              <w:marRight w:val="0"/>
              <w:marTop w:val="0"/>
              <w:marBottom w:val="0"/>
              <w:divBdr>
                <w:top w:val="none" w:sz="0" w:space="0" w:color="auto"/>
                <w:left w:val="none" w:sz="0" w:space="0" w:color="auto"/>
                <w:bottom w:val="none" w:sz="0" w:space="0" w:color="auto"/>
                <w:right w:val="none" w:sz="0" w:space="0" w:color="auto"/>
              </w:divBdr>
            </w:div>
          </w:divsChild>
        </w:div>
        <w:div w:id="700516763">
          <w:marLeft w:val="0"/>
          <w:marRight w:val="0"/>
          <w:marTop w:val="0"/>
          <w:marBottom w:val="0"/>
          <w:divBdr>
            <w:top w:val="none" w:sz="0" w:space="0" w:color="auto"/>
            <w:left w:val="none" w:sz="0" w:space="0" w:color="auto"/>
            <w:bottom w:val="none" w:sz="0" w:space="0" w:color="auto"/>
            <w:right w:val="none" w:sz="0" w:space="0" w:color="auto"/>
          </w:divBdr>
        </w:div>
        <w:div w:id="2114544383">
          <w:marLeft w:val="0"/>
          <w:marRight w:val="0"/>
          <w:marTop w:val="0"/>
          <w:marBottom w:val="0"/>
          <w:divBdr>
            <w:top w:val="none" w:sz="0" w:space="0" w:color="auto"/>
            <w:left w:val="none" w:sz="0" w:space="0" w:color="auto"/>
            <w:bottom w:val="none" w:sz="0" w:space="0" w:color="auto"/>
            <w:right w:val="none" w:sz="0" w:space="0" w:color="auto"/>
          </w:divBdr>
        </w:div>
        <w:div w:id="1103450869">
          <w:marLeft w:val="0"/>
          <w:marRight w:val="0"/>
          <w:marTop w:val="0"/>
          <w:marBottom w:val="0"/>
          <w:divBdr>
            <w:top w:val="none" w:sz="0" w:space="0" w:color="auto"/>
            <w:left w:val="none" w:sz="0" w:space="0" w:color="auto"/>
            <w:bottom w:val="none" w:sz="0" w:space="0" w:color="auto"/>
            <w:right w:val="none" w:sz="0" w:space="0" w:color="auto"/>
          </w:divBdr>
          <w:divsChild>
            <w:div w:id="45225570">
              <w:marLeft w:val="0"/>
              <w:marRight w:val="0"/>
              <w:marTop w:val="0"/>
              <w:marBottom w:val="0"/>
              <w:divBdr>
                <w:top w:val="none" w:sz="0" w:space="0" w:color="auto"/>
                <w:left w:val="none" w:sz="0" w:space="0" w:color="auto"/>
                <w:bottom w:val="none" w:sz="0" w:space="0" w:color="auto"/>
                <w:right w:val="none" w:sz="0" w:space="0" w:color="auto"/>
              </w:divBdr>
            </w:div>
          </w:divsChild>
        </w:div>
        <w:div w:id="436143879">
          <w:marLeft w:val="0"/>
          <w:marRight w:val="0"/>
          <w:marTop w:val="0"/>
          <w:marBottom w:val="0"/>
          <w:divBdr>
            <w:top w:val="none" w:sz="0" w:space="0" w:color="auto"/>
            <w:left w:val="none" w:sz="0" w:space="0" w:color="auto"/>
            <w:bottom w:val="none" w:sz="0" w:space="0" w:color="auto"/>
            <w:right w:val="none" w:sz="0" w:space="0" w:color="auto"/>
          </w:divBdr>
        </w:div>
        <w:div w:id="612248808">
          <w:marLeft w:val="0"/>
          <w:marRight w:val="0"/>
          <w:marTop w:val="0"/>
          <w:marBottom w:val="0"/>
          <w:divBdr>
            <w:top w:val="none" w:sz="0" w:space="0" w:color="auto"/>
            <w:left w:val="none" w:sz="0" w:space="0" w:color="auto"/>
            <w:bottom w:val="none" w:sz="0" w:space="0" w:color="auto"/>
            <w:right w:val="none" w:sz="0" w:space="0" w:color="auto"/>
          </w:divBdr>
        </w:div>
        <w:div w:id="1702395528">
          <w:marLeft w:val="0"/>
          <w:marRight w:val="0"/>
          <w:marTop w:val="0"/>
          <w:marBottom w:val="0"/>
          <w:divBdr>
            <w:top w:val="none" w:sz="0" w:space="0" w:color="auto"/>
            <w:left w:val="none" w:sz="0" w:space="0" w:color="auto"/>
            <w:bottom w:val="none" w:sz="0" w:space="0" w:color="auto"/>
            <w:right w:val="none" w:sz="0" w:space="0" w:color="auto"/>
          </w:divBdr>
          <w:divsChild>
            <w:div w:id="1414819587">
              <w:marLeft w:val="0"/>
              <w:marRight w:val="0"/>
              <w:marTop w:val="0"/>
              <w:marBottom w:val="0"/>
              <w:divBdr>
                <w:top w:val="none" w:sz="0" w:space="0" w:color="auto"/>
                <w:left w:val="none" w:sz="0" w:space="0" w:color="auto"/>
                <w:bottom w:val="none" w:sz="0" w:space="0" w:color="auto"/>
                <w:right w:val="none" w:sz="0" w:space="0" w:color="auto"/>
              </w:divBdr>
            </w:div>
          </w:divsChild>
        </w:div>
        <w:div w:id="1672368558">
          <w:marLeft w:val="0"/>
          <w:marRight w:val="0"/>
          <w:marTop w:val="0"/>
          <w:marBottom w:val="0"/>
          <w:divBdr>
            <w:top w:val="none" w:sz="0" w:space="0" w:color="auto"/>
            <w:left w:val="none" w:sz="0" w:space="0" w:color="auto"/>
            <w:bottom w:val="none" w:sz="0" w:space="0" w:color="auto"/>
            <w:right w:val="none" w:sz="0" w:space="0" w:color="auto"/>
          </w:divBdr>
        </w:div>
        <w:div w:id="232083381">
          <w:marLeft w:val="0"/>
          <w:marRight w:val="0"/>
          <w:marTop w:val="0"/>
          <w:marBottom w:val="0"/>
          <w:divBdr>
            <w:top w:val="none" w:sz="0" w:space="0" w:color="auto"/>
            <w:left w:val="none" w:sz="0" w:space="0" w:color="auto"/>
            <w:bottom w:val="none" w:sz="0" w:space="0" w:color="auto"/>
            <w:right w:val="none" w:sz="0" w:space="0" w:color="auto"/>
          </w:divBdr>
        </w:div>
        <w:div w:id="1498426562">
          <w:marLeft w:val="0"/>
          <w:marRight w:val="0"/>
          <w:marTop w:val="0"/>
          <w:marBottom w:val="0"/>
          <w:divBdr>
            <w:top w:val="none" w:sz="0" w:space="0" w:color="auto"/>
            <w:left w:val="none" w:sz="0" w:space="0" w:color="auto"/>
            <w:bottom w:val="none" w:sz="0" w:space="0" w:color="auto"/>
            <w:right w:val="none" w:sz="0" w:space="0" w:color="auto"/>
          </w:divBdr>
          <w:divsChild>
            <w:div w:id="1827629132">
              <w:marLeft w:val="0"/>
              <w:marRight w:val="0"/>
              <w:marTop w:val="0"/>
              <w:marBottom w:val="0"/>
              <w:divBdr>
                <w:top w:val="none" w:sz="0" w:space="0" w:color="auto"/>
                <w:left w:val="none" w:sz="0" w:space="0" w:color="auto"/>
                <w:bottom w:val="none" w:sz="0" w:space="0" w:color="auto"/>
                <w:right w:val="none" w:sz="0" w:space="0" w:color="auto"/>
              </w:divBdr>
            </w:div>
          </w:divsChild>
        </w:div>
        <w:div w:id="453330584">
          <w:marLeft w:val="0"/>
          <w:marRight w:val="0"/>
          <w:marTop w:val="0"/>
          <w:marBottom w:val="0"/>
          <w:divBdr>
            <w:top w:val="none" w:sz="0" w:space="0" w:color="auto"/>
            <w:left w:val="none" w:sz="0" w:space="0" w:color="auto"/>
            <w:bottom w:val="none" w:sz="0" w:space="0" w:color="auto"/>
            <w:right w:val="none" w:sz="0" w:space="0" w:color="auto"/>
          </w:divBdr>
        </w:div>
        <w:div w:id="1293318507">
          <w:marLeft w:val="0"/>
          <w:marRight w:val="0"/>
          <w:marTop w:val="0"/>
          <w:marBottom w:val="0"/>
          <w:divBdr>
            <w:top w:val="none" w:sz="0" w:space="0" w:color="auto"/>
            <w:left w:val="none" w:sz="0" w:space="0" w:color="auto"/>
            <w:bottom w:val="none" w:sz="0" w:space="0" w:color="auto"/>
            <w:right w:val="none" w:sz="0" w:space="0" w:color="auto"/>
          </w:divBdr>
        </w:div>
        <w:div w:id="217396494">
          <w:marLeft w:val="0"/>
          <w:marRight w:val="0"/>
          <w:marTop w:val="0"/>
          <w:marBottom w:val="0"/>
          <w:divBdr>
            <w:top w:val="none" w:sz="0" w:space="0" w:color="auto"/>
            <w:left w:val="none" w:sz="0" w:space="0" w:color="auto"/>
            <w:bottom w:val="none" w:sz="0" w:space="0" w:color="auto"/>
            <w:right w:val="none" w:sz="0" w:space="0" w:color="auto"/>
          </w:divBdr>
          <w:divsChild>
            <w:div w:id="519395995">
              <w:marLeft w:val="0"/>
              <w:marRight w:val="0"/>
              <w:marTop w:val="0"/>
              <w:marBottom w:val="0"/>
              <w:divBdr>
                <w:top w:val="none" w:sz="0" w:space="0" w:color="auto"/>
                <w:left w:val="none" w:sz="0" w:space="0" w:color="auto"/>
                <w:bottom w:val="none" w:sz="0" w:space="0" w:color="auto"/>
                <w:right w:val="none" w:sz="0" w:space="0" w:color="auto"/>
              </w:divBdr>
            </w:div>
          </w:divsChild>
        </w:div>
        <w:div w:id="1850438206">
          <w:marLeft w:val="0"/>
          <w:marRight w:val="0"/>
          <w:marTop w:val="0"/>
          <w:marBottom w:val="0"/>
          <w:divBdr>
            <w:top w:val="none" w:sz="0" w:space="0" w:color="auto"/>
            <w:left w:val="none" w:sz="0" w:space="0" w:color="auto"/>
            <w:bottom w:val="none" w:sz="0" w:space="0" w:color="auto"/>
            <w:right w:val="none" w:sz="0" w:space="0" w:color="auto"/>
          </w:divBdr>
        </w:div>
        <w:div w:id="1698198704">
          <w:marLeft w:val="0"/>
          <w:marRight w:val="0"/>
          <w:marTop w:val="0"/>
          <w:marBottom w:val="0"/>
          <w:divBdr>
            <w:top w:val="none" w:sz="0" w:space="0" w:color="auto"/>
            <w:left w:val="none" w:sz="0" w:space="0" w:color="auto"/>
            <w:bottom w:val="none" w:sz="0" w:space="0" w:color="auto"/>
            <w:right w:val="none" w:sz="0" w:space="0" w:color="auto"/>
          </w:divBdr>
        </w:div>
        <w:div w:id="664093454">
          <w:marLeft w:val="0"/>
          <w:marRight w:val="0"/>
          <w:marTop w:val="0"/>
          <w:marBottom w:val="0"/>
          <w:divBdr>
            <w:top w:val="none" w:sz="0" w:space="0" w:color="auto"/>
            <w:left w:val="none" w:sz="0" w:space="0" w:color="auto"/>
            <w:bottom w:val="none" w:sz="0" w:space="0" w:color="auto"/>
            <w:right w:val="none" w:sz="0" w:space="0" w:color="auto"/>
          </w:divBdr>
          <w:divsChild>
            <w:div w:id="552425979">
              <w:marLeft w:val="0"/>
              <w:marRight w:val="0"/>
              <w:marTop w:val="0"/>
              <w:marBottom w:val="0"/>
              <w:divBdr>
                <w:top w:val="none" w:sz="0" w:space="0" w:color="auto"/>
                <w:left w:val="none" w:sz="0" w:space="0" w:color="auto"/>
                <w:bottom w:val="none" w:sz="0" w:space="0" w:color="auto"/>
                <w:right w:val="none" w:sz="0" w:space="0" w:color="auto"/>
              </w:divBdr>
            </w:div>
          </w:divsChild>
        </w:div>
        <w:div w:id="225729123">
          <w:marLeft w:val="0"/>
          <w:marRight w:val="0"/>
          <w:marTop w:val="0"/>
          <w:marBottom w:val="0"/>
          <w:divBdr>
            <w:top w:val="none" w:sz="0" w:space="0" w:color="auto"/>
            <w:left w:val="none" w:sz="0" w:space="0" w:color="auto"/>
            <w:bottom w:val="none" w:sz="0" w:space="0" w:color="auto"/>
            <w:right w:val="none" w:sz="0" w:space="0" w:color="auto"/>
          </w:divBdr>
        </w:div>
        <w:div w:id="808938837">
          <w:marLeft w:val="0"/>
          <w:marRight w:val="0"/>
          <w:marTop w:val="0"/>
          <w:marBottom w:val="0"/>
          <w:divBdr>
            <w:top w:val="none" w:sz="0" w:space="0" w:color="auto"/>
            <w:left w:val="none" w:sz="0" w:space="0" w:color="auto"/>
            <w:bottom w:val="none" w:sz="0" w:space="0" w:color="auto"/>
            <w:right w:val="none" w:sz="0" w:space="0" w:color="auto"/>
          </w:divBdr>
        </w:div>
        <w:div w:id="782572168">
          <w:marLeft w:val="0"/>
          <w:marRight w:val="0"/>
          <w:marTop w:val="0"/>
          <w:marBottom w:val="0"/>
          <w:divBdr>
            <w:top w:val="none" w:sz="0" w:space="0" w:color="auto"/>
            <w:left w:val="none" w:sz="0" w:space="0" w:color="auto"/>
            <w:bottom w:val="none" w:sz="0" w:space="0" w:color="auto"/>
            <w:right w:val="none" w:sz="0" w:space="0" w:color="auto"/>
          </w:divBdr>
          <w:divsChild>
            <w:div w:id="47345466">
              <w:marLeft w:val="0"/>
              <w:marRight w:val="0"/>
              <w:marTop w:val="0"/>
              <w:marBottom w:val="0"/>
              <w:divBdr>
                <w:top w:val="none" w:sz="0" w:space="0" w:color="auto"/>
                <w:left w:val="none" w:sz="0" w:space="0" w:color="auto"/>
                <w:bottom w:val="none" w:sz="0" w:space="0" w:color="auto"/>
                <w:right w:val="none" w:sz="0" w:space="0" w:color="auto"/>
              </w:divBdr>
            </w:div>
          </w:divsChild>
        </w:div>
        <w:div w:id="1868252026">
          <w:marLeft w:val="0"/>
          <w:marRight w:val="0"/>
          <w:marTop w:val="0"/>
          <w:marBottom w:val="0"/>
          <w:divBdr>
            <w:top w:val="none" w:sz="0" w:space="0" w:color="auto"/>
            <w:left w:val="none" w:sz="0" w:space="0" w:color="auto"/>
            <w:bottom w:val="none" w:sz="0" w:space="0" w:color="auto"/>
            <w:right w:val="none" w:sz="0" w:space="0" w:color="auto"/>
          </w:divBdr>
        </w:div>
        <w:div w:id="813833285">
          <w:marLeft w:val="0"/>
          <w:marRight w:val="0"/>
          <w:marTop w:val="0"/>
          <w:marBottom w:val="0"/>
          <w:divBdr>
            <w:top w:val="none" w:sz="0" w:space="0" w:color="auto"/>
            <w:left w:val="none" w:sz="0" w:space="0" w:color="auto"/>
            <w:bottom w:val="none" w:sz="0" w:space="0" w:color="auto"/>
            <w:right w:val="none" w:sz="0" w:space="0" w:color="auto"/>
          </w:divBdr>
        </w:div>
        <w:div w:id="1099252220">
          <w:marLeft w:val="0"/>
          <w:marRight w:val="0"/>
          <w:marTop w:val="0"/>
          <w:marBottom w:val="0"/>
          <w:divBdr>
            <w:top w:val="none" w:sz="0" w:space="0" w:color="auto"/>
            <w:left w:val="none" w:sz="0" w:space="0" w:color="auto"/>
            <w:bottom w:val="none" w:sz="0" w:space="0" w:color="auto"/>
            <w:right w:val="none" w:sz="0" w:space="0" w:color="auto"/>
          </w:divBdr>
          <w:divsChild>
            <w:div w:id="351877849">
              <w:marLeft w:val="0"/>
              <w:marRight w:val="0"/>
              <w:marTop w:val="0"/>
              <w:marBottom w:val="0"/>
              <w:divBdr>
                <w:top w:val="none" w:sz="0" w:space="0" w:color="auto"/>
                <w:left w:val="none" w:sz="0" w:space="0" w:color="auto"/>
                <w:bottom w:val="none" w:sz="0" w:space="0" w:color="auto"/>
                <w:right w:val="none" w:sz="0" w:space="0" w:color="auto"/>
              </w:divBdr>
            </w:div>
          </w:divsChild>
        </w:div>
        <w:div w:id="1887642688">
          <w:marLeft w:val="0"/>
          <w:marRight w:val="0"/>
          <w:marTop w:val="0"/>
          <w:marBottom w:val="0"/>
          <w:divBdr>
            <w:top w:val="none" w:sz="0" w:space="0" w:color="auto"/>
            <w:left w:val="none" w:sz="0" w:space="0" w:color="auto"/>
            <w:bottom w:val="none" w:sz="0" w:space="0" w:color="auto"/>
            <w:right w:val="none" w:sz="0" w:space="0" w:color="auto"/>
          </w:divBdr>
        </w:div>
        <w:div w:id="1009329620">
          <w:marLeft w:val="0"/>
          <w:marRight w:val="0"/>
          <w:marTop w:val="0"/>
          <w:marBottom w:val="0"/>
          <w:divBdr>
            <w:top w:val="none" w:sz="0" w:space="0" w:color="auto"/>
            <w:left w:val="none" w:sz="0" w:space="0" w:color="auto"/>
            <w:bottom w:val="none" w:sz="0" w:space="0" w:color="auto"/>
            <w:right w:val="none" w:sz="0" w:space="0" w:color="auto"/>
          </w:divBdr>
        </w:div>
        <w:div w:id="1908956085">
          <w:marLeft w:val="0"/>
          <w:marRight w:val="0"/>
          <w:marTop w:val="0"/>
          <w:marBottom w:val="0"/>
          <w:divBdr>
            <w:top w:val="none" w:sz="0" w:space="0" w:color="auto"/>
            <w:left w:val="none" w:sz="0" w:space="0" w:color="auto"/>
            <w:bottom w:val="none" w:sz="0" w:space="0" w:color="auto"/>
            <w:right w:val="none" w:sz="0" w:space="0" w:color="auto"/>
          </w:divBdr>
          <w:divsChild>
            <w:div w:id="1445080430">
              <w:marLeft w:val="0"/>
              <w:marRight w:val="0"/>
              <w:marTop w:val="0"/>
              <w:marBottom w:val="0"/>
              <w:divBdr>
                <w:top w:val="none" w:sz="0" w:space="0" w:color="auto"/>
                <w:left w:val="none" w:sz="0" w:space="0" w:color="auto"/>
                <w:bottom w:val="none" w:sz="0" w:space="0" w:color="auto"/>
                <w:right w:val="none" w:sz="0" w:space="0" w:color="auto"/>
              </w:divBdr>
            </w:div>
          </w:divsChild>
        </w:div>
        <w:div w:id="1613051996">
          <w:marLeft w:val="0"/>
          <w:marRight w:val="0"/>
          <w:marTop w:val="0"/>
          <w:marBottom w:val="0"/>
          <w:divBdr>
            <w:top w:val="none" w:sz="0" w:space="0" w:color="auto"/>
            <w:left w:val="none" w:sz="0" w:space="0" w:color="auto"/>
            <w:bottom w:val="none" w:sz="0" w:space="0" w:color="auto"/>
            <w:right w:val="none" w:sz="0" w:space="0" w:color="auto"/>
          </w:divBdr>
        </w:div>
        <w:div w:id="1273249268">
          <w:marLeft w:val="0"/>
          <w:marRight w:val="0"/>
          <w:marTop w:val="0"/>
          <w:marBottom w:val="0"/>
          <w:divBdr>
            <w:top w:val="none" w:sz="0" w:space="0" w:color="auto"/>
            <w:left w:val="none" w:sz="0" w:space="0" w:color="auto"/>
            <w:bottom w:val="none" w:sz="0" w:space="0" w:color="auto"/>
            <w:right w:val="none" w:sz="0" w:space="0" w:color="auto"/>
          </w:divBdr>
        </w:div>
        <w:div w:id="890000236">
          <w:marLeft w:val="0"/>
          <w:marRight w:val="0"/>
          <w:marTop w:val="0"/>
          <w:marBottom w:val="0"/>
          <w:divBdr>
            <w:top w:val="none" w:sz="0" w:space="0" w:color="auto"/>
            <w:left w:val="none" w:sz="0" w:space="0" w:color="auto"/>
            <w:bottom w:val="none" w:sz="0" w:space="0" w:color="auto"/>
            <w:right w:val="none" w:sz="0" w:space="0" w:color="auto"/>
          </w:divBdr>
          <w:divsChild>
            <w:div w:id="1608461867">
              <w:marLeft w:val="0"/>
              <w:marRight w:val="0"/>
              <w:marTop w:val="0"/>
              <w:marBottom w:val="0"/>
              <w:divBdr>
                <w:top w:val="none" w:sz="0" w:space="0" w:color="auto"/>
                <w:left w:val="none" w:sz="0" w:space="0" w:color="auto"/>
                <w:bottom w:val="none" w:sz="0" w:space="0" w:color="auto"/>
                <w:right w:val="none" w:sz="0" w:space="0" w:color="auto"/>
              </w:divBdr>
            </w:div>
          </w:divsChild>
        </w:div>
        <w:div w:id="2028866536">
          <w:marLeft w:val="0"/>
          <w:marRight w:val="0"/>
          <w:marTop w:val="0"/>
          <w:marBottom w:val="0"/>
          <w:divBdr>
            <w:top w:val="none" w:sz="0" w:space="0" w:color="auto"/>
            <w:left w:val="none" w:sz="0" w:space="0" w:color="auto"/>
            <w:bottom w:val="none" w:sz="0" w:space="0" w:color="auto"/>
            <w:right w:val="none" w:sz="0" w:space="0" w:color="auto"/>
          </w:divBdr>
        </w:div>
        <w:div w:id="1423451291">
          <w:marLeft w:val="0"/>
          <w:marRight w:val="0"/>
          <w:marTop w:val="0"/>
          <w:marBottom w:val="0"/>
          <w:divBdr>
            <w:top w:val="none" w:sz="0" w:space="0" w:color="auto"/>
            <w:left w:val="none" w:sz="0" w:space="0" w:color="auto"/>
            <w:bottom w:val="none" w:sz="0" w:space="0" w:color="auto"/>
            <w:right w:val="none" w:sz="0" w:space="0" w:color="auto"/>
          </w:divBdr>
        </w:div>
        <w:div w:id="1438335146">
          <w:marLeft w:val="0"/>
          <w:marRight w:val="0"/>
          <w:marTop w:val="0"/>
          <w:marBottom w:val="0"/>
          <w:divBdr>
            <w:top w:val="none" w:sz="0" w:space="0" w:color="auto"/>
            <w:left w:val="none" w:sz="0" w:space="0" w:color="auto"/>
            <w:bottom w:val="none" w:sz="0" w:space="0" w:color="auto"/>
            <w:right w:val="none" w:sz="0" w:space="0" w:color="auto"/>
          </w:divBdr>
          <w:divsChild>
            <w:div w:id="1636980474">
              <w:marLeft w:val="0"/>
              <w:marRight w:val="0"/>
              <w:marTop w:val="0"/>
              <w:marBottom w:val="0"/>
              <w:divBdr>
                <w:top w:val="none" w:sz="0" w:space="0" w:color="auto"/>
                <w:left w:val="none" w:sz="0" w:space="0" w:color="auto"/>
                <w:bottom w:val="none" w:sz="0" w:space="0" w:color="auto"/>
                <w:right w:val="none" w:sz="0" w:space="0" w:color="auto"/>
              </w:divBdr>
            </w:div>
          </w:divsChild>
        </w:div>
        <w:div w:id="1294022264">
          <w:marLeft w:val="0"/>
          <w:marRight w:val="0"/>
          <w:marTop w:val="0"/>
          <w:marBottom w:val="0"/>
          <w:divBdr>
            <w:top w:val="none" w:sz="0" w:space="0" w:color="auto"/>
            <w:left w:val="none" w:sz="0" w:space="0" w:color="auto"/>
            <w:bottom w:val="none" w:sz="0" w:space="0" w:color="auto"/>
            <w:right w:val="none" w:sz="0" w:space="0" w:color="auto"/>
          </w:divBdr>
        </w:div>
        <w:div w:id="555511729">
          <w:marLeft w:val="0"/>
          <w:marRight w:val="0"/>
          <w:marTop w:val="0"/>
          <w:marBottom w:val="0"/>
          <w:divBdr>
            <w:top w:val="none" w:sz="0" w:space="0" w:color="auto"/>
            <w:left w:val="none" w:sz="0" w:space="0" w:color="auto"/>
            <w:bottom w:val="none" w:sz="0" w:space="0" w:color="auto"/>
            <w:right w:val="none" w:sz="0" w:space="0" w:color="auto"/>
          </w:divBdr>
        </w:div>
        <w:div w:id="729841228">
          <w:marLeft w:val="0"/>
          <w:marRight w:val="0"/>
          <w:marTop w:val="0"/>
          <w:marBottom w:val="0"/>
          <w:divBdr>
            <w:top w:val="none" w:sz="0" w:space="0" w:color="auto"/>
            <w:left w:val="none" w:sz="0" w:space="0" w:color="auto"/>
            <w:bottom w:val="none" w:sz="0" w:space="0" w:color="auto"/>
            <w:right w:val="none" w:sz="0" w:space="0" w:color="auto"/>
          </w:divBdr>
          <w:divsChild>
            <w:div w:id="2035424673">
              <w:marLeft w:val="0"/>
              <w:marRight w:val="0"/>
              <w:marTop w:val="0"/>
              <w:marBottom w:val="0"/>
              <w:divBdr>
                <w:top w:val="none" w:sz="0" w:space="0" w:color="auto"/>
                <w:left w:val="none" w:sz="0" w:space="0" w:color="auto"/>
                <w:bottom w:val="none" w:sz="0" w:space="0" w:color="auto"/>
                <w:right w:val="none" w:sz="0" w:space="0" w:color="auto"/>
              </w:divBdr>
            </w:div>
          </w:divsChild>
        </w:div>
        <w:div w:id="1482962210">
          <w:marLeft w:val="0"/>
          <w:marRight w:val="0"/>
          <w:marTop w:val="0"/>
          <w:marBottom w:val="0"/>
          <w:divBdr>
            <w:top w:val="none" w:sz="0" w:space="0" w:color="auto"/>
            <w:left w:val="none" w:sz="0" w:space="0" w:color="auto"/>
            <w:bottom w:val="none" w:sz="0" w:space="0" w:color="auto"/>
            <w:right w:val="none" w:sz="0" w:space="0" w:color="auto"/>
          </w:divBdr>
        </w:div>
        <w:div w:id="1896355137">
          <w:marLeft w:val="0"/>
          <w:marRight w:val="0"/>
          <w:marTop w:val="0"/>
          <w:marBottom w:val="0"/>
          <w:divBdr>
            <w:top w:val="none" w:sz="0" w:space="0" w:color="auto"/>
            <w:left w:val="none" w:sz="0" w:space="0" w:color="auto"/>
            <w:bottom w:val="none" w:sz="0" w:space="0" w:color="auto"/>
            <w:right w:val="none" w:sz="0" w:space="0" w:color="auto"/>
          </w:divBdr>
        </w:div>
        <w:div w:id="1745640137">
          <w:marLeft w:val="0"/>
          <w:marRight w:val="0"/>
          <w:marTop w:val="0"/>
          <w:marBottom w:val="0"/>
          <w:divBdr>
            <w:top w:val="none" w:sz="0" w:space="0" w:color="auto"/>
            <w:left w:val="none" w:sz="0" w:space="0" w:color="auto"/>
            <w:bottom w:val="none" w:sz="0" w:space="0" w:color="auto"/>
            <w:right w:val="none" w:sz="0" w:space="0" w:color="auto"/>
          </w:divBdr>
          <w:divsChild>
            <w:div w:id="1815222016">
              <w:marLeft w:val="0"/>
              <w:marRight w:val="0"/>
              <w:marTop w:val="0"/>
              <w:marBottom w:val="0"/>
              <w:divBdr>
                <w:top w:val="none" w:sz="0" w:space="0" w:color="auto"/>
                <w:left w:val="none" w:sz="0" w:space="0" w:color="auto"/>
                <w:bottom w:val="none" w:sz="0" w:space="0" w:color="auto"/>
                <w:right w:val="none" w:sz="0" w:space="0" w:color="auto"/>
              </w:divBdr>
            </w:div>
          </w:divsChild>
        </w:div>
        <w:div w:id="1719476075">
          <w:marLeft w:val="0"/>
          <w:marRight w:val="0"/>
          <w:marTop w:val="0"/>
          <w:marBottom w:val="0"/>
          <w:divBdr>
            <w:top w:val="none" w:sz="0" w:space="0" w:color="auto"/>
            <w:left w:val="none" w:sz="0" w:space="0" w:color="auto"/>
            <w:bottom w:val="none" w:sz="0" w:space="0" w:color="auto"/>
            <w:right w:val="none" w:sz="0" w:space="0" w:color="auto"/>
          </w:divBdr>
        </w:div>
        <w:div w:id="1506364839">
          <w:marLeft w:val="0"/>
          <w:marRight w:val="0"/>
          <w:marTop w:val="0"/>
          <w:marBottom w:val="0"/>
          <w:divBdr>
            <w:top w:val="none" w:sz="0" w:space="0" w:color="auto"/>
            <w:left w:val="none" w:sz="0" w:space="0" w:color="auto"/>
            <w:bottom w:val="none" w:sz="0" w:space="0" w:color="auto"/>
            <w:right w:val="none" w:sz="0" w:space="0" w:color="auto"/>
          </w:divBdr>
        </w:div>
        <w:div w:id="93283018">
          <w:marLeft w:val="0"/>
          <w:marRight w:val="0"/>
          <w:marTop w:val="0"/>
          <w:marBottom w:val="0"/>
          <w:divBdr>
            <w:top w:val="none" w:sz="0" w:space="0" w:color="auto"/>
            <w:left w:val="none" w:sz="0" w:space="0" w:color="auto"/>
            <w:bottom w:val="none" w:sz="0" w:space="0" w:color="auto"/>
            <w:right w:val="none" w:sz="0" w:space="0" w:color="auto"/>
          </w:divBdr>
          <w:divsChild>
            <w:div w:id="653872457">
              <w:marLeft w:val="0"/>
              <w:marRight w:val="0"/>
              <w:marTop w:val="0"/>
              <w:marBottom w:val="0"/>
              <w:divBdr>
                <w:top w:val="none" w:sz="0" w:space="0" w:color="auto"/>
                <w:left w:val="none" w:sz="0" w:space="0" w:color="auto"/>
                <w:bottom w:val="none" w:sz="0" w:space="0" w:color="auto"/>
                <w:right w:val="none" w:sz="0" w:space="0" w:color="auto"/>
              </w:divBdr>
            </w:div>
          </w:divsChild>
        </w:div>
        <w:div w:id="2080203050">
          <w:marLeft w:val="0"/>
          <w:marRight w:val="0"/>
          <w:marTop w:val="0"/>
          <w:marBottom w:val="0"/>
          <w:divBdr>
            <w:top w:val="none" w:sz="0" w:space="0" w:color="auto"/>
            <w:left w:val="none" w:sz="0" w:space="0" w:color="auto"/>
            <w:bottom w:val="none" w:sz="0" w:space="0" w:color="auto"/>
            <w:right w:val="none" w:sz="0" w:space="0" w:color="auto"/>
          </w:divBdr>
        </w:div>
        <w:div w:id="517081970">
          <w:marLeft w:val="0"/>
          <w:marRight w:val="0"/>
          <w:marTop w:val="0"/>
          <w:marBottom w:val="0"/>
          <w:divBdr>
            <w:top w:val="none" w:sz="0" w:space="0" w:color="auto"/>
            <w:left w:val="none" w:sz="0" w:space="0" w:color="auto"/>
            <w:bottom w:val="none" w:sz="0" w:space="0" w:color="auto"/>
            <w:right w:val="none" w:sz="0" w:space="0" w:color="auto"/>
          </w:divBdr>
        </w:div>
        <w:div w:id="1641962654">
          <w:marLeft w:val="0"/>
          <w:marRight w:val="0"/>
          <w:marTop w:val="0"/>
          <w:marBottom w:val="0"/>
          <w:divBdr>
            <w:top w:val="none" w:sz="0" w:space="0" w:color="auto"/>
            <w:left w:val="none" w:sz="0" w:space="0" w:color="auto"/>
            <w:bottom w:val="none" w:sz="0" w:space="0" w:color="auto"/>
            <w:right w:val="none" w:sz="0" w:space="0" w:color="auto"/>
          </w:divBdr>
          <w:divsChild>
            <w:div w:id="774986491">
              <w:marLeft w:val="0"/>
              <w:marRight w:val="0"/>
              <w:marTop w:val="0"/>
              <w:marBottom w:val="0"/>
              <w:divBdr>
                <w:top w:val="none" w:sz="0" w:space="0" w:color="auto"/>
                <w:left w:val="none" w:sz="0" w:space="0" w:color="auto"/>
                <w:bottom w:val="none" w:sz="0" w:space="0" w:color="auto"/>
                <w:right w:val="none" w:sz="0" w:space="0" w:color="auto"/>
              </w:divBdr>
            </w:div>
          </w:divsChild>
        </w:div>
        <w:div w:id="1085298389">
          <w:marLeft w:val="0"/>
          <w:marRight w:val="0"/>
          <w:marTop w:val="0"/>
          <w:marBottom w:val="0"/>
          <w:divBdr>
            <w:top w:val="none" w:sz="0" w:space="0" w:color="auto"/>
            <w:left w:val="none" w:sz="0" w:space="0" w:color="auto"/>
            <w:bottom w:val="none" w:sz="0" w:space="0" w:color="auto"/>
            <w:right w:val="none" w:sz="0" w:space="0" w:color="auto"/>
          </w:divBdr>
        </w:div>
        <w:div w:id="1190996905">
          <w:marLeft w:val="0"/>
          <w:marRight w:val="0"/>
          <w:marTop w:val="0"/>
          <w:marBottom w:val="0"/>
          <w:divBdr>
            <w:top w:val="none" w:sz="0" w:space="0" w:color="auto"/>
            <w:left w:val="none" w:sz="0" w:space="0" w:color="auto"/>
            <w:bottom w:val="none" w:sz="0" w:space="0" w:color="auto"/>
            <w:right w:val="none" w:sz="0" w:space="0" w:color="auto"/>
          </w:divBdr>
        </w:div>
        <w:div w:id="1552771059">
          <w:marLeft w:val="0"/>
          <w:marRight w:val="0"/>
          <w:marTop w:val="0"/>
          <w:marBottom w:val="0"/>
          <w:divBdr>
            <w:top w:val="none" w:sz="0" w:space="0" w:color="auto"/>
            <w:left w:val="none" w:sz="0" w:space="0" w:color="auto"/>
            <w:bottom w:val="none" w:sz="0" w:space="0" w:color="auto"/>
            <w:right w:val="none" w:sz="0" w:space="0" w:color="auto"/>
          </w:divBdr>
          <w:divsChild>
            <w:div w:id="2073768729">
              <w:marLeft w:val="0"/>
              <w:marRight w:val="0"/>
              <w:marTop w:val="0"/>
              <w:marBottom w:val="0"/>
              <w:divBdr>
                <w:top w:val="none" w:sz="0" w:space="0" w:color="auto"/>
                <w:left w:val="none" w:sz="0" w:space="0" w:color="auto"/>
                <w:bottom w:val="none" w:sz="0" w:space="0" w:color="auto"/>
                <w:right w:val="none" w:sz="0" w:space="0" w:color="auto"/>
              </w:divBdr>
            </w:div>
          </w:divsChild>
        </w:div>
        <w:div w:id="1781877320">
          <w:marLeft w:val="0"/>
          <w:marRight w:val="0"/>
          <w:marTop w:val="0"/>
          <w:marBottom w:val="0"/>
          <w:divBdr>
            <w:top w:val="none" w:sz="0" w:space="0" w:color="auto"/>
            <w:left w:val="none" w:sz="0" w:space="0" w:color="auto"/>
            <w:bottom w:val="none" w:sz="0" w:space="0" w:color="auto"/>
            <w:right w:val="none" w:sz="0" w:space="0" w:color="auto"/>
          </w:divBdr>
        </w:div>
        <w:div w:id="1065373483">
          <w:marLeft w:val="0"/>
          <w:marRight w:val="0"/>
          <w:marTop w:val="0"/>
          <w:marBottom w:val="0"/>
          <w:divBdr>
            <w:top w:val="none" w:sz="0" w:space="0" w:color="auto"/>
            <w:left w:val="none" w:sz="0" w:space="0" w:color="auto"/>
            <w:bottom w:val="none" w:sz="0" w:space="0" w:color="auto"/>
            <w:right w:val="none" w:sz="0" w:space="0" w:color="auto"/>
          </w:divBdr>
        </w:div>
        <w:div w:id="1438015814">
          <w:marLeft w:val="0"/>
          <w:marRight w:val="0"/>
          <w:marTop w:val="0"/>
          <w:marBottom w:val="0"/>
          <w:divBdr>
            <w:top w:val="none" w:sz="0" w:space="0" w:color="auto"/>
            <w:left w:val="none" w:sz="0" w:space="0" w:color="auto"/>
            <w:bottom w:val="none" w:sz="0" w:space="0" w:color="auto"/>
            <w:right w:val="none" w:sz="0" w:space="0" w:color="auto"/>
          </w:divBdr>
          <w:divsChild>
            <w:div w:id="1354065329">
              <w:marLeft w:val="0"/>
              <w:marRight w:val="0"/>
              <w:marTop w:val="0"/>
              <w:marBottom w:val="0"/>
              <w:divBdr>
                <w:top w:val="none" w:sz="0" w:space="0" w:color="auto"/>
                <w:left w:val="none" w:sz="0" w:space="0" w:color="auto"/>
                <w:bottom w:val="none" w:sz="0" w:space="0" w:color="auto"/>
                <w:right w:val="none" w:sz="0" w:space="0" w:color="auto"/>
              </w:divBdr>
            </w:div>
          </w:divsChild>
        </w:div>
        <w:div w:id="1664117409">
          <w:marLeft w:val="0"/>
          <w:marRight w:val="0"/>
          <w:marTop w:val="0"/>
          <w:marBottom w:val="0"/>
          <w:divBdr>
            <w:top w:val="none" w:sz="0" w:space="0" w:color="auto"/>
            <w:left w:val="none" w:sz="0" w:space="0" w:color="auto"/>
            <w:bottom w:val="none" w:sz="0" w:space="0" w:color="auto"/>
            <w:right w:val="none" w:sz="0" w:space="0" w:color="auto"/>
          </w:divBdr>
        </w:div>
        <w:div w:id="1408455408">
          <w:marLeft w:val="0"/>
          <w:marRight w:val="0"/>
          <w:marTop w:val="0"/>
          <w:marBottom w:val="0"/>
          <w:divBdr>
            <w:top w:val="none" w:sz="0" w:space="0" w:color="auto"/>
            <w:left w:val="none" w:sz="0" w:space="0" w:color="auto"/>
            <w:bottom w:val="none" w:sz="0" w:space="0" w:color="auto"/>
            <w:right w:val="none" w:sz="0" w:space="0" w:color="auto"/>
          </w:divBdr>
        </w:div>
        <w:div w:id="1495877849">
          <w:marLeft w:val="0"/>
          <w:marRight w:val="0"/>
          <w:marTop w:val="0"/>
          <w:marBottom w:val="0"/>
          <w:divBdr>
            <w:top w:val="none" w:sz="0" w:space="0" w:color="auto"/>
            <w:left w:val="none" w:sz="0" w:space="0" w:color="auto"/>
            <w:bottom w:val="none" w:sz="0" w:space="0" w:color="auto"/>
            <w:right w:val="none" w:sz="0" w:space="0" w:color="auto"/>
          </w:divBdr>
          <w:divsChild>
            <w:div w:id="1444954729">
              <w:marLeft w:val="0"/>
              <w:marRight w:val="0"/>
              <w:marTop w:val="0"/>
              <w:marBottom w:val="0"/>
              <w:divBdr>
                <w:top w:val="none" w:sz="0" w:space="0" w:color="auto"/>
                <w:left w:val="none" w:sz="0" w:space="0" w:color="auto"/>
                <w:bottom w:val="none" w:sz="0" w:space="0" w:color="auto"/>
                <w:right w:val="none" w:sz="0" w:space="0" w:color="auto"/>
              </w:divBdr>
            </w:div>
          </w:divsChild>
        </w:div>
        <w:div w:id="1510489640">
          <w:marLeft w:val="0"/>
          <w:marRight w:val="0"/>
          <w:marTop w:val="0"/>
          <w:marBottom w:val="0"/>
          <w:divBdr>
            <w:top w:val="none" w:sz="0" w:space="0" w:color="auto"/>
            <w:left w:val="none" w:sz="0" w:space="0" w:color="auto"/>
            <w:bottom w:val="none" w:sz="0" w:space="0" w:color="auto"/>
            <w:right w:val="none" w:sz="0" w:space="0" w:color="auto"/>
          </w:divBdr>
        </w:div>
        <w:div w:id="587924452">
          <w:marLeft w:val="0"/>
          <w:marRight w:val="0"/>
          <w:marTop w:val="0"/>
          <w:marBottom w:val="0"/>
          <w:divBdr>
            <w:top w:val="none" w:sz="0" w:space="0" w:color="auto"/>
            <w:left w:val="none" w:sz="0" w:space="0" w:color="auto"/>
            <w:bottom w:val="none" w:sz="0" w:space="0" w:color="auto"/>
            <w:right w:val="none" w:sz="0" w:space="0" w:color="auto"/>
          </w:divBdr>
        </w:div>
        <w:div w:id="870806982">
          <w:marLeft w:val="0"/>
          <w:marRight w:val="0"/>
          <w:marTop w:val="0"/>
          <w:marBottom w:val="0"/>
          <w:divBdr>
            <w:top w:val="none" w:sz="0" w:space="0" w:color="auto"/>
            <w:left w:val="none" w:sz="0" w:space="0" w:color="auto"/>
            <w:bottom w:val="none" w:sz="0" w:space="0" w:color="auto"/>
            <w:right w:val="none" w:sz="0" w:space="0" w:color="auto"/>
          </w:divBdr>
          <w:divsChild>
            <w:div w:id="1460492789">
              <w:marLeft w:val="0"/>
              <w:marRight w:val="0"/>
              <w:marTop w:val="0"/>
              <w:marBottom w:val="0"/>
              <w:divBdr>
                <w:top w:val="none" w:sz="0" w:space="0" w:color="auto"/>
                <w:left w:val="none" w:sz="0" w:space="0" w:color="auto"/>
                <w:bottom w:val="none" w:sz="0" w:space="0" w:color="auto"/>
                <w:right w:val="none" w:sz="0" w:space="0" w:color="auto"/>
              </w:divBdr>
            </w:div>
          </w:divsChild>
        </w:div>
        <w:div w:id="1782605713">
          <w:marLeft w:val="0"/>
          <w:marRight w:val="0"/>
          <w:marTop w:val="0"/>
          <w:marBottom w:val="0"/>
          <w:divBdr>
            <w:top w:val="none" w:sz="0" w:space="0" w:color="auto"/>
            <w:left w:val="none" w:sz="0" w:space="0" w:color="auto"/>
            <w:bottom w:val="none" w:sz="0" w:space="0" w:color="auto"/>
            <w:right w:val="none" w:sz="0" w:space="0" w:color="auto"/>
          </w:divBdr>
        </w:div>
        <w:div w:id="1343161794">
          <w:marLeft w:val="0"/>
          <w:marRight w:val="0"/>
          <w:marTop w:val="0"/>
          <w:marBottom w:val="0"/>
          <w:divBdr>
            <w:top w:val="none" w:sz="0" w:space="0" w:color="auto"/>
            <w:left w:val="none" w:sz="0" w:space="0" w:color="auto"/>
            <w:bottom w:val="none" w:sz="0" w:space="0" w:color="auto"/>
            <w:right w:val="none" w:sz="0" w:space="0" w:color="auto"/>
          </w:divBdr>
        </w:div>
        <w:div w:id="1765763416">
          <w:marLeft w:val="0"/>
          <w:marRight w:val="0"/>
          <w:marTop w:val="0"/>
          <w:marBottom w:val="0"/>
          <w:divBdr>
            <w:top w:val="none" w:sz="0" w:space="0" w:color="auto"/>
            <w:left w:val="none" w:sz="0" w:space="0" w:color="auto"/>
            <w:bottom w:val="none" w:sz="0" w:space="0" w:color="auto"/>
            <w:right w:val="none" w:sz="0" w:space="0" w:color="auto"/>
          </w:divBdr>
          <w:divsChild>
            <w:div w:id="1627158039">
              <w:marLeft w:val="0"/>
              <w:marRight w:val="0"/>
              <w:marTop w:val="0"/>
              <w:marBottom w:val="0"/>
              <w:divBdr>
                <w:top w:val="none" w:sz="0" w:space="0" w:color="auto"/>
                <w:left w:val="none" w:sz="0" w:space="0" w:color="auto"/>
                <w:bottom w:val="none" w:sz="0" w:space="0" w:color="auto"/>
                <w:right w:val="none" w:sz="0" w:space="0" w:color="auto"/>
              </w:divBdr>
            </w:div>
          </w:divsChild>
        </w:div>
        <w:div w:id="5715987">
          <w:marLeft w:val="0"/>
          <w:marRight w:val="0"/>
          <w:marTop w:val="0"/>
          <w:marBottom w:val="0"/>
          <w:divBdr>
            <w:top w:val="none" w:sz="0" w:space="0" w:color="auto"/>
            <w:left w:val="none" w:sz="0" w:space="0" w:color="auto"/>
            <w:bottom w:val="none" w:sz="0" w:space="0" w:color="auto"/>
            <w:right w:val="none" w:sz="0" w:space="0" w:color="auto"/>
          </w:divBdr>
        </w:div>
        <w:div w:id="1374501141">
          <w:marLeft w:val="0"/>
          <w:marRight w:val="0"/>
          <w:marTop w:val="0"/>
          <w:marBottom w:val="0"/>
          <w:divBdr>
            <w:top w:val="none" w:sz="0" w:space="0" w:color="auto"/>
            <w:left w:val="none" w:sz="0" w:space="0" w:color="auto"/>
            <w:bottom w:val="none" w:sz="0" w:space="0" w:color="auto"/>
            <w:right w:val="none" w:sz="0" w:space="0" w:color="auto"/>
          </w:divBdr>
        </w:div>
        <w:div w:id="1393000286">
          <w:marLeft w:val="0"/>
          <w:marRight w:val="0"/>
          <w:marTop w:val="0"/>
          <w:marBottom w:val="0"/>
          <w:divBdr>
            <w:top w:val="none" w:sz="0" w:space="0" w:color="auto"/>
            <w:left w:val="none" w:sz="0" w:space="0" w:color="auto"/>
            <w:bottom w:val="none" w:sz="0" w:space="0" w:color="auto"/>
            <w:right w:val="none" w:sz="0" w:space="0" w:color="auto"/>
          </w:divBdr>
          <w:divsChild>
            <w:div w:id="1958633374">
              <w:marLeft w:val="0"/>
              <w:marRight w:val="0"/>
              <w:marTop w:val="0"/>
              <w:marBottom w:val="0"/>
              <w:divBdr>
                <w:top w:val="none" w:sz="0" w:space="0" w:color="auto"/>
                <w:left w:val="none" w:sz="0" w:space="0" w:color="auto"/>
                <w:bottom w:val="none" w:sz="0" w:space="0" w:color="auto"/>
                <w:right w:val="none" w:sz="0" w:space="0" w:color="auto"/>
              </w:divBdr>
            </w:div>
          </w:divsChild>
        </w:div>
        <w:div w:id="1887251053">
          <w:marLeft w:val="0"/>
          <w:marRight w:val="0"/>
          <w:marTop w:val="0"/>
          <w:marBottom w:val="0"/>
          <w:divBdr>
            <w:top w:val="none" w:sz="0" w:space="0" w:color="auto"/>
            <w:left w:val="none" w:sz="0" w:space="0" w:color="auto"/>
            <w:bottom w:val="none" w:sz="0" w:space="0" w:color="auto"/>
            <w:right w:val="none" w:sz="0" w:space="0" w:color="auto"/>
          </w:divBdr>
        </w:div>
        <w:div w:id="744837860">
          <w:marLeft w:val="0"/>
          <w:marRight w:val="0"/>
          <w:marTop w:val="0"/>
          <w:marBottom w:val="0"/>
          <w:divBdr>
            <w:top w:val="none" w:sz="0" w:space="0" w:color="auto"/>
            <w:left w:val="none" w:sz="0" w:space="0" w:color="auto"/>
            <w:bottom w:val="none" w:sz="0" w:space="0" w:color="auto"/>
            <w:right w:val="none" w:sz="0" w:space="0" w:color="auto"/>
          </w:divBdr>
        </w:div>
        <w:div w:id="459416505">
          <w:marLeft w:val="0"/>
          <w:marRight w:val="0"/>
          <w:marTop w:val="0"/>
          <w:marBottom w:val="0"/>
          <w:divBdr>
            <w:top w:val="none" w:sz="0" w:space="0" w:color="auto"/>
            <w:left w:val="none" w:sz="0" w:space="0" w:color="auto"/>
            <w:bottom w:val="none" w:sz="0" w:space="0" w:color="auto"/>
            <w:right w:val="none" w:sz="0" w:space="0" w:color="auto"/>
          </w:divBdr>
        </w:div>
        <w:div w:id="375350038">
          <w:marLeft w:val="0"/>
          <w:marRight w:val="0"/>
          <w:marTop w:val="0"/>
          <w:marBottom w:val="0"/>
          <w:divBdr>
            <w:top w:val="none" w:sz="0" w:space="0" w:color="auto"/>
            <w:left w:val="none" w:sz="0" w:space="0" w:color="auto"/>
            <w:bottom w:val="none" w:sz="0" w:space="0" w:color="auto"/>
            <w:right w:val="none" w:sz="0" w:space="0" w:color="auto"/>
          </w:divBdr>
          <w:divsChild>
            <w:div w:id="1920358860">
              <w:marLeft w:val="0"/>
              <w:marRight w:val="0"/>
              <w:marTop w:val="0"/>
              <w:marBottom w:val="0"/>
              <w:divBdr>
                <w:top w:val="none" w:sz="0" w:space="0" w:color="auto"/>
                <w:left w:val="none" w:sz="0" w:space="0" w:color="auto"/>
                <w:bottom w:val="none" w:sz="0" w:space="0" w:color="auto"/>
                <w:right w:val="none" w:sz="0" w:space="0" w:color="auto"/>
              </w:divBdr>
            </w:div>
          </w:divsChild>
        </w:div>
        <w:div w:id="1709448401">
          <w:marLeft w:val="0"/>
          <w:marRight w:val="0"/>
          <w:marTop w:val="0"/>
          <w:marBottom w:val="0"/>
          <w:divBdr>
            <w:top w:val="none" w:sz="0" w:space="0" w:color="auto"/>
            <w:left w:val="none" w:sz="0" w:space="0" w:color="auto"/>
            <w:bottom w:val="none" w:sz="0" w:space="0" w:color="auto"/>
            <w:right w:val="none" w:sz="0" w:space="0" w:color="auto"/>
          </w:divBdr>
        </w:div>
        <w:div w:id="181894919">
          <w:marLeft w:val="0"/>
          <w:marRight w:val="0"/>
          <w:marTop w:val="0"/>
          <w:marBottom w:val="0"/>
          <w:divBdr>
            <w:top w:val="none" w:sz="0" w:space="0" w:color="auto"/>
            <w:left w:val="none" w:sz="0" w:space="0" w:color="auto"/>
            <w:bottom w:val="none" w:sz="0" w:space="0" w:color="auto"/>
            <w:right w:val="none" w:sz="0" w:space="0" w:color="auto"/>
          </w:divBdr>
        </w:div>
        <w:div w:id="1161581227">
          <w:marLeft w:val="0"/>
          <w:marRight w:val="0"/>
          <w:marTop w:val="0"/>
          <w:marBottom w:val="0"/>
          <w:divBdr>
            <w:top w:val="none" w:sz="0" w:space="0" w:color="auto"/>
            <w:left w:val="none" w:sz="0" w:space="0" w:color="auto"/>
            <w:bottom w:val="none" w:sz="0" w:space="0" w:color="auto"/>
            <w:right w:val="none" w:sz="0" w:space="0" w:color="auto"/>
          </w:divBdr>
          <w:divsChild>
            <w:div w:id="1602647083">
              <w:marLeft w:val="0"/>
              <w:marRight w:val="0"/>
              <w:marTop w:val="0"/>
              <w:marBottom w:val="0"/>
              <w:divBdr>
                <w:top w:val="none" w:sz="0" w:space="0" w:color="auto"/>
                <w:left w:val="none" w:sz="0" w:space="0" w:color="auto"/>
                <w:bottom w:val="none" w:sz="0" w:space="0" w:color="auto"/>
                <w:right w:val="none" w:sz="0" w:space="0" w:color="auto"/>
              </w:divBdr>
            </w:div>
          </w:divsChild>
        </w:div>
        <w:div w:id="94449829">
          <w:marLeft w:val="0"/>
          <w:marRight w:val="0"/>
          <w:marTop w:val="0"/>
          <w:marBottom w:val="0"/>
          <w:divBdr>
            <w:top w:val="none" w:sz="0" w:space="0" w:color="auto"/>
            <w:left w:val="none" w:sz="0" w:space="0" w:color="auto"/>
            <w:bottom w:val="none" w:sz="0" w:space="0" w:color="auto"/>
            <w:right w:val="none" w:sz="0" w:space="0" w:color="auto"/>
          </w:divBdr>
        </w:div>
        <w:div w:id="946422900">
          <w:marLeft w:val="0"/>
          <w:marRight w:val="0"/>
          <w:marTop w:val="0"/>
          <w:marBottom w:val="0"/>
          <w:divBdr>
            <w:top w:val="none" w:sz="0" w:space="0" w:color="auto"/>
            <w:left w:val="none" w:sz="0" w:space="0" w:color="auto"/>
            <w:bottom w:val="none" w:sz="0" w:space="0" w:color="auto"/>
            <w:right w:val="none" w:sz="0" w:space="0" w:color="auto"/>
          </w:divBdr>
        </w:div>
        <w:div w:id="1470325629">
          <w:marLeft w:val="0"/>
          <w:marRight w:val="0"/>
          <w:marTop w:val="0"/>
          <w:marBottom w:val="0"/>
          <w:divBdr>
            <w:top w:val="none" w:sz="0" w:space="0" w:color="auto"/>
            <w:left w:val="none" w:sz="0" w:space="0" w:color="auto"/>
            <w:bottom w:val="none" w:sz="0" w:space="0" w:color="auto"/>
            <w:right w:val="none" w:sz="0" w:space="0" w:color="auto"/>
          </w:divBdr>
          <w:divsChild>
            <w:div w:id="1122773594">
              <w:marLeft w:val="0"/>
              <w:marRight w:val="0"/>
              <w:marTop w:val="0"/>
              <w:marBottom w:val="0"/>
              <w:divBdr>
                <w:top w:val="none" w:sz="0" w:space="0" w:color="auto"/>
                <w:left w:val="none" w:sz="0" w:space="0" w:color="auto"/>
                <w:bottom w:val="none" w:sz="0" w:space="0" w:color="auto"/>
                <w:right w:val="none" w:sz="0" w:space="0" w:color="auto"/>
              </w:divBdr>
            </w:div>
          </w:divsChild>
        </w:div>
        <w:div w:id="1708722076">
          <w:marLeft w:val="0"/>
          <w:marRight w:val="0"/>
          <w:marTop w:val="0"/>
          <w:marBottom w:val="0"/>
          <w:divBdr>
            <w:top w:val="none" w:sz="0" w:space="0" w:color="auto"/>
            <w:left w:val="none" w:sz="0" w:space="0" w:color="auto"/>
            <w:bottom w:val="none" w:sz="0" w:space="0" w:color="auto"/>
            <w:right w:val="none" w:sz="0" w:space="0" w:color="auto"/>
          </w:divBdr>
        </w:div>
        <w:div w:id="1865705470">
          <w:marLeft w:val="0"/>
          <w:marRight w:val="0"/>
          <w:marTop w:val="0"/>
          <w:marBottom w:val="0"/>
          <w:divBdr>
            <w:top w:val="none" w:sz="0" w:space="0" w:color="auto"/>
            <w:left w:val="none" w:sz="0" w:space="0" w:color="auto"/>
            <w:bottom w:val="none" w:sz="0" w:space="0" w:color="auto"/>
            <w:right w:val="none" w:sz="0" w:space="0" w:color="auto"/>
          </w:divBdr>
        </w:div>
        <w:div w:id="1192691498">
          <w:marLeft w:val="0"/>
          <w:marRight w:val="0"/>
          <w:marTop w:val="0"/>
          <w:marBottom w:val="0"/>
          <w:divBdr>
            <w:top w:val="none" w:sz="0" w:space="0" w:color="auto"/>
            <w:left w:val="none" w:sz="0" w:space="0" w:color="auto"/>
            <w:bottom w:val="none" w:sz="0" w:space="0" w:color="auto"/>
            <w:right w:val="none" w:sz="0" w:space="0" w:color="auto"/>
          </w:divBdr>
          <w:divsChild>
            <w:div w:id="431702853">
              <w:marLeft w:val="0"/>
              <w:marRight w:val="0"/>
              <w:marTop w:val="0"/>
              <w:marBottom w:val="0"/>
              <w:divBdr>
                <w:top w:val="none" w:sz="0" w:space="0" w:color="auto"/>
                <w:left w:val="none" w:sz="0" w:space="0" w:color="auto"/>
                <w:bottom w:val="none" w:sz="0" w:space="0" w:color="auto"/>
                <w:right w:val="none" w:sz="0" w:space="0" w:color="auto"/>
              </w:divBdr>
            </w:div>
          </w:divsChild>
        </w:div>
        <w:div w:id="1933589481">
          <w:marLeft w:val="0"/>
          <w:marRight w:val="0"/>
          <w:marTop w:val="0"/>
          <w:marBottom w:val="0"/>
          <w:divBdr>
            <w:top w:val="none" w:sz="0" w:space="0" w:color="auto"/>
            <w:left w:val="none" w:sz="0" w:space="0" w:color="auto"/>
            <w:bottom w:val="none" w:sz="0" w:space="0" w:color="auto"/>
            <w:right w:val="none" w:sz="0" w:space="0" w:color="auto"/>
          </w:divBdr>
        </w:div>
        <w:div w:id="1054246">
          <w:marLeft w:val="0"/>
          <w:marRight w:val="0"/>
          <w:marTop w:val="0"/>
          <w:marBottom w:val="0"/>
          <w:divBdr>
            <w:top w:val="none" w:sz="0" w:space="0" w:color="auto"/>
            <w:left w:val="none" w:sz="0" w:space="0" w:color="auto"/>
            <w:bottom w:val="none" w:sz="0" w:space="0" w:color="auto"/>
            <w:right w:val="none" w:sz="0" w:space="0" w:color="auto"/>
          </w:divBdr>
        </w:div>
      </w:divsChild>
    </w:div>
    <w:div w:id="1265647071">
      <w:bodyDiv w:val="1"/>
      <w:marLeft w:val="0"/>
      <w:marRight w:val="0"/>
      <w:marTop w:val="0"/>
      <w:marBottom w:val="0"/>
      <w:divBdr>
        <w:top w:val="none" w:sz="0" w:space="0" w:color="auto"/>
        <w:left w:val="none" w:sz="0" w:space="0" w:color="auto"/>
        <w:bottom w:val="none" w:sz="0" w:space="0" w:color="auto"/>
        <w:right w:val="none" w:sz="0" w:space="0" w:color="auto"/>
      </w:divBdr>
      <w:divsChild>
        <w:div w:id="749498009">
          <w:marLeft w:val="0"/>
          <w:marRight w:val="0"/>
          <w:marTop w:val="0"/>
          <w:marBottom w:val="0"/>
          <w:divBdr>
            <w:top w:val="none" w:sz="0" w:space="0" w:color="auto"/>
            <w:left w:val="none" w:sz="0" w:space="0" w:color="auto"/>
            <w:bottom w:val="none" w:sz="0" w:space="0" w:color="auto"/>
            <w:right w:val="none" w:sz="0" w:space="0" w:color="auto"/>
          </w:divBdr>
          <w:divsChild>
            <w:div w:id="619531750">
              <w:marLeft w:val="0"/>
              <w:marRight w:val="0"/>
              <w:marTop w:val="0"/>
              <w:marBottom w:val="0"/>
              <w:divBdr>
                <w:top w:val="none" w:sz="0" w:space="0" w:color="auto"/>
                <w:left w:val="none" w:sz="0" w:space="0" w:color="auto"/>
                <w:bottom w:val="none" w:sz="0" w:space="0" w:color="auto"/>
                <w:right w:val="none" w:sz="0" w:space="0" w:color="auto"/>
              </w:divBdr>
            </w:div>
            <w:div w:id="120733411">
              <w:marLeft w:val="0"/>
              <w:marRight w:val="0"/>
              <w:marTop w:val="0"/>
              <w:marBottom w:val="0"/>
              <w:divBdr>
                <w:top w:val="none" w:sz="0" w:space="0" w:color="auto"/>
                <w:left w:val="none" w:sz="0" w:space="0" w:color="auto"/>
                <w:bottom w:val="none" w:sz="0" w:space="0" w:color="auto"/>
                <w:right w:val="none" w:sz="0" w:space="0" w:color="auto"/>
              </w:divBdr>
            </w:div>
          </w:divsChild>
        </w:div>
        <w:div w:id="514660152">
          <w:marLeft w:val="240"/>
          <w:marRight w:val="0"/>
          <w:marTop w:val="0"/>
          <w:marBottom w:val="0"/>
          <w:divBdr>
            <w:top w:val="none" w:sz="0" w:space="0" w:color="auto"/>
            <w:left w:val="none" w:sz="0" w:space="0" w:color="auto"/>
            <w:bottom w:val="none" w:sz="0" w:space="0" w:color="auto"/>
            <w:right w:val="none" w:sz="0" w:space="0" w:color="auto"/>
          </w:divBdr>
          <w:divsChild>
            <w:div w:id="425460623">
              <w:marLeft w:val="0"/>
              <w:marRight w:val="0"/>
              <w:marTop w:val="0"/>
              <w:marBottom w:val="0"/>
              <w:divBdr>
                <w:top w:val="none" w:sz="0" w:space="0" w:color="auto"/>
                <w:left w:val="none" w:sz="0" w:space="0" w:color="auto"/>
                <w:bottom w:val="none" w:sz="0" w:space="0" w:color="auto"/>
                <w:right w:val="none" w:sz="0" w:space="0" w:color="auto"/>
              </w:divBdr>
            </w:div>
            <w:div w:id="231041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8411333">
      <w:bodyDiv w:val="1"/>
      <w:marLeft w:val="0"/>
      <w:marRight w:val="0"/>
      <w:marTop w:val="0"/>
      <w:marBottom w:val="0"/>
      <w:divBdr>
        <w:top w:val="none" w:sz="0" w:space="0" w:color="auto"/>
        <w:left w:val="none" w:sz="0" w:space="0" w:color="auto"/>
        <w:bottom w:val="none" w:sz="0" w:space="0" w:color="auto"/>
        <w:right w:val="none" w:sz="0" w:space="0" w:color="auto"/>
      </w:divBdr>
      <w:divsChild>
        <w:div w:id="2136440483">
          <w:marLeft w:val="0"/>
          <w:marRight w:val="0"/>
          <w:marTop w:val="75"/>
          <w:marBottom w:val="0"/>
          <w:divBdr>
            <w:top w:val="none" w:sz="0" w:space="0" w:color="auto"/>
            <w:left w:val="none" w:sz="0" w:space="0" w:color="auto"/>
            <w:bottom w:val="none" w:sz="0" w:space="0" w:color="auto"/>
            <w:right w:val="none" w:sz="0" w:space="0" w:color="auto"/>
          </w:divBdr>
          <w:divsChild>
            <w:div w:id="586427025">
              <w:marLeft w:val="0"/>
              <w:marRight w:val="0"/>
              <w:marTop w:val="0"/>
              <w:marBottom w:val="0"/>
              <w:divBdr>
                <w:top w:val="none" w:sz="0" w:space="0" w:color="auto"/>
                <w:left w:val="none" w:sz="0" w:space="0" w:color="auto"/>
                <w:bottom w:val="none" w:sz="0" w:space="0" w:color="auto"/>
                <w:right w:val="none" w:sz="0" w:space="0" w:color="auto"/>
              </w:divBdr>
            </w:div>
            <w:div w:id="276253581">
              <w:marLeft w:val="0"/>
              <w:marRight w:val="0"/>
              <w:marTop w:val="0"/>
              <w:marBottom w:val="0"/>
              <w:divBdr>
                <w:top w:val="none" w:sz="0" w:space="0" w:color="auto"/>
                <w:left w:val="none" w:sz="0" w:space="0" w:color="auto"/>
                <w:bottom w:val="none" w:sz="0" w:space="0" w:color="auto"/>
                <w:right w:val="none" w:sz="0" w:space="0" w:color="auto"/>
              </w:divBdr>
            </w:div>
          </w:divsChild>
        </w:div>
        <w:div w:id="1074008915">
          <w:marLeft w:val="0"/>
          <w:marRight w:val="0"/>
          <w:marTop w:val="0"/>
          <w:marBottom w:val="150"/>
          <w:divBdr>
            <w:top w:val="none" w:sz="0" w:space="0" w:color="auto"/>
            <w:left w:val="none" w:sz="0" w:space="0" w:color="auto"/>
            <w:bottom w:val="single" w:sz="6" w:space="0" w:color="CCCCCC"/>
            <w:right w:val="none" w:sz="0" w:space="0" w:color="auto"/>
          </w:divBdr>
          <w:divsChild>
            <w:div w:id="1636762572">
              <w:marLeft w:val="300"/>
              <w:marRight w:val="0"/>
              <w:marTop w:val="0"/>
              <w:marBottom w:val="450"/>
              <w:divBdr>
                <w:top w:val="none" w:sz="0" w:space="0" w:color="auto"/>
                <w:left w:val="none" w:sz="0" w:space="0" w:color="auto"/>
                <w:bottom w:val="none" w:sz="0" w:space="0" w:color="auto"/>
                <w:right w:val="none" w:sz="0" w:space="0" w:color="auto"/>
              </w:divBdr>
            </w:div>
          </w:divsChild>
        </w:div>
        <w:div w:id="1778208058">
          <w:marLeft w:val="0"/>
          <w:marRight w:val="0"/>
          <w:marTop w:val="0"/>
          <w:marBottom w:val="0"/>
          <w:divBdr>
            <w:top w:val="none" w:sz="0" w:space="0" w:color="auto"/>
            <w:left w:val="none" w:sz="0" w:space="0" w:color="auto"/>
            <w:bottom w:val="none" w:sz="0" w:space="0" w:color="auto"/>
            <w:right w:val="none" w:sz="0" w:space="0" w:color="auto"/>
          </w:divBdr>
          <w:divsChild>
            <w:div w:id="1547571249">
              <w:marLeft w:val="0"/>
              <w:marRight w:val="0"/>
              <w:marTop w:val="0"/>
              <w:marBottom w:val="0"/>
              <w:divBdr>
                <w:top w:val="none" w:sz="0" w:space="0" w:color="auto"/>
                <w:left w:val="none" w:sz="0" w:space="0" w:color="auto"/>
                <w:bottom w:val="none" w:sz="0" w:space="0" w:color="auto"/>
                <w:right w:val="none" w:sz="0" w:space="0" w:color="auto"/>
              </w:divBdr>
              <w:divsChild>
                <w:div w:id="1518427742">
                  <w:marLeft w:val="0"/>
                  <w:marRight w:val="0"/>
                  <w:marTop w:val="0"/>
                  <w:marBottom w:val="0"/>
                  <w:divBdr>
                    <w:top w:val="none" w:sz="0" w:space="0" w:color="auto"/>
                    <w:left w:val="none" w:sz="0" w:space="0" w:color="auto"/>
                    <w:bottom w:val="none" w:sz="0" w:space="0" w:color="auto"/>
                    <w:right w:val="none" w:sz="0" w:space="0" w:color="auto"/>
                  </w:divBdr>
                </w:div>
              </w:divsChild>
            </w:div>
            <w:div w:id="1126896946">
              <w:marLeft w:val="0"/>
              <w:marRight w:val="0"/>
              <w:marTop w:val="0"/>
              <w:marBottom w:val="0"/>
              <w:divBdr>
                <w:top w:val="none" w:sz="0" w:space="0" w:color="auto"/>
                <w:left w:val="none" w:sz="0" w:space="0" w:color="auto"/>
                <w:bottom w:val="none" w:sz="0" w:space="0" w:color="auto"/>
                <w:right w:val="none" w:sz="0" w:space="0" w:color="auto"/>
              </w:divBdr>
              <w:divsChild>
                <w:div w:id="1064134965">
                  <w:marLeft w:val="0"/>
                  <w:marRight w:val="0"/>
                  <w:marTop w:val="0"/>
                  <w:marBottom w:val="0"/>
                  <w:divBdr>
                    <w:top w:val="none" w:sz="0" w:space="0" w:color="auto"/>
                    <w:left w:val="none" w:sz="0" w:space="0" w:color="auto"/>
                    <w:bottom w:val="none" w:sz="0" w:space="0" w:color="auto"/>
                    <w:right w:val="none" w:sz="0" w:space="0" w:color="auto"/>
                  </w:divBdr>
                </w:div>
              </w:divsChild>
            </w:div>
            <w:div w:id="2055082652">
              <w:marLeft w:val="0"/>
              <w:marRight w:val="0"/>
              <w:marTop w:val="0"/>
              <w:marBottom w:val="0"/>
              <w:divBdr>
                <w:top w:val="none" w:sz="0" w:space="0" w:color="auto"/>
                <w:left w:val="none" w:sz="0" w:space="0" w:color="auto"/>
                <w:bottom w:val="none" w:sz="0" w:space="0" w:color="auto"/>
                <w:right w:val="none" w:sz="0" w:space="0" w:color="auto"/>
              </w:divBdr>
              <w:divsChild>
                <w:div w:id="515386887">
                  <w:marLeft w:val="0"/>
                  <w:marRight w:val="0"/>
                  <w:marTop w:val="0"/>
                  <w:marBottom w:val="0"/>
                  <w:divBdr>
                    <w:top w:val="none" w:sz="0" w:space="0" w:color="auto"/>
                    <w:left w:val="none" w:sz="0" w:space="0" w:color="auto"/>
                    <w:bottom w:val="none" w:sz="0" w:space="0" w:color="auto"/>
                    <w:right w:val="none" w:sz="0" w:space="0" w:color="auto"/>
                  </w:divBdr>
                </w:div>
              </w:divsChild>
            </w:div>
            <w:div w:id="410666567">
              <w:marLeft w:val="0"/>
              <w:marRight w:val="0"/>
              <w:marTop w:val="0"/>
              <w:marBottom w:val="0"/>
              <w:divBdr>
                <w:top w:val="none" w:sz="0" w:space="0" w:color="auto"/>
                <w:left w:val="none" w:sz="0" w:space="0" w:color="auto"/>
                <w:bottom w:val="none" w:sz="0" w:space="0" w:color="auto"/>
                <w:right w:val="none" w:sz="0" w:space="0" w:color="auto"/>
              </w:divBdr>
              <w:divsChild>
                <w:div w:id="1771856182">
                  <w:marLeft w:val="0"/>
                  <w:marRight w:val="0"/>
                  <w:marTop w:val="0"/>
                  <w:marBottom w:val="0"/>
                  <w:divBdr>
                    <w:top w:val="none" w:sz="0" w:space="0" w:color="auto"/>
                    <w:left w:val="none" w:sz="0" w:space="0" w:color="auto"/>
                    <w:bottom w:val="none" w:sz="0" w:space="0" w:color="auto"/>
                    <w:right w:val="none" w:sz="0" w:space="0" w:color="auto"/>
                  </w:divBdr>
                </w:div>
                <w:div w:id="1011956349">
                  <w:marLeft w:val="0"/>
                  <w:marRight w:val="0"/>
                  <w:marTop w:val="0"/>
                  <w:marBottom w:val="0"/>
                  <w:divBdr>
                    <w:top w:val="none" w:sz="0" w:space="0" w:color="auto"/>
                    <w:left w:val="none" w:sz="0" w:space="0" w:color="auto"/>
                    <w:bottom w:val="none" w:sz="0" w:space="0" w:color="auto"/>
                    <w:right w:val="none" w:sz="0" w:space="0" w:color="auto"/>
                  </w:divBdr>
                  <w:divsChild>
                    <w:div w:id="2001997950">
                      <w:marLeft w:val="300"/>
                      <w:marRight w:val="0"/>
                      <w:marTop w:val="0"/>
                      <w:marBottom w:val="0"/>
                      <w:divBdr>
                        <w:top w:val="none" w:sz="0" w:space="0" w:color="auto"/>
                        <w:left w:val="none" w:sz="0" w:space="0" w:color="auto"/>
                        <w:bottom w:val="none" w:sz="0" w:space="0" w:color="auto"/>
                        <w:right w:val="none" w:sz="0" w:space="0" w:color="auto"/>
                      </w:divBdr>
                    </w:div>
                  </w:divsChild>
                </w:div>
                <w:div w:id="305791395">
                  <w:marLeft w:val="0"/>
                  <w:marRight w:val="0"/>
                  <w:marTop w:val="0"/>
                  <w:marBottom w:val="0"/>
                  <w:divBdr>
                    <w:top w:val="none" w:sz="0" w:space="0" w:color="auto"/>
                    <w:left w:val="none" w:sz="0" w:space="0" w:color="auto"/>
                    <w:bottom w:val="none" w:sz="0" w:space="0" w:color="auto"/>
                    <w:right w:val="none" w:sz="0" w:space="0" w:color="auto"/>
                  </w:divBdr>
                  <w:divsChild>
                    <w:div w:id="1436555216">
                      <w:marLeft w:val="300"/>
                      <w:marRight w:val="0"/>
                      <w:marTop w:val="0"/>
                      <w:marBottom w:val="0"/>
                      <w:divBdr>
                        <w:top w:val="none" w:sz="0" w:space="0" w:color="auto"/>
                        <w:left w:val="none" w:sz="0" w:space="0" w:color="auto"/>
                        <w:bottom w:val="none" w:sz="0" w:space="0" w:color="auto"/>
                        <w:right w:val="none" w:sz="0" w:space="0" w:color="auto"/>
                      </w:divBdr>
                    </w:div>
                  </w:divsChild>
                </w:div>
                <w:div w:id="1657878886">
                  <w:marLeft w:val="0"/>
                  <w:marRight w:val="0"/>
                  <w:marTop w:val="0"/>
                  <w:marBottom w:val="0"/>
                  <w:divBdr>
                    <w:top w:val="none" w:sz="0" w:space="0" w:color="auto"/>
                    <w:left w:val="none" w:sz="0" w:space="0" w:color="auto"/>
                    <w:bottom w:val="none" w:sz="0" w:space="0" w:color="auto"/>
                    <w:right w:val="none" w:sz="0" w:space="0" w:color="auto"/>
                  </w:divBdr>
                  <w:divsChild>
                    <w:div w:id="1602762103">
                      <w:marLeft w:val="300"/>
                      <w:marRight w:val="0"/>
                      <w:marTop w:val="0"/>
                      <w:marBottom w:val="0"/>
                      <w:divBdr>
                        <w:top w:val="none" w:sz="0" w:space="0" w:color="auto"/>
                        <w:left w:val="none" w:sz="0" w:space="0" w:color="auto"/>
                        <w:bottom w:val="none" w:sz="0" w:space="0" w:color="auto"/>
                        <w:right w:val="none" w:sz="0" w:space="0" w:color="auto"/>
                      </w:divBdr>
                    </w:div>
                    <w:div w:id="881481315">
                      <w:marLeft w:val="0"/>
                      <w:marRight w:val="0"/>
                      <w:marTop w:val="0"/>
                      <w:marBottom w:val="0"/>
                      <w:divBdr>
                        <w:top w:val="none" w:sz="0" w:space="0" w:color="auto"/>
                        <w:left w:val="none" w:sz="0" w:space="0" w:color="auto"/>
                        <w:bottom w:val="none" w:sz="0" w:space="0" w:color="auto"/>
                        <w:right w:val="none" w:sz="0" w:space="0" w:color="auto"/>
                      </w:divBdr>
                      <w:divsChild>
                        <w:div w:id="951740701">
                          <w:marLeft w:val="300"/>
                          <w:marRight w:val="0"/>
                          <w:marTop w:val="0"/>
                          <w:marBottom w:val="0"/>
                          <w:divBdr>
                            <w:top w:val="none" w:sz="0" w:space="0" w:color="auto"/>
                            <w:left w:val="none" w:sz="0" w:space="0" w:color="auto"/>
                            <w:bottom w:val="none" w:sz="0" w:space="0" w:color="auto"/>
                            <w:right w:val="none" w:sz="0" w:space="0" w:color="auto"/>
                          </w:divBdr>
                        </w:div>
                      </w:divsChild>
                    </w:div>
                    <w:div w:id="854660078">
                      <w:marLeft w:val="0"/>
                      <w:marRight w:val="0"/>
                      <w:marTop w:val="0"/>
                      <w:marBottom w:val="0"/>
                      <w:divBdr>
                        <w:top w:val="none" w:sz="0" w:space="0" w:color="auto"/>
                        <w:left w:val="none" w:sz="0" w:space="0" w:color="auto"/>
                        <w:bottom w:val="none" w:sz="0" w:space="0" w:color="auto"/>
                        <w:right w:val="none" w:sz="0" w:space="0" w:color="auto"/>
                      </w:divBdr>
                      <w:divsChild>
                        <w:div w:id="892740859">
                          <w:marLeft w:val="300"/>
                          <w:marRight w:val="0"/>
                          <w:marTop w:val="0"/>
                          <w:marBottom w:val="0"/>
                          <w:divBdr>
                            <w:top w:val="none" w:sz="0" w:space="0" w:color="auto"/>
                            <w:left w:val="none" w:sz="0" w:space="0" w:color="auto"/>
                            <w:bottom w:val="none" w:sz="0" w:space="0" w:color="auto"/>
                            <w:right w:val="none" w:sz="0" w:space="0" w:color="auto"/>
                          </w:divBdr>
                        </w:div>
                      </w:divsChild>
                    </w:div>
                    <w:div w:id="1798984835">
                      <w:marLeft w:val="0"/>
                      <w:marRight w:val="0"/>
                      <w:marTop w:val="0"/>
                      <w:marBottom w:val="0"/>
                      <w:divBdr>
                        <w:top w:val="none" w:sz="0" w:space="0" w:color="auto"/>
                        <w:left w:val="none" w:sz="0" w:space="0" w:color="auto"/>
                        <w:bottom w:val="none" w:sz="0" w:space="0" w:color="auto"/>
                        <w:right w:val="none" w:sz="0" w:space="0" w:color="auto"/>
                      </w:divBdr>
                      <w:divsChild>
                        <w:div w:id="320895297">
                          <w:marLeft w:val="300"/>
                          <w:marRight w:val="0"/>
                          <w:marTop w:val="0"/>
                          <w:marBottom w:val="0"/>
                          <w:divBdr>
                            <w:top w:val="none" w:sz="0" w:space="0" w:color="auto"/>
                            <w:left w:val="none" w:sz="0" w:space="0" w:color="auto"/>
                            <w:bottom w:val="none" w:sz="0" w:space="0" w:color="auto"/>
                            <w:right w:val="none" w:sz="0" w:space="0" w:color="auto"/>
                          </w:divBdr>
                        </w:div>
                      </w:divsChild>
                    </w:div>
                    <w:div w:id="873739271">
                      <w:marLeft w:val="0"/>
                      <w:marRight w:val="0"/>
                      <w:marTop w:val="0"/>
                      <w:marBottom w:val="0"/>
                      <w:divBdr>
                        <w:top w:val="none" w:sz="0" w:space="0" w:color="auto"/>
                        <w:left w:val="none" w:sz="0" w:space="0" w:color="auto"/>
                        <w:bottom w:val="none" w:sz="0" w:space="0" w:color="auto"/>
                        <w:right w:val="none" w:sz="0" w:space="0" w:color="auto"/>
                      </w:divBdr>
                      <w:divsChild>
                        <w:div w:id="1112557437">
                          <w:marLeft w:val="300"/>
                          <w:marRight w:val="0"/>
                          <w:marTop w:val="0"/>
                          <w:marBottom w:val="0"/>
                          <w:divBdr>
                            <w:top w:val="none" w:sz="0" w:space="0" w:color="auto"/>
                            <w:left w:val="none" w:sz="0" w:space="0" w:color="auto"/>
                            <w:bottom w:val="none" w:sz="0" w:space="0" w:color="auto"/>
                            <w:right w:val="none" w:sz="0" w:space="0" w:color="auto"/>
                          </w:divBdr>
                        </w:div>
                      </w:divsChild>
                    </w:div>
                    <w:div w:id="1513957565">
                      <w:marLeft w:val="0"/>
                      <w:marRight w:val="0"/>
                      <w:marTop w:val="0"/>
                      <w:marBottom w:val="0"/>
                      <w:divBdr>
                        <w:top w:val="none" w:sz="0" w:space="0" w:color="auto"/>
                        <w:left w:val="none" w:sz="0" w:space="0" w:color="auto"/>
                        <w:bottom w:val="none" w:sz="0" w:space="0" w:color="auto"/>
                        <w:right w:val="none" w:sz="0" w:space="0" w:color="auto"/>
                      </w:divBdr>
                      <w:divsChild>
                        <w:div w:id="99690634">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965656">
              <w:marLeft w:val="0"/>
              <w:marRight w:val="0"/>
              <w:marTop w:val="0"/>
              <w:marBottom w:val="0"/>
              <w:divBdr>
                <w:top w:val="none" w:sz="0" w:space="0" w:color="auto"/>
                <w:left w:val="none" w:sz="0" w:space="0" w:color="auto"/>
                <w:bottom w:val="none" w:sz="0" w:space="0" w:color="auto"/>
                <w:right w:val="none" w:sz="0" w:space="0" w:color="auto"/>
              </w:divBdr>
              <w:divsChild>
                <w:div w:id="956761872">
                  <w:marLeft w:val="0"/>
                  <w:marRight w:val="0"/>
                  <w:marTop w:val="0"/>
                  <w:marBottom w:val="0"/>
                  <w:divBdr>
                    <w:top w:val="none" w:sz="0" w:space="0" w:color="auto"/>
                    <w:left w:val="none" w:sz="0" w:space="0" w:color="auto"/>
                    <w:bottom w:val="none" w:sz="0" w:space="0" w:color="auto"/>
                    <w:right w:val="none" w:sz="0" w:space="0" w:color="auto"/>
                  </w:divBdr>
                </w:div>
              </w:divsChild>
            </w:div>
            <w:div w:id="1020815966">
              <w:marLeft w:val="0"/>
              <w:marRight w:val="0"/>
              <w:marTop w:val="0"/>
              <w:marBottom w:val="0"/>
              <w:divBdr>
                <w:top w:val="none" w:sz="0" w:space="0" w:color="auto"/>
                <w:left w:val="none" w:sz="0" w:space="0" w:color="auto"/>
                <w:bottom w:val="none" w:sz="0" w:space="0" w:color="auto"/>
                <w:right w:val="none" w:sz="0" w:space="0" w:color="auto"/>
              </w:divBdr>
              <w:divsChild>
                <w:div w:id="719792589">
                  <w:marLeft w:val="0"/>
                  <w:marRight w:val="0"/>
                  <w:marTop w:val="0"/>
                  <w:marBottom w:val="0"/>
                  <w:divBdr>
                    <w:top w:val="none" w:sz="0" w:space="0" w:color="auto"/>
                    <w:left w:val="none" w:sz="0" w:space="0" w:color="auto"/>
                    <w:bottom w:val="none" w:sz="0" w:space="0" w:color="auto"/>
                    <w:right w:val="none" w:sz="0" w:space="0" w:color="auto"/>
                  </w:divBdr>
                </w:div>
              </w:divsChild>
            </w:div>
            <w:div w:id="1165776946">
              <w:marLeft w:val="0"/>
              <w:marRight w:val="0"/>
              <w:marTop w:val="0"/>
              <w:marBottom w:val="0"/>
              <w:divBdr>
                <w:top w:val="none" w:sz="0" w:space="0" w:color="auto"/>
                <w:left w:val="none" w:sz="0" w:space="0" w:color="auto"/>
                <w:bottom w:val="none" w:sz="0" w:space="0" w:color="auto"/>
                <w:right w:val="none" w:sz="0" w:space="0" w:color="auto"/>
              </w:divBdr>
              <w:divsChild>
                <w:div w:id="942112278">
                  <w:marLeft w:val="0"/>
                  <w:marRight w:val="0"/>
                  <w:marTop w:val="0"/>
                  <w:marBottom w:val="0"/>
                  <w:divBdr>
                    <w:top w:val="none" w:sz="0" w:space="0" w:color="auto"/>
                    <w:left w:val="none" w:sz="0" w:space="0" w:color="auto"/>
                    <w:bottom w:val="none" w:sz="0" w:space="0" w:color="auto"/>
                    <w:right w:val="none" w:sz="0" w:space="0" w:color="auto"/>
                  </w:divBdr>
                </w:div>
              </w:divsChild>
            </w:div>
            <w:div w:id="1215237062">
              <w:marLeft w:val="0"/>
              <w:marRight w:val="0"/>
              <w:marTop w:val="0"/>
              <w:marBottom w:val="0"/>
              <w:divBdr>
                <w:top w:val="none" w:sz="0" w:space="0" w:color="auto"/>
                <w:left w:val="none" w:sz="0" w:space="0" w:color="auto"/>
                <w:bottom w:val="none" w:sz="0" w:space="0" w:color="auto"/>
                <w:right w:val="none" w:sz="0" w:space="0" w:color="auto"/>
              </w:divBdr>
              <w:divsChild>
                <w:div w:id="704871851">
                  <w:marLeft w:val="0"/>
                  <w:marRight w:val="0"/>
                  <w:marTop w:val="0"/>
                  <w:marBottom w:val="0"/>
                  <w:divBdr>
                    <w:top w:val="none" w:sz="0" w:space="0" w:color="auto"/>
                    <w:left w:val="none" w:sz="0" w:space="0" w:color="auto"/>
                    <w:bottom w:val="none" w:sz="0" w:space="0" w:color="auto"/>
                    <w:right w:val="none" w:sz="0" w:space="0" w:color="auto"/>
                  </w:divBdr>
                </w:div>
                <w:div w:id="652687226">
                  <w:marLeft w:val="0"/>
                  <w:marRight w:val="0"/>
                  <w:marTop w:val="0"/>
                  <w:marBottom w:val="0"/>
                  <w:divBdr>
                    <w:top w:val="none" w:sz="0" w:space="0" w:color="auto"/>
                    <w:left w:val="none" w:sz="0" w:space="0" w:color="auto"/>
                    <w:bottom w:val="none" w:sz="0" w:space="0" w:color="auto"/>
                    <w:right w:val="none" w:sz="0" w:space="0" w:color="auto"/>
                  </w:divBdr>
                </w:div>
                <w:div w:id="1476876463">
                  <w:marLeft w:val="0"/>
                  <w:marRight w:val="0"/>
                  <w:marTop w:val="0"/>
                  <w:marBottom w:val="0"/>
                  <w:divBdr>
                    <w:top w:val="none" w:sz="0" w:space="0" w:color="auto"/>
                    <w:left w:val="none" w:sz="0" w:space="0" w:color="auto"/>
                    <w:bottom w:val="none" w:sz="0" w:space="0" w:color="auto"/>
                    <w:right w:val="none" w:sz="0" w:space="0" w:color="auto"/>
                  </w:divBdr>
                </w:div>
                <w:div w:id="1831016864">
                  <w:marLeft w:val="375"/>
                  <w:marRight w:val="375"/>
                  <w:marTop w:val="0"/>
                  <w:marBottom w:val="0"/>
                  <w:divBdr>
                    <w:top w:val="none" w:sz="0" w:space="0" w:color="auto"/>
                    <w:left w:val="none" w:sz="0" w:space="0" w:color="auto"/>
                    <w:bottom w:val="none" w:sz="0" w:space="0" w:color="auto"/>
                    <w:right w:val="none" w:sz="0" w:space="0" w:color="auto"/>
                  </w:divBdr>
                  <w:divsChild>
                    <w:div w:id="486242889">
                      <w:marLeft w:val="0"/>
                      <w:marRight w:val="0"/>
                      <w:marTop w:val="0"/>
                      <w:marBottom w:val="0"/>
                      <w:divBdr>
                        <w:top w:val="none" w:sz="0" w:space="0" w:color="auto"/>
                        <w:left w:val="none" w:sz="0" w:space="0" w:color="auto"/>
                        <w:bottom w:val="none" w:sz="0" w:space="0" w:color="auto"/>
                        <w:right w:val="none" w:sz="0" w:space="0" w:color="auto"/>
                      </w:divBdr>
                    </w:div>
                    <w:div w:id="1835753391">
                      <w:marLeft w:val="0"/>
                      <w:marRight w:val="0"/>
                      <w:marTop w:val="150"/>
                      <w:marBottom w:val="0"/>
                      <w:divBdr>
                        <w:top w:val="none" w:sz="0" w:space="0" w:color="auto"/>
                        <w:left w:val="none" w:sz="0" w:space="0" w:color="auto"/>
                        <w:bottom w:val="none" w:sz="0" w:space="0" w:color="auto"/>
                        <w:right w:val="none" w:sz="0" w:space="0" w:color="auto"/>
                      </w:divBdr>
                    </w:div>
                  </w:divsChild>
                </w:div>
                <w:div w:id="262497285">
                  <w:marLeft w:val="0"/>
                  <w:marRight w:val="0"/>
                  <w:marTop w:val="0"/>
                  <w:marBottom w:val="0"/>
                  <w:divBdr>
                    <w:top w:val="none" w:sz="0" w:space="0" w:color="auto"/>
                    <w:left w:val="none" w:sz="0" w:space="0" w:color="auto"/>
                    <w:bottom w:val="none" w:sz="0" w:space="0" w:color="auto"/>
                    <w:right w:val="none" w:sz="0" w:space="0" w:color="auto"/>
                  </w:divBdr>
                </w:div>
                <w:div w:id="987126014">
                  <w:marLeft w:val="0"/>
                  <w:marRight w:val="0"/>
                  <w:marTop w:val="0"/>
                  <w:marBottom w:val="0"/>
                  <w:divBdr>
                    <w:top w:val="none" w:sz="0" w:space="0" w:color="auto"/>
                    <w:left w:val="none" w:sz="0" w:space="0" w:color="auto"/>
                    <w:bottom w:val="none" w:sz="0" w:space="0" w:color="auto"/>
                    <w:right w:val="none" w:sz="0" w:space="0" w:color="auto"/>
                  </w:divBdr>
                </w:div>
                <w:div w:id="1856771661">
                  <w:marLeft w:val="375"/>
                  <w:marRight w:val="375"/>
                  <w:marTop w:val="0"/>
                  <w:marBottom w:val="0"/>
                  <w:divBdr>
                    <w:top w:val="none" w:sz="0" w:space="0" w:color="auto"/>
                    <w:left w:val="none" w:sz="0" w:space="0" w:color="auto"/>
                    <w:bottom w:val="none" w:sz="0" w:space="0" w:color="auto"/>
                    <w:right w:val="none" w:sz="0" w:space="0" w:color="auto"/>
                  </w:divBdr>
                  <w:divsChild>
                    <w:div w:id="1380083484">
                      <w:marLeft w:val="0"/>
                      <w:marRight w:val="0"/>
                      <w:marTop w:val="0"/>
                      <w:marBottom w:val="0"/>
                      <w:divBdr>
                        <w:top w:val="none" w:sz="0" w:space="0" w:color="auto"/>
                        <w:left w:val="none" w:sz="0" w:space="0" w:color="auto"/>
                        <w:bottom w:val="none" w:sz="0" w:space="0" w:color="auto"/>
                        <w:right w:val="none" w:sz="0" w:space="0" w:color="auto"/>
                      </w:divBdr>
                    </w:div>
                    <w:div w:id="1414205314">
                      <w:marLeft w:val="0"/>
                      <w:marRight w:val="0"/>
                      <w:marTop w:val="150"/>
                      <w:marBottom w:val="0"/>
                      <w:divBdr>
                        <w:top w:val="none" w:sz="0" w:space="0" w:color="auto"/>
                        <w:left w:val="none" w:sz="0" w:space="0" w:color="auto"/>
                        <w:bottom w:val="none" w:sz="0" w:space="0" w:color="auto"/>
                        <w:right w:val="none" w:sz="0" w:space="0" w:color="auto"/>
                      </w:divBdr>
                    </w:div>
                  </w:divsChild>
                </w:div>
                <w:div w:id="132648304">
                  <w:marLeft w:val="0"/>
                  <w:marRight w:val="0"/>
                  <w:marTop w:val="0"/>
                  <w:marBottom w:val="0"/>
                  <w:divBdr>
                    <w:top w:val="none" w:sz="0" w:space="0" w:color="auto"/>
                    <w:left w:val="none" w:sz="0" w:space="0" w:color="auto"/>
                    <w:bottom w:val="none" w:sz="0" w:space="0" w:color="auto"/>
                    <w:right w:val="none" w:sz="0" w:space="0" w:color="auto"/>
                  </w:divBdr>
                </w:div>
                <w:div w:id="91510881">
                  <w:marLeft w:val="0"/>
                  <w:marRight w:val="0"/>
                  <w:marTop w:val="0"/>
                  <w:marBottom w:val="0"/>
                  <w:divBdr>
                    <w:top w:val="none" w:sz="0" w:space="0" w:color="auto"/>
                    <w:left w:val="none" w:sz="0" w:space="0" w:color="auto"/>
                    <w:bottom w:val="none" w:sz="0" w:space="0" w:color="auto"/>
                    <w:right w:val="none" w:sz="0" w:space="0" w:color="auto"/>
                  </w:divBdr>
                </w:div>
                <w:div w:id="1130783376">
                  <w:marLeft w:val="375"/>
                  <w:marRight w:val="375"/>
                  <w:marTop w:val="0"/>
                  <w:marBottom w:val="0"/>
                  <w:divBdr>
                    <w:top w:val="none" w:sz="0" w:space="0" w:color="auto"/>
                    <w:left w:val="none" w:sz="0" w:space="0" w:color="auto"/>
                    <w:bottom w:val="none" w:sz="0" w:space="0" w:color="auto"/>
                    <w:right w:val="none" w:sz="0" w:space="0" w:color="auto"/>
                  </w:divBdr>
                  <w:divsChild>
                    <w:div w:id="563568006">
                      <w:marLeft w:val="0"/>
                      <w:marRight w:val="0"/>
                      <w:marTop w:val="0"/>
                      <w:marBottom w:val="0"/>
                      <w:divBdr>
                        <w:top w:val="none" w:sz="0" w:space="0" w:color="auto"/>
                        <w:left w:val="none" w:sz="0" w:space="0" w:color="auto"/>
                        <w:bottom w:val="none" w:sz="0" w:space="0" w:color="auto"/>
                        <w:right w:val="none" w:sz="0" w:space="0" w:color="auto"/>
                      </w:divBdr>
                    </w:div>
                    <w:div w:id="2084984883">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68500709">
              <w:marLeft w:val="0"/>
              <w:marRight w:val="0"/>
              <w:marTop w:val="0"/>
              <w:marBottom w:val="0"/>
              <w:divBdr>
                <w:top w:val="none" w:sz="0" w:space="0" w:color="auto"/>
                <w:left w:val="none" w:sz="0" w:space="0" w:color="auto"/>
                <w:bottom w:val="none" w:sz="0" w:space="0" w:color="auto"/>
                <w:right w:val="none" w:sz="0" w:space="0" w:color="auto"/>
              </w:divBdr>
              <w:divsChild>
                <w:div w:id="802230600">
                  <w:marLeft w:val="0"/>
                  <w:marRight w:val="0"/>
                  <w:marTop w:val="0"/>
                  <w:marBottom w:val="0"/>
                  <w:divBdr>
                    <w:top w:val="none" w:sz="0" w:space="0" w:color="auto"/>
                    <w:left w:val="none" w:sz="0" w:space="0" w:color="auto"/>
                    <w:bottom w:val="none" w:sz="0" w:space="0" w:color="auto"/>
                    <w:right w:val="none" w:sz="0" w:space="0" w:color="auto"/>
                  </w:divBdr>
                </w:div>
              </w:divsChild>
            </w:div>
            <w:div w:id="745541560">
              <w:marLeft w:val="0"/>
              <w:marRight w:val="0"/>
              <w:marTop w:val="0"/>
              <w:marBottom w:val="0"/>
              <w:divBdr>
                <w:top w:val="none" w:sz="0" w:space="0" w:color="auto"/>
                <w:left w:val="none" w:sz="0" w:space="0" w:color="auto"/>
                <w:bottom w:val="none" w:sz="0" w:space="0" w:color="auto"/>
                <w:right w:val="none" w:sz="0" w:space="0" w:color="auto"/>
              </w:divBdr>
            </w:div>
            <w:div w:id="173500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8657555">
      <w:bodyDiv w:val="1"/>
      <w:marLeft w:val="0"/>
      <w:marRight w:val="0"/>
      <w:marTop w:val="0"/>
      <w:marBottom w:val="0"/>
      <w:divBdr>
        <w:top w:val="none" w:sz="0" w:space="0" w:color="auto"/>
        <w:left w:val="none" w:sz="0" w:space="0" w:color="auto"/>
        <w:bottom w:val="none" w:sz="0" w:space="0" w:color="auto"/>
        <w:right w:val="none" w:sz="0" w:space="0" w:color="auto"/>
      </w:divBdr>
      <w:divsChild>
        <w:div w:id="1653677963">
          <w:marLeft w:val="0"/>
          <w:marRight w:val="0"/>
          <w:marTop w:val="0"/>
          <w:marBottom w:val="0"/>
          <w:divBdr>
            <w:top w:val="none" w:sz="0" w:space="0" w:color="auto"/>
            <w:left w:val="none" w:sz="0" w:space="0" w:color="auto"/>
            <w:bottom w:val="none" w:sz="0" w:space="0" w:color="auto"/>
            <w:right w:val="none" w:sz="0" w:space="0" w:color="auto"/>
          </w:divBdr>
          <w:divsChild>
            <w:div w:id="701787919">
              <w:marLeft w:val="0"/>
              <w:marRight w:val="0"/>
              <w:marTop w:val="0"/>
              <w:marBottom w:val="0"/>
              <w:divBdr>
                <w:top w:val="none" w:sz="0" w:space="0" w:color="auto"/>
                <w:left w:val="none" w:sz="0" w:space="0" w:color="auto"/>
                <w:bottom w:val="none" w:sz="0" w:space="0" w:color="auto"/>
                <w:right w:val="none" w:sz="0" w:space="0" w:color="auto"/>
              </w:divBdr>
              <w:divsChild>
                <w:div w:id="806774488">
                  <w:marLeft w:val="0"/>
                  <w:marRight w:val="0"/>
                  <w:marTop w:val="0"/>
                  <w:marBottom w:val="0"/>
                  <w:divBdr>
                    <w:top w:val="none" w:sz="0" w:space="0" w:color="auto"/>
                    <w:left w:val="none" w:sz="0" w:space="0" w:color="auto"/>
                    <w:bottom w:val="none" w:sz="0" w:space="0" w:color="auto"/>
                    <w:right w:val="none" w:sz="0" w:space="0" w:color="auto"/>
                  </w:divBdr>
                </w:div>
                <w:div w:id="824130625">
                  <w:marLeft w:val="0"/>
                  <w:marRight w:val="0"/>
                  <w:marTop w:val="0"/>
                  <w:marBottom w:val="0"/>
                  <w:divBdr>
                    <w:top w:val="none" w:sz="0" w:space="0" w:color="auto"/>
                    <w:left w:val="none" w:sz="0" w:space="0" w:color="auto"/>
                    <w:bottom w:val="none" w:sz="0" w:space="0" w:color="auto"/>
                    <w:right w:val="none" w:sz="0" w:space="0" w:color="auto"/>
                  </w:divBdr>
                  <w:divsChild>
                    <w:div w:id="430591016">
                      <w:marLeft w:val="0"/>
                      <w:marRight w:val="0"/>
                      <w:marTop w:val="0"/>
                      <w:marBottom w:val="0"/>
                      <w:divBdr>
                        <w:top w:val="none" w:sz="0" w:space="0" w:color="auto"/>
                        <w:left w:val="none" w:sz="0" w:space="0" w:color="auto"/>
                        <w:bottom w:val="none" w:sz="0" w:space="0" w:color="auto"/>
                        <w:right w:val="none" w:sz="0" w:space="0" w:color="auto"/>
                      </w:divBdr>
                    </w:div>
                    <w:div w:id="1023942960">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228081851">
              <w:marLeft w:val="0"/>
              <w:marRight w:val="0"/>
              <w:marTop w:val="75"/>
              <w:marBottom w:val="0"/>
              <w:divBdr>
                <w:top w:val="none" w:sz="0" w:space="0" w:color="auto"/>
                <w:left w:val="none" w:sz="0" w:space="0" w:color="auto"/>
                <w:bottom w:val="none" w:sz="0" w:space="0" w:color="auto"/>
                <w:right w:val="none" w:sz="0" w:space="0" w:color="auto"/>
              </w:divBdr>
              <w:divsChild>
                <w:div w:id="622462770">
                  <w:marLeft w:val="0"/>
                  <w:marRight w:val="0"/>
                  <w:marTop w:val="0"/>
                  <w:marBottom w:val="0"/>
                  <w:divBdr>
                    <w:top w:val="none" w:sz="0" w:space="0" w:color="auto"/>
                    <w:left w:val="none" w:sz="0" w:space="0" w:color="auto"/>
                    <w:bottom w:val="none" w:sz="0" w:space="0" w:color="auto"/>
                    <w:right w:val="none" w:sz="0" w:space="0" w:color="auto"/>
                  </w:divBdr>
                  <w:divsChild>
                    <w:div w:id="1138376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8118504">
          <w:marLeft w:val="0"/>
          <w:marRight w:val="0"/>
          <w:marTop w:val="0"/>
          <w:marBottom w:val="0"/>
          <w:divBdr>
            <w:top w:val="none" w:sz="0" w:space="0" w:color="auto"/>
            <w:left w:val="none" w:sz="0" w:space="0" w:color="auto"/>
            <w:bottom w:val="none" w:sz="0" w:space="0" w:color="auto"/>
            <w:right w:val="none" w:sz="0" w:space="0" w:color="auto"/>
          </w:divBdr>
          <w:divsChild>
            <w:div w:id="885608957">
              <w:marLeft w:val="0"/>
              <w:marRight w:val="0"/>
              <w:marTop w:val="0"/>
              <w:marBottom w:val="0"/>
              <w:divBdr>
                <w:top w:val="none" w:sz="0" w:space="0" w:color="auto"/>
                <w:left w:val="none" w:sz="0" w:space="0" w:color="auto"/>
                <w:bottom w:val="none" w:sz="0" w:space="0" w:color="auto"/>
                <w:right w:val="none" w:sz="0" w:space="0" w:color="auto"/>
              </w:divBdr>
            </w:div>
            <w:div w:id="2060863369">
              <w:marLeft w:val="0"/>
              <w:marRight w:val="0"/>
              <w:marTop w:val="0"/>
              <w:marBottom w:val="0"/>
              <w:divBdr>
                <w:top w:val="none" w:sz="0" w:space="0" w:color="auto"/>
                <w:left w:val="none" w:sz="0" w:space="0" w:color="auto"/>
                <w:bottom w:val="none" w:sz="0" w:space="0" w:color="auto"/>
                <w:right w:val="none" w:sz="0" w:space="0" w:color="auto"/>
              </w:divBdr>
              <w:divsChild>
                <w:div w:id="1788231361">
                  <w:marLeft w:val="0"/>
                  <w:marRight w:val="0"/>
                  <w:marTop w:val="0"/>
                  <w:marBottom w:val="0"/>
                  <w:divBdr>
                    <w:top w:val="none" w:sz="0" w:space="0" w:color="auto"/>
                    <w:left w:val="none" w:sz="0" w:space="0" w:color="auto"/>
                    <w:bottom w:val="none" w:sz="0" w:space="0" w:color="auto"/>
                    <w:right w:val="none" w:sz="0" w:space="0" w:color="auto"/>
                  </w:divBdr>
                  <w:divsChild>
                    <w:div w:id="1690988041">
                      <w:marLeft w:val="0"/>
                      <w:marRight w:val="0"/>
                      <w:marTop w:val="0"/>
                      <w:marBottom w:val="0"/>
                      <w:divBdr>
                        <w:top w:val="none" w:sz="0" w:space="0" w:color="auto"/>
                        <w:left w:val="none" w:sz="0" w:space="0" w:color="auto"/>
                        <w:bottom w:val="none" w:sz="0" w:space="0" w:color="auto"/>
                        <w:right w:val="none" w:sz="0" w:space="0" w:color="auto"/>
                      </w:divBdr>
                    </w:div>
                    <w:div w:id="1914074850">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sChild>
        </w:div>
        <w:div w:id="549073745">
          <w:marLeft w:val="0"/>
          <w:marRight w:val="0"/>
          <w:marTop w:val="0"/>
          <w:marBottom w:val="0"/>
          <w:divBdr>
            <w:top w:val="none" w:sz="0" w:space="0" w:color="auto"/>
            <w:left w:val="none" w:sz="0" w:space="0" w:color="auto"/>
            <w:bottom w:val="none" w:sz="0" w:space="0" w:color="auto"/>
            <w:right w:val="none" w:sz="0" w:space="0" w:color="auto"/>
          </w:divBdr>
          <w:divsChild>
            <w:div w:id="1627157172">
              <w:marLeft w:val="0"/>
              <w:marRight w:val="0"/>
              <w:marTop w:val="75"/>
              <w:marBottom w:val="0"/>
              <w:divBdr>
                <w:top w:val="none" w:sz="0" w:space="0" w:color="auto"/>
                <w:left w:val="none" w:sz="0" w:space="0" w:color="auto"/>
                <w:bottom w:val="none" w:sz="0" w:space="0" w:color="auto"/>
                <w:right w:val="none" w:sz="0" w:space="0" w:color="auto"/>
              </w:divBdr>
              <w:divsChild>
                <w:div w:id="1987270851">
                  <w:marLeft w:val="0"/>
                  <w:marRight w:val="0"/>
                  <w:marTop w:val="0"/>
                  <w:marBottom w:val="0"/>
                  <w:divBdr>
                    <w:top w:val="none" w:sz="0" w:space="0" w:color="auto"/>
                    <w:left w:val="none" w:sz="0" w:space="0" w:color="auto"/>
                    <w:bottom w:val="none" w:sz="0" w:space="0" w:color="auto"/>
                    <w:right w:val="none" w:sz="0" w:space="0" w:color="auto"/>
                  </w:divBdr>
                  <w:divsChild>
                    <w:div w:id="2007393030">
                      <w:marLeft w:val="0"/>
                      <w:marRight w:val="0"/>
                      <w:marTop w:val="0"/>
                      <w:marBottom w:val="0"/>
                      <w:divBdr>
                        <w:top w:val="none" w:sz="0" w:space="0" w:color="auto"/>
                        <w:left w:val="none" w:sz="0" w:space="0" w:color="auto"/>
                        <w:bottom w:val="none" w:sz="0" w:space="0" w:color="auto"/>
                        <w:right w:val="none" w:sz="0" w:space="0" w:color="auto"/>
                      </w:divBdr>
                      <w:divsChild>
                        <w:div w:id="1702127966">
                          <w:marLeft w:val="0"/>
                          <w:marRight w:val="0"/>
                          <w:marTop w:val="0"/>
                          <w:marBottom w:val="0"/>
                          <w:divBdr>
                            <w:top w:val="none" w:sz="0" w:space="0" w:color="auto"/>
                            <w:left w:val="none" w:sz="0" w:space="0" w:color="auto"/>
                            <w:bottom w:val="none" w:sz="0" w:space="0" w:color="auto"/>
                            <w:right w:val="none" w:sz="0" w:space="0" w:color="auto"/>
                          </w:divBdr>
                        </w:div>
                        <w:div w:id="492450631">
                          <w:marLeft w:val="0"/>
                          <w:marRight w:val="0"/>
                          <w:marTop w:val="0"/>
                          <w:marBottom w:val="0"/>
                          <w:divBdr>
                            <w:top w:val="none" w:sz="0" w:space="0" w:color="auto"/>
                            <w:left w:val="none" w:sz="0" w:space="0" w:color="auto"/>
                            <w:bottom w:val="none" w:sz="0" w:space="0" w:color="auto"/>
                            <w:right w:val="none" w:sz="0" w:space="0" w:color="auto"/>
                          </w:divBdr>
                          <w:divsChild>
                            <w:div w:id="1415783340">
                              <w:marLeft w:val="0"/>
                              <w:marRight w:val="0"/>
                              <w:marTop w:val="0"/>
                              <w:marBottom w:val="0"/>
                              <w:divBdr>
                                <w:top w:val="none" w:sz="0" w:space="0" w:color="auto"/>
                                <w:left w:val="none" w:sz="0" w:space="0" w:color="auto"/>
                                <w:bottom w:val="none" w:sz="0" w:space="0" w:color="auto"/>
                                <w:right w:val="none" w:sz="0" w:space="0" w:color="auto"/>
                              </w:divBdr>
                            </w:div>
                          </w:divsChild>
                        </w:div>
                        <w:div w:id="1253397094">
                          <w:marLeft w:val="0"/>
                          <w:marRight w:val="0"/>
                          <w:marTop w:val="0"/>
                          <w:marBottom w:val="0"/>
                          <w:divBdr>
                            <w:top w:val="none" w:sz="0" w:space="0" w:color="auto"/>
                            <w:left w:val="none" w:sz="0" w:space="0" w:color="auto"/>
                            <w:bottom w:val="none" w:sz="0" w:space="0" w:color="auto"/>
                            <w:right w:val="none" w:sz="0" w:space="0" w:color="auto"/>
                          </w:divBdr>
                        </w:div>
                        <w:div w:id="1885436595">
                          <w:marLeft w:val="0"/>
                          <w:marRight w:val="0"/>
                          <w:marTop w:val="0"/>
                          <w:marBottom w:val="0"/>
                          <w:divBdr>
                            <w:top w:val="none" w:sz="0" w:space="0" w:color="auto"/>
                            <w:left w:val="none" w:sz="0" w:space="0" w:color="auto"/>
                            <w:bottom w:val="none" w:sz="0" w:space="0" w:color="auto"/>
                            <w:right w:val="none" w:sz="0" w:space="0" w:color="auto"/>
                          </w:divBdr>
                          <w:divsChild>
                            <w:div w:id="1151556520">
                              <w:marLeft w:val="0"/>
                              <w:marRight w:val="0"/>
                              <w:marTop w:val="0"/>
                              <w:marBottom w:val="0"/>
                              <w:divBdr>
                                <w:top w:val="none" w:sz="0" w:space="0" w:color="auto"/>
                                <w:left w:val="none" w:sz="0" w:space="0" w:color="auto"/>
                                <w:bottom w:val="none" w:sz="0" w:space="0" w:color="auto"/>
                                <w:right w:val="none" w:sz="0" w:space="0" w:color="auto"/>
                              </w:divBdr>
                            </w:div>
                          </w:divsChild>
                        </w:div>
                        <w:div w:id="1132363487">
                          <w:marLeft w:val="0"/>
                          <w:marRight w:val="0"/>
                          <w:marTop w:val="0"/>
                          <w:marBottom w:val="0"/>
                          <w:divBdr>
                            <w:top w:val="none" w:sz="0" w:space="0" w:color="auto"/>
                            <w:left w:val="none" w:sz="0" w:space="0" w:color="auto"/>
                            <w:bottom w:val="none" w:sz="0" w:space="0" w:color="auto"/>
                            <w:right w:val="none" w:sz="0" w:space="0" w:color="auto"/>
                          </w:divBdr>
                        </w:div>
                        <w:div w:id="1120874299">
                          <w:marLeft w:val="0"/>
                          <w:marRight w:val="0"/>
                          <w:marTop w:val="0"/>
                          <w:marBottom w:val="0"/>
                          <w:divBdr>
                            <w:top w:val="none" w:sz="0" w:space="0" w:color="auto"/>
                            <w:left w:val="none" w:sz="0" w:space="0" w:color="auto"/>
                            <w:bottom w:val="none" w:sz="0" w:space="0" w:color="auto"/>
                            <w:right w:val="none" w:sz="0" w:space="0" w:color="auto"/>
                          </w:divBdr>
                          <w:divsChild>
                            <w:div w:id="1698577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09869273">
      <w:bodyDiv w:val="1"/>
      <w:marLeft w:val="0"/>
      <w:marRight w:val="0"/>
      <w:marTop w:val="0"/>
      <w:marBottom w:val="0"/>
      <w:divBdr>
        <w:top w:val="none" w:sz="0" w:space="0" w:color="auto"/>
        <w:left w:val="none" w:sz="0" w:space="0" w:color="auto"/>
        <w:bottom w:val="none" w:sz="0" w:space="0" w:color="auto"/>
        <w:right w:val="none" w:sz="0" w:space="0" w:color="auto"/>
      </w:divBdr>
    </w:div>
    <w:div w:id="1322584045">
      <w:bodyDiv w:val="1"/>
      <w:marLeft w:val="0"/>
      <w:marRight w:val="0"/>
      <w:marTop w:val="0"/>
      <w:marBottom w:val="0"/>
      <w:divBdr>
        <w:top w:val="none" w:sz="0" w:space="0" w:color="auto"/>
        <w:left w:val="none" w:sz="0" w:space="0" w:color="auto"/>
        <w:bottom w:val="none" w:sz="0" w:space="0" w:color="auto"/>
        <w:right w:val="none" w:sz="0" w:space="0" w:color="auto"/>
      </w:divBdr>
    </w:div>
    <w:div w:id="1328367318">
      <w:bodyDiv w:val="1"/>
      <w:marLeft w:val="0"/>
      <w:marRight w:val="0"/>
      <w:marTop w:val="0"/>
      <w:marBottom w:val="0"/>
      <w:divBdr>
        <w:top w:val="none" w:sz="0" w:space="0" w:color="auto"/>
        <w:left w:val="none" w:sz="0" w:space="0" w:color="auto"/>
        <w:bottom w:val="none" w:sz="0" w:space="0" w:color="auto"/>
        <w:right w:val="none" w:sz="0" w:space="0" w:color="auto"/>
      </w:divBdr>
      <w:divsChild>
        <w:div w:id="756949451">
          <w:marLeft w:val="0"/>
          <w:marRight w:val="0"/>
          <w:marTop w:val="0"/>
          <w:marBottom w:val="0"/>
          <w:divBdr>
            <w:top w:val="none" w:sz="0" w:space="0" w:color="auto"/>
            <w:left w:val="none" w:sz="0" w:space="0" w:color="auto"/>
            <w:bottom w:val="none" w:sz="0" w:space="0" w:color="auto"/>
            <w:right w:val="none" w:sz="0" w:space="0" w:color="auto"/>
          </w:divBdr>
          <w:divsChild>
            <w:div w:id="766119478">
              <w:marLeft w:val="0"/>
              <w:marRight w:val="0"/>
              <w:marTop w:val="0"/>
              <w:marBottom w:val="120"/>
              <w:divBdr>
                <w:top w:val="none" w:sz="0" w:space="0" w:color="auto"/>
                <w:left w:val="none" w:sz="0" w:space="0" w:color="auto"/>
                <w:bottom w:val="none" w:sz="0" w:space="0" w:color="auto"/>
                <w:right w:val="none" w:sz="0" w:space="0" w:color="auto"/>
              </w:divBdr>
              <w:divsChild>
                <w:div w:id="1848863252">
                  <w:marLeft w:val="0"/>
                  <w:marRight w:val="0"/>
                  <w:marTop w:val="0"/>
                  <w:marBottom w:val="0"/>
                  <w:divBdr>
                    <w:top w:val="none" w:sz="0" w:space="0" w:color="auto"/>
                    <w:left w:val="none" w:sz="0" w:space="0" w:color="auto"/>
                    <w:bottom w:val="none" w:sz="0" w:space="0" w:color="auto"/>
                    <w:right w:val="none" w:sz="0" w:space="0" w:color="auto"/>
                  </w:divBdr>
                </w:div>
                <w:div w:id="643049291">
                  <w:marLeft w:val="0"/>
                  <w:marRight w:val="0"/>
                  <w:marTop w:val="0"/>
                  <w:marBottom w:val="0"/>
                  <w:divBdr>
                    <w:top w:val="none" w:sz="0" w:space="0" w:color="auto"/>
                    <w:left w:val="none" w:sz="0" w:space="0" w:color="auto"/>
                    <w:bottom w:val="none" w:sz="0" w:space="0" w:color="auto"/>
                    <w:right w:val="none" w:sz="0" w:space="0" w:color="auto"/>
                  </w:divBdr>
                </w:div>
                <w:div w:id="2105883214">
                  <w:marLeft w:val="0"/>
                  <w:marRight w:val="0"/>
                  <w:marTop w:val="0"/>
                  <w:marBottom w:val="0"/>
                  <w:divBdr>
                    <w:top w:val="none" w:sz="0" w:space="0" w:color="auto"/>
                    <w:left w:val="none" w:sz="0" w:space="0" w:color="auto"/>
                    <w:bottom w:val="none" w:sz="0" w:space="0" w:color="auto"/>
                    <w:right w:val="none" w:sz="0" w:space="0" w:color="auto"/>
                  </w:divBdr>
                </w:div>
                <w:div w:id="1324359730">
                  <w:marLeft w:val="0"/>
                  <w:marRight w:val="0"/>
                  <w:marTop w:val="0"/>
                  <w:marBottom w:val="0"/>
                  <w:divBdr>
                    <w:top w:val="none" w:sz="0" w:space="0" w:color="auto"/>
                    <w:left w:val="none" w:sz="0" w:space="0" w:color="auto"/>
                    <w:bottom w:val="none" w:sz="0" w:space="0" w:color="auto"/>
                    <w:right w:val="none" w:sz="0" w:space="0" w:color="auto"/>
                  </w:divBdr>
                </w:div>
                <w:div w:id="671570655">
                  <w:marLeft w:val="0"/>
                  <w:marRight w:val="0"/>
                  <w:marTop w:val="0"/>
                  <w:marBottom w:val="0"/>
                  <w:divBdr>
                    <w:top w:val="none" w:sz="0" w:space="0" w:color="auto"/>
                    <w:left w:val="none" w:sz="0" w:space="0" w:color="auto"/>
                    <w:bottom w:val="none" w:sz="0" w:space="0" w:color="auto"/>
                    <w:right w:val="none" w:sz="0" w:space="0" w:color="auto"/>
                  </w:divBdr>
                </w:div>
                <w:div w:id="808746447">
                  <w:marLeft w:val="0"/>
                  <w:marRight w:val="0"/>
                  <w:marTop w:val="0"/>
                  <w:marBottom w:val="0"/>
                  <w:divBdr>
                    <w:top w:val="none" w:sz="0" w:space="0" w:color="auto"/>
                    <w:left w:val="none" w:sz="0" w:space="0" w:color="auto"/>
                    <w:bottom w:val="none" w:sz="0" w:space="0" w:color="auto"/>
                    <w:right w:val="none" w:sz="0" w:space="0" w:color="auto"/>
                  </w:divBdr>
                </w:div>
                <w:div w:id="169218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1762458">
          <w:marLeft w:val="0"/>
          <w:marRight w:val="0"/>
          <w:marTop w:val="0"/>
          <w:marBottom w:val="480"/>
          <w:divBdr>
            <w:top w:val="none" w:sz="0" w:space="0" w:color="auto"/>
            <w:left w:val="none" w:sz="0" w:space="0" w:color="auto"/>
            <w:bottom w:val="single" w:sz="12" w:space="24" w:color="EBEBEB"/>
            <w:right w:val="none" w:sz="0" w:space="0" w:color="auto"/>
          </w:divBdr>
          <w:divsChild>
            <w:div w:id="579993929">
              <w:marLeft w:val="0"/>
              <w:marRight w:val="0"/>
              <w:marTop w:val="0"/>
              <w:marBottom w:val="0"/>
              <w:divBdr>
                <w:top w:val="none" w:sz="0" w:space="0" w:color="auto"/>
                <w:left w:val="none" w:sz="0" w:space="0" w:color="auto"/>
                <w:bottom w:val="none" w:sz="0" w:space="0" w:color="auto"/>
                <w:right w:val="none" w:sz="0" w:space="0" w:color="auto"/>
              </w:divBdr>
              <w:divsChild>
                <w:div w:id="1210843692">
                  <w:marLeft w:val="0"/>
                  <w:marRight w:val="0"/>
                  <w:marTop w:val="0"/>
                  <w:marBottom w:val="0"/>
                  <w:divBdr>
                    <w:top w:val="none" w:sz="0" w:space="0" w:color="auto"/>
                    <w:left w:val="none" w:sz="0" w:space="0" w:color="auto"/>
                    <w:bottom w:val="none" w:sz="0" w:space="0" w:color="auto"/>
                    <w:right w:val="none" w:sz="0" w:space="0" w:color="auto"/>
                  </w:divBdr>
                </w:div>
                <w:div w:id="1348479618">
                  <w:marLeft w:val="0"/>
                  <w:marRight w:val="0"/>
                  <w:marTop w:val="0"/>
                  <w:marBottom w:val="0"/>
                  <w:divBdr>
                    <w:top w:val="none" w:sz="0" w:space="0" w:color="auto"/>
                    <w:left w:val="none" w:sz="0" w:space="0" w:color="auto"/>
                    <w:bottom w:val="none" w:sz="0" w:space="0" w:color="auto"/>
                    <w:right w:val="none" w:sz="0" w:space="0" w:color="auto"/>
                  </w:divBdr>
                </w:div>
                <w:div w:id="1290866015">
                  <w:marLeft w:val="0"/>
                  <w:marRight w:val="0"/>
                  <w:marTop w:val="0"/>
                  <w:marBottom w:val="0"/>
                  <w:divBdr>
                    <w:top w:val="none" w:sz="0" w:space="0" w:color="auto"/>
                    <w:left w:val="none" w:sz="0" w:space="0" w:color="auto"/>
                    <w:bottom w:val="none" w:sz="0" w:space="0" w:color="auto"/>
                    <w:right w:val="none" w:sz="0" w:space="0" w:color="auto"/>
                  </w:divBdr>
                </w:div>
                <w:div w:id="292104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901233">
          <w:marLeft w:val="0"/>
          <w:marRight w:val="0"/>
          <w:marTop w:val="0"/>
          <w:marBottom w:val="0"/>
          <w:divBdr>
            <w:top w:val="none" w:sz="0" w:space="0" w:color="auto"/>
            <w:left w:val="none" w:sz="0" w:space="0" w:color="auto"/>
            <w:bottom w:val="none" w:sz="0" w:space="0" w:color="auto"/>
            <w:right w:val="none" w:sz="0" w:space="0" w:color="auto"/>
          </w:divBdr>
          <w:divsChild>
            <w:div w:id="691806967">
              <w:marLeft w:val="0"/>
              <w:marRight w:val="0"/>
              <w:marTop w:val="0"/>
              <w:marBottom w:val="0"/>
              <w:divBdr>
                <w:top w:val="none" w:sz="0" w:space="0" w:color="auto"/>
                <w:left w:val="none" w:sz="0" w:space="0" w:color="auto"/>
                <w:bottom w:val="none" w:sz="0" w:space="0" w:color="auto"/>
                <w:right w:val="none" w:sz="0" w:space="0" w:color="auto"/>
              </w:divBdr>
              <w:divsChild>
                <w:div w:id="770473696">
                  <w:marLeft w:val="0"/>
                  <w:marRight w:val="0"/>
                  <w:marTop w:val="240"/>
                  <w:marBottom w:val="240"/>
                  <w:divBdr>
                    <w:top w:val="none" w:sz="0" w:space="0" w:color="auto"/>
                    <w:left w:val="none" w:sz="0" w:space="0" w:color="auto"/>
                    <w:bottom w:val="none" w:sz="0" w:space="0" w:color="auto"/>
                    <w:right w:val="none" w:sz="0" w:space="0" w:color="auto"/>
                  </w:divBdr>
                  <w:divsChild>
                    <w:div w:id="1116875190">
                      <w:marLeft w:val="0"/>
                      <w:marRight w:val="0"/>
                      <w:marTop w:val="0"/>
                      <w:marBottom w:val="0"/>
                      <w:divBdr>
                        <w:top w:val="none" w:sz="0" w:space="0" w:color="auto"/>
                        <w:left w:val="none" w:sz="0" w:space="0" w:color="auto"/>
                        <w:bottom w:val="none" w:sz="0" w:space="0" w:color="auto"/>
                        <w:right w:val="none" w:sz="0" w:space="0" w:color="auto"/>
                      </w:divBdr>
                    </w:div>
                  </w:divsChild>
                </w:div>
                <w:div w:id="1912040754">
                  <w:marLeft w:val="0"/>
                  <w:marRight w:val="0"/>
                  <w:marTop w:val="0"/>
                  <w:marBottom w:val="0"/>
                  <w:divBdr>
                    <w:top w:val="none" w:sz="0" w:space="0" w:color="auto"/>
                    <w:left w:val="none" w:sz="0" w:space="0" w:color="auto"/>
                    <w:bottom w:val="none" w:sz="0" w:space="0" w:color="auto"/>
                    <w:right w:val="none" w:sz="0" w:space="0" w:color="auto"/>
                  </w:divBdr>
                  <w:divsChild>
                    <w:div w:id="489368542">
                      <w:marLeft w:val="0"/>
                      <w:marRight w:val="0"/>
                      <w:marTop w:val="240"/>
                      <w:marBottom w:val="240"/>
                      <w:divBdr>
                        <w:top w:val="single" w:sz="12" w:space="0" w:color="EBEBEB"/>
                        <w:left w:val="none" w:sz="0" w:space="0" w:color="auto"/>
                        <w:bottom w:val="single" w:sz="12" w:space="0" w:color="EBEBEB"/>
                        <w:right w:val="none" w:sz="0" w:space="0" w:color="auto"/>
                      </w:divBdr>
                      <w:divsChild>
                        <w:div w:id="52772171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22658580">
                  <w:marLeft w:val="0"/>
                  <w:marRight w:val="0"/>
                  <w:marTop w:val="0"/>
                  <w:marBottom w:val="0"/>
                  <w:divBdr>
                    <w:top w:val="none" w:sz="0" w:space="0" w:color="auto"/>
                    <w:left w:val="none" w:sz="0" w:space="0" w:color="auto"/>
                    <w:bottom w:val="none" w:sz="0" w:space="0" w:color="auto"/>
                    <w:right w:val="none" w:sz="0" w:space="0" w:color="auto"/>
                  </w:divBdr>
                  <w:divsChild>
                    <w:div w:id="1202590582">
                      <w:marLeft w:val="0"/>
                      <w:marRight w:val="0"/>
                      <w:marTop w:val="240"/>
                      <w:marBottom w:val="240"/>
                      <w:divBdr>
                        <w:top w:val="single" w:sz="12" w:space="0" w:color="EBEBEB"/>
                        <w:left w:val="none" w:sz="0" w:space="0" w:color="auto"/>
                        <w:bottom w:val="single" w:sz="12" w:space="0" w:color="EBEBEB"/>
                        <w:right w:val="none" w:sz="0" w:space="0" w:color="auto"/>
                      </w:divBdr>
                      <w:divsChild>
                        <w:div w:id="117873437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68474734">
                  <w:marLeft w:val="0"/>
                  <w:marRight w:val="0"/>
                  <w:marTop w:val="240"/>
                  <w:marBottom w:val="240"/>
                  <w:divBdr>
                    <w:top w:val="none" w:sz="0" w:space="0" w:color="auto"/>
                    <w:left w:val="none" w:sz="0" w:space="0" w:color="auto"/>
                    <w:bottom w:val="none" w:sz="0" w:space="0" w:color="auto"/>
                    <w:right w:val="none" w:sz="0" w:space="0" w:color="auto"/>
                  </w:divBdr>
                  <w:divsChild>
                    <w:div w:id="1439527359">
                      <w:marLeft w:val="0"/>
                      <w:marRight w:val="0"/>
                      <w:marTop w:val="0"/>
                      <w:marBottom w:val="0"/>
                      <w:divBdr>
                        <w:top w:val="none" w:sz="0" w:space="0" w:color="auto"/>
                        <w:left w:val="none" w:sz="0" w:space="0" w:color="auto"/>
                        <w:bottom w:val="none" w:sz="0" w:space="0" w:color="auto"/>
                        <w:right w:val="none" w:sz="0" w:space="0" w:color="auto"/>
                      </w:divBdr>
                    </w:div>
                  </w:divsChild>
                </w:div>
                <w:div w:id="1965959678">
                  <w:blockQuote w:val="1"/>
                  <w:marLeft w:val="0"/>
                  <w:marRight w:val="0"/>
                  <w:marTop w:val="0"/>
                  <w:marBottom w:val="0"/>
                  <w:divBdr>
                    <w:top w:val="none" w:sz="0" w:space="0" w:color="auto"/>
                    <w:left w:val="none" w:sz="0" w:space="0" w:color="auto"/>
                    <w:bottom w:val="none" w:sz="0" w:space="0" w:color="auto"/>
                    <w:right w:val="none" w:sz="0" w:space="0" w:color="auto"/>
                  </w:divBdr>
                </w:div>
                <w:div w:id="213582470">
                  <w:blockQuote w:val="1"/>
                  <w:marLeft w:val="0"/>
                  <w:marRight w:val="0"/>
                  <w:marTop w:val="0"/>
                  <w:marBottom w:val="0"/>
                  <w:divBdr>
                    <w:top w:val="none" w:sz="0" w:space="0" w:color="auto"/>
                    <w:left w:val="none" w:sz="0" w:space="0" w:color="auto"/>
                    <w:bottom w:val="none" w:sz="0" w:space="0" w:color="auto"/>
                    <w:right w:val="none" w:sz="0" w:space="0" w:color="auto"/>
                  </w:divBdr>
                </w:div>
                <w:div w:id="1149175113">
                  <w:blockQuote w:val="1"/>
                  <w:marLeft w:val="0"/>
                  <w:marRight w:val="0"/>
                  <w:marTop w:val="0"/>
                  <w:marBottom w:val="0"/>
                  <w:divBdr>
                    <w:top w:val="none" w:sz="0" w:space="0" w:color="auto"/>
                    <w:left w:val="none" w:sz="0" w:space="0" w:color="auto"/>
                    <w:bottom w:val="none" w:sz="0" w:space="0" w:color="auto"/>
                    <w:right w:val="none" w:sz="0" w:space="0" w:color="auto"/>
                  </w:divBdr>
                </w:div>
                <w:div w:id="1055155823">
                  <w:blockQuote w:val="1"/>
                  <w:marLeft w:val="0"/>
                  <w:marRight w:val="0"/>
                  <w:marTop w:val="0"/>
                  <w:marBottom w:val="0"/>
                  <w:divBdr>
                    <w:top w:val="none" w:sz="0" w:space="0" w:color="auto"/>
                    <w:left w:val="none" w:sz="0" w:space="0" w:color="auto"/>
                    <w:bottom w:val="none" w:sz="0" w:space="0" w:color="auto"/>
                    <w:right w:val="none" w:sz="0" w:space="0" w:color="auto"/>
                  </w:divBdr>
                </w:div>
                <w:div w:id="1377849144">
                  <w:marLeft w:val="0"/>
                  <w:marRight w:val="0"/>
                  <w:marTop w:val="240"/>
                  <w:marBottom w:val="240"/>
                  <w:divBdr>
                    <w:top w:val="none" w:sz="0" w:space="0" w:color="auto"/>
                    <w:left w:val="none" w:sz="0" w:space="0" w:color="auto"/>
                    <w:bottom w:val="none" w:sz="0" w:space="0" w:color="auto"/>
                    <w:right w:val="none" w:sz="0" w:space="0" w:color="auto"/>
                  </w:divBdr>
                  <w:divsChild>
                    <w:div w:id="1525485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4285281">
          <w:marLeft w:val="0"/>
          <w:marRight w:val="0"/>
          <w:marTop w:val="0"/>
          <w:marBottom w:val="0"/>
          <w:divBdr>
            <w:top w:val="none" w:sz="0" w:space="0" w:color="auto"/>
            <w:left w:val="none" w:sz="0" w:space="0" w:color="auto"/>
            <w:bottom w:val="none" w:sz="0" w:space="0" w:color="auto"/>
            <w:right w:val="none" w:sz="0" w:space="0" w:color="auto"/>
          </w:divBdr>
          <w:divsChild>
            <w:div w:id="624703421">
              <w:marLeft w:val="0"/>
              <w:marRight w:val="0"/>
              <w:marTop w:val="0"/>
              <w:marBottom w:val="0"/>
              <w:divBdr>
                <w:top w:val="none" w:sz="0" w:space="0" w:color="auto"/>
                <w:left w:val="none" w:sz="0" w:space="0" w:color="auto"/>
                <w:bottom w:val="none" w:sz="0" w:space="0" w:color="auto"/>
                <w:right w:val="none" w:sz="0" w:space="0" w:color="auto"/>
              </w:divBdr>
            </w:div>
          </w:divsChild>
        </w:div>
        <w:div w:id="1484158997">
          <w:marLeft w:val="0"/>
          <w:marRight w:val="0"/>
          <w:marTop w:val="0"/>
          <w:marBottom w:val="0"/>
          <w:divBdr>
            <w:top w:val="none" w:sz="0" w:space="0" w:color="auto"/>
            <w:left w:val="none" w:sz="0" w:space="0" w:color="auto"/>
            <w:bottom w:val="none" w:sz="0" w:space="0" w:color="auto"/>
            <w:right w:val="none" w:sz="0" w:space="0" w:color="auto"/>
          </w:divBdr>
        </w:div>
        <w:div w:id="1915042147">
          <w:marLeft w:val="0"/>
          <w:marRight w:val="0"/>
          <w:marTop w:val="0"/>
          <w:marBottom w:val="0"/>
          <w:divBdr>
            <w:top w:val="none" w:sz="0" w:space="0" w:color="auto"/>
            <w:left w:val="none" w:sz="0" w:space="0" w:color="auto"/>
            <w:bottom w:val="none" w:sz="0" w:space="0" w:color="auto"/>
            <w:right w:val="none" w:sz="0" w:space="0" w:color="auto"/>
          </w:divBdr>
        </w:div>
        <w:div w:id="1162966875">
          <w:marLeft w:val="0"/>
          <w:marRight w:val="0"/>
          <w:marTop w:val="0"/>
          <w:marBottom w:val="0"/>
          <w:divBdr>
            <w:top w:val="none" w:sz="0" w:space="0" w:color="auto"/>
            <w:left w:val="none" w:sz="0" w:space="0" w:color="auto"/>
            <w:bottom w:val="none" w:sz="0" w:space="0" w:color="auto"/>
            <w:right w:val="none" w:sz="0" w:space="0" w:color="auto"/>
          </w:divBdr>
          <w:divsChild>
            <w:div w:id="563486884">
              <w:marLeft w:val="0"/>
              <w:marRight w:val="0"/>
              <w:marTop w:val="0"/>
              <w:marBottom w:val="0"/>
              <w:divBdr>
                <w:top w:val="none" w:sz="0" w:space="0" w:color="auto"/>
                <w:left w:val="none" w:sz="0" w:space="0" w:color="auto"/>
                <w:bottom w:val="none" w:sz="0" w:space="0" w:color="auto"/>
                <w:right w:val="none" w:sz="0" w:space="0" w:color="auto"/>
              </w:divBdr>
            </w:div>
          </w:divsChild>
        </w:div>
        <w:div w:id="425923436">
          <w:marLeft w:val="0"/>
          <w:marRight w:val="0"/>
          <w:marTop w:val="0"/>
          <w:marBottom w:val="0"/>
          <w:divBdr>
            <w:top w:val="none" w:sz="0" w:space="0" w:color="auto"/>
            <w:left w:val="none" w:sz="0" w:space="0" w:color="auto"/>
            <w:bottom w:val="none" w:sz="0" w:space="0" w:color="auto"/>
            <w:right w:val="none" w:sz="0" w:space="0" w:color="auto"/>
          </w:divBdr>
        </w:div>
        <w:div w:id="898058545">
          <w:marLeft w:val="0"/>
          <w:marRight w:val="0"/>
          <w:marTop w:val="0"/>
          <w:marBottom w:val="0"/>
          <w:divBdr>
            <w:top w:val="none" w:sz="0" w:space="0" w:color="auto"/>
            <w:left w:val="none" w:sz="0" w:space="0" w:color="auto"/>
            <w:bottom w:val="none" w:sz="0" w:space="0" w:color="auto"/>
            <w:right w:val="none" w:sz="0" w:space="0" w:color="auto"/>
          </w:divBdr>
        </w:div>
        <w:div w:id="587272270">
          <w:marLeft w:val="0"/>
          <w:marRight w:val="0"/>
          <w:marTop w:val="0"/>
          <w:marBottom w:val="0"/>
          <w:divBdr>
            <w:top w:val="none" w:sz="0" w:space="0" w:color="auto"/>
            <w:left w:val="none" w:sz="0" w:space="0" w:color="auto"/>
            <w:bottom w:val="none" w:sz="0" w:space="0" w:color="auto"/>
            <w:right w:val="none" w:sz="0" w:space="0" w:color="auto"/>
          </w:divBdr>
          <w:divsChild>
            <w:div w:id="2044792824">
              <w:marLeft w:val="0"/>
              <w:marRight w:val="0"/>
              <w:marTop w:val="0"/>
              <w:marBottom w:val="0"/>
              <w:divBdr>
                <w:top w:val="none" w:sz="0" w:space="0" w:color="auto"/>
                <w:left w:val="none" w:sz="0" w:space="0" w:color="auto"/>
                <w:bottom w:val="none" w:sz="0" w:space="0" w:color="auto"/>
                <w:right w:val="none" w:sz="0" w:space="0" w:color="auto"/>
              </w:divBdr>
            </w:div>
          </w:divsChild>
        </w:div>
        <w:div w:id="539703690">
          <w:marLeft w:val="0"/>
          <w:marRight w:val="0"/>
          <w:marTop w:val="0"/>
          <w:marBottom w:val="0"/>
          <w:divBdr>
            <w:top w:val="none" w:sz="0" w:space="0" w:color="auto"/>
            <w:left w:val="none" w:sz="0" w:space="0" w:color="auto"/>
            <w:bottom w:val="none" w:sz="0" w:space="0" w:color="auto"/>
            <w:right w:val="none" w:sz="0" w:space="0" w:color="auto"/>
          </w:divBdr>
        </w:div>
        <w:div w:id="1901791713">
          <w:marLeft w:val="0"/>
          <w:marRight w:val="0"/>
          <w:marTop w:val="0"/>
          <w:marBottom w:val="0"/>
          <w:divBdr>
            <w:top w:val="none" w:sz="0" w:space="0" w:color="auto"/>
            <w:left w:val="none" w:sz="0" w:space="0" w:color="auto"/>
            <w:bottom w:val="none" w:sz="0" w:space="0" w:color="auto"/>
            <w:right w:val="none" w:sz="0" w:space="0" w:color="auto"/>
          </w:divBdr>
        </w:div>
        <w:div w:id="1021056877">
          <w:marLeft w:val="0"/>
          <w:marRight w:val="0"/>
          <w:marTop w:val="0"/>
          <w:marBottom w:val="0"/>
          <w:divBdr>
            <w:top w:val="none" w:sz="0" w:space="0" w:color="auto"/>
            <w:left w:val="none" w:sz="0" w:space="0" w:color="auto"/>
            <w:bottom w:val="none" w:sz="0" w:space="0" w:color="auto"/>
            <w:right w:val="none" w:sz="0" w:space="0" w:color="auto"/>
          </w:divBdr>
          <w:divsChild>
            <w:div w:id="371729108">
              <w:marLeft w:val="0"/>
              <w:marRight w:val="0"/>
              <w:marTop w:val="0"/>
              <w:marBottom w:val="0"/>
              <w:divBdr>
                <w:top w:val="none" w:sz="0" w:space="0" w:color="auto"/>
                <w:left w:val="none" w:sz="0" w:space="0" w:color="auto"/>
                <w:bottom w:val="none" w:sz="0" w:space="0" w:color="auto"/>
                <w:right w:val="none" w:sz="0" w:space="0" w:color="auto"/>
              </w:divBdr>
            </w:div>
          </w:divsChild>
        </w:div>
        <w:div w:id="777719753">
          <w:marLeft w:val="0"/>
          <w:marRight w:val="0"/>
          <w:marTop w:val="0"/>
          <w:marBottom w:val="0"/>
          <w:divBdr>
            <w:top w:val="none" w:sz="0" w:space="0" w:color="auto"/>
            <w:left w:val="none" w:sz="0" w:space="0" w:color="auto"/>
            <w:bottom w:val="none" w:sz="0" w:space="0" w:color="auto"/>
            <w:right w:val="none" w:sz="0" w:space="0" w:color="auto"/>
          </w:divBdr>
        </w:div>
        <w:div w:id="503007856">
          <w:marLeft w:val="0"/>
          <w:marRight w:val="0"/>
          <w:marTop w:val="0"/>
          <w:marBottom w:val="0"/>
          <w:divBdr>
            <w:top w:val="none" w:sz="0" w:space="0" w:color="auto"/>
            <w:left w:val="none" w:sz="0" w:space="0" w:color="auto"/>
            <w:bottom w:val="none" w:sz="0" w:space="0" w:color="auto"/>
            <w:right w:val="none" w:sz="0" w:space="0" w:color="auto"/>
          </w:divBdr>
        </w:div>
        <w:div w:id="541476388">
          <w:marLeft w:val="0"/>
          <w:marRight w:val="0"/>
          <w:marTop w:val="0"/>
          <w:marBottom w:val="0"/>
          <w:divBdr>
            <w:top w:val="none" w:sz="0" w:space="0" w:color="auto"/>
            <w:left w:val="none" w:sz="0" w:space="0" w:color="auto"/>
            <w:bottom w:val="none" w:sz="0" w:space="0" w:color="auto"/>
            <w:right w:val="none" w:sz="0" w:space="0" w:color="auto"/>
          </w:divBdr>
          <w:divsChild>
            <w:div w:id="1471626929">
              <w:marLeft w:val="0"/>
              <w:marRight w:val="0"/>
              <w:marTop w:val="0"/>
              <w:marBottom w:val="0"/>
              <w:divBdr>
                <w:top w:val="none" w:sz="0" w:space="0" w:color="auto"/>
                <w:left w:val="none" w:sz="0" w:space="0" w:color="auto"/>
                <w:bottom w:val="none" w:sz="0" w:space="0" w:color="auto"/>
                <w:right w:val="none" w:sz="0" w:space="0" w:color="auto"/>
              </w:divBdr>
            </w:div>
          </w:divsChild>
        </w:div>
        <w:div w:id="1687901175">
          <w:marLeft w:val="0"/>
          <w:marRight w:val="0"/>
          <w:marTop w:val="0"/>
          <w:marBottom w:val="0"/>
          <w:divBdr>
            <w:top w:val="none" w:sz="0" w:space="0" w:color="auto"/>
            <w:left w:val="none" w:sz="0" w:space="0" w:color="auto"/>
            <w:bottom w:val="none" w:sz="0" w:space="0" w:color="auto"/>
            <w:right w:val="none" w:sz="0" w:space="0" w:color="auto"/>
          </w:divBdr>
        </w:div>
        <w:div w:id="959998214">
          <w:marLeft w:val="0"/>
          <w:marRight w:val="0"/>
          <w:marTop w:val="0"/>
          <w:marBottom w:val="0"/>
          <w:divBdr>
            <w:top w:val="none" w:sz="0" w:space="0" w:color="auto"/>
            <w:left w:val="none" w:sz="0" w:space="0" w:color="auto"/>
            <w:bottom w:val="none" w:sz="0" w:space="0" w:color="auto"/>
            <w:right w:val="none" w:sz="0" w:space="0" w:color="auto"/>
          </w:divBdr>
        </w:div>
        <w:div w:id="1761632904">
          <w:marLeft w:val="0"/>
          <w:marRight w:val="0"/>
          <w:marTop w:val="0"/>
          <w:marBottom w:val="0"/>
          <w:divBdr>
            <w:top w:val="none" w:sz="0" w:space="0" w:color="auto"/>
            <w:left w:val="none" w:sz="0" w:space="0" w:color="auto"/>
            <w:bottom w:val="none" w:sz="0" w:space="0" w:color="auto"/>
            <w:right w:val="none" w:sz="0" w:space="0" w:color="auto"/>
          </w:divBdr>
          <w:divsChild>
            <w:div w:id="1153569436">
              <w:marLeft w:val="0"/>
              <w:marRight w:val="0"/>
              <w:marTop w:val="0"/>
              <w:marBottom w:val="0"/>
              <w:divBdr>
                <w:top w:val="none" w:sz="0" w:space="0" w:color="auto"/>
                <w:left w:val="none" w:sz="0" w:space="0" w:color="auto"/>
                <w:bottom w:val="none" w:sz="0" w:space="0" w:color="auto"/>
                <w:right w:val="none" w:sz="0" w:space="0" w:color="auto"/>
              </w:divBdr>
            </w:div>
          </w:divsChild>
        </w:div>
        <w:div w:id="733939275">
          <w:marLeft w:val="0"/>
          <w:marRight w:val="0"/>
          <w:marTop w:val="0"/>
          <w:marBottom w:val="0"/>
          <w:divBdr>
            <w:top w:val="none" w:sz="0" w:space="0" w:color="auto"/>
            <w:left w:val="none" w:sz="0" w:space="0" w:color="auto"/>
            <w:bottom w:val="none" w:sz="0" w:space="0" w:color="auto"/>
            <w:right w:val="none" w:sz="0" w:space="0" w:color="auto"/>
          </w:divBdr>
        </w:div>
        <w:div w:id="54358987">
          <w:marLeft w:val="0"/>
          <w:marRight w:val="0"/>
          <w:marTop w:val="0"/>
          <w:marBottom w:val="0"/>
          <w:divBdr>
            <w:top w:val="none" w:sz="0" w:space="0" w:color="auto"/>
            <w:left w:val="none" w:sz="0" w:space="0" w:color="auto"/>
            <w:bottom w:val="none" w:sz="0" w:space="0" w:color="auto"/>
            <w:right w:val="none" w:sz="0" w:space="0" w:color="auto"/>
          </w:divBdr>
        </w:div>
        <w:div w:id="2011180208">
          <w:marLeft w:val="0"/>
          <w:marRight w:val="0"/>
          <w:marTop w:val="0"/>
          <w:marBottom w:val="0"/>
          <w:divBdr>
            <w:top w:val="none" w:sz="0" w:space="0" w:color="auto"/>
            <w:left w:val="none" w:sz="0" w:space="0" w:color="auto"/>
            <w:bottom w:val="none" w:sz="0" w:space="0" w:color="auto"/>
            <w:right w:val="none" w:sz="0" w:space="0" w:color="auto"/>
          </w:divBdr>
          <w:divsChild>
            <w:div w:id="1618099704">
              <w:marLeft w:val="0"/>
              <w:marRight w:val="0"/>
              <w:marTop w:val="0"/>
              <w:marBottom w:val="0"/>
              <w:divBdr>
                <w:top w:val="none" w:sz="0" w:space="0" w:color="auto"/>
                <w:left w:val="none" w:sz="0" w:space="0" w:color="auto"/>
                <w:bottom w:val="none" w:sz="0" w:space="0" w:color="auto"/>
                <w:right w:val="none" w:sz="0" w:space="0" w:color="auto"/>
              </w:divBdr>
            </w:div>
          </w:divsChild>
        </w:div>
        <w:div w:id="1621303716">
          <w:marLeft w:val="0"/>
          <w:marRight w:val="0"/>
          <w:marTop w:val="0"/>
          <w:marBottom w:val="0"/>
          <w:divBdr>
            <w:top w:val="none" w:sz="0" w:space="0" w:color="auto"/>
            <w:left w:val="none" w:sz="0" w:space="0" w:color="auto"/>
            <w:bottom w:val="none" w:sz="0" w:space="0" w:color="auto"/>
            <w:right w:val="none" w:sz="0" w:space="0" w:color="auto"/>
          </w:divBdr>
        </w:div>
        <w:div w:id="845704842">
          <w:marLeft w:val="0"/>
          <w:marRight w:val="0"/>
          <w:marTop w:val="0"/>
          <w:marBottom w:val="0"/>
          <w:divBdr>
            <w:top w:val="none" w:sz="0" w:space="0" w:color="auto"/>
            <w:left w:val="none" w:sz="0" w:space="0" w:color="auto"/>
            <w:bottom w:val="none" w:sz="0" w:space="0" w:color="auto"/>
            <w:right w:val="none" w:sz="0" w:space="0" w:color="auto"/>
          </w:divBdr>
        </w:div>
        <w:div w:id="62535014">
          <w:marLeft w:val="0"/>
          <w:marRight w:val="0"/>
          <w:marTop w:val="0"/>
          <w:marBottom w:val="0"/>
          <w:divBdr>
            <w:top w:val="none" w:sz="0" w:space="0" w:color="auto"/>
            <w:left w:val="none" w:sz="0" w:space="0" w:color="auto"/>
            <w:bottom w:val="none" w:sz="0" w:space="0" w:color="auto"/>
            <w:right w:val="none" w:sz="0" w:space="0" w:color="auto"/>
          </w:divBdr>
          <w:divsChild>
            <w:div w:id="979186241">
              <w:marLeft w:val="0"/>
              <w:marRight w:val="0"/>
              <w:marTop w:val="0"/>
              <w:marBottom w:val="0"/>
              <w:divBdr>
                <w:top w:val="none" w:sz="0" w:space="0" w:color="auto"/>
                <w:left w:val="none" w:sz="0" w:space="0" w:color="auto"/>
                <w:bottom w:val="none" w:sz="0" w:space="0" w:color="auto"/>
                <w:right w:val="none" w:sz="0" w:space="0" w:color="auto"/>
              </w:divBdr>
            </w:div>
          </w:divsChild>
        </w:div>
        <w:div w:id="723869784">
          <w:marLeft w:val="0"/>
          <w:marRight w:val="0"/>
          <w:marTop w:val="0"/>
          <w:marBottom w:val="0"/>
          <w:divBdr>
            <w:top w:val="none" w:sz="0" w:space="0" w:color="auto"/>
            <w:left w:val="none" w:sz="0" w:space="0" w:color="auto"/>
            <w:bottom w:val="none" w:sz="0" w:space="0" w:color="auto"/>
            <w:right w:val="none" w:sz="0" w:space="0" w:color="auto"/>
          </w:divBdr>
        </w:div>
        <w:div w:id="973368014">
          <w:marLeft w:val="0"/>
          <w:marRight w:val="0"/>
          <w:marTop w:val="0"/>
          <w:marBottom w:val="0"/>
          <w:divBdr>
            <w:top w:val="none" w:sz="0" w:space="0" w:color="auto"/>
            <w:left w:val="none" w:sz="0" w:space="0" w:color="auto"/>
            <w:bottom w:val="none" w:sz="0" w:space="0" w:color="auto"/>
            <w:right w:val="none" w:sz="0" w:space="0" w:color="auto"/>
          </w:divBdr>
        </w:div>
        <w:div w:id="2083983885">
          <w:marLeft w:val="0"/>
          <w:marRight w:val="0"/>
          <w:marTop w:val="0"/>
          <w:marBottom w:val="0"/>
          <w:divBdr>
            <w:top w:val="none" w:sz="0" w:space="0" w:color="auto"/>
            <w:left w:val="none" w:sz="0" w:space="0" w:color="auto"/>
            <w:bottom w:val="none" w:sz="0" w:space="0" w:color="auto"/>
            <w:right w:val="none" w:sz="0" w:space="0" w:color="auto"/>
          </w:divBdr>
        </w:div>
        <w:div w:id="63453872">
          <w:marLeft w:val="0"/>
          <w:marRight w:val="0"/>
          <w:marTop w:val="0"/>
          <w:marBottom w:val="0"/>
          <w:divBdr>
            <w:top w:val="none" w:sz="0" w:space="0" w:color="auto"/>
            <w:left w:val="none" w:sz="0" w:space="0" w:color="auto"/>
            <w:bottom w:val="none" w:sz="0" w:space="0" w:color="auto"/>
            <w:right w:val="none" w:sz="0" w:space="0" w:color="auto"/>
          </w:divBdr>
        </w:div>
        <w:div w:id="1299846322">
          <w:marLeft w:val="0"/>
          <w:marRight w:val="0"/>
          <w:marTop w:val="0"/>
          <w:marBottom w:val="0"/>
          <w:divBdr>
            <w:top w:val="none" w:sz="0" w:space="0" w:color="auto"/>
            <w:left w:val="none" w:sz="0" w:space="0" w:color="auto"/>
            <w:bottom w:val="none" w:sz="0" w:space="0" w:color="auto"/>
            <w:right w:val="none" w:sz="0" w:space="0" w:color="auto"/>
          </w:divBdr>
          <w:divsChild>
            <w:div w:id="242300954">
              <w:marLeft w:val="0"/>
              <w:marRight w:val="0"/>
              <w:marTop w:val="0"/>
              <w:marBottom w:val="0"/>
              <w:divBdr>
                <w:top w:val="none" w:sz="0" w:space="0" w:color="auto"/>
                <w:left w:val="none" w:sz="0" w:space="0" w:color="auto"/>
                <w:bottom w:val="none" w:sz="0" w:space="0" w:color="auto"/>
                <w:right w:val="none" w:sz="0" w:space="0" w:color="auto"/>
              </w:divBdr>
            </w:div>
          </w:divsChild>
        </w:div>
        <w:div w:id="268321171">
          <w:marLeft w:val="0"/>
          <w:marRight w:val="0"/>
          <w:marTop w:val="0"/>
          <w:marBottom w:val="0"/>
          <w:divBdr>
            <w:top w:val="none" w:sz="0" w:space="0" w:color="auto"/>
            <w:left w:val="none" w:sz="0" w:space="0" w:color="auto"/>
            <w:bottom w:val="none" w:sz="0" w:space="0" w:color="auto"/>
            <w:right w:val="none" w:sz="0" w:space="0" w:color="auto"/>
          </w:divBdr>
        </w:div>
        <w:div w:id="943612228">
          <w:marLeft w:val="0"/>
          <w:marRight w:val="0"/>
          <w:marTop w:val="0"/>
          <w:marBottom w:val="0"/>
          <w:divBdr>
            <w:top w:val="none" w:sz="0" w:space="0" w:color="auto"/>
            <w:left w:val="none" w:sz="0" w:space="0" w:color="auto"/>
            <w:bottom w:val="none" w:sz="0" w:space="0" w:color="auto"/>
            <w:right w:val="none" w:sz="0" w:space="0" w:color="auto"/>
          </w:divBdr>
        </w:div>
        <w:div w:id="593711870">
          <w:marLeft w:val="0"/>
          <w:marRight w:val="0"/>
          <w:marTop w:val="0"/>
          <w:marBottom w:val="0"/>
          <w:divBdr>
            <w:top w:val="none" w:sz="0" w:space="0" w:color="auto"/>
            <w:left w:val="none" w:sz="0" w:space="0" w:color="auto"/>
            <w:bottom w:val="none" w:sz="0" w:space="0" w:color="auto"/>
            <w:right w:val="none" w:sz="0" w:space="0" w:color="auto"/>
          </w:divBdr>
        </w:div>
        <w:div w:id="2028293670">
          <w:marLeft w:val="0"/>
          <w:marRight w:val="0"/>
          <w:marTop w:val="0"/>
          <w:marBottom w:val="0"/>
          <w:divBdr>
            <w:top w:val="none" w:sz="0" w:space="0" w:color="auto"/>
            <w:left w:val="none" w:sz="0" w:space="0" w:color="auto"/>
            <w:bottom w:val="none" w:sz="0" w:space="0" w:color="auto"/>
            <w:right w:val="none" w:sz="0" w:space="0" w:color="auto"/>
          </w:divBdr>
        </w:div>
        <w:div w:id="409740264">
          <w:marLeft w:val="0"/>
          <w:marRight w:val="0"/>
          <w:marTop w:val="0"/>
          <w:marBottom w:val="0"/>
          <w:divBdr>
            <w:top w:val="none" w:sz="0" w:space="0" w:color="auto"/>
            <w:left w:val="none" w:sz="0" w:space="0" w:color="auto"/>
            <w:bottom w:val="none" w:sz="0" w:space="0" w:color="auto"/>
            <w:right w:val="none" w:sz="0" w:space="0" w:color="auto"/>
          </w:divBdr>
        </w:div>
        <w:div w:id="1499688749">
          <w:marLeft w:val="0"/>
          <w:marRight w:val="0"/>
          <w:marTop w:val="0"/>
          <w:marBottom w:val="0"/>
          <w:divBdr>
            <w:top w:val="none" w:sz="0" w:space="0" w:color="auto"/>
            <w:left w:val="none" w:sz="0" w:space="0" w:color="auto"/>
            <w:bottom w:val="none" w:sz="0" w:space="0" w:color="auto"/>
            <w:right w:val="none" w:sz="0" w:space="0" w:color="auto"/>
          </w:divBdr>
          <w:divsChild>
            <w:div w:id="203295557">
              <w:marLeft w:val="0"/>
              <w:marRight w:val="0"/>
              <w:marTop w:val="0"/>
              <w:marBottom w:val="0"/>
              <w:divBdr>
                <w:top w:val="none" w:sz="0" w:space="0" w:color="auto"/>
                <w:left w:val="none" w:sz="0" w:space="0" w:color="auto"/>
                <w:bottom w:val="none" w:sz="0" w:space="0" w:color="auto"/>
                <w:right w:val="none" w:sz="0" w:space="0" w:color="auto"/>
              </w:divBdr>
            </w:div>
          </w:divsChild>
        </w:div>
        <w:div w:id="862328242">
          <w:marLeft w:val="0"/>
          <w:marRight w:val="0"/>
          <w:marTop w:val="0"/>
          <w:marBottom w:val="0"/>
          <w:divBdr>
            <w:top w:val="none" w:sz="0" w:space="0" w:color="auto"/>
            <w:left w:val="none" w:sz="0" w:space="0" w:color="auto"/>
            <w:bottom w:val="none" w:sz="0" w:space="0" w:color="auto"/>
            <w:right w:val="none" w:sz="0" w:space="0" w:color="auto"/>
          </w:divBdr>
        </w:div>
        <w:div w:id="1411465587">
          <w:marLeft w:val="0"/>
          <w:marRight w:val="0"/>
          <w:marTop w:val="0"/>
          <w:marBottom w:val="0"/>
          <w:divBdr>
            <w:top w:val="none" w:sz="0" w:space="0" w:color="auto"/>
            <w:left w:val="none" w:sz="0" w:space="0" w:color="auto"/>
            <w:bottom w:val="none" w:sz="0" w:space="0" w:color="auto"/>
            <w:right w:val="none" w:sz="0" w:space="0" w:color="auto"/>
          </w:divBdr>
        </w:div>
        <w:div w:id="1916162436">
          <w:marLeft w:val="0"/>
          <w:marRight w:val="0"/>
          <w:marTop w:val="0"/>
          <w:marBottom w:val="0"/>
          <w:divBdr>
            <w:top w:val="none" w:sz="0" w:space="0" w:color="auto"/>
            <w:left w:val="none" w:sz="0" w:space="0" w:color="auto"/>
            <w:bottom w:val="none" w:sz="0" w:space="0" w:color="auto"/>
            <w:right w:val="none" w:sz="0" w:space="0" w:color="auto"/>
          </w:divBdr>
          <w:divsChild>
            <w:div w:id="2139569960">
              <w:marLeft w:val="0"/>
              <w:marRight w:val="0"/>
              <w:marTop w:val="0"/>
              <w:marBottom w:val="0"/>
              <w:divBdr>
                <w:top w:val="none" w:sz="0" w:space="0" w:color="auto"/>
                <w:left w:val="none" w:sz="0" w:space="0" w:color="auto"/>
                <w:bottom w:val="none" w:sz="0" w:space="0" w:color="auto"/>
                <w:right w:val="none" w:sz="0" w:space="0" w:color="auto"/>
              </w:divBdr>
            </w:div>
          </w:divsChild>
        </w:div>
        <w:div w:id="1343975453">
          <w:marLeft w:val="0"/>
          <w:marRight w:val="0"/>
          <w:marTop w:val="0"/>
          <w:marBottom w:val="0"/>
          <w:divBdr>
            <w:top w:val="none" w:sz="0" w:space="0" w:color="auto"/>
            <w:left w:val="none" w:sz="0" w:space="0" w:color="auto"/>
            <w:bottom w:val="none" w:sz="0" w:space="0" w:color="auto"/>
            <w:right w:val="none" w:sz="0" w:space="0" w:color="auto"/>
          </w:divBdr>
        </w:div>
        <w:div w:id="700670218">
          <w:marLeft w:val="0"/>
          <w:marRight w:val="0"/>
          <w:marTop w:val="0"/>
          <w:marBottom w:val="0"/>
          <w:divBdr>
            <w:top w:val="none" w:sz="0" w:space="0" w:color="auto"/>
            <w:left w:val="none" w:sz="0" w:space="0" w:color="auto"/>
            <w:bottom w:val="none" w:sz="0" w:space="0" w:color="auto"/>
            <w:right w:val="none" w:sz="0" w:space="0" w:color="auto"/>
          </w:divBdr>
        </w:div>
        <w:div w:id="267197733">
          <w:marLeft w:val="0"/>
          <w:marRight w:val="0"/>
          <w:marTop w:val="0"/>
          <w:marBottom w:val="0"/>
          <w:divBdr>
            <w:top w:val="none" w:sz="0" w:space="0" w:color="auto"/>
            <w:left w:val="none" w:sz="0" w:space="0" w:color="auto"/>
            <w:bottom w:val="none" w:sz="0" w:space="0" w:color="auto"/>
            <w:right w:val="none" w:sz="0" w:space="0" w:color="auto"/>
          </w:divBdr>
          <w:divsChild>
            <w:div w:id="1315455074">
              <w:marLeft w:val="0"/>
              <w:marRight w:val="0"/>
              <w:marTop w:val="0"/>
              <w:marBottom w:val="0"/>
              <w:divBdr>
                <w:top w:val="none" w:sz="0" w:space="0" w:color="auto"/>
                <w:left w:val="none" w:sz="0" w:space="0" w:color="auto"/>
                <w:bottom w:val="none" w:sz="0" w:space="0" w:color="auto"/>
                <w:right w:val="none" w:sz="0" w:space="0" w:color="auto"/>
              </w:divBdr>
            </w:div>
          </w:divsChild>
        </w:div>
        <w:div w:id="571231378">
          <w:marLeft w:val="0"/>
          <w:marRight w:val="0"/>
          <w:marTop w:val="0"/>
          <w:marBottom w:val="0"/>
          <w:divBdr>
            <w:top w:val="none" w:sz="0" w:space="0" w:color="auto"/>
            <w:left w:val="none" w:sz="0" w:space="0" w:color="auto"/>
            <w:bottom w:val="none" w:sz="0" w:space="0" w:color="auto"/>
            <w:right w:val="none" w:sz="0" w:space="0" w:color="auto"/>
          </w:divBdr>
        </w:div>
        <w:div w:id="636908979">
          <w:marLeft w:val="0"/>
          <w:marRight w:val="0"/>
          <w:marTop w:val="0"/>
          <w:marBottom w:val="0"/>
          <w:divBdr>
            <w:top w:val="none" w:sz="0" w:space="0" w:color="auto"/>
            <w:left w:val="none" w:sz="0" w:space="0" w:color="auto"/>
            <w:bottom w:val="none" w:sz="0" w:space="0" w:color="auto"/>
            <w:right w:val="none" w:sz="0" w:space="0" w:color="auto"/>
          </w:divBdr>
        </w:div>
        <w:div w:id="1875997292">
          <w:marLeft w:val="0"/>
          <w:marRight w:val="0"/>
          <w:marTop w:val="0"/>
          <w:marBottom w:val="0"/>
          <w:divBdr>
            <w:top w:val="none" w:sz="0" w:space="0" w:color="auto"/>
            <w:left w:val="none" w:sz="0" w:space="0" w:color="auto"/>
            <w:bottom w:val="none" w:sz="0" w:space="0" w:color="auto"/>
            <w:right w:val="none" w:sz="0" w:space="0" w:color="auto"/>
          </w:divBdr>
          <w:divsChild>
            <w:div w:id="1976787511">
              <w:marLeft w:val="0"/>
              <w:marRight w:val="0"/>
              <w:marTop w:val="0"/>
              <w:marBottom w:val="0"/>
              <w:divBdr>
                <w:top w:val="none" w:sz="0" w:space="0" w:color="auto"/>
                <w:left w:val="none" w:sz="0" w:space="0" w:color="auto"/>
                <w:bottom w:val="none" w:sz="0" w:space="0" w:color="auto"/>
                <w:right w:val="none" w:sz="0" w:space="0" w:color="auto"/>
              </w:divBdr>
            </w:div>
          </w:divsChild>
        </w:div>
        <w:div w:id="1094320681">
          <w:marLeft w:val="0"/>
          <w:marRight w:val="0"/>
          <w:marTop w:val="0"/>
          <w:marBottom w:val="0"/>
          <w:divBdr>
            <w:top w:val="none" w:sz="0" w:space="0" w:color="auto"/>
            <w:left w:val="none" w:sz="0" w:space="0" w:color="auto"/>
            <w:bottom w:val="none" w:sz="0" w:space="0" w:color="auto"/>
            <w:right w:val="none" w:sz="0" w:space="0" w:color="auto"/>
          </w:divBdr>
        </w:div>
        <w:div w:id="1572344774">
          <w:marLeft w:val="0"/>
          <w:marRight w:val="0"/>
          <w:marTop w:val="0"/>
          <w:marBottom w:val="0"/>
          <w:divBdr>
            <w:top w:val="none" w:sz="0" w:space="0" w:color="auto"/>
            <w:left w:val="none" w:sz="0" w:space="0" w:color="auto"/>
            <w:bottom w:val="none" w:sz="0" w:space="0" w:color="auto"/>
            <w:right w:val="none" w:sz="0" w:space="0" w:color="auto"/>
          </w:divBdr>
        </w:div>
        <w:div w:id="1243835891">
          <w:marLeft w:val="0"/>
          <w:marRight w:val="0"/>
          <w:marTop w:val="0"/>
          <w:marBottom w:val="0"/>
          <w:divBdr>
            <w:top w:val="none" w:sz="0" w:space="0" w:color="auto"/>
            <w:left w:val="none" w:sz="0" w:space="0" w:color="auto"/>
            <w:bottom w:val="none" w:sz="0" w:space="0" w:color="auto"/>
            <w:right w:val="none" w:sz="0" w:space="0" w:color="auto"/>
          </w:divBdr>
          <w:divsChild>
            <w:div w:id="437258382">
              <w:marLeft w:val="0"/>
              <w:marRight w:val="0"/>
              <w:marTop w:val="0"/>
              <w:marBottom w:val="0"/>
              <w:divBdr>
                <w:top w:val="none" w:sz="0" w:space="0" w:color="auto"/>
                <w:left w:val="none" w:sz="0" w:space="0" w:color="auto"/>
                <w:bottom w:val="none" w:sz="0" w:space="0" w:color="auto"/>
                <w:right w:val="none" w:sz="0" w:space="0" w:color="auto"/>
              </w:divBdr>
            </w:div>
          </w:divsChild>
        </w:div>
        <w:div w:id="851453422">
          <w:marLeft w:val="0"/>
          <w:marRight w:val="0"/>
          <w:marTop w:val="0"/>
          <w:marBottom w:val="0"/>
          <w:divBdr>
            <w:top w:val="none" w:sz="0" w:space="0" w:color="auto"/>
            <w:left w:val="none" w:sz="0" w:space="0" w:color="auto"/>
            <w:bottom w:val="none" w:sz="0" w:space="0" w:color="auto"/>
            <w:right w:val="none" w:sz="0" w:space="0" w:color="auto"/>
          </w:divBdr>
        </w:div>
        <w:div w:id="843133763">
          <w:marLeft w:val="0"/>
          <w:marRight w:val="0"/>
          <w:marTop w:val="0"/>
          <w:marBottom w:val="0"/>
          <w:divBdr>
            <w:top w:val="none" w:sz="0" w:space="0" w:color="auto"/>
            <w:left w:val="none" w:sz="0" w:space="0" w:color="auto"/>
            <w:bottom w:val="none" w:sz="0" w:space="0" w:color="auto"/>
            <w:right w:val="none" w:sz="0" w:space="0" w:color="auto"/>
          </w:divBdr>
        </w:div>
        <w:div w:id="152113950">
          <w:marLeft w:val="0"/>
          <w:marRight w:val="0"/>
          <w:marTop w:val="0"/>
          <w:marBottom w:val="0"/>
          <w:divBdr>
            <w:top w:val="none" w:sz="0" w:space="0" w:color="auto"/>
            <w:left w:val="none" w:sz="0" w:space="0" w:color="auto"/>
            <w:bottom w:val="none" w:sz="0" w:space="0" w:color="auto"/>
            <w:right w:val="none" w:sz="0" w:space="0" w:color="auto"/>
          </w:divBdr>
          <w:divsChild>
            <w:div w:id="671568919">
              <w:marLeft w:val="0"/>
              <w:marRight w:val="0"/>
              <w:marTop w:val="0"/>
              <w:marBottom w:val="0"/>
              <w:divBdr>
                <w:top w:val="none" w:sz="0" w:space="0" w:color="auto"/>
                <w:left w:val="none" w:sz="0" w:space="0" w:color="auto"/>
                <w:bottom w:val="none" w:sz="0" w:space="0" w:color="auto"/>
                <w:right w:val="none" w:sz="0" w:space="0" w:color="auto"/>
              </w:divBdr>
            </w:div>
          </w:divsChild>
        </w:div>
        <w:div w:id="1833984143">
          <w:marLeft w:val="0"/>
          <w:marRight w:val="0"/>
          <w:marTop w:val="0"/>
          <w:marBottom w:val="0"/>
          <w:divBdr>
            <w:top w:val="none" w:sz="0" w:space="0" w:color="auto"/>
            <w:left w:val="none" w:sz="0" w:space="0" w:color="auto"/>
            <w:bottom w:val="none" w:sz="0" w:space="0" w:color="auto"/>
            <w:right w:val="none" w:sz="0" w:space="0" w:color="auto"/>
          </w:divBdr>
        </w:div>
        <w:div w:id="2039352950">
          <w:marLeft w:val="0"/>
          <w:marRight w:val="0"/>
          <w:marTop w:val="0"/>
          <w:marBottom w:val="0"/>
          <w:divBdr>
            <w:top w:val="none" w:sz="0" w:space="0" w:color="auto"/>
            <w:left w:val="none" w:sz="0" w:space="0" w:color="auto"/>
            <w:bottom w:val="none" w:sz="0" w:space="0" w:color="auto"/>
            <w:right w:val="none" w:sz="0" w:space="0" w:color="auto"/>
          </w:divBdr>
        </w:div>
        <w:div w:id="1748383909">
          <w:marLeft w:val="0"/>
          <w:marRight w:val="0"/>
          <w:marTop w:val="0"/>
          <w:marBottom w:val="0"/>
          <w:divBdr>
            <w:top w:val="none" w:sz="0" w:space="0" w:color="auto"/>
            <w:left w:val="none" w:sz="0" w:space="0" w:color="auto"/>
            <w:bottom w:val="none" w:sz="0" w:space="0" w:color="auto"/>
            <w:right w:val="none" w:sz="0" w:space="0" w:color="auto"/>
          </w:divBdr>
          <w:divsChild>
            <w:div w:id="1209028089">
              <w:marLeft w:val="0"/>
              <w:marRight w:val="0"/>
              <w:marTop w:val="0"/>
              <w:marBottom w:val="0"/>
              <w:divBdr>
                <w:top w:val="none" w:sz="0" w:space="0" w:color="auto"/>
                <w:left w:val="none" w:sz="0" w:space="0" w:color="auto"/>
                <w:bottom w:val="none" w:sz="0" w:space="0" w:color="auto"/>
                <w:right w:val="none" w:sz="0" w:space="0" w:color="auto"/>
              </w:divBdr>
            </w:div>
          </w:divsChild>
        </w:div>
        <w:div w:id="646015377">
          <w:marLeft w:val="0"/>
          <w:marRight w:val="0"/>
          <w:marTop w:val="0"/>
          <w:marBottom w:val="0"/>
          <w:divBdr>
            <w:top w:val="none" w:sz="0" w:space="0" w:color="auto"/>
            <w:left w:val="none" w:sz="0" w:space="0" w:color="auto"/>
            <w:bottom w:val="none" w:sz="0" w:space="0" w:color="auto"/>
            <w:right w:val="none" w:sz="0" w:space="0" w:color="auto"/>
          </w:divBdr>
        </w:div>
        <w:div w:id="250741158">
          <w:marLeft w:val="0"/>
          <w:marRight w:val="0"/>
          <w:marTop w:val="0"/>
          <w:marBottom w:val="0"/>
          <w:divBdr>
            <w:top w:val="none" w:sz="0" w:space="0" w:color="auto"/>
            <w:left w:val="none" w:sz="0" w:space="0" w:color="auto"/>
            <w:bottom w:val="none" w:sz="0" w:space="0" w:color="auto"/>
            <w:right w:val="none" w:sz="0" w:space="0" w:color="auto"/>
          </w:divBdr>
        </w:div>
        <w:div w:id="1244485256">
          <w:marLeft w:val="0"/>
          <w:marRight w:val="0"/>
          <w:marTop w:val="0"/>
          <w:marBottom w:val="0"/>
          <w:divBdr>
            <w:top w:val="none" w:sz="0" w:space="0" w:color="auto"/>
            <w:left w:val="none" w:sz="0" w:space="0" w:color="auto"/>
            <w:bottom w:val="none" w:sz="0" w:space="0" w:color="auto"/>
            <w:right w:val="none" w:sz="0" w:space="0" w:color="auto"/>
          </w:divBdr>
          <w:divsChild>
            <w:div w:id="864833587">
              <w:marLeft w:val="0"/>
              <w:marRight w:val="0"/>
              <w:marTop w:val="0"/>
              <w:marBottom w:val="0"/>
              <w:divBdr>
                <w:top w:val="none" w:sz="0" w:space="0" w:color="auto"/>
                <w:left w:val="none" w:sz="0" w:space="0" w:color="auto"/>
                <w:bottom w:val="none" w:sz="0" w:space="0" w:color="auto"/>
                <w:right w:val="none" w:sz="0" w:space="0" w:color="auto"/>
              </w:divBdr>
            </w:div>
          </w:divsChild>
        </w:div>
        <w:div w:id="984746053">
          <w:marLeft w:val="0"/>
          <w:marRight w:val="0"/>
          <w:marTop w:val="0"/>
          <w:marBottom w:val="0"/>
          <w:divBdr>
            <w:top w:val="none" w:sz="0" w:space="0" w:color="auto"/>
            <w:left w:val="none" w:sz="0" w:space="0" w:color="auto"/>
            <w:bottom w:val="none" w:sz="0" w:space="0" w:color="auto"/>
            <w:right w:val="none" w:sz="0" w:space="0" w:color="auto"/>
          </w:divBdr>
        </w:div>
        <w:div w:id="1339843627">
          <w:marLeft w:val="0"/>
          <w:marRight w:val="0"/>
          <w:marTop w:val="0"/>
          <w:marBottom w:val="0"/>
          <w:divBdr>
            <w:top w:val="none" w:sz="0" w:space="0" w:color="auto"/>
            <w:left w:val="none" w:sz="0" w:space="0" w:color="auto"/>
            <w:bottom w:val="none" w:sz="0" w:space="0" w:color="auto"/>
            <w:right w:val="none" w:sz="0" w:space="0" w:color="auto"/>
          </w:divBdr>
        </w:div>
        <w:div w:id="1301694951">
          <w:marLeft w:val="0"/>
          <w:marRight w:val="0"/>
          <w:marTop w:val="0"/>
          <w:marBottom w:val="0"/>
          <w:divBdr>
            <w:top w:val="none" w:sz="0" w:space="0" w:color="auto"/>
            <w:left w:val="none" w:sz="0" w:space="0" w:color="auto"/>
            <w:bottom w:val="none" w:sz="0" w:space="0" w:color="auto"/>
            <w:right w:val="none" w:sz="0" w:space="0" w:color="auto"/>
          </w:divBdr>
          <w:divsChild>
            <w:div w:id="1601260147">
              <w:marLeft w:val="0"/>
              <w:marRight w:val="0"/>
              <w:marTop w:val="0"/>
              <w:marBottom w:val="0"/>
              <w:divBdr>
                <w:top w:val="none" w:sz="0" w:space="0" w:color="auto"/>
                <w:left w:val="none" w:sz="0" w:space="0" w:color="auto"/>
                <w:bottom w:val="none" w:sz="0" w:space="0" w:color="auto"/>
                <w:right w:val="none" w:sz="0" w:space="0" w:color="auto"/>
              </w:divBdr>
            </w:div>
          </w:divsChild>
        </w:div>
        <w:div w:id="880751822">
          <w:marLeft w:val="0"/>
          <w:marRight w:val="0"/>
          <w:marTop w:val="0"/>
          <w:marBottom w:val="0"/>
          <w:divBdr>
            <w:top w:val="none" w:sz="0" w:space="0" w:color="auto"/>
            <w:left w:val="none" w:sz="0" w:space="0" w:color="auto"/>
            <w:bottom w:val="none" w:sz="0" w:space="0" w:color="auto"/>
            <w:right w:val="none" w:sz="0" w:space="0" w:color="auto"/>
          </w:divBdr>
        </w:div>
        <w:div w:id="1317149817">
          <w:marLeft w:val="0"/>
          <w:marRight w:val="0"/>
          <w:marTop w:val="0"/>
          <w:marBottom w:val="0"/>
          <w:divBdr>
            <w:top w:val="none" w:sz="0" w:space="0" w:color="auto"/>
            <w:left w:val="none" w:sz="0" w:space="0" w:color="auto"/>
            <w:bottom w:val="none" w:sz="0" w:space="0" w:color="auto"/>
            <w:right w:val="none" w:sz="0" w:space="0" w:color="auto"/>
          </w:divBdr>
        </w:div>
        <w:div w:id="1324579910">
          <w:marLeft w:val="0"/>
          <w:marRight w:val="0"/>
          <w:marTop w:val="0"/>
          <w:marBottom w:val="0"/>
          <w:divBdr>
            <w:top w:val="none" w:sz="0" w:space="0" w:color="auto"/>
            <w:left w:val="none" w:sz="0" w:space="0" w:color="auto"/>
            <w:bottom w:val="none" w:sz="0" w:space="0" w:color="auto"/>
            <w:right w:val="none" w:sz="0" w:space="0" w:color="auto"/>
          </w:divBdr>
          <w:divsChild>
            <w:div w:id="1721858572">
              <w:marLeft w:val="0"/>
              <w:marRight w:val="0"/>
              <w:marTop w:val="0"/>
              <w:marBottom w:val="0"/>
              <w:divBdr>
                <w:top w:val="none" w:sz="0" w:space="0" w:color="auto"/>
                <w:left w:val="none" w:sz="0" w:space="0" w:color="auto"/>
                <w:bottom w:val="none" w:sz="0" w:space="0" w:color="auto"/>
                <w:right w:val="none" w:sz="0" w:space="0" w:color="auto"/>
              </w:divBdr>
            </w:div>
          </w:divsChild>
        </w:div>
        <w:div w:id="1090001339">
          <w:marLeft w:val="0"/>
          <w:marRight w:val="0"/>
          <w:marTop w:val="0"/>
          <w:marBottom w:val="0"/>
          <w:divBdr>
            <w:top w:val="none" w:sz="0" w:space="0" w:color="auto"/>
            <w:left w:val="none" w:sz="0" w:space="0" w:color="auto"/>
            <w:bottom w:val="none" w:sz="0" w:space="0" w:color="auto"/>
            <w:right w:val="none" w:sz="0" w:space="0" w:color="auto"/>
          </w:divBdr>
        </w:div>
        <w:div w:id="827091824">
          <w:marLeft w:val="0"/>
          <w:marRight w:val="0"/>
          <w:marTop w:val="0"/>
          <w:marBottom w:val="0"/>
          <w:divBdr>
            <w:top w:val="none" w:sz="0" w:space="0" w:color="auto"/>
            <w:left w:val="none" w:sz="0" w:space="0" w:color="auto"/>
            <w:bottom w:val="none" w:sz="0" w:space="0" w:color="auto"/>
            <w:right w:val="none" w:sz="0" w:space="0" w:color="auto"/>
          </w:divBdr>
        </w:div>
        <w:div w:id="912084196">
          <w:marLeft w:val="0"/>
          <w:marRight w:val="0"/>
          <w:marTop w:val="0"/>
          <w:marBottom w:val="0"/>
          <w:divBdr>
            <w:top w:val="none" w:sz="0" w:space="0" w:color="auto"/>
            <w:left w:val="none" w:sz="0" w:space="0" w:color="auto"/>
            <w:bottom w:val="none" w:sz="0" w:space="0" w:color="auto"/>
            <w:right w:val="none" w:sz="0" w:space="0" w:color="auto"/>
          </w:divBdr>
          <w:divsChild>
            <w:div w:id="1121269151">
              <w:marLeft w:val="0"/>
              <w:marRight w:val="0"/>
              <w:marTop w:val="0"/>
              <w:marBottom w:val="0"/>
              <w:divBdr>
                <w:top w:val="none" w:sz="0" w:space="0" w:color="auto"/>
                <w:left w:val="none" w:sz="0" w:space="0" w:color="auto"/>
                <w:bottom w:val="none" w:sz="0" w:space="0" w:color="auto"/>
                <w:right w:val="none" w:sz="0" w:space="0" w:color="auto"/>
              </w:divBdr>
            </w:div>
          </w:divsChild>
        </w:div>
        <w:div w:id="1398556685">
          <w:marLeft w:val="0"/>
          <w:marRight w:val="0"/>
          <w:marTop w:val="0"/>
          <w:marBottom w:val="0"/>
          <w:divBdr>
            <w:top w:val="none" w:sz="0" w:space="0" w:color="auto"/>
            <w:left w:val="none" w:sz="0" w:space="0" w:color="auto"/>
            <w:bottom w:val="none" w:sz="0" w:space="0" w:color="auto"/>
            <w:right w:val="none" w:sz="0" w:space="0" w:color="auto"/>
          </w:divBdr>
        </w:div>
        <w:div w:id="1086808670">
          <w:marLeft w:val="0"/>
          <w:marRight w:val="0"/>
          <w:marTop w:val="0"/>
          <w:marBottom w:val="0"/>
          <w:divBdr>
            <w:top w:val="none" w:sz="0" w:space="0" w:color="auto"/>
            <w:left w:val="none" w:sz="0" w:space="0" w:color="auto"/>
            <w:bottom w:val="none" w:sz="0" w:space="0" w:color="auto"/>
            <w:right w:val="none" w:sz="0" w:space="0" w:color="auto"/>
          </w:divBdr>
        </w:div>
        <w:div w:id="500899647">
          <w:marLeft w:val="0"/>
          <w:marRight w:val="0"/>
          <w:marTop w:val="0"/>
          <w:marBottom w:val="0"/>
          <w:divBdr>
            <w:top w:val="none" w:sz="0" w:space="0" w:color="auto"/>
            <w:left w:val="none" w:sz="0" w:space="0" w:color="auto"/>
            <w:bottom w:val="none" w:sz="0" w:space="0" w:color="auto"/>
            <w:right w:val="none" w:sz="0" w:space="0" w:color="auto"/>
          </w:divBdr>
          <w:divsChild>
            <w:div w:id="1727145150">
              <w:marLeft w:val="0"/>
              <w:marRight w:val="0"/>
              <w:marTop w:val="0"/>
              <w:marBottom w:val="0"/>
              <w:divBdr>
                <w:top w:val="none" w:sz="0" w:space="0" w:color="auto"/>
                <w:left w:val="none" w:sz="0" w:space="0" w:color="auto"/>
                <w:bottom w:val="none" w:sz="0" w:space="0" w:color="auto"/>
                <w:right w:val="none" w:sz="0" w:space="0" w:color="auto"/>
              </w:divBdr>
            </w:div>
          </w:divsChild>
        </w:div>
        <w:div w:id="1368261592">
          <w:marLeft w:val="0"/>
          <w:marRight w:val="0"/>
          <w:marTop w:val="0"/>
          <w:marBottom w:val="0"/>
          <w:divBdr>
            <w:top w:val="none" w:sz="0" w:space="0" w:color="auto"/>
            <w:left w:val="none" w:sz="0" w:space="0" w:color="auto"/>
            <w:bottom w:val="none" w:sz="0" w:space="0" w:color="auto"/>
            <w:right w:val="none" w:sz="0" w:space="0" w:color="auto"/>
          </w:divBdr>
        </w:div>
        <w:div w:id="98373802">
          <w:marLeft w:val="0"/>
          <w:marRight w:val="0"/>
          <w:marTop w:val="0"/>
          <w:marBottom w:val="0"/>
          <w:divBdr>
            <w:top w:val="none" w:sz="0" w:space="0" w:color="auto"/>
            <w:left w:val="none" w:sz="0" w:space="0" w:color="auto"/>
            <w:bottom w:val="none" w:sz="0" w:space="0" w:color="auto"/>
            <w:right w:val="none" w:sz="0" w:space="0" w:color="auto"/>
          </w:divBdr>
        </w:div>
        <w:div w:id="93526413">
          <w:marLeft w:val="0"/>
          <w:marRight w:val="0"/>
          <w:marTop w:val="0"/>
          <w:marBottom w:val="0"/>
          <w:divBdr>
            <w:top w:val="none" w:sz="0" w:space="0" w:color="auto"/>
            <w:left w:val="none" w:sz="0" w:space="0" w:color="auto"/>
            <w:bottom w:val="none" w:sz="0" w:space="0" w:color="auto"/>
            <w:right w:val="none" w:sz="0" w:space="0" w:color="auto"/>
          </w:divBdr>
          <w:divsChild>
            <w:div w:id="1349139036">
              <w:marLeft w:val="0"/>
              <w:marRight w:val="0"/>
              <w:marTop w:val="0"/>
              <w:marBottom w:val="0"/>
              <w:divBdr>
                <w:top w:val="none" w:sz="0" w:space="0" w:color="auto"/>
                <w:left w:val="none" w:sz="0" w:space="0" w:color="auto"/>
                <w:bottom w:val="none" w:sz="0" w:space="0" w:color="auto"/>
                <w:right w:val="none" w:sz="0" w:space="0" w:color="auto"/>
              </w:divBdr>
            </w:div>
          </w:divsChild>
        </w:div>
        <w:div w:id="929705479">
          <w:marLeft w:val="0"/>
          <w:marRight w:val="0"/>
          <w:marTop w:val="0"/>
          <w:marBottom w:val="0"/>
          <w:divBdr>
            <w:top w:val="none" w:sz="0" w:space="0" w:color="auto"/>
            <w:left w:val="none" w:sz="0" w:space="0" w:color="auto"/>
            <w:bottom w:val="none" w:sz="0" w:space="0" w:color="auto"/>
            <w:right w:val="none" w:sz="0" w:space="0" w:color="auto"/>
          </w:divBdr>
        </w:div>
        <w:div w:id="1680422456">
          <w:marLeft w:val="0"/>
          <w:marRight w:val="0"/>
          <w:marTop w:val="0"/>
          <w:marBottom w:val="0"/>
          <w:divBdr>
            <w:top w:val="none" w:sz="0" w:space="0" w:color="auto"/>
            <w:left w:val="none" w:sz="0" w:space="0" w:color="auto"/>
            <w:bottom w:val="none" w:sz="0" w:space="0" w:color="auto"/>
            <w:right w:val="none" w:sz="0" w:space="0" w:color="auto"/>
          </w:divBdr>
        </w:div>
        <w:div w:id="1475565673">
          <w:marLeft w:val="0"/>
          <w:marRight w:val="0"/>
          <w:marTop w:val="0"/>
          <w:marBottom w:val="0"/>
          <w:divBdr>
            <w:top w:val="none" w:sz="0" w:space="0" w:color="auto"/>
            <w:left w:val="none" w:sz="0" w:space="0" w:color="auto"/>
            <w:bottom w:val="none" w:sz="0" w:space="0" w:color="auto"/>
            <w:right w:val="none" w:sz="0" w:space="0" w:color="auto"/>
          </w:divBdr>
          <w:divsChild>
            <w:div w:id="684749741">
              <w:marLeft w:val="0"/>
              <w:marRight w:val="0"/>
              <w:marTop w:val="0"/>
              <w:marBottom w:val="0"/>
              <w:divBdr>
                <w:top w:val="none" w:sz="0" w:space="0" w:color="auto"/>
                <w:left w:val="none" w:sz="0" w:space="0" w:color="auto"/>
                <w:bottom w:val="none" w:sz="0" w:space="0" w:color="auto"/>
                <w:right w:val="none" w:sz="0" w:space="0" w:color="auto"/>
              </w:divBdr>
            </w:div>
          </w:divsChild>
        </w:div>
        <w:div w:id="1382752723">
          <w:marLeft w:val="0"/>
          <w:marRight w:val="0"/>
          <w:marTop w:val="0"/>
          <w:marBottom w:val="0"/>
          <w:divBdr>
            <w:top w:val="none" w:sz="0" w:space="0" w:color="auto"/>
            <w:left w:val="none" w:sz="0" w:space="0" w:color="auto"/>
            <w:bottom w:val="none" w:sz="0" w:space="0" w:color="auto"/>
            <w:right w:val="none" w:sz="0" w:space="0" w:color="auto"/>
          </w:divBdr>
        </w:div>
        <w:div w:id="889807098">
          <w:marLeft w:val="0"/>
          <w:marRight w:val="0"/>
          <w:marTop w:val="0"/>
          <w:marBottom w:val="0"/>
          <w:divBdr>
            <w:top w:val="none" w:sz="0" w:space="0" w:color="auto"/>
            <w:left w:val="none" w:sz="0" w:space="0" w:color="auto"/>
            <w:bottom w:val="none" w:sz="0" w:space="0" w:color="auto"/>
            <w:right w:val="none" w:sz="0" w:space="0" w:color="auto"/>
          </w:divBdr>
        </w:div>
        <w:div w:id="628364370">
          <w:marLeft w:val="0"/>
          <w:marRight w:val="0"/>
          <w:marTop w:val="0"/>
          <w:marBottom w:val="0"/>
          <w:divBdr>
            <w:top w:val="none" w:sz="0" w:space="0" w:color="auto"/>
            <w:left w:val="none" w:sz="0" w:space="0" w:color="auto"/>
            <w:bottom w:val="none" w:sz="0" w:space="0" w:color="auto"/>
            <w:right w:val="none" w:sz="0" w:space="0" w:color="auto"/>
          </w:divBdr>
          <w:divsChild>
            <w:div w:id="1925647121">
              <w:marLeft w:val="0"/>
              <w:marRight w:val="0"/>
              <w:marTop w:val="0"/>
              <w:marBottom w:val="0"/>
              <w:divBdr>
                <w:top w:val="none" w:sz="0" w:space="0" w:color="auto"/>
                <w:left w:val="none" w:sz="0" w:space="0" w:color="auto"/>
                <w:bottom w:val="none" w:sz="0" w:space="0" w:color="auto"/>
                <w:right w:val="none" w:sz="0" w:space="0" w:color="auto"/>
              </w:divBdr>
            </w:div>
          </w:divsChild>
        </w:div>
        <w:div w:id="295527889">
          <w:marLeft w:val="0"/>
          <w:marRight w:val="0"/>
          <w:marTop w:val="0"/>
          <w:marBottom w:val="0"/>
          <w:divBdr>
            <w:top w:val="none" w:sz="0" w:space="0" w:color="auto"/>
            <w:left w:val="none" w:sz="0" w:space="0" w:color="auto"/>
            <w:bottom w:val="none" w:sz="0" w:space="0" w:color="auto"/>
            <w:right w:val="none" w:sz="0" w:space="0" w:color="auto"/>
          </w:divBdr>
        </w:div>
        <w:div w:id="411776893">
          <w:marLeft w:val="0"/>
          <w:marRight w:val="0"/>
          <w:marTop w:val="0"/>
          <w:marBottom w:val="0"/>
          <w:divBdr>
            <w:top w:val="none" w:sz="0" w:space="0" w:color="auto"/>
            <w:left w:val="none" w:sz="0" w:space="0" w:color="auto"/>
            <w:bottom w:val="none" w:sz="0" w:space="0" w:color="auto"/>
            <w:right w:val="none" w:sz="0" w:space="0" w:color="auto"/>
          </w:divBdr>
        </w:div>
        <w:div w:id="426998995">
          <w:marLeft w:val="0"/>
          <w:marRight w:val="0"/>
          <w:marTop w:val="0"/>
          <w:marBottom w:val="0"/>
          <w:divBdr>
            <w:top w:val="none" w:sz="0" w:space="0" w:color="auto"/>
            <w:left w:val="none" w:sz="0" w:space="0" w:color="auto"/>
            <w:bottom w:val="none" w:sz="0" w:space="0" w:color="auto"/>
            <w:right w:val="none" w:sz="0" w:space="0" w:color="auto"/>
          </w:divBdr>
          <w:divsChild>
            <w:div w:id="1369984930">
              <w:marLeft w:val="0"/>
              <w:marRight w:val="0"/>
              <w:marTop w:val="0"/>
              <w:marBottom w:val="0"/>
              <w:divBdr>
                <w:top w:val="none" w:sz="0" w:space="0" w:color="auto"/>
                <w:left w:val="none" w:sz="0" w:space="0" w:color="auto"/>
                <w:bottom w:val="none" w:sz="0" w:space="0" w:color="auto"/>
                <w:right w:val="none" w:sz="0" w:space="0" w:color="auto"/>
              </w:divBdr>
            </w:div>
          </w:divsChild>
        </w:div>
        <w:div w:id="1516652057">
          <w:marLeft w:val="0"/>
          <w:marRight w:val="0"/>
          <w:marTop w:val="0"/>
          <w:marBottom w:val="0"/>
          <w:divBdr>
            <w:top w:val="none" w:sz="0" w:space="0" w:color="auto"/>
            <w:left w:val="none" w:sz="0" w:space="0" w:color="auto"/>
            <w:bottom w:val="none" w:sz="0" w:space="0" w:color="auto"/>
            <w:right w:val="none" w:sz="0" w:space="0" w:color="auto"/>
          </w:divBdr>
        </w:div>
        <w:div w:id="972559337">
          <w:marLeft w:val="0"/>
          <w:marRight w:val="0"/>
          <w:marTop w:val="0"/>
          <w:marBottom w:val="0"/>
          <w:divBdr>
            <w:top w:val="none" w:sz="0" w:space="0" w:color="auto"/>
            <w:left w:val="none" w:sz="0" w:space="0" w:color="auto"/>
            <w:bottom w:val="none" w:sz="0" w:space="0" w:color="auto"/>
            <w:right w:val="none" w:sz="0" w:space="0" w:color="auto"/>
          </w:divBdr>
        </w:div>
        <w:div w:id="1171220534">
          <w:marLeft w:val="0"/>
          <w:marRight w:val="0"/>
          <w:marTop w:val="0"/>
          <w:marBottom w:val="0"/>
          <w:divBdr>
            <w:top w:val="none" w:sz="0" w:space="0" w:color="auto"/>
            <w:left w:val="none" w:sz="0" w:space="0" w:color="auto"/>
            <w:bottom w:val="none" w:sz="0" w:space="0" w:color="auto"/>
            <w:right w:val="none" w:sz="0" w:space="0" w:color="auto"/>
          </w:divBdr>
          <w:divsChild>
            <w:div w:id="1526021486">
              <w:marLeft w:val="0"/>
              <w:marRight w:val="0"/>
              <w:marTop w:val="0"/>
              <w:marBottom w:val="0"/>
              <w:divBdr>
                <w:top w:val="none" w:sz="0" w:space="0" w:color="auto"/>
                <w:left w:val="none" w:sz="0" w:space="0" w:color="auto"/>
                <w:bottom w:val="none" w:sz="0" w:space="0" w:color="auto"/>
                <w:right w:val="none" w:sz="0" w:space="0" w:color="auto"/>
              </w:divBdr>
            </w:div>
          </w:divsChild>
        </w:div>
        <w:div w:id="1985963906">
          <w:marLeft w:val="0"/>
          <w:marRight w:val="0"/>
          <w:marTop w:val="0"/>
          <w:marBottom w:val="0"/>
          <w:divBdr>
            <w:top w:val="none" w:sz="0" w:space="0" w:color="auto"/>
            <w:left w:val="none" w:sz="0" w:space="0" w:color="auto"/>
            <w:bottom w:val="none" w:sz="0" w:space="0" w:color="auto"/>
            <w:right w:val="none" w:sz="0" w:space="0" w:color="auto"/>
          </w:divBdr>
        </w:div>
        <w:div w:id="2063092175">
          <w:marLeft w:val="0"/>
          <w:marRight w:val="0"/>
          <w:marTop w:val="0"/>
          <w:marBottom w:val="0"/>
          <w:divBdr>
            <w:top w:val="none" w:sz="0" w:space="0" w:color="auto"/>
            <w:left w:val="none" w:sz="0" w:space="0" w:color="auto"/>
            <w:bottom w:val="none" w:sz="0" w:space="0" w:color="auto"/>
            <w:right w:val="none" w:sz="0" w:space="0" w:color="auto"/>
          </w:divBdr>
        </w:div>
        <w:div w:id="828211073">
          <w:marLeft w:val="0"/>
          <w:marRight w:val="0"/>
          <w:marTop w:val="0"/>
          <w:marBottom w:val="0"/>
          <w:divBdr>
            <w:top w:val="none" w:sz="0" w:space="0" w:color="auto"/>
            <w:left w:val="none" w:sz="0" w:space="0" w:color="auto"/>
            <w:bottom w:val="none" w:sz="0" w:space="0" w:color="auto"/>
            <w:right w:val="none" w:sz="0" w:space="0" w:color="auto"/>
          </w:divBdr>
        </w:div>
        <w:div w:id="649793567">
          <w:marLeft w:val="0"/>
          <w:marRight w:val="0"/>
          <w:marTop w:val="0"/>
          <w:marBottom w:val="0"/>
          <w:divBdr>
            <w:top w:val="none" w:sz="0" w:space="0" w:color="auto"/>
            <w:left w:val="none" w:sz="0" w:space="0" w:color="auto"/>
            <w:bottom w:val="none" w:sz="0" w:space="0" w:color="auto"/>
            <w:right w:val="none" w:sz="0" w:space="0" w:color="auto"/>
          </w:divBdr>
        </w:div>
        <w:div w:id="2033023559">
          <w:marLeft w:val="0"/>
          <w:marRight w:val="0"/>
          <w:marTop w:val="0"/>
          <w:marBottom w:val="0"/>
          <w:divBdr>
            <w:top w:val="none" w:sz="0" w:space="0" w:color="auto"/>
            <w:left w:val="none" w:sz="0" w:space="0" w:color="auto"/>
            <w:bottom w:val="none" w:sz="0" w:space="0" w:color="auto"/>
            <w:right w:val="none" w:sz="0" w:space="0" w:color="auto"/>
          </w:divBdr>
          <w:divsChild>
            <w:div w:id="208107161">
              <w:marLeft w:val="0"/>
              <w:marRight w:val="0"/>
              <w:marTop w:val="0"/>
              <w:marBottom w:val="0"/>
              <w:divBdr>
                <w:top w:val="none" w:sz="0" w:space="0" w:color="auto"/>
                <w:left w:val="none" w:sz="0" w:space="0" w:color="auto"/>
                <w:bottom w:val="none" w:sz="0" w:space="0" w:color="auto"/>
                <w:right w:val="none" w:sz="0" w:space="0" w:color="auto"/>
              </w:divBdr>
            </w:div>
          </w:divsChild>
        </w:div>
        <w:div w:id="259728830">
          <w:marLeft w:val="0"/>
          <w:marRight w:val="0"/>
          <w:marTop w:val="0"/>
          <w:marBottom w:val="0"/>
          <w:divBdr>
            <w:top w:val="none" w:sz="0" w:space="0" w:color="auto"/>
            <w:left w:val="none" w:sz="0" w:space="0" w:color="auto"/>
            <w:bottom w:val="none" w:sz="0" w:space="0" w:color="auto"/>
            <w:right w:val="none" w:sz="0" w:space="0" w:color="auto"/>
          </w:divBdr>
        </w:div>
        <w:div w:id="175579272">
          <w:marLeft w:val="0"/>
          <w:marRight w:val="0"/>
          <w:marTop w:val="0"/>
          <w:marBottom w:val="0"/>
          <w:divBdr>
            <w:top w:val="none" w:sz="0" w:space="0" w:color="auto"/>
            <w:left w:val="none" w:sz="0" w:space="0" w:color="auto"/>
            <w:bottom w:val="none" w:sz="0" w:space="0" w:color="auto"/>
            <w:right w:val="none" w:sz="0" w:space="0" w:color="auto"/>
          </w:divBdr>
        </w:div>
        <w:div w:id="621039017">
          <w:marLeft w:val="0"/>
          <w:marRight w:val="0"/>
          <w:marTop w:val="0"/>
          <w:marBottom w:val="0"/>
          <w:divBdr>
            <w:top w:val="none" w:sz="0" w:space="0" w:color="auto"/>
            <w:left w:val="none" w:sz="0" w:space="0" w:color="auto"/>
            <w:bottom w:val="none" w:sz="0" w:space="0" w:color="auto"/>
            <w:right w:val="none" w:sz="0" w:space="0" w:color="auto"/>
          </w:divBdr>
        </w:div>
        <w:div w:id="1751850807">
          <w:marLeft w:val="0"/>
          <w:marRight w:val="0"/>
          <w:marTop w:val="0"/>
          <w:marBottom w:val="0"/>
          <w:divBdr>
            <w:top w:val="none" w:sz="0" w:space="0" w:color="auto"/>
            <w:left w:val="none" w:sz="0" w:space="0" w:color="auto"/>
            <w:bottom w:val="none" w:sz="0" w:space="0" w:color="auto"/>
            <w:right w:val="none" w:sz="0" w:space="0" w:color="auto"/>
          </w:divBdr>
        </w:div>
        <w:div w:id="563683782">
          <w:marLeft w:val="0"/>
          <w:marRight w:val="0"/>
          <w:marTop w:val="0"/>
          <w:marBottom w:val="0"/>
          <w:divBdr>
            <w:top w:val="none" w:sz="0" w:space="0" w:color="auto"/>
            <w:left w:val="none" w:sz="0" w:space="0" w:color="auto"/>
            <w:bottom w:val="none" w:sz="0" w:space="0" w:color="auto"/>
            <w:right w:val="none" w:sz="0" w:space="0" w:color="auto"/>
          </w:divBdr>
          <w:divsChild>
            <w:div w:id="571474695">
              <w:marLeft w:val="0"/>
              <w:marRight w:val="0"/>
              <w:marTop w:val="0"/>
              <w:marBottom w:val="0"/>
              <w:divBdr>
                <w:top w:val="none" w:sz="0" w:space="0" w:color="auto"/>
                <w:left w:val="none" w:sz="0" w:space="0" w:color="auto"/>
                <w:bottom w:val="none" w:sz="0" w:space="0" w:color="auto"/>
                <w:right w:val="none" w:sz="0" w:space="0" w:color="auto"/>
              </w:divBdr>
            </w:div>
          </w:divsChild>
        </w:div>
        <w:div w:id="841312963">
          <w:marLeft w:val="0"/>
          <w:marRight w:val="0"/>
          <w:marTop w:val="0"/>
          <w:marBottom w:val="0"/>
          <w:divBdr>
            <w:top w:val="none" w:sz="0" w:space="0" w:color="auto"/>
            <w:left w:val="none" w:sz="0" w:space="0" w:color="auto"/>
            <w:bottom w:val="none" w:sz="0" w:space="0" w:color="auto"/>
            <w:right w:val="none" w:sz="0" w:space="0" w:color="auto"/>
          </w:divBdr>
        </w:div>
        <w:div w:id="1972242892">
          <w:marLeft w:val="0"/>
          <w:marRight w:val="0"/>
          <w:marTop w:val="0"/>
          <w:marBottom w:val="0"/>
          <w:divBdr>
            <w:top w:val="none" w:sz="0" w:space="0" w:color="auto"/>
            <w:left w:val="none" w:sz="0" w:space="0" w:color="auto"/>
            <w:bottom w:val="none" w:sz="0" w:space="0" w:color="auto"/>
            <w:right w:val="none" w:sz="0" w:space="0" w:color="auto"/>
          </w:divBdr>
        </w:div>
        <w:div w:id="1418407898">
          <w:marLeft w:val="0"/>
          <w:marRight w:val="0"/>
          <w:marTop w:val="0"/>
          <w:marBottom w:val="0"/>
          <w:divBdr>
            <w:top w:val="none" w:sz="0" w:space="0" w:color="auto"/>
            <w:left w:val="none" w:sz="0" w:space="0" w:color="auto"/>
            <w:bottom w:val="none" w:sz="0" w:space="0" w:color="auto"/>
            <w:right w:val="none" w:sz="0" w:space="0" w:color="auto"/>
          </w:divBdr>
        </w:div>
        <w:div w:id="1108700931">
          <w:marLeft w:val="0"/>
          <w:marRight w:val="0"/>
          <w:marTop w:val="0"/>
          <w:marBottom w:val="0"/>
          <w:divBdr>
            <w:top w:val="none" w:sz="0" w:space="0" w:color="auto"/>
            <w:left w:val="none" w:sz="0" w:space="0" w:color="auto"/>
            <w:bottom w:val="none" w:sz="0" w:space="0" w:color="auto"/>
            <w:right w:val="none" w:sz="0" w:space="0" w:color="auto"/>
          </w:divBdr>
        </w:div>
        <w:div w:id="1419905013">
          <w:marLeft w:val="0"/>
          <w:marRight w:val="0"/>
          <w:marTop w:val="0"/>
          <w:marBottom w:val="0"/>
          <w:divBdr>
            <w:top w:val="none" w:sz="0" w:space="0" w:color="auto"/>
            <w:left w:val="none" w:sz="0" w:space="0" w:color="auto"/>
            <w:bottom w:val="none" w:sz="0" w:space="0" w:color="auto"/>
            <w:right w:val="none" w:sz="0" w:space="0" w:color="auto"/>
          </w:divBdr>
          <w:divsChild>
            <w:div w:id="1733043501">
              <w:marLeft w:val="0"/>
              <w:marRight w:val="0"/>
              <w:marTop w:val="0"/>
              <w:marBottom w:val="0"/>
              <w:divBdr>
                <w:top w:val="none" w:sz="0" w:space="0" w:color="auto"/>
                <w:left w:val="none" w:sz="0" w:space="0" w:color="auto"/>
                <w:bottom w:val="none" w:sz="0" w:space="0" w:color="auto"/>
                <w:right w:val="none" w:sz="0" w:space="0" w:color="auto"/>
              </w:divBdr>
            </w:div>
          </w:divsChild>
        </w:div>
        <w:div w:id="1302493880">
          <w:marLeft w:val="0"/>
          <w:marRight w:val="0"/>
          <w:marTop w:val="0"/>
          <w:marBottom w:val="0"/>
          <w:divBdr>
            <w:top w:val="none" w:sz="0" w:space="0" w:color="auto"/>
            <w:left w:val="none" w:sz="0" w:space="0" w:color="auto"/>
            <w:bottom w:val="none" w:sz="0" w:space="0" w:color="auto"/>
            <w:right w:val="none" w:sz="0" w:space="0" w:color="auto"/>
          </w:divBdr>
        </w:div>
        <w:div w:id="503977169">
          <w:marLeft w:val="0"/>
          <w:marRight w:val="0"/>
          <w:marTop w:val="0"/>
          <w:marBottom w:val="0"/>
          <w:divBdr>
            <w:top w:val="none" w:sz="0" w:space="0" w:color="auto"/>
            <w:left w:val="none" w:sz="0" w:space="0" w:color="auto"/>
            <w:bottom w:val="none" w:sz="0" w:space="0" w:color="auto"/>
            <w:right w:val="none" w:sz="0" w:space="0" w:color="auto"/>
          </w:divBdr>
        </w:div>
        <w:div w:id="388461665">
          <w:marLeft w:val="0"/>
          <w:marRight w:val="0"/>
          <w:marTop w:val="0"/>
          <w:marBottom w:val="0"/>
          <w:divBdr>
            <w:top w:val="none" w:sz="0" w:space="0" w:color="auto"/>
            <w:left w:val="none" w:sz="0" w:space="0" w:color="auto"/>
            <w:bottom w:val="none" w:sz="0" w:space="0" w:color="auto"/>
            <w:right w:val="none" w:sz="0" w:space="0" w:color="auto"/>
          </w:divBdr>
        </w:div>
        <w:div w:id="1261718187">
          <w:marLeft w:val="0"/>
          <w:marRight w:val="0"/>
          <w:marTop w:val="0"/>
          <w:marBottom w:val="0"/>
          <w:divBdr>
            <w:top w:val="none" w:sz="0" w:space="0" w:color="auto"/>
            <w:left w:val="none" w:sz="0" w:space="0" w:color="auto"/>
            <w:bottom w:val="none" w:sz="0" w:space="0" w:color="auto"/>
            <w:right w:val="none" w:sz="0" w:space="0" w:color="auto"/>
          </w:divBdr>
        </w:div>
        <w:div w:id="1283027852">
          <w:marLeft w:val="0"/>
          <w:marRight w:val="0"/>
          <w:marTop w:val="0"/>
          <w:marBottom w:val="0"/>
          <w:divBdr>
            <w:top w:val="none" w:sz="0" w:space="0" w:color="auto"/>
            <w:left w:val="none" w:sz="0" w:space="0" w:color="auto"/>
            <w:bottom w:val="none" w:sz="0" w:space="0" w:color="auto"/>
            <w:right w:val="none" w:sz="0" w:space="0" w:color="auto"/>
          </w:divBdr>
          <w:divsChild>
            <w:div w:id="295069645">
              <w:marLeft w:val="0"/>
              <w:marRight w:val="0"/>
              <w:marTop w:val="0"/>
              <w:marBottom w:val="0"/>
              <w:divBdr>
                <w:top w:val="none" w:sz="0" w:space="0" w:color="auto"/>
                <w:left w:val="none" w:sz="0" w:space="0" w:color="auto"/>
                <w:bottom w:val="none" w:sz="0" w:space="0" w:color="auto"/>
                <w:right w:val="none" w:sz="0" w:space="0" w:color="auto"/>
              </w:divBdr>
            </w:div>
          </w:divsChild>
        </w:div>
        <w:div w:id="2050690216">
          <w:marLeft w:val="0"/>
          <w:marRight w:val="0"/>
          <w:marTop w:val="0"/>
          <w:marBottom w:val="0"/>
          <w:divBdr>
            <w:top w:val="none" w:sz="0" w:space="0" w:color="auto"/>
            <w:left w:val="none" w:sz="0" w:space="0" w:color="auto"/>
            <w:bottom w:val="none" w:sz="0" w:space="0" w:color="auto"/>
            <w:right w:val="none" w:sz="0" w:space="0" w:color="auto"/>
          </w:divBdr>
        </w:div>
        <w:div w:id="393351895">
          <w:marLeft w:val="0"/>
          <w:marRight w:val="0"/>
          <w:marTop w:val="0"/>
          <w:marBottom w:val="0"/>
          <w:divBdr>
            <w:top w:val="none" w:sz="0" w:space="0" w:color="auto"/>
            <w:left w:val="none" w:sz="0" w:space="0" w:color="auto"/>
            <w:bottom w:val="none" w:sz="0" w:space="0" w:color="auto"/>
            <w:right w:val="none" w:sz="0" w:space="0" w:color="auto"/>
          </w:divBdr>
        </w:div>
        <w:div w:id="1057625795">
          <w:marLeft w:val="0"/>
          <w:marRight w:val="0"/>
          <w:marTop w:val="0"/>
          <w:marBottom w:val="0"/>
          <w:divBdr>
            <w:top w:val="none" w:sz="0" w:space="0" w:color="auto"/>
            <w:left w:val="none" w:sz="0" w:space="0" w:color="auto"/>
            <w:bottom w:val="none" w:sz="0" w:space="0" w:color="auto"/>
            <w:right w:val="none" w:sz="0" w:space="0" w:color="auto"/>
          </w:divBdr>
          <w:divsChild>
            <w:div w:id="1483035492">
              <w:marLeft w:val="0"/>
              <w:marRight w:val="0"/>
              <w:marTop w:val="0"/>
              <w:marBottom w:val="0"/>
              <w:divBdr>
                <w:top w:val="none" w:sz="0" w:space="0" w:color="auto"/>
                <w:left w:val="none" w:sz="0" w:space="0" w:color="auto"/>
                <w:bottom w:val="none" w:sz="0" w:space="0" w:color="auto"/>
                <w:right w:val="none" w:sz="0" w:space="0" w:color="auto"/>
              </w:divBdr>
            </w:div>
          </w:divsChild>
        </w:div>
        <w:div w:id="917832163">
          <w:marLeft w:val="0"/>
          <w:marRight w:val="0"/>
          <w:marTop w:val="0"/>
          <w:marBottom w:val="0"/>
          <w:divBdr>
            <w:top w:val="none" w:sz="0" w:space="0" w:color="auto"/>
            <w:left w:val="none" w:sz="0" w:space="0" w:color="auto"/>
            <w:bottom w:val="none" w:sz="0" w:space="0" w:color="auto"/>
            <w:right w:val="none" w:sz="0" w:space="0" w:color="auto"/>
          </w:divBdr>
        </w:div>
        <w:div w:id="1584416033">
          <w:marLeft w:val="0"/>
          <w:marRight w:val="0"/>
          <w:marTop w:val="0"/>
          <w:marBottom w:val="0"/>
          <w:divBdr>
            <w:top w:val="none" w:sz="0" w:space="0" w:color="auto"/>
            <w:left w:val="none" w:sz="0" w:space="0" w:color="auto"/>
            <w:bottom w:val="none" w:sz="0" w:space="0" w:color="auto"/>
            <w:right w:val="none" w:sz="0" w:space="0" w:color="auto"/>
          </w:divBdr>
        </w:div>
        <w:div w:id="571357409">
          <w:marLeft w:val="0"/>
          <w:marRight w:val="0"/>
          <w:marTop w:val="0"/>
          <w:marBottom w:val="0"/>
          <w:divBdr>
            <w:top w:val="none" w:sz="0" w:space="0" w:color="auto"/>
            <w:left w:val="none" w:sz="0" w:space="0" w:color="auto"/>
            <w:bottom w:val="none" w:sz="0" w:space="0" w:color="auto"/>
            <w:right w:val="none" w:sz="0" w:space="0" w:color="auto"/>
          </w:divBdr>
        </w:div>
        <w:div w:id="551620181">
          <w:marLeft w:val="0"/>
          <w:marRight w:val="0"/>
          <w:marTop w:val="0"/>
          <w:marBottom w:val="0"/>
          <w:divBdr>
            <w:top w:val="none" w:sz="0" w:space="0" w:color="auto"/>
            <w:left w:val="none" w:sz="0" w:space="0" w:color="auto"/>
            <w:bottom w:val="none" w:sz="0" w:space="0" w:color="auto"/>
            <w:right w:val="none" w:sz="0" w:space="0" w:color="auto"/>
          </w:divBdr>
        </w:div>
        <w:div w:id="1461923067">
          <w:marLeft w:val="0"/>
          <w:marRight w:val="0"/>
          <w:marTop w:val="0"/>
          <w:marBottom w:val="0"/>
          <w:divBdr>
            <w:top w:val="none" w:sz="0" w:space="0" w:color="auto"/>
            <w:left w:val="none" w:sz="0" w:space="0" w:color="auto"/>
            <w:bottom w:val="none" w:sz="0" w:space="0" w:color="auto"/>
            <w:right w:val="none" w:sz="0" w:space="0" w:color="auto"/>
          </w:divBdr>
          <w:divsChild>
            <w:div w:id="1425223539">
              <w:marLeft w:val="0"/>
              <w:marRight w:val="0"/>
              <w:marTop w:val="0"/>
              <w:marBottom w:val="0"/>
              <w:divBdr>
                <w:top w:val="none" w:sz="0" w:space="0" w:color="auto"/>
                <w:left w:val="none" w:sz="0" w:space="0" w:color="auto"/>
                <w:bottom w:val="none" w:sz="0" w:space="0" w:color="auto"/>
                <w:right w:val="none" w:sz="0" w:space="0" w:color="auto"/>
              </w:divBdr>
            </w:div>
          </w:divsChild>
        </w:div>
        <w:div w:id="616529615">
          <w:marLeft w:val="0"/>
          <w:marRight w:val="0"/>
          <w:marTop w:val="0"/>
          <w:marBottom w:val="0"/>
          <w:divBdr>
            <w:top w:val="none" w:sz="0" w:space="0" w:color="auto"/>
            <w:left w:val="none" w:sz="0" w:space="0" w:color="auto"/>
            <w:bottom w:val="none" w:sz="0" w:space="0" w:color="auto"/>
            <w:right w:val="none" w:sz="0" w:space="0" w:color="auto"/>
          </w:divBdr>
        </w:div>
        <w:div w:id="1961913839">
          <w:marLeft w:val="0"/>
          <w:marRight w:val="0"/>
          <w:marTop w:val="0"/>
          <w:marBottom w:val="0"/>
          <w:divBdr>
            <w:top w:val="none" w:sz="0" w:space="0" w:color="auto"/>
            <w:left w:val="none" w:sz="0" w:space="0" w:color="auto"/>
            <w:bottom w:val="none" w:sz="0" w:space="0" w:color="auto"/>
            <w:right w:val="none" w:sz="0" w:space="0" w:color="auto"/>
          </w:divBdr>
        </w:div>
        <w:div w:id="397286768">
          <w:marLeft w:val="0"/>
          <w:marRight w:val="0"/>
          <w:marTop w:val="0"/>
          <w:marBottom w:val="0"/>
          <w:divBdr>
            <w:top w:val="none" w:sz="0" w:space="0" w:color="auto"/>
            <w:left w:val="none" w:sz="0" w:space="0" w:color="auto"/>
            <w:bottom w:val="none" w:sz="0" w:space="0" w:color="auto"/>
            <w:right w:val="none" w:sz="0" w:space="0" w:color="auto"/>
          </w:divBdr>
        </w:div>
        <w:div w:id="1350642374">
          <w:marLeft w:val="0"/>
          <w:marRight w:val="0"/>
          <w:marTop w:val="0"/>
          <w:marBottom w:val="0"/>
          <w:divBdr>
            <w:top w:val="none" w:sz="0" w:space="0" w:color="auto"/>
            <w:left w:val="none" w:sz="0" w:space="0" w:color="auto"/>
            <w:bottom w:val="none" w:sz="0" w:space="0" w:color="auto"/>
            <w:right w:val="none" w:sz="0" w:space="0" w:color="auto"/>
          </w:divBdr>
        </w:div>
        <w:div w:id="24403276">
          <w:marLeft w:val="0"/>
          <w:marRight w:val="0"/>
          <w:marTop w:val="0"/>
          <w:marBottom w:val="0"/>
          <w:divBdr>
            <w:top w:val="none" w:sz="0" w:space="0" w:color="auto"/>
            <w:left w:val="none" w:sz="0" w:space="0" w:color="auto"/>
            <w:bottom w:val="none" w:sz="0" w:space="0" w:color="auto"/>
            <w:right w:val="none" w:sz="0" w:space="0" w:color="auto"/>
          </w:divBdr>
        </w:div>
        <w:div w:id="1099987761">
          <w:marLeft w:val="0"/>
          <w:marRight w:val="0"/>
          <w:marTop w:val="0"/>
          <w:marBottom w:val="0"/>
          <w:divBdr>
            <w:top w:val="none" w:sz="0" w:space="0" w:color="auto"/>
            <w:left w:val="none" w:sz="0" w:space="0" w:color="auto"/>
            <w:bottom w:val="none" w:sz="0" w:space="0" w:color="auto"/>
            <w:right w:val="none" w:sz="0" w:space="0" w:color="auto"/>
          </w:divBdr>
        </w:div>
        <w:div w:id="1182161117">
          <w:marLeft w:val="0"/>
          <w:marRight w:val="0"/>
          <w:marTop w:val="0"/>
          <w:marBottom w:val="0"/>
          <w:divBdr>
            <w:top w:val="none" w:sz="0" w:space="0" w:color="auto"/>
            <w:left w:val="none" w:sz="0" w:space="0" w:color="auto"/>
            <w:bottom w:val="none" w:sz="0" w:space="0" w:color="auto"/>
            <w:right w:val="none" w:sz="0" w:space="0" w:color="auto"/>
          </w:divBdr>
        </w:div>
        <w:div w:id="1054736619">
          <w:marLeft w:val="0"/>
          <w:marRight w:val="0"/>
          <w:marTop w:val="0"/>
          <w:marBottom w:val="0"/>
          <w:divBdr>
            <w:top w:val="none" w:sz="0" w:space="0" w:color="auto"/>
            <w:left w:val="none" w:sz="0" w:space="0" w:color="auto"/>
            <w:bottom w:val="none" w:sz="0" w:space="0" w:color="auto"/>
            <w:right w:val="none" w:sz="0" w:space="0" w:color="auto"/>
          </w:divBdr>
        </w:div>
      </w:divsChild>
    </w:div>
    <w:div w:id="1329017531">
      <w:bodyDiv w:val="1"/>
      <w:marLeft w:val="0"/>
      <w:marRight w:val="0"/>
      <w:marTop w:val="0"/>
      <w:marBottom w:val="0"/>
      <w:divBdr>
        <w:top w:val="none" w:sz="0" w:space="0" w:color="auto"/>
        <w:left w:val="none" w:sz="0" w:space="0" w:color="auto"/>
        <w:bottom w:val="none" w:sz="0" w:space="0" w:color="auto"/>
        <w:right w:val="none" w:sz="0" w:space="0" w:color="auto"/>
      </w:divBdr>
      <w:divsChild>
        <w:div w:id="1506936307">
          <w:marLeft w:val="0"/>
          <w:marRight w:val="0"/>
          <w:marTop w:val="0"/>
          <w:marBottom w:val="0"/>
          <w:divBdr>
            <w:top w:val="none" w:sz="0" w:space="0" w:color="auto"/>
            <w:left w:val="none" w:sz="0" w:space="0" w:color="auto"/>
            <w:bottom w:val="none" w:sz="0" w:space="0" w:color="auto"/>
            <w:right w:val="none" w:sz="0" w:space="0" w:color="auto"/>
          </w:divBdr>
          <w:divsChild>
            <w:div w:id="911697633">
              <w:marLeft w:val="0"/>
              <w:marRight w:val="0"/>
              <w:marTop w:val="0"/>
              <w:marBottom w:val="0"/>
              <w:divBdr>
                <w:top w:val="none" w:sz="0" w:space="0" w:color="auto"/>
                <w:left w:val="none" w:sz="0" w:space="0" w:color="auto"/>
                <w:bottom w:val="none" w:sz="0" w:space="0" w:color="auto"/>
                <w:right w:val="none" w:sz="0" w:space="0" w:color="auto"/>
              </w:divBdr>
              <w:divsChild>
                <w:div w:id="1745908979">
                  <w:marLeft w:val="0"/>
                  <w:marRight w:val="0"/>
                  <w:marTop w:val="0"/>
                  <w:marBottom w:val="0"/>
                  <w:divBdr>
                    <w:top w:val="none" w:sz="0" w:space="0" w:color="auto"/>
                    <w:left w:val="none" w:sz="0" w:space="0" w:color="auto"/>
                    <w:bottom w:val="none" w:sz="0" w:space="0" w:color="auto"/>
                    <w:right w:val="none" w:sz="0" w:space="0" w:color="auto"/>
                  </w:divBdr>
                  <w:divsChild>
                    <w:div w:id="1922329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2251345">
          <w:marLeft w:val="0"/>
          <w:marRight w:val="0"/>
          <w:marTop w:val="0"/>
          <w:marBottom w:val="0"/>
          <w:divBdr>
            <w:top w:val="none" w:sz="0" w:space="0" w:color="auto"/>
            <w:left w:val="none" w:sz="0" w:space="0" w:color="auto"/>
            <w:bottom w:val="none" w:sz="0" w:space="0" w:color="auto"/>
            <w:right w:val="none" w:sz="0" w:space="0" w:color="auto"/>
          </w:divBdr>
          <w:divsChild>
            <w:div w:id="505678411">
              <w:marLeft w:val="0"/>
              <w:marRight w:val="0"/>
              <w:marTop w:val="0"/>
              <w:marBottom w:val="0"/>
              <w:divBdr>
                <w:top w:val="none" w:sz="0" w:space="0" w:color="auto"/>
                <w:left w:val="none" w:sz="0" w:space="0" w:color="auto"/>
                <w:bottom w:val="none" w:sz="0" w:space="0" w:color="auto"/>
                <w:right w:val="none" w:sz="0" w:space="0" w:color="auto"/>
              </w:divBdr>
              <w:divsChild>
                <w:div w:id="1360812092">
                  <w:marLeft w:val="0"/>
                  <w:marRight w:val="0"/>
                  <w:marTop w:val="0"/>
                  <w:marBottom w:val="0"/>
                  <w:divBdr>
                    <w:top w:val="none" w:sz="0" w:space="0" w:color="auto"/>
                    <w:left w:val="none" w:sz="0" w:space="0" w:color="auto"/>
                    <w:bottom w:val="none" w:sz="0" w:space="0" w:color="auto"/>
                    <w:right w:val="none" w:sz="0" w:space="0" w:color="auto"/>
                  </w:divBdr>
                  <w:divsChild>
                    <w:div w:id="853148958">
                      <w:marLeft w:val="0"/>
                      <w:marRight w:val="0"/>
                      <w:marTop w:val="0"/>
                      <w:marBottom w:val="0"/>
                      <w:divBdr>
                        <w:top w:val="none" w:sz="0" w:space="0" w:color="auto"/>
                        <w:left w:val="none" w:sz="0" w:space="0" w:color="auto"/>
                        <w:bottom w:val="none" w:sz="0" w:space="0" w:color="auto"/>
                        <w:right w:val="none" w:sz="0" w:space="0" w:color="auto"/>
                      </w:divBdr>
                      <w:divsChild>
                        <w:div w:id="201551461">
                          <w:marLeft w:val="0"/>
                          <w:marRight w:val="0"/>
                          <w:marTop w:val="0"/>
                          <w:marBottom w:val="0"/>
                          <w:divBdr>
                            <w:top w:val="none" w:sz="0" w:space="0" w:color="auto"/>
                            <w:left w:val="none" w:sz="0" w:space="0" w:color="auto"/>
                            <w:bottom w:val="none" w:sz="0" w:space="0" w:color="auto"/>
                            <w:right w:val="none" w:sz="0" w:space="0" w:color="auto"/>
                          </w:divBdr>
                          <w:divsChild>
                            <w:div w:id="838732601">
                              <w:marLeft w:val="0"/>
                              <w:marRight w:val="0"/>
                              <w:marTop w:val="0"/>
                              <w:marBottom w:val="0"/>
                              <w:divBdr>
                                <w:top w:val="none" w:sz="0" w:space="0" w:color="auto"/>
                                <w:left w:val="none" w:sz="0" w:space="0" w:color="auto"/>
                                <w:bottom w:val="none" w:sz="0" w:space="0" w:color="auto"/>
                                <w:right w:val="none" w:sz="0" w:space="0" w:color="auto"/>
                              </w:divBdr>
                              <w:divsChild>
                                <w:div w:id="675570196">
                                  <w:marLeft w:val="0"/>
                                  <w:marRight w:val="0"/>
                                  <w:marTop w:val="0"/>
                                  <w:marBottom w:val="0"/>
                                  <w:divBdr>
                                    <w:top w:val="none" w:sz="0" w:space="0" w:color="auto"/>
                                    <w:left w:val="none" w:sz="0" w:space="0" w:color="auto"/>
                                    <w:bottom w:val="none" w:sz="0" w:space="0" w:color="auto"/>
                                    <w:right w:val="none" w:sz="0" w:space="0" w:color="auto"/>
                                  </w:divBdr>
                                  <w:divsChild>
                                    <w:div w:id="881208928">
                                      <w:marLeft w:val="0"/>
                                      <w:marRight w:val="0"/>
                                      <w:marTop w:val="0"/>
                                      <w:marBottom w:val="0"/>
                                      <w:divBdr>
                                        <w:top w:val="none" w:sz="0" w:space="0" w:color="auto"/>
                                        <w:left w:val="none" w:sz="0" w:space="0" w:color="auto"/>
                                        <w:bottom w:val="none" w:sz="0" w:space="0" w:color="auto"/>
                                        <w:right w:val="none" w:sz="0" w:space="0" w:color="auto"/>
                                      </w:divBdr>
                                      <w:divsChild>
                                        <w:div w:id="857159443">
                                          <w:marLeft w:val="0"/>
                                          <w:marRight w:val="0"/>
                                          <w:marTop w:val="0"/>
                                          <w:marBottom w:val="0"/>
                                          <w:divBdr>
                                            <w:top w:val="none" w:sz="0" w:space="0" w:color="auto"/>
                                            <w:left w:val="none" w:sz="0" w:space="0" w:color="auto"/>
                                            <w:bottom w:val="none" w:sz="0" w:space="0" w:color="auto"/>
                                            <w:right w:val="none" w:sz="0" w:space="0" w:color="auto"/>
                                          </w:divBdr>
                                        </w:div>
                                        <w:div w:id="1635478140">
                                          <w:marLeft w:val="0"/>
                                          <w:marRight w:val="0"/>
                                          <w:marTop w:val="0"/>
                                          <w:marBottom w:val="0"/>
                                          <w:divBdr>
                                            <w:top w:val="none" w:sz="0" w:space="0" w:color="auto"/>
                                            <w:left w:val="none" w:sz="0" w:space="0" w:color="auto"/>
                                            <w:bottom w:val="none" w:sz="0" w:space="0" w:color="auto"/>
                                            <w:right w:val="none" w:sz="0" w:space="0" w:color="auto"/>
                                          </w:divBdr>
                                          <w:divsChild>
                                            <w:div w:id="1425685501">
                                              <w:marLeft w:val="0"/>
                                              <w:marRight w:val="0"/>
                                              <w:marTop w:val="0"/>
                                              <w:marBottom w:val="0"/>
                                              <w:divBdr>
                                                <w:top w:val="none" w:sz="0" w:space="0" w:color="auto"/>
                                                <w:left w:val="none" w:sz="0" w:space="0" w:color="auto"/>
                                                <w:bottom w:val="none" w:sz="0" w:space="0" w:color="auto"/>
                                                <w:right w:val="none" w:sz="0" w:space="0" w:color="auto"/>
                                              </w:divBdr>
                                              <w:divsChild>
                                                <w:div w:id="1590190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41154327">
      <w:bodyDiv w:val="1"/>
      <w:marLeft w:val="0"/>
      <w:marRight w:val="0"/>
      <w:marTop w:val="0"/>
      <w:marBottom w:val="0"/>
      <w:divBdr>
        <w:top w:val="none" w:sz="0" w:space="0" w:color="auto"/>
        <w:left w:val="none" w:sz="0" w:space="0" w:color="auto"/>
        <w:bottom w:val="none" w:sz="0" w:space="0" w:color="auto"/>
        <w:right w:val="none" w:sz="0" w:space="0" w:color="auto"/>
      </w:divBdr>
    </w:div>
    <w:div w:id="1348021075">
      <w:bodyDiv w:val="1"/>
      <w:marLeft w:val="0"/>
      <w:marRight w:val="0"/>
      <w:marTop w:val="0"/>
      <w:marBottom w:val="0"/>
      <w:divBdr>
        <w:top w:val="none" w:sz="0" w:space="0" w:color="auto"/>
        <w:left w:val="none" w:sz="0" w:space="0" w:color="auto"/>
        <w:bottom w:val="none" w:sz="0" w:space="0" w:color="auto"/>
        <w:right w:val="none" w:sz="0" w:space="0" w:color="auto"/>
      </w:divBdr>
    </w:div>
    <w:div w:id="1362516113">
      <w:bodyDiv w:val="1"/>
      <w:marLeft w:val="0"/>
      <w:marRight w:val="0"/>
      <w:marTop w:val="0"/>
      <w:marBottom w:val="0"/>
      <w:divBdr>
        <w:top w:val="none" w:sz="0" w:space="0" w:color="auto"/>
        <w:left w:val="none" w:sz="0" w:space="0" w:color="auto"/>
        <w:bottom w:val="none" w:sz="0" w:space="0" w:color="auto"/>
        <w:right w:val="none" w:sz="0" w:space="0" w:color="auto"/>
      </w:divBdr>
    </w:div>
    <w:div w:id="1369406030">
      <w:bodyDiv w:val="1"/>
      <w:marLeft w:val="0"/>
      <w:marRight w:val="0"/>
      <w:marTop w:val="0"/>
      <w:marBottom w:val="0"/>
      <w:divBdr>
        <w:top w:val="none" w:sz="0" w:space="0" w:color="auto"/>
        <w:left w:val="none" w:sz="0" w:space="0" w:color="auto"/>
        <w:bottom w:val="none" w:sz="0" w:space="0" w:color="auto"/>
        <w:right w:val="none" w:sz="0" w:space="0" w:color="auto"/>
      </w:divBdr>
      <w:divsChild>
        <w:div w:id="1531802898">
          <w:marLeft w:val="0"/>
          <w:marRight w:val="0"/>
          <w:marTop w:val="0"/>
          <w:marBottom w:val="0"/>
          <w:divBdr>
            <w:top w:val="none" w:sz="0" w:space="0" w:color="auto"/>
            <w:left w:val="none" w:sz="0" w:space="0" w:color="auto"/>
            <w:bottom w:val="none" w:sz="0" w:space="0" w:color="auto"/>
            <w:right w:val="none" w:sz="0" w:space="0" w:color="auto"/>
          </w:divBdr>
          <w:divsChild>
            <w:div w:id="1640961321">
              <w:marLeft w:val="0"/>
              <w:marRight w:val="0"/>
              <w:marTop w:val="0"/>
              <w:marBottom w:val="0"/>
              <w:divBdr>
                <w:top w:val="none" w:sz="0" w:space="0" w:color="auto"/>
                <w:left w:val="none" w:sz="0" w:space="0" w:color="auto"/>
                <w:bottom w:val="none" w:sz="0" w:space="0" w:color="auto"/>
                <w:right w:val="none" w:sz="0" w:space="0" w:color="auto"/>
              </w:divBdr>
            </w:div>
          </w:divsChild>
        </w:div>
        <w:div w:id="1320037711">
          <w:marLeft w:val="0"/>
          <w:marRight w:val="0"/>
          <w:marTop w:val="300"/>
          <w:marBottom w:val="0"/>
          <w:divBdr>
            <w:top w:val="single" w:sz="6" w:space="0" w:color="757575"/>
            <w:left w:val="none" w:sz="0" w:space="0" w:color="auto"/>
            <w:bottom w:val="none" w:sz="0" w:space="0" w:color="auto"/>
            <w:right w:val="none" w:sz="0" w:space="0" w:color="auto"/>
          </w:divBdr>
          <w:divsChild>
            <w:div w:id="1559514887">
              <w:marLeft w:val="0"/>
              <w:marRight w:val="0"/>
              <w:marTop w:val="0"/>
              <w:marBottom w:val="0"/>
              <w:divBdr>
                <w:top w:val="none" w:sz="0" w:space="0" w:color="auto"/>
                <w:left w:val="none" w:sz="0" w:space="0" w:color="auto"/>
                <w:bottom w:val="none" w:sz="0" w:space="0" w:color="auto"/>
                <w:right w:val="none" w:sz="0" w:space="0" w:color="auto"/>
              </w:divBdr>
            </w:div>
            <w:div w:id="1528526021">
              <w:marLeft w:val="0"/>
              <w:marRight w:val="0"/>
              <w:marTop w:val="0"/>
              <w:marBottom w:val="0"/>
              <w:divBdr>
                <w:top w:val="none" w:sz="0" w:space="0" w:color="auto"/>
                <w:left w:val="none" w:sz="0" w:space="0" w:color="auto"/>
                <w:bottom w:val="none" w:sz="0" w:space="0" w:color="auto"/>
                <w:right w:val="none" w:sz="0" w:space="0" w:color="auto"/>
              </w:divBdr>
            </w:div>
            <w:div w:id="2009014590">
              <w:marLeft w:val="0"/>
              <w:marRight w:val="0"/>
              <w:marTop w:val="0"/>
              <w:marBottom w:val="0"/>
              <w:divBdr>
                <w:top w:val="none" w:sz="0" w:space="0" w:color="auto"/>
                <w:left w:val="none" w:sz="0" w:space="0" w:color="auto"/>
                <w:bottom w:val="none" w:sz="0" w:space="0" w:color="auto"/>
                <w:right w:val="none" w:sz="0" w:space="0" w:color="auto"/>
              </w:divBdr>
              <w:divsChild>
                <w:div w:id="1017269283">
                  <w:marLeft w:val="0"/>
                  <w:marRight w:val="0"/>
                  <w:marTop w:val="0"/>
                  <w:marBottom w:val="0"/>
                  <w:divBdr>
                    <w:top w:val="none" w:sz="0" w:space="0" w:color="auto"/>
                    <w:left w:val="none" w:sz="0" w:space="0" w:color="auto"/>
                    <w:bottom w:val="none" w:sz="0" w:space="0" w:color="auto"/>
                    <w:right w:val="none" w:sz="0" w:space="0" w:color="auto"/>
                  </w:divBdr>
                  <w:divsChild>
                    <w:div w:id="1667321366">
                      <w:marLeft w:val="0"/>
                      <w:marRight w:val="72"/>
                      <w:marTop w:val="0"/>
                      <w:marBottom w:val="0"/>
                      <w:divBdr>
                        <w:top w:val="none" w:sz="0" w:space="0" w:color="auto"/>
                        <w:left w:val="none" w:sz="0" w:space="0" w:color="auto"/>
                        <w:bottom w:val="none" w:sz="0" w:space="0" w:color="auto"/>
                        <w:right w:val="none" w:sz="0" w:space="0" w:color="auto"/>
                      </w:divBdr>
                    </w:div>
                  </w:divsChild>
                </w:div>
                <w:div w:id="246304686">
                  <w:marLeft w:val="0"/>
                  <w:marRight w:val="0"/>
                  <w:marTop w:val="0"/>
                  <w:marBottom w:val="0"/>
                  <w:divBdr>
                    <w:top w:val="none" w:sz="0" w:space="0" w:color="auto"/>
                    <w:left w:val="none" w:sz="0" w:space="0" w:color="auto"/>
                    <w:bottom w:val="none" w:sz="0" w:space="0" w:color="auto"/>
                    <w:right w:val="none" w:sz="0" w:space="0" w:color="auto"/>
                  </w:divBdr>
                  <w:divsChild>
                    <w:div w:id="2044665969">
                      <w:marLeft w:val="0"/>
                      <w:marRight w:val="72"/>
                      <w:marTop w:val="0"/>
                      <w:marBottom w:val="0"/>
                      <w:divBdr>
                        <w:top w:val="none" w:sz="0" w:space="0" w:color="auto"/>
                        <w:left w:val="none" w:sz="0" w:space="0" w:color="auto"/>
                        <w:bottom w:val="none" w:sz="0" w:space="0" w:color="auto"/>
                        <w:right w:val="none" w:sz="0" w:space="0" w:color="auto"/>
                      </w:divBdr>
                    </w:div>
                  </w:divsChild>
                </w:div>
              </w:divsChild>
            </w:div>
            <w:div w:id="1372537889">
              <w:marLeft w:val="0"/>
              <w:marRight w:val="0"/>
              <w:marTop w:val="0"/>
              <w:marBottom w:val="0"/>
              <w:divBdr>
                <w:top w:val="none" w:sz="0" w:space="0" w:color="auto"/>
                <w:left w:val="none" w:sz="0" w:space="0" w:color="auto"/>
                <w:bottom w:val="none" w:sz="0" w:space="0" w:color="auto"/>
                <w:right w:val="none" w:sz="0" w:space="0" w:color="auto"/>
              </w:divBdr>
            </w:div>
            <w:div w:id="653411536">
              <w:marLeft w:val="0"/>
              <w:marRight w:val="0"/>
              <w:marTop w:val="0"/>
              <w:marBottom w:val="0"/>
              <w:divBdr>
                <w:top w:val="none" w:sz="0" w:space="0" w:color="auto"/>
                <w:left w:val="none" w:sz="0" w:space="0" w:color="auto"/>
                <w:bottom w:val="none" w:sz="0" w:space="0" w:color="auto"/>
                <w:right w:val="none" w:sz="0" w:space="0" w:color="auto"/>
              </w:divBdr>
              <w:divsChild>
                <w:div w:id="843860713">
                  <w:marLeft w:val="0"/>
                  <w:marRight w:val="0"/>
                  <w:marTop w:val="0"/>
                  <w:marBottom w:val="0"/>
                  <w:divBdr>
                    <w:top w:val="none" w:sz="0" w:space="0" w:color="auto"/>
                    <w:left w:val="none" w:sz="0" w:space="0" w:color="auto"/>
                    <w:bottom w:val="none" w:sz="0" w:space="0" w:color="auto"/>
                    <w:right w:val="none" w:sz="0" w:space="0" w:color="auto"/>
                  </w:divBdr>
                </w:div>
                <w:div w:id="483161564">
                  <w:marLeft w:val="0"/>
                  <w:marRight w:val="0"/>
                  <w:marTop w:val="0"/>
                  <w:marBottom w:val="0"/>
                  <w:divBdr>
                    <w:top w:val="none" w:sz="0" w:space="0" w:color="auto"/>
                    <w:left w:val="none" w:sz="0" w:space="0" w:color="auto"/>
                    <w:bottom w:val="none" w:sz="0" w:space="0" w:color="auto"/>
                    <w:right w:val="none" w:sz="0" w:space="0" w:color="auto"/>
                  </w:divBdr>
                  <w:divsChild>
                    <w:div w:id="1886526613">
                      <w:marLeft w:val="0"/>
                      <w:marRight w:val="0"/>
                      <w:marTop w:val="120"/>
                      <w:marBottom w:val="0"/>
                      <w:divBdr>
                        <w:top w:val="none" w:sz="0" w:space="0" w:color="auto"/>
                        <w:left w:val="none" w:sz="0" w:space="0" w:color="auto"/>
                        <w:bottom w:val="none" w:sz="0" w:space="0" w:color="auto"/>
                        <w:right w:val="none" w:sz="0" w:space="0" w:color="auto"/>
                      </w:divBdr>
                    </w:div>
                    <w:div w:id="249198608">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 w:id="1899855705">
              <w:marLeft w:val="0"/>
              <w:marRight w:val="0"/>
              <w:marTop w:val="0"/>
              <w:marBottom w:val="0"/>
              <w:divBdr>
                <w:top w:val="none" w:sz="0" w:space="0" w:color="auto"/>
                <w:left w:val="none" w:sz="0" w:space="0" w:color="auto"/>
                <w:bottom w:val="none" w:sz="0" w:space="0" w:color="auto"/>
                <w:right w:val="none" w:sz="0" w:space="0" w:color="auto"/>
              </w:divBdr>
            </w:div>
            <w:div w:id="873493882">
              <w:marLeft w:val="0"/>
              <w:marRight w:val="0"/>
              <w:marTop w:val="0"/>
              <w:marBottom w:val="0"/>
              <w:divBdr>
                <w:top w:val="none" w:sz="0" w:space="0" w:color="auto"/>
                <w:left w:val="none" w:sz="0" w:space="0" w:color="auto"/>
                <w:bottom w:val="none" w:sz="0" w:space="0" w:color="auto"/>
                <w:right w:val="none" w:sz="0" w:space="0" w:color="auto"/>
              </w:divBdr>
            </w:div>
            <w:div w:id="47194279">
              <w:marLeft w:val="0"/>
              <w:marRight w:val="0"/>
              <w:marTop w:val="0"/>
              <w:marBottom w:val="0"/>
              <w:divBdr>
                <w:top w:val="none" w:sz="0" w:space="0" w:color="auto"/>
                <w:left w:val="none" w:sz="0" w:space="0" w:color="auto"/>
                <w:bottom w:val="none" w:sz="0" w:space="0" w:color="auto"/>
                <w:right w:val="none" w:sz="0" w:space="0" w:color="auto"/>
              </w:divBdr>
            </w:div>
            <w:div w:id="562839905">
              <w:marLeft w:val="0"/>
              <w:marRight w:val="0"/>
              <w:marTop w:val="0"/>
              <w:marBottom w:val="0"/>
              <w:divBdr>
                <w:top w:val="none" w:sz="0" w:space="0" w:color="auto"/>
                <w:left w:val="none" w:sz="0" w:space="0" w:color="auto"/>
                <w:bottom w:val="none" w:sz="0" w:space="0" w:color="auto"/>
                <w:right w:val="none" w:sz="0" w:space="0" w:color="auto"/>
              </w:divBdr>
              <w:divsChild>
                <w:div w:id="949095213">
                  <w:marLeft w:val="0"/>
                  <w:marRight w:val="0"/>
                  <w:marTop w:val="0"/>
                  <w:marBottom w:val="0"/>
                  <w:divBdr>
                    <w:top w:val="none" w:sz="0" w:space="0" w:color="auto"/>
                    <w:left w:val="none" w:sz="0" w:space="0" w:color="auto"/>
                    <w:bottom w:val="none" w:sz="0" w:space="0" w:color="auto"/>
                    <w:right w:val="none" w:sz="0" w:space="0" w:color="auto"/>
                  </w:divBdr>
                </w:div>
                <w:div w:id="1232229411">
                  <w:marLeft w:val="0"/>
                  <w:marRight w:val="0"/>
                  <w:marTop w:val="0"/>
                  <w:marBottom w:val="0"/>
                  <w:divBdr>
                    <w:top w:val="none" w:sz="0" w:space="0" w:color="auto"/>
                    <w:left w:val="none" w:sz="0" w:space="0" w:color="auto"/>
                    <w:bottom w:val="none" w:sz="0" w:space="0" w:color="auto"/>
                    <w:right w:val="none" w:sz="0" w:space="0" w:color="auto"/>
                  </w:divBdr>
                </w:div>
                <w:div w:id="1874227007">
                  <w:marLeft w:val="0"/>
                  <w:marRight w:val="0"/>
                  <w:marTop w:val="0"/>
                  <w:marBottom w:val="0"/>
                  <w:divBdr>
                    <w:top w:val="none" w:sz="0" w:space="0" w:color="auto"/>
                    <w:left w:val="none" w:sz="0" w:space="0" w:color="auto"/>
                    <w:bottom w:val="none" w:sz="0" w:space="0" w:color="auto"/>
                    <w:right w:val="none" w:sz="0" w:space="0" w:color="auto"/>
                  </w:divBdr>
                </w:div>
                <w:div w:id="1983581778">
                  <w:marLeft w:val="0"/>
                  <w:marRight w:val="0"/>
                  <w:marTop w:val="0"/>
                  <w:marBottom w:val="0"/>
                  <w:divBdr>
                    <w:top w:val="none" w:sz="0" w:space="0" w:color="auto"/>
                    <w:left w:val="none" w:sz="0" w:space="0" w:color="auto"/>
                    <w:bottom w:val="none" w:sz="0" w:space="0" w:color="auto"/>
                    <w:right w:val="none" w:sz="0" w:space="0" w:color="auto"/>
                  </w:divBdr>
                </w:div>
                <w:div w:id="1559590333">
                  <w:marLeft w:val="0"/>
                  <w:marRight w:val="0"/>
                  <w:marTop w:val="0"/>
                  <w:marBottom w:val="0"/>
                  <w:divBdr>
                    <w:top w:val="none" w:sz="0" w:space="0" w:color="auto"/>
                    <w:left w:val="none" w:sz="0" w:space="0" w:color="auto"/>
                    <w:bottom w:val="none" w:sz="0" w:space="0" w:color="auto"/>
                    <w:right w:val="none" w:sz="0" w:space="0" w:color="auto"/>
                  </w:divBdr>
                </w:div>
                <w:div w:id="13507302">
                  <w:marLeft w:val="0"/>
                  <w:marRight w:val="0"/>
                  <w:marTop w:val="0"/>
                  <w:marBottom w:val="0"/>
                  <w:divBdr>
                    <w:top w:val="none" w:sz="0" w:space="0" w:color="auto"/>
                    <w:left w:val="none" w:sz="0" w:space="0" w:color="auto"/>
                    <w:bottom w:val="none" w:sz="0" w:space="0" w:color="auto"/>
                    <w:right w:val="none" w:sz="0" w:space="0" w:color="auto"/>
                  </w:divBdr>
                </w:div>
                <w:div w:id="1946426007">
                  <w:marLeft w:val="0"/>
                  <w:marRight w:val="0"/>
                  <w:marTop w:val="0"/>
                  <w:marBottom w:val="0"/>
                  <w:divBdr>
                    <w:top w:val="none" w:sz="0" w:space="0" w:color="auto"/>
                    <w:left w:val="none" w:sz="0" w:space="0" w:color="auto"/>
                    <w:bottom w:val="none" w:sz="0" w:space="0" w:color="auto"/>
                    <w:right w:val="none" w:sz="0" w:space="0" w:color="auto"/>
                  </w:divBdr>
                </w:div>
                <w:div w:id="359362714">
                  <w:marLeft w:val="0"/>
                  <w:marRight w:val="0"/>
                  <w:marTop w:val="0"/>
                  <w:marBottom w:val="0"/>
                  <w:divBdr>
                    <w:top w:val="none" w:sz="0" w:space="0" w:color="auto"/>
                    <w:left w:val="none" w:sz="0" w:space="0" w:color="auto"/>
                    <w:bottom w:val="none" w:sz="0" w:space="0" w:color="auto"/>
                    <w:right w:val="none" w:sz="0" w:space="0" w:color="auto"/>
                  </w:divBdr>
                </w:div>
                <w:div w:id="1859074705">
                  <w:marLeft w:val="0"/>
                  <w:marRight w:val="0"/>
                  <w:marTop w:val="0"/>
                  <w:marBottom w:val="0"/>
                  <w:divBdr>
                    <w:top w:val="none" w:sz="0" w:space="0" w:color="auto"/>
                    <w:left w:val="none" w:sz="0" w:space="0" w:color="auto"/>
                    <w:bottom w:val="none" w:sz="0" w:space="0" w:color="auto"/>
                    <w:right w:val="none" w:sz="0" w:space="0" w:color="auto"/>
                  </w:divBdr>
                </w:div>
                <w:div w:id="1997756652">
                  <w:marLeft w:val="0"/>
                  <w:marRight w:val="0"/>
                  <w:marTop w:val="0"/>
                  <w:marBottom w:val="0"/>
                  <w:divBdr>
                    <w:top w:val="none" w:sz="0" w:space="0" w:color="auto"/>
                    <w:left w:val="none" w:sz="0" w:space="0" w:color="auto"/>
                    <w:bottom w:val="none" w:sz="0" w:space="0" w:color="auto"/>
                    <w:right w:val="none" w:sz="0" w:space="0" w:color="auto"/>
                  </w:divBdr>
                </w:div>
                <w:div w:id="91630775">
                  <w:marLeft w:val="0"/>
                  <w:marRight w:val="0"/>
                  <w:marTop w:val="0"/>
                  <w:marBottom w:val="0"/>
                  <w:divBdr>
                    <w:top w:val="none" w:sz="0" w:space="0" w:color="auto"/>
                    <w:left w:val="none" w:sz="0" w:space="0" w:color="auto"/>
                    <w:bottom w:val="none" w:sz="0" w:space="0" w:color="auto"/>
                    <w:right w:val="none" w:sz="0" w:space="0" w:color="auto"/>
                  </w:divBdr>
                </w:div>
                <w:div w:id="135801609">
                  <w:marLeft w:val="0"/>
                  <w:marRight w:val="0"/>
                  <w:marTop w:val="0"/>
                  <w:marBottom w:val="0"/>
                  <w:divBdr>
                    <w:top w:val="none" w:sz="0" w:space="0" w:color="auto"/>
                    <w:left w:val="none" w:sz="0" w:space="0" w:color="auto"/>
                    <w:bottom w:val="none" w:sz="0" w:space="0" w:color="auto"/>
                    <w:right w:val="none" w:sz="0" w:space="0" w:color="auto"/>
                  </w:divBdr>
                </w:div>
                <w:div w:id="139807527">
                  <w:marLeft w:val="0"/>
                  <w:marRight w:val="0"/>
                  <w:marTop w:val="0"/>
                  <w:marBottom w:val="0"/>
                  <w:divBdr>
                    <w:top w:val="none" w:sz="0" w:space="0" w:color="auto"/>
                    <w:left w:val="none" w:sz="0" w:space="0" w:color="auto"/>
                    <w:bottom w:val="none" w:sz="0" w:space="0" w:color="auto"/>
                    <w:right w:val="none" w:sz="0" w:space="0" w:color="auto"/>
                  </w:divBdr>
                </w:div>
                <w:div w:id="734863915">
                  <w:marLeft w:val="0"/>
                  <w:marRight w:val="0"/>
                  <w:marTop w:val="0"/>
                  <w:marBottom w:val="0"/>
                  <w:divBdr>
                    <w:top w:val="none" w:sz="0" w:space="0" w:color="auto"/>
                    <w:left w:val="none" w:sz="0" w:space="0" w:color="auto"/>
                    <w:bottom w:val="none" w:sz="0" w:space="0" w:color="auto"/>
                    <w:right w:val="none" w:sz="0" w:space="0" w:color="auto"/>
                  </w:divBdr>
                </w:div>
                <w:div w:id="1419791457">
                  <w:marLeft w:val="0"/>
                  <w:marRight w:val="0"/>
                  <w:marTop w:val="0"/>
                  <w:marBottom w:val="0"/>
                  <w:divBdr>
                    <w:top w:val="none" w:sz="0" w:space="0" w:color="auto"/>
                    <w:left w:val="none" w:sz="0" w:space="0" w:color="auto"/>
                    <w:bottom w:val="none" w:sz="0" w:space="0" w:color="auto"/>
                    <w:right w:val="none" w:sz="0" w:space="0" w:color="auto"/>
                  </w:divBdr>
                </w:div>
                <w:div w:id="1340814079">
                  <w:marLeft w:val="0"/>
                  <w:marRight w:val="0"/>
                  <w:marTop w:val="0"/>
                  <w:marBottom w:val="0"/>
                  <w:divBdr>
                    <w:top w:val="none" w:sz="0" w:space="0" w:color="auto"/>
                    <w:left w:val="none" w:sz="0" w:space="0" w:color="auto"/>
                    <w:bottom w:val="none" w:sz="0" w:space="0" w:color="auto"/>
                    <w:right w:val="none" w:sz="0" w:space="0" w:color="auto"/>
                  </w:divBdr>
                </w:div>
                <w:div w:id="1820999176">
                  <w:marLeft w:val="0"/>
                  <w:marRight w:val="0"/>
                  <w:marTop w:val="0"/>
                  <w:marBottom w:val="0"/>
                  <w:divBdr>
                    <w:top w:val="none" w:sz="0" w:space="0" w:color="auto"/>
                    <w:left w:val="none" w:sz="0" w:space="0" w:color="auto"/>
                    <w:bottom w:val="none" w:sz="0" w:space="0" w:color="auto"/>
                    <w:right w:val="none" w:sz="0" w:space="0" w:color="auto"/>
                  </w:divBdr>
                </w:div>
                <w:div w:id="1386029406">
                  <w:marLeft w:val="0"/>
                  <w:marRight w:val="0"/>
                  <w:marTop w:val="0"/>
                  <w:marBottom w:val="0"/>
                  <w:divBdr>
                    <w:top w:val="none" w:sz="0" w:space="0" w:color="auto"/>
                    <w:left w:val="none" w:sz="0" w:space="0" w:color="auto"/>
                    <w:bottom w:val="none" w:sz="0" w:space="0" w:color="auto"/>
                    <w:right w:val="none" w:sz="0" w:space="0" w:color="auto"/>
                  </w:divBdr>
                </w:div>
                <w:div w:id="748114961">
                  <w:marLeft w:val="0"/>
                  <w:marRight w:val="0"/>
                  <w:marTop w:val="0"/>
                  <w:marBottom w:val="0"/>
                  <w:divBdr>
                    <w:top w:val="none" w:sz="0" w:space="0" w:color="auto"/>
                    <w:left w:val="none" w:sz="0" w:space="0" w:color="auto"/>
                    <w:bottom w:val="none" w:sz="0" w:space="0" w:color="auto"/>
                    <w:right w:val="none" w:sz="0" w:space="0" w:color="auto"/>
                  </w:divBdr>
                </w:div>
                <w:div w:id="857739632">
                  <w:marLeft w:val="0"/>
                  <w:marRight w:val="0"/>
                  <w:marTop w:val="0"/>
                  <w:marBottom w:val="0"/>
                  <w:divBdr>
                    <w:top w:val="none" w:sz="0" w:space="0" w:color="auto"/>
                    <w:left w:val="none" w:sz="0" w:space="0" w:color="auto"/>
                    <w:bottom w:val="none" w:sz="0" w:space="0" w:color="auto"/>
                    <w:right w:val="none" w:sz="0" w:space="0" w:color="auto"/>
                  </w:divBdr>
                </w:div>
                <w:div w:id="2133160313">
                  <w:marLeft w:val="0"/>
                  <w:marRight w:val="0"/>
                  <w:marTop w:val="0"/>
                  <w:marBottom w:val="0"/>
                  <w:divBdr>
                    <w:top w:val="none" w:sz="0" w:space="0" w:color="auto"/>
                    <w:left w:val="none" w:sz="0" w:space="0" w:color="auto"/>
                    <w:bottom w:val="none" w:sz="0" w:space="0" w:color="auto"/>
                    <w:right w:val="none" w:sz="0" w:space="0" w:color="auto"/>
                  </w:divBdr>
                </w:div>
                <w:div w:id="1207524744">
                  <w:marLeft w:val="0"/>
                  <w:marRight w:val="0"/>
                  <w:marTop w:val="0"/>
                  <w:marBottom w:val="0"/>
                  <w:divBdr>
                    <w:top w:val="none" w:sz="0" w:space="0" w:color="auto"/>
                    <w:left w:val="none" w:sz="0" w:space="0" w:color="auto"/>
                    <w:bottom w:val="none" w:sz="0" w:space="0" w:color="auto"/>
                    <w:right w:val="none" w:sz="0" w:space="0" w:color="auto"/>
                  </w:divBdr>
                </w:div>
                <w:div w:id="1230267991">
                  <w:marLeft w:val="0"/>
                  <w:marRight w:val="0"/>
                  <w:marTop w:val="0"/>
                  <w:marBottom w:val="0"/>
                  <w:divBdr>
                    <w:top w:val="none" w:sz="0" w:space="0" w:color="auto"/>
                    <w:left w:val="none" w:sz="0" w:space="0" w:color="auto"/>
                    <w:bottom w:val="none" w:sz="0" w:space="0" w:color="auto"/>
                    <w:right w:val="none" w:sz="0" w:space="0" w:color="auto"/>
                  </w:divBdr>
                </w:div>
                <w:div w:id="931664668">
                  <w:marLeft w:val="0"/>
                  <w:marRight w:val="0"/>
                  <w:marTop w:val="0"/>
                  <w:marBottom w:val="0"/>
                  <w:divBdr>
                    <w:top w:val="none" w:sz="0" w:space="0" w:color="auto"/>
                    <w:left w:val="none" w:sz="0" w:space="0" w:color="auto"/>
                    <w:bottom w:val="none" w:sz="0" w:space="0" w:color="auto"/>
                    <w:right w:val="none" w:sz="0" w:space="0" w:color="auto"/>
                  </w:divBdr>
                </w:div>
                <w:div w:id="362365780">
                  <w:marLeft w:val="0"/>
                  <w:marRight w:val="0"/>
                  <w:marTop w:val="0"/>
                  <w:marBottom w:val="0"/>
                  <w:divBdr>
                    <w:top w:val="none" w:sz="0" w:space="0" w:color="auto"/>
                    <w:left w:val="none" w:sz="0" w:space="0" w:color="auto"/>
                    <w:bottom w:val="none" w:sz="0" w:space="0" w:color="auto"/>
                    <w:right w:val="none" w:sz="0" w:space="0" w:color="auto"/>
                  </w:divBdr>
                </w:div>
                <w:div w:id="69743248">
                  <w:marLeft w:val="0"/>
                  <w:marRight w:val="0"/>
                  <w:marTop w:val="0"/>
                  <w:marBottom w:val="0"/>
                  <w:divBdr>
                    <w:top w:val="none" w:sz="0" w:space="0" w:color="auto"/>
                    <w:left w:val="none" w:sz="0" w:space="0" w:color="auto"/>
                    <w:bottom w:val="none" w:sz="0" w:space="0" w:color="auto"/>
                    <w:right w:val="none" w:sz="0" w:space="0" w:color="auto"/>
                  </w:divBdr>
                </w:div>
                <w:div w:id="1481728783">
                  <w:marLeft w:val="0"/>
                  <w:marRight w:val="0"/>
                  <w:marTop w:val="0"/>
                  <w:marBottom w:val="0"/>
                  <w:divBdr>
                    <w:top w:val="none" w:sz="0" w:space="0" w:color="auto"/>
                    <w:left w:val="none" w:sz="0" w:space="0" w:color="auto"/>
                    <w:bottom w:val="none" w:sz="0" w:space="0" w:color="auto"/>
                    <w:right w:val="none" w:sz="0" w:space="0" w:color="auto"/>
                  </w:divBdr>
                </w:div>
                <w:div w:id="1559591424">
                  <w:marLeft w:val="0"/>
                  <w:marRight w:val="0"/>
                  <w:marTop w:val="0"/>
                  <w:marBottom w:val="0"/>
                  <w:divBdr>
                    <w:top w:val="none" w:sz="0" w:space="0" w:color="auto"/>
                    <w:left w:val="none" w:sz="0" w:space="0" w:color="auto"/>
                    <w:bottom w:val="none" w:sz="0" w:space="0" w:color="auto"/>
                    <w:right w:val="none" w:sz="0" w:space="0" w:color="auto"/>
                  </w:divBdr>
                </w:div>
                <w:div w:id="2116903246">
                  <w:marLeft w:val="0"/>
                  <w:marRight w:val="0"/>
                  <w:marTop w:val="0"/>
                  <w:marBottom w:val="0"/>
                  <w:divBdr>
                    <w:top w:val="none" w:sz="0" w:space="0" w:color="auto"/>
                    <w:left w:val="none" w:sz="0" w:space="0" w:color="auto"/>
                    <w:bottom w:val="none" w:sz="0" w:space="0" w:color="auto"/>
                    <w:right w:val="none" w:sz="0" w:space="0" w:color="auto"/>
                  </w:divBdr>
                </w:div>
                <w:div w:id="468783315">
                  <w:marLeft w:val="0"/>
                  <w:marRight w:val="0"/>
                  <w:marTop w:val="0"/>
                  <w:marBottom w:val="0"/>
                  <w:divBdr>
                    <w:top w:val="none" w:sz="0" w:space="0" w:color="auto"/>
                    <w:left w:val="none" w:sz="0" w:space="0" w:color="auto"/>
                    <w:bottom w:val="none" w:sz="0" w:space="0" w:color="auto"/>
                    <w:right w:val="none" w:sz="0" w:space="0" w:color="auto"/>
                  </w:divBdr>
                </w:div>
                <w:div w:id="76172376">
                  <w:marLeft w:val="0"/>
                  <w:marRight w:val="0"/>
                  <w:marTop w:val="0"/>
                  <w:marBottom w:val="0"/>
                  <w:divBdr>
                    <w:top w:val="none" w:sz="0" w:space="0" w:color="auto"/>
                    <w:left w:val="none" w:sz="0" w:space="0" w:color="auto"/>
                    <w:bottom w:val="none" w:sz="0" w:space="0" w:color="auto"/>
                    <w:right w:val="none" w:sz="0" w:space="0" w:color="auto"/>
                  </w:divBdr>
                </w:div>
                <w:div w:id="2015722751">
                  <w:marLeft w:val="0"/>
                  <w:marRight w:val="0"/>
                  <w:marTop w:val="0"/>
                  <w:marBottom w:val="0"/>
                  <w:divBdr>
                    <w:top w:val="none" w:sz="0" w:space="0" w:color="auto"/>
                    <w:left w:val="none" w:sz="0" w:space="0" w:color="auto"/>
                    <w:bottom w:val="none" w:sz="0" w:space="0" w:color="auto"/>
                    <w:right w:val="none" w:sz="0" w:space="0" w:color="auto"/>
                  </w:divBdr>
                </w:div>
                <w:div w:id="1917546190">
                  <w:marLeft w:val="0"/>
                  <w:marRight w:val="0"/>
                  <w:marTop w:val="0"/>
                  <w:marBottom w:val="0"/>
                  <w:divBdr>
                    <w:top w:val="none" w:sz="0" w:space="0" w:color="auto"/>
                    <w:left w:val="none" w:sz="0" w:space="0" w:color="auto"/>
                    <w:bottom w:val="none" w:sz="0" w:space="0" w:color="auto"/>
                    <w:right w:val="none" w:sz="0" w:space="0" w:color="auto"/>
                  </w:divBdr>
                </w:div>
                <w:div w:id="1867713084">
                  <w:marLeft w:val="0"/>
                  <w:marRight w:val="0"/>
                  <w:marTop w:val="0"/>
                  <w:marBottom w:val="0"/>
                  <w:divBdr>
                    <w:top w:val="none" w:sz="0" w:space="0" w:color="auto"/>
                    <w:left w:val="none" w:sz="0" w:space="0" w:color="auto"/>
                    <w:bottom w:val="none" w:sz="0" w:space="0" w:color="auto"/>
                    <w:right w:val="none" w:sz="0" w:space="0" w:color="auto"/>
                  </w:divBdr>
                </w:div>
                <w:div w:id="456685885">
                  <w:marLeft w:val="0"/>
                  <w:marRight w:val="0"/>
                  <w:marTop w:val="0"/>
                  <w:marBottom w:val="0"/>
                  <w:divBdr>
                    <w:top w:val="none" w:sz="0" w:space="0" w:color="auto"/>
                    <w:left w:val="none" w:sz="0" w:space="0" w:color="auto"/>
                    <w:bottom w:val="none" w:sz="0" w:space="0" w:color="auto"/>
                    <w:right w:val="none" w:sz="0" w:space="0" w:color="auto"/>
                  </w:divBdr>
                </w:div>
                <w:div w:id="920531831">
                  <w:marLeft w:val="0"/>
                  <w:marRight w:val="0"/>
                  <w:marTop w:val="0"/>
                  <w:marBottom w:val="0"/>
                  <w:divBdr>
                    <w:top w:val="none" w:sz="0" w:space="0" w:color="auto"/>
                    <w:left w:val="none" w:sz="0" w:space="0" w:color="auto"/>
                    <w:bottom w:val="none" w:sz="0" w:space="0" w:color="auto"/>
                    <w:right w:val="none" w:sz="0" w:space="0" w:color="auto"/>
                  </w:divBdr>
                </w:div>
                <w:div w:id="25763478">
                  <w:marLeft w:val="0"/>
                  <w:marRight w:val="0"/>
                  <w:marTop w:val="0"/>
                  <w:marBottom w:val="0"/>
                  <w:divBdr>
                    <w:top w:val="none" w:sz="0" w:space="0" w:color="auto"/>
                    <w:left w:val="none" w:sz="0" w:space="0" w:color="auto"/>
                    <w:bottom w:val="none" w:sz="0" w:space="0" w:color="auto"/>
                    <w:right w:val="none" w:sz="0" w:space="0" w:color="auto"/>
                  </w:divBdr>
                </w:div>
                <w:div w:id="1664629303">
                  <w:marLeft w:val="0"/>
                  <w:marRight w:val="0"/>
                  <w:marTop w:val="0"/>
                  <w:marBottom w:val="0"/>
                  <w:divBdr>
                    <w:top w:val="none" w:sz="0" w:space="0" w:color="auto"/>
                    <w:left w:val="none" w:sz="0" w:space="0" w:color="auto"/>
                    <w:bottom w:val="none" w:sz="0" w:space="0" w:color="auto"/>
                    <w:right w:val="none" w:sz="0" w:space="0" w:color="auto"/>
                  </w:divBdr>
                </w:div>
                <w:div w:id="1798446125">
                  <w:marLeft w:val="0"/>
                  <w:marRight w:val="0"/>
                  <w:marTop w:val="0"/>
                  <w:marBottom w:val="0"/>
                  <w:divBdr>
                    <w:top w:val="none" w:sz="0" w:space="0" w:color="auto"/>
                    <w:left w:val="none" w:sz="0" w:space="0" w:color="auto"/>
                    <w:bottom w:val="none" w:sz="0" w:space="0" w:color="auto"/>
                    <w:right w:val="none" w:sz="0" w:space="0" w:color="auto"/>
                  </w:divBdr>
                </w:div>
                <w:div w:id="1837839760">
                  <w:marLeft w:val="0"/>
                  <w:marRight w:val="0"/>
                  <w:marTop w:val="0"/>
                  <w:marBottom w:val="0"/>
                  <w:divBdr>
                    <w:top w:val="none" w:sz="0" w:space="0" w:color="auto"/>
                    <w:left w:val="none" w:sz="0" w:space="0" w:color="auto"/>
                    <w:bottom w:val="none" w:sz="0" w:space="0" w:color="auto"/>
                    <w:right w:val="none" w:sz="0" w:space="0" w:color="auto"/>
                  </w:divBdr>
                </w:div>
                <w:div w:id="1718427118">
                  <w:marLeft w:val="0"/>
                  <w:marRight w:val="0"/>
                  <w:marTop w:val="0"/>
                  <w:marBottom w:val="0"/>
                  <w:divBdr>
                    <w:top w:val="none" w:sz="0" w:space="0" w:color="auto"/>
                    <w:left w:val="none" w:sz="0" w:space="0" w:color="auto"/>
                    <w:bottom w:val="none" w:sz="0" w:space="0" w:color="auto"/>
                    <w:right w:val="none" w:sz="0" w:space="0" w:color="auto"/>
                  </w:divBdr>
                </w:div>
                <w:div w:id="1405685826">
                  <w:marLeft w:val="0"/>
                  <w:marRight w:val="0"/>
                  <w:marTop w:val="0"/>
                  <w:marBottom w:val="0"/>
                  <w:divBdr>
                    <w:top w:val="none" w:sz="0" w:space="0" w:color="auto"/>
                    <w:left w:val="none" w:sz="0" w:space="0" w:color="auto"/>
                    <w:bottom w:val="none" w:sz="0" w:space="0" w:color="auto"/>
                    <w:right w:val="none" w:sz="0" w:space="0" w:color="auto"/>
                  </w:divBdr>
                </w:div>
                <w:div w:id="776406437">
                  <w:marLeft w:val="0"/>
                  <w:marRight w:val="0"/>
                  <w:marTop w:val="0"/>
                  <w:marBottom w:val="0"/>
                  <w:divBdr>
                    <w:top w:val="none" w:sz="0" w:space="0" w:color="auto"/>
                    <w:left w:val="none" w:sz="0" w:space="0" w:color="auto"/>
                    <w:bottom w:val="none" w:sz="0" w:space="0" w:color="auto"/>
                    <w:right w:val="none" w:sz="0" w:space="0" w:color="auto"/>
                  </w:divBdr>
                </w:div>
                <w:div w:id="59332563">
                  <w:marLeft w:val="0"/>
                  <w:marRight w:val="0"/>
                  <w:marTop w:val="0"/>
                  <w:marBottom w:val="0"/>
                  <w:divBdr>
                    <w:top w:val="none" w:sz="0" w:space="0" w:color="auto"/>
                    <w:left w:val="none" w:sz="0" w:space="0" w:color="auto"/>
                    <w:bottom w:val="none" w:sz="0" w:space="0" w:color="auto"/>
                    <w:right w:val="none" w:sz="0" w:space="0" w:color="auto"/>
                  </w:divBdr>
                </w:div>
                <w:div w:id="1754159517">
                  <w:marLeft w:val="0"/>
                  <w:marRight w:val="0"/>
                  <w:marTop w:val="0"/>
                  <w:marBottom w:val="0"/>
                  <w:divBdr>
                    <w:top w:val="none" w:sz="0" w:space="0" w:color="auto"/>
                    <w:left w:val="none" w:sz="0" w:space="0" w:color="auto"/>
                    <w:bottom w:val="none" w:sz="0" w:space="0" w:color="auto"/>
                    <w:right w:val="none" w:sz="0" w:space="0" w:color="auto"/>
                  </w:divBdr>
                </w:div>
                <w:div w:id="1992173841">
                  <w:marLeft w:val="0"/>
                  <w:marRight w:val="0"/>
                  <w:marTop w:val="0"/>
                  <w:marBottom w:val="0"/>
                  <w:divBdr>
                    <w:top w:val="none" w:sz="0" w:space="0" w:color="auto"/>
                    <w:left w:val="none" w:sz="0" w:space="0" w:color="auto"/>
                    <w:bottom w:val="none" w:sz="0" w:space="0" w:color="auto"/>
                    <w:right w:val="none" w:sz="0" w:space="0" w:color="auto"/>
                  </w:divBdr>
                </w:div>
                <w:div w:id="61147939">
                  <w:marLeft w:val="0"/>
                  <w:marRight w:val="0"/>
                  <w:marTop w:val="0"/>
                  <w:marBottom w:val="0"/>
                  <w:divBdr>
                    <w:top w:val="none" w:sz="0" w:space="0" w:color="auto"/>
                    <w:left w:val="none" w:sz="0" w:space="0" w:color="auto"/>
                    <w:bottom w:val="none" w:sz="0" w:space="0" w:color="auto"/>
                    <w:right w:val="none" w:sz="0" w:space="0" w:color="auto"/>
                  </w:divBdr>
                </w:div>
                <w:div w:id="1311205889">
                  <w:marLeft w:val="0"/>
                  <w:marRight w:val="0"/>
                  <w:marTop w:val="0"/>
                  <w:marBottom w:val="0"/>
                  <w:divBdr>
                    <w:top w:val="none" w:sz="0" w:space="0" w:color="auto"/>
                    <w:left w:val="none" w:sz="0" w:space="0" w:color="auto"/>
                    <w:bottom w:val="none" w:sz="0" w:space="0" w:color="auto"/>
                    <w:right w:val="none" w:sz="0" w:space="0" w:color="auto"/>
                  </w:divBdr>
                </w:div>
                <w:div w:id="1077634652">
                  <w:marLeft w:val="0"/>
                  <w:marRight w:val="0"/>
                  <w:marTop w:val="0"/>
                  <w:marBottom w:val="0"/>
                  <w:divBdr>
                    <w:top w:val="none" w:sz="0" w:space="0" w:color="auto"/>
                    <w:left w:val="none" w:sz="0" w:space="0" w:color="auto"/>
                    <w:bottom w:val="none" w:sz="0" w:space="0" w:color="auto"/>
                    <w:right w:val="none" w:sz="0" w:space="0" w:color="auto"/>
                  </w:divBdr>
                </w:div>
                <w:div w:id="1898080727">
                  <w:marLeft w:val="0"/>
                  <w:marRight w:val="0"/>
                  <w:marTop w:val="0"/>
                  <w:marBottom w:val="0"/>
                  <w:divBdr>
                    <w:top w:val="none" w:sz="0" w:space="0" w:color="auto"/>
                    <w:left w:val="none" w:sz="0" w:space="0" w:color="auto"/>
                    <w:bottom w:val="none" w:sz="0" w:space="0" w:color="auto"/>
                    <w:right w:val="none" w:sz="0" w:space="0" w:color="auto"/>
                  </w:divBdr>
                </w:div>
                <w:div w:id="199785153">
                  <w:marLeft w:val="0"/>
                  <w:marRight w:val="0"/>
                  <w:marTop w:val="0"/>
                  <w:marBottom w:val="0"/>
                  <w:divBdr>
                    <w:top w:val="none" w:sz="0" w:space="0" w:color="auto"/>
                    <w:left w:val="none" w:sz="0" w:space="0" w:color="auto"/>
                    <w:bottom w:val="none" w:sz="0" w:space="0" w:color="auto"/>
                    <w:right w:val="none" w:sz="0" w:space="0" w:color="auto"/>
                  </w:divBdr>
                </w:div>
                <w:div w:id="1625768233">
                  <w:marLeft w:val="0"/>
                  <w:marRight w:val="0"/>
                  <w:marTop w:val="0"/>
                  <w:marBottom w:val="0"/>
                  <w:divBdr>
                    <w:top w:val="none" w:sz="0" w:space="0" w:color="auto"/>
                    <w:left w:val="none" w:sz="0" w:space="0" w:color="auto"/>
                    <w:bottom w:val="none" w:sz="0" w:space="0" w:color="auto"/>
                    <w:right w:val="none" w:sz="0" w:space="0" w:color="auto"/>
                  </w:divBdr>
                </w:div>
                <w:div w:id="1468082997">
                  <w:marLeft w:val="0"/>
                  <w:marRight w:val="0"/>
                  <w:marTop w:val="0"/>
                  <w:marBottom w:val="0"/>
                  <w:divBdr>
                    <w:top w:val="none" w:sz="0" w:space="0" w:color="auto"/>
                    <w:left w:val="none" w:sz="0" w:space="0" w:color="auto"/>
                    <w:bottom w:val="none" w:sz="0" w:space="0" w:color="auto"/>
                    <w:right w:val="none" w:sz="0" w:space="0" w:color="auto"/>
                  </w:divBdr>
                </w:div>
                <w:div w:id="627704986">
                  <w:marLeft w:val="0"/>
                  <w:marRight w:val="0"/>
                  <w:marTop w:val="0"/>
                  <w:marBottom w:val="0"/>
                  <w:divBdr>
                    <w:top w:val="none" w:sz="0" w:space="0" w:color="auto"/>
                    <w:left w:val="none" w:sz="0" w:space="0" w:color="auto"/>
                    <w:bottom w:val="none" w:sz="0" w:space="0" w:color="auto"/>
                    <w:right w:val="none" w:sz="0" w:space="0" w:color="auto"/>
                  </w:divBdr>
                </w:div>
                <w:div w:id="295648392">
                  <w:marLeft w:val="0"/>
                  <w:marRight w:val="0"/>
                  <w:marTop w:val="0"/>
                  <w:marBottom w:val="0"/>
                  <w:divBdr>
                    <w:top w:val="none" w:sz="0" w:space="0" w:color="auto"/>
                    <w:left w:val="none" w:sz="0" w:space="0" w:color="auto"/>
                    <w:bottom w:val="none" w:sz="0" w:space="0" w:color="auto"/>
                    <w:right w:val="none" w:sz="0" w:space="0" w:color="auto"/>
                  </w:divBdr>
                </w:div>
                <w:div w:id="1371956273">
                  <w:marLeft w:val="0"/>
                  <w:marRight w:val="0"/>
                  <w:marTop w:val="0"/>
                  <w:marBottom w:val="0"/>
                  <w:divBdr>
                    <w:top w:val="none" w:sz="0" w:space="0" w:color="auto"/>
                    <w:left w:val="none" w:sz="0" w:space="0" w:color="auto"/>
                    <w:bottom w:val="none" w:sz="0" w:space="0" w:color="auto"/>
                    <w:right w:val="none" w:sz="0" w:space="0" w:color="auto"/>
                  </w:divBdr>
                </w:div>
                <w:div w:id="1555462424">
                  <w:marLeft w:val="0"/>
                  <w:marRight w:val="0"/>
                  <w:marTop w:val="0"/>
                  <w:marBottom w:val="0"/>
                  <w:divBdr>
                    <w:top w:val="none" w:sz="0" w:space="0" w:color="auto"/>
                    <w:left w:val="none" w:sz="0" w:space="0" w:color="auto"/>
                    <w:bottom w:val="none" w:sz="0" w:space="0" w:color="auto"/>
                    <w:right w:val="none" w:sz="0" w:space="0" w:color="auto"/>
                  </w:divBdr>
                </w:div>
                <w:div w:id="903950044">
                  <w:marLeft w:val="0"/>
                  <w:marRight w:val="0"/>
                  <w:marTop w:val="0"/>
                  <w:marBottom w:val="0"/>
                  <w:divBdr>
                    <w:top w:val="none" w:sz="0" w:space="0" w:color="auto"/>
                    <w:left w:val="none" w:sz="0" w:space="0" w:color="auto"/>
                    <w:bottom w:val="none" w:sz="0" w:space="0" w:color="auto"/>
                    <w:right w:val="none" w:sz="0" w:space="0" w:color="auto"/>
                  </w:divBdr>
                </w:div>
                <w:div w:id="1275868752">
                  <w:marLeft w:val="0"/>
                  <w:marRight w:val="0"/>
                  <w:marTop w:val="0"/>
                  <w:marBottom w:val="0"/>
                  <w:divBdr>
                    <w:top w:val="none" w:sz="0" w:space="0" w:color="auto"/>
                    <w:left w:val="none" w:sz="0" w:space="0" w:color="auto"/>
                    <w:bottom w:val="none" w:sz="0" w:space="0" w:color="auto"/>
                    <w:right w:val="none" w:sz="0" w:space="0" w:color="auto"/>
                  </w:divBdr>
                </w:div>
                <w:div w:id="643657950">
                  <w:marLeft w:val="0"/>
                  <w:marRight w:val="0"/>
                  <w:marTop w:val="0"/>
                  <w:marBottom w:val="0"/>
                  <w:divBdr>
                    <w:top w:val="none" w:sz="0" w:space="0" w:color="auto"/>
                    <w:left w:val="none" w:sz="0" w:space="0" w:color="auto"/>
                    <w:bottom w:val="none" w:sz="0" w:space="0" w:color="auto"/>
                    <w:right w:val="none" w:sz="0" w:space="0" w:color="auto"/>
                  </w:divBdr>
                </w:div>
                <w:div w:id="340472489">
                  <w:marLeft w:val="0"/>
                  <w:marRight w:val="0"/>
                  <w:marTop w:val="0"/>
                  <w:marBottom w:val="0"/>
                  <w:divBdr>
                    <w:top w:val="none" w:sz="0" w:space="0" w:color="auto"/>
                    <w:left w:val="none" w:sz="0" w:space="0" w:color="auto"/>
                    <w:bottom w:val="none" w:sz="0" w:space="0" w:color="auto"/>
                    <w:right w:val="none" w:sz="0" w:space="0" w:color="auto"/>
                  </w:divBdr>
                </w:div>
                <w:div w:id="385565664">
                  <w:marLeft w:val="0"/>
                  <w:marRight w:val="0"/>
                  <w:marTop w:val="0"/>
                  <w:marBottom w:val="0"/>
                  <w:divBdr>
                    <w:top w:val="none" w:sz="0" w:space="0" w:color="auto"/>
                    <w:left w:val="none" w:sz="0" w:space="0" w:color="auto"/>
                    <w:bottom w:val="none" w:sz="0" w:space="0" w:color="auto"/>
                    <w:right w:val="none" w:sz="0" w:space="0" w:color="auto"/>
                  </w:divBdr>
                </w:div>
                <w:div w:id="2122797590">
                  <w:marLeft w:val="0"/>
                  <w:marRight w:val="0"/>
                  <w:marTop w:val="0"/>
                  <w:marBottom w:val="0"/>
                  <w:divBdr>
                    <w:top w:val="none" w:sz="0" w:space="0" w:color="auto"/>
                    <w:left w:val="none" w:sz="0" w:space="0" w:color="auto"/>
                    <w:bottom w:val="none" w:sz="0" w:space="0" w:color="auto"/>
                    <w:right w:val="none" w:sz="0" w:space="0" w:color="auto"/>
                  </w:divBdr>
                </w:div>
                <w:div w:id="795022962">
                  <w:marLeft w:val="0"/>
                  <w:marRight w:val="0"/>
                  <w:marTop w:val="0"/>
                  <w:marBottom w:val="0"/>
                  <w:divBdr>
                    <w:top w:val="none" w:sz="0" w:space="0" w:color="auto"/>
                    <w:left w:val="none" w:sz="0" w:space="0" w:color="auto"/>
                    <w:bottom w:val="none" w:sz="0" w:space="0" w:color="auto"/>
                    <w:right w:val="none" w:sz="0" w:space="0" w:color="auto"/>
                  </w:divBdr>
                </w:div>
                <w:div w:id="525795700">
                  <w:marLeft w:val="0"/>
                  <w:marRight w:val="0"/>
                  <w:marTop w:val="0"/>
                  <w:marBottom w:val="0"/>
                  <w:divBdr>
                    <w:top w:val="none" w:sz="0" w:space="0" w:color="auto"/>
                    <w:left w:val="none" w:sz="0" w:space="0" w:color="auto"/>
                    <w:bottom w:val="none" w:sz="0" w:space="0" w:color="auto"/>
                    <w:right w:val="none" w:sz="0" w:space="0" w:color="auto"/>
                  </w:divBdr>
                </w:div>
                <w:div w:id="1034424248">
                  <w:marLeft w:val="0"/>
                  <w:marRight w:val="0"/>
                  <w:marTop w:val="0"/>
                  <w:marBottom w:val="0"/>
                  <w:divBdr>
                    <w:top w:val="none" w:sz="0" w:space="0" w:color="auto"/>
                    <w:left w:val="none" w:sz="0" w:space="0" w:color="auto"/>
                    <w:bottom w:val="none" w:sz="0" w:space="0" w:color="auto"/>
                    <w:right w:val="none" w:sz="0" w:space="0" w:color="auto"/>
                  </w:divBdr>
                </w:div>
                <w:div w:id="2139640170">
                  <w:marLeft w:val="0"/>
                  <w:marRight w:val="0"/>
                  <w:marTop w:val="0"/>
                  <w:marBottom w:val="0"/>
                  <w:divBdr>
                    <w:top w:val="none" w:sz="0" w:space="0" w:color="auto"/>
                    <w:left w:val="none" w:sz="0" w:space="0" w:color="auto"/>
                    <w:bottom w:val="none" w:sz="0" w:space="0" w:color="auto"/>
                    <w:right w:val="none" w:sz="0" w:space="0" w:color="auto"/>
                  </w:divBdr>
                </w:div>
                <w:div w:id="1926843514">
                  <w:marLeft w:val="0"/>
                  <w:marRight w:val="0"/>
                  <w:marTop w:val="0"/>
                  <w:marBottom w:val="0"/>
                  <w:divBdr>
                    <w:top w:val="none" w:sz="0" w:space="0" w:color="auto"/>
                    <w:left w:val="none" w:sz="0" w:space="0" w:color="auto"/>
                    <w:bottom w:val="none" w:sz="0" w:space="0" w:color="auto"/>
                    <w:right w:val="none" w:sz="0" w:space="0" w:color="auto"/>
                  </w:divBdr>
                </w:div>
                <w:div w:id="2011177766">
                  <w:marLeft w:val="0"/>
                  <w:marRight w:val="0"/>
                  <w:marTop w:val="0"/>
                  <w:marBottom w:val="0"/>
                  <w:divBdr>
                    <w:top w:val="none" w:sz="0" w:space="0" w:color="auto"/>
                    <w:left w:val="none" w:sz="0" w:space="0" w:color="auto"/>
                    <w:bottom w:val="none" w:sz="0" w:space="0" w:color="auto"/>
                    <w:right w:val="none" w:sz="0" w:space="0" w:color="auto"/>
                  </w:divBdr>
                </w:div>
                <w:div w:id="1961689887">
                  <w:marLeft w:val="0"/>
                  <w:marRight w:val="0"/>
                  <w:marTop w:val="0"/>
                  <w:marBottom w:val="0"/>
                  <w:divBdr>
                    <w:top w:val="none" w:sz="0" w:space="0" w:color="auto"/>
                    <w:left w:val="none" w:sz="0" w:space="0" w:color="auto"/>
                    <w:bottom w:val="none" w:sz="0" w:space="0" w:color="auto"/>
                    <w:right w:val="none" w:sz="0" w:space="0" w:color="auto"/>
                  </w:divBdr>
                </w:div>
                <w:div w:id="1135836785">
                  <w:marLeft w:val="0"/>
                  <w:marRight w:val="0"/>
                  <w:marTop w:val="0"/>
                  <w:marBottom w:val="0"/>
                  <w:divBdr>
                    <w:top w:val="none" w:sz="0" w:space="0" w:color="auto"/>
                    <w:left w:val="none" w:sz="0" w:space="0" w:color="auto"/>
                    <w:bottom w:val="none" w:sz="0" w:space="0" w:color="auto"/>
                    <w:right w:val="none" w:sz="0" w:space="0" w:color="auto"/>
                  </w:divBdr>
                </w:div>
                <w:div w:id="1829397749">
                  <w:marLeft w:val="0"/>
                  <w:marRight w:val="0"/>
                  <w:marTop w:val="0"/>
                  <w:marBottom w:val="0"/>
                  <w:divBdr>
                    <w:top w:val="none" w:sz="0" w:space="0" w:color="auto"/>
                    <w:left w:val="none" w:sz="0" w:space="0" w:color="auto"/>
                    <w:bottom w:val="none" w:sz="0" w:space="0" w:color="auto"/>
                    <w:right w:val="none" w:sz="0" w:space="0" w:color="auto"/>
                  </w:divBdr>
                </w:div>
                <w:div w:id="701322469">
                  <w:marLeft w:val="0"/>
                  <w:marRight w:val="0"/>
                  <w:marTop w:val="0"/>
                  <w:marBottom w:val="0"/>
                  <w:divBdr>
                    <w:top w:val="none" w:sz="0" w:space="0" w:color="auto"/>
                    <w:left w:val="none" w:sz="0" w:space="0" w:color="auto"/>
                    <w:bottom w:val="none" w:sz="0" w:space="0" w:color="auto"/>
                    <w:right w:val="none" w:sz="0" w:space="0" w:color="auto"/>
                  </w:divBdr>
                </w:div>
                <w:div w:id="126169738">
                  <w:marLeft w:val="0"/>
                  <w:marRight w:val="0"/>
                  <w:marTop w:val="0"/>
                  <w:marBottom w:val="0"/>
                  <w:divBdr>
                    <w:top w:val="none" w:sz="0" w:space="0" w:color="auto"/>
                    <w:left w:val="none" w:sz="0" w:space="0" w:color="auto"/>
                    <w:bottom w:val="none" w:sz="0" w:space="0" w:color="auto"/>
                    <w:right w:val="none" w:sz="0" w:space="0" w:color="auto"/>
                  </w:divBdr>
                </w:div>
                <w:div w:id="2125031813">
                  <w:marLeft w:val="0"/>
                  <w:marRight w:val="0"/>
                  <w:marTop w:val="0"/>
                  <w:marBottom w:val="0"/>
                  <w:divBdr>
                    <w:top w:val="none" w:sz="0" w:space="0" w:color="auto"/>
                    <w:left w:val="none" w:sz="0" w:space="0" w:color="auto"/>
                    <w:bottom w:val="none" w:sz="0" w:space="0" w:color="auto"/>
                    <w:right w:val="none" w:sz="0" w:space="0" w:color="auto"/>
                  </w:divBdr>
                </w:div>
                <w:div w:id="939291835">
                  <w:marLeft w:val="0"/>
                  <w:marRight w:val="0"/>
                  <w:marTop w:val="0"/>
                  <w:marBottom w:val="0"/>
                  <w:divBdr>
                    <w:top w:val="none" w:sz="0" w:space="0" w:color="auto"/>
                    <w:left w:val="none" w:sz="0" w:space="0" w:color="auto"/>
                    <w:bottom w:val="none" w:sz="0" w:space="0" w:color="auto"/>
                    <w:right w:val="none" w:sz="0" w:space="0" w:color="auto"/>
                  </w:divBdr>
                </w:div>
                <w:div w:id="1473714522">
                  <w:marLeft w:val="0"/>
                  <w:marRight w:val="0"/>
                  <w:marTop w:val="0"/>
                  <w:marBottom w:val="0"/>
                  <w:divBdr>
                    <w:top w:val="none" w:sz="0" w:space="0" w:color="auto"/>
                    <w:left w:val="none" w:sz="0" w:space="0" w:color="auto"/>
                    <w:bottom w:val="none" w:sz="0" w:space="0" w:color="auto"/>
                    <w:right w:val="none" w:sz="0" w:space="0" w:color="auto"/>
                  </w:divBdr>
                </w:div>
                <w:div w:id="454913223">
                  <w:marLeft w:val="0"/>
                  <w:marRight w:val="0"/>
                  <w:marTop w:val="0"/>
                  <w:marBottom w:val="0"/>
                  <w:divBdr>
                    <w:top w:val="none" w:sz="0" w:space="0" w:color="auto"/>
                    <w:left w:val="none" w:sz="0" w:space="0" w:color="auto"/>
                    <w:bottom w:val="none" w:sz="0" w:space="0" w:color="auto"/>
                    <w:right w:val="none" w:sz="0" w:space="0" w:color="auto"/>
                  </w:divBdr>
                </w:div>
                <w:div w:id="843208820">
                  <w:marLeft w:val="0"/>
                  <w:marRight w:val="0"/>
                  <w:marTop w:val="0"/>
                  <w:marBottom w:val="0"/>
                  <w:divBdr>
                    <w:top w:val="none" w:sz="0" w:space="0" w:color="auto"/>
                    <w:left w:val="none" w:sz="0" w:space="0" w:color="auto"/>
                    <w:bottom w:val="none" w:sz="0" w:space="0" w:color="auto"/>
                    <w:right w:val="none" w:sz="0" w:space="0" w:color="auto"/>
                  </w:divBdr>
                </w:div>
                <w:div w:id="1891070275">
                  <w:marLeft w:val="0"/>
                  <w:marRight w:val="0"/>
                  <w:marTop w:val="0"/>
                  <w:marBottom w:val="0"/>
                  <w:divBdr>
                    <w:top w:val="none" w:sz="0" w:space="0" w:color="auto"/>
                    <w:left w:val="none" w:sz="0" w:space="0" w:color="auto"/>
                    <w:bottom w:val="none" w:sz="0" w:space="0" w:color="auto"/>
                    <w:right w:val="none" w:sz="0" w:space="0" w:color="auto"/>
                  </w:divBdr>
                </w:div>
                <w:div w:id="1251543273">
                  <w:marLeft w:val="0"/>
                  <w:marRight w:val="0"/>
                  <w:marTop w:val="0"/>
                  <w:marBottom w:val="0"/>
                  <w:divBdr>
                    <w:top w:val="none" w:sz="0" w:space="0" w:color="auto"/>
                    <w:left w:val="none" w:sz="0" w:space="0" w:color="auto"/>
                    <w:bottom w:val="none" w:sz="0" w:space="0" w:color="auto"/>
                    <w:right w:val="none" w:sz="0" w:space="0" w:color="auto"/>
                  </w:divBdr>
                </w:div>
                <w:div w:id="1523739790">
                  <w:marLeft w:val="0"/>
                  <w:marRight w:val="0"/>
                  <w:marTop w:val="0"/>
                  <w:marBottom w:val="0"/>
                  <w:divBdr>
                    <w:top w:val="none" w:sz="0" w:space="0" w:color="auto"/>
                    <w:left w:val="none" w:sz="0" w:space="0" w:color="auto"/>
                    <w:bottom w:val="none" w:sz="0" w:space="0" w:color="auto"/>
                    <w:right w:val="none" w:sz="0" w:space="0" w:color="auto"/>
                  </w:divBdr>
                </w:div>
                <w:div w:id="663894047">
                  <w:marLeft w:val="0"/>
                  <w:marRight w:val="0"/>
                  <w:marTop w:val="0"/>
                  <w:marBottom w:val="0"/>
                  <w:divBdr>
                    <w:top w:val="none" w:sz="0" w:space="0" w:color="auto"/>
                    <w:left w:val="none" w:sz="0" w:space="0" w:color="auto"/>
                    <w:bottom w:val="none" w:sz="0" w:space="0" w:color="auto"/>
                    <w:right w:val="none" w:sz="0" w:space="0" w:color="auto"/>
                  </w:divBdr>
                </w:div>
                <w:div w:id="163907891">
                  <w:marLeft w:val="0"/>
                  <w:marRight w:val="0"/>
                  <w:marTop w:val="0"/>
                  <w:marBottom w:val="0"/>
                  <w:divBdr>
                    <w:top w:val="none" w:sz="0" w:space="0" w:color="auto"/>
                    <w:left w:val="none" w:sz="0" w:space="0" w:color="auto"/>
                    <w:bottom w:val="none" w:sz="0" w:space="0" w:color="auto"/>
                    <w:right w:val="none" w:sz="0" w:space="0" w:color="auto"/>
                  </w:divBdr>
                </w:div>
                <w:div w:id="1913807346">
                  <w:marLeft w:val="0"/>
                  <w:marRight w:val="0"/>
                  <w:marTop w:val="0"/>
                  <w:marBottom w:val="0"/>
                  <w:divBdr>
                    <w:top w:val="none" w:sz="0" w:space="0" w:color="auto"/>
                    <w:left w:val="none" w:sz="0" w:space="0" w:color="auto"/>
                    <w:bottom w:val="none" w:sz="0" w:space="0" w:color="auto"/>
                    <w:right w:val="none" w:sz="0" w:space="0" w:color="auto"/>
                  </w:divBdr>
                </w:div>
                <w:div w:id="371418988">
                  <w:marLeft w:val="0"/>
                  <w:marRight w:val="0"/>
                  <w:marTop w:val="0"/>
                  <w:marBottom w:val="0"/>
                  <w:divBdr>
                    <w:top w:val="none" w:sz="0" w:space="0" w:color="auto"/>
                    <w:left w:val="none" w:sz="0" w:space="0" w:color="auto"/>
                    <w:bottom w:val="none" w:sz="0" w:space="0" w:color="auto"/>
                    <w:right w:val="none" w:sz="0" w:space="0" w:color="auto"/>
                  </w:divBdr>
                </w:div>
                <w:div w:id="954099989">
                  <w:marLeft w:val="0"/>
                  <w:marRight w:val="0"/>
                  <w:marTop w:val="0"/>
                  <w:marBottom w:val="0"/>
                  <w:divBdr>
                    <w:top w:val="none" w:sz="0" w:space="0" w:color="auto"/>
                    <w:left w:val="none" w:sz="0" w:space="0" w:color="auto"/>
                    <w:bottom w:val="none" w:sz="0" w:space="0" w:color="auto"/>
                    <w:right w:val="none" w:sz="0" w:space="0" w:color="auto"/>
                  </w:divBdr>
                </w:div>
                <w:div w:id="1965456935">
                  <w:marLeft w:val="0"/>
                  <w:marRight w:val="0"/>
                  <w:marTop w:val="0"/>
                  <w:marBottom w:val="0"/>
                  <w:divBdr>
                    <w:top w:val="none" w:sz="0" w:space="0" w:color="auto"/>
                    <w:left w:val="none" w:sz="0" w:space="0" w:color="auto"/>
                    <w:bottom w:val="none" w:sz="0" w:space="0" w:color="auto"/>
                    <w:right w:val="none" w:sz="0" w:space="0" w:color="auto"/>
                  </w:divBdr>
                </w:div>
                <w:div w:id="958990712">
                  <w:marLeft w:val="0"/>
                  <w:marRight w:val="0"/>
                  <w:marTop w:val="0"/>
                  <w:marBottom w:val="0"/>
                  <w:divBdr>
                    <w:top w:val="none" w:sz="0" w:space="0" w:color="auto"/>
                    <w:left w:val="none" w:sz="0" w:space="0" w:color="auto"/>
                    <w:bottom w:val="none" w:sz="0" w:space="0" w:color="auto"/>
                    <w:right w:val="none" w:sz="0" w:space="0" w:color="auto"/>
                  </w:divBdr>
                </w:div>
                <w:div w:id="1267007573">
                  <w:marLeft w:val="0"/>
                  <w:marRight w:val="0"/>
                  <w:marTop w:val="0"/>
                  <w:marBottom w:val="0"/>
                  <w:divBdr>
                    <w:top w:val="none" w:sz="0" w:space="0" w:color="auto"/>
                    <w:left w:val="none" w:sz="0" w:space="0" w:color="auto"/>
                    <w:bottom w:val="none" w:sz="0" w:space="0" w:color="auto"/>
                    <w:right w:val="none" w:sz="0" w:space="0" w:color="auto"/>
                  </w:divBdr>
                </w:div>
                <w:div w:id="914437502">
                  <w:marLeft w:val="0"/>
                  <w:marRight w:val="0"/>
                  <w:marTop w:val="0"/>
                  <w:marBottom w:val="0"/>
                  <w:divBdr>
                    <w:top w:val="none" w:sz="0" w:space="0" w:color="auto"/>
                    <w:left w:val="none" w:sz="0" w:space="0" w:color="auto"/>
                    <w:bottom w:val="none" w:sz="0" w:space="0" w:color="auto"/>
                    <w:right w:val="none" w:sz="0" w:space="0" w:color="auto"/>
                  </w:divBdr>
                </w:div>
                <w:div w:id="1068842108">
                  <w:marLeft w:val="0"/>
                  <w:marRight w:val="0"/>
                  <w:marTop w:val="0"/>
                  <w:marBottom w:val="0"/>
                  <w:divBdr>
                    <w:top w:val="none" w:sz="0" w:space="0" w:color="auto"/>
                    <w:left w:val="none" w:sz="0" w:space="0" w:color="auto"/>
                    <w:bottom w:val="none" w:sz="0" w:space="0" w:color="auto"/>
                    <w:right w:val="none" w:sz="0" w:space="0" w:color="auto"/>
                  </w:divBdr>
                </w:div>
                <w:div w:id="2035497606">
                  <w:marLeft w:val="0"/>
                  <w:marRight w:val="0"/>
                  <w:marTop w:val="0"/>
                  <w:marBottom w:val="0"/>
                  <w:divBdr>
                    <w:top w:val="none" w:sz="0" w:space="0" w:color="auto"/>
                    <w:left w:val="none" w:sz="0" w:space="0" w:color="auto"/>
                    <w:bottom w:val="none" w:sz="0" w:space="0" w:color="auto"/>
                    <w:right w:val="none" w:sz="0" w:space="0" w:color="auto"/>
                  </w:divBdr>
                </w:div>
                <w:div w:id="987325500">
                  <w:marLeft w:val="0"/>
                  <w:marRight w:val="0"/>
                  <w:marTop w:val="0"/>
                  <w:marBottom w:val="0"/>
                  <w:divBdr>
                    <w:top w:val="none" w:sz="0" w:space="0" w:color="auto"/>
                    <w:left w:val="none" w:sz="0" w:space="0" w:color="auto"/>
                    <w:bottom w:val="none" w:sz="0" w:space="0" w:color="auto"/>
                    <w:right w:val="none" w:sz="0" w:space="0" w:color="auto"/>
                  </w:divBdr>
                </w:div>
                <w:div w:id="33427524">
                  <w:marLeft w:val="0"/>
                  <w:marRight w:val="0"/>
                  <w:marTop w:val="0"/>
                  <w:marBottom w:val="0"/>
                  <w:divBdr>
                    <w:top w:val="none" w:sz="0" w:space="0" w:color="auto"/>
                    <w:left w:val="none" w:sz="0" w:space="0" w:color="auto"/>
                    <w:bottom w:val="none" w:sz="0" w:space="0" w:color="auto"/>
                    <w:right w:val="none" w:sz="0" w:space="0" w:color="auto"/>
                  </w:divBdr>
                </w:div>
                <w:div w:id="2093697469">
                  <w:marLeft w:val="0"/>
                  <w:marRight w:val="0"/>
                  <w:marTop w:val="0"/>
                  <w:marBottom w:val="0"/>
                  <w:divBdr>
                    <w:top w:val="none" w:sz="0" w:space="0" w:color="auto"/>
                    <w:left w:val="none" w:sz="0" w:space="0" w:color="auto"/>
                    <w:bottom w:val="none" w:sz="0" w:space="0" w:color="auto"/>
                    <w:right w:val="none" w:sz="0" w:space="0" w:color="auto"/>
                  </w:divBdr>
                </w:div>
                <w:div w:id="1905022066">
                  <w:marLeft w:val="0"/>
                  <w:marRight w:val="0"/>
                  <w:marTop w:val="0"/>
                  <w:marBottom w:val="0"/>
                  <w:divBdr>
                    <w:top w:val="none" w:sz="0" w:space="0" w:color="auto"/>
                    <w:left w:val="none" w:sz="0" w:space="0" w:color="auto"/>
                    <w:bottom w:val="none" w:sz="0" w:space="0" w:color="auto"/>
                    <w:right w:val="none" w:sz="0" w:space="0" w:color="auto"/>
                  </w:divBdr>
                </w:div>
                <w:div w:id="867839660">
                  <w:marLeft w:val="0"/>
                  <w:marRight w:val="0"/>
                  <w:marTop w:val="0"/>
                  <w:marBottom w:val="0"/>
                  <w:divBdr>
                    <w:top w:val="none" w:sz="0" w:space="0" w:color="auto"/>
                    <w:left w:val="none" w:sz="0" w:space="0" w:color="auto"/>
                    <w:bottom w:val="none" w:sz="0" w:space="0" w:color="auto"/>
                    <w:right w:val="none" w:sz="0" w:space="0" w:color="auto"/>
                  </w:divBdr>
                </w:div>
                <w:div w:id="265579820">
                  <w:marLeft w:val="0"/>
                  <w:marRight w:val="0"/>
                  <w:marTop w:val="0"/>
                  <w:marBottom w:val="0"/>
                  <w:divBdr>
                    <w:top w:val="none" w:sz="0" w:space="0" w:color="auto"/>
                    <w:left w:val="none" w:sz="0" w:space="0" w:color="auto"/>
                    <w:bottom w:val="none" w:sz="0" w:space="0" w:color="auto"/>
                    <w:right w:val="none" w:sz="0" w:space="0" w:color="auto"/>
                  </w:divBdr>
                </w:div>
                <w:div w:id="1647006559">
                  <w:marLeft w:val="0"/>
                  <w:marRight w:val="0"/>
                  <w:marTop w:val="0"/>
                  <w:marBottom w:val="0"/>
                  <w:divBdr>
                    <w:top w:val="none" w:sz="0" w:space="0" w:color="auto"/>
                    <w:left w:val="none" w:sz="0" w:space="0" w:color="auto"/>
                    <w:bottom w:val="none" w:sz="0" w:space="0" w:color="auto"/>
                    <w:right w:val="none" w:sz="0" w:space="0" w:color="auto"/>
                  </w:divBdr>
                </w:div>
                <w:div w:id="370114182">
                  <w:marLeft w:val="0"/>
                  <w:marRight w:val="0"/>
                  <w:marTop w:val="0"/>
                  <w:marBottom w:val="0"/>
                  <w:divBdr>
                    <w:top w:val="none" w:sz="0" w:space="0" w:color="auto"/>
                    <w:left w:val="none" w:sz="0" w:space="0" w:color="auto"/>
                    <w:bottom w:val="none" w:sz="0" w:space="0" w:color="auto"/>
                    <w:right w:val="none" w:sz="0" w:space="0" w:color="auto"/>
                  </w:divBdr>
                </w:div>
                <w:div w:id="255865789">
                  <w:marLeft w:val="0"/>
                  <w:marRight w:val="0"/>
                  <w:marTop w:val="0"/>
                  <w:marBottom w:val="0"/>
                  <w:divBdr>
                    <w:top w:val="none" w:sz="0" w:space="0" w:color="auto"/>
                    <w:left w:val="none" w:sz="0" w:space="0" w:color="auto"/>
                    <w:bottom w:val="none" w:sz="0" w:space="0" w:color="auto"/>
                    <w:right w:val="none" w:sz="0" w:space="0" w:color="auto"/>
                  </w:divBdr>
                </w:div>
                <w:div w:id="1578973753">
                  <w:marLeft w:val="0"/>
                  <w:marRight w:val="0"/>
                  <w:marTop w:val="0"/>
                  <w:marBottom w:val="0"/>
                  <w:divBdr>
                    <w:top w:val="none" w:sz="0" w:space="0" w:color="auto"/>
                    <w:left w:val="none" w:sz="0" w:space="0" w:color="auto"/>
                    <w:bottom w:val="none" w:sz="0" w:space="0" w:color="auto"/>
                    <w:right w:val="none" w:sz="0" w:space="0" w:color="auto"/>
                  </w:divBdr>
                </w:div>
                <w:div w:id="1033534173">
                  <w:marLeft w:val="0"/>
                  <w:marRight w:val="0"/>
                  <w:marTop w:val="0"/>
                  <w:marBottom w:val="0"/>
                  <w:divBdr>
                    <w:top w:val="none" w:sz="0" w:space="0" w:color="auto"/>
                    <w:left w:val="none" w:sz="0" w:space="0" w:color="auto"/>
                    <w:bottom w:val="none" w:sz="0" w:space="0" w:color="auto"/>
                    <w:right w:val="none" w:sz="0" w:space="0" w:color="auto"/>
                  </w:divBdr>
                </w:div>
                <w:div w:id="724376753">
                  <w:marLeft w:val="0"/>
                  <w:marRight w:val="0"/>
                  <w:marTop w:val="0"/>
                  <w:marBottom w:val="0"/>
                  <w:divBdr>
                    <w:top w:val="none" w:sz="0" w:space="0" w:color="auto"/>
                    <w:left w:val="none" w:sz="0" w:space="0" w:color="auto"/>
                    <w:bottom w:val="none" w:sz="0" w:space="0" w:color="auto"/>
                    <w:right w:val="none" w:sz="0" w:space="0" w:color="auto"/>
                  </w:divBdr>
                </w:div>
                <w:div w:id="1309164784">
                  <w:marLeft w:val="0"/>
                  <w:marRight w:val="0"/>
                  <w:marTop w:val="0"/>
                  <w:marBottom w:val="0"/>
                  <w:divBdr>
                    <w:top w:val="none" w:sz="0" w:space="0" w:color="auto"/>
                    <w:left w:val="none" w:sz="0" w:space="0" w:color="auto"/>
                    <w:bottom w:val="none" w:sz="0" w:space="0" w:color="auto"/>
                    <w:right w:val="none" w:sz="0" w:space="0" w:color="auto"/>
                  </w:divBdr>
                </w:div>
                <w:div w:id="1133870087">
                  <w:marLeft w:val="0"/>
                  <w:marRight w:val="0"/>
                  <w:marTop w:val="0"/>
                  <w:marBottom w:val="0"/>
                  <w:divBdr>
                    <w:top w:val="none" w:sz="0" w:space="0" w:color="auto"/>
                    <w:left w:val="none" w:sz="0" w:space="0" w:color="auto"/>
                    <w:bottom w:val="none" w:sz="0" w:space="0" w:color="auto"/>
                    <w:right w:val="none" w:sz="0" w:space="0" w:color="auto"/>
                  </w:divBdr>
                </w:div>
                <w:div w:id="1343051473">
                  <w:marLeft w:val="0"/>
                  <w:marRight w:val="0"/>
                  <w:marTop w:val="0"/>
                  <w:marBottom w:val="0"/>
                  <w:divBdr>
                    <w:top w:val="none" w:sz="0" w:space="0" w:color="auto"/>
                    <w:left w:val="none" w:sz="0" w:space="0" w:color="auto"/>
                    <w:bottom w:val="none" w:sz="0" w:space="0" w:color="auto"/>
                    <w:right w:val="none" w:sz="0" w:space="0" w:color="auto"/>
                  </w:divBdr>
                </w:div>
                <w:div w:id="589852044">
                  <w:marLeft w:val="0"/>
                  <w:marRight w:val="0"/>
                  <w:marTop w:val="0"/>
                  <w:marBottom w:val="0"/>
                  <w:divBdr>
                    <w:top w:val="none" w:sz="0" w:space="0" w:color="auto"/>
                    <w:left w:val="none" w:sz="0" w:space="0" w:color="auto"/>
                    <w:bottom w:val="none" w:sz="0" w:space="0" w:color="auto"/>
                    <w:right w:val="none" w:sz="0" w:space="0" w:color="auto"/>
                  </w:divBdr>
                </w:div>
                <w:div w:id="708069215">
                  <w:marLeft w:val="0"/>
                  <w:marRight w:val="0"/>
                  <w:marTop w:val="0"/>
                  <w:marBottom w:val="0"/>
                  <w:divBdr>
                    <w:top w:val="none" w:sz="0" w:space="0" w:color="auto"/>
                    <w:left w:val="none" w:sz="0" w:space="0" w:color="auto"/>
                    <w:bottom w:val="none" w:sz="0" w:space="0" w:color="auto"/>
                    <w:right w:val="none" w:sz="0" w:space="0" w:color="auto"/>
                  </w:divBdr>
                </w:div>
                <w:div w:id="514342551">
                  <w:marLeft w:val="0"/>
                  <w:marRight w:val="0"/>
                  <w:marTop w:val="0"/>
                  <w:marBottom w:val="0"/>
                  <w:divBdr>
                    <w:top w:val="none" w:sz="0" w:space="0" w:color="auto"/>
                    <w:left w:val="none" w:sz="0" w:space="0" w:color="auto"/>
                    <w:bottom w:val="none" w:sz="0" w:space="0" w:color="auto"/>
                    <w:right w:val="none" w:sz="0" w:space="0" w:color="auto"/>
                  </w:divBdr>
                </w:div>
                <w:div w:id="777799672">
                  <w:marLeft w:val="0"/>
                  <w:marRight w:val="0"/>
                  <w:marTop w:val="0"/>
                  <w:marBottom w:val="0"/>
                  <w:divBdr>
                    <w:top w:val="none" w:sz="0" w:space="0" w:color="auto"/>
                    <w:left w:val="none" w:sz="0" w:space="0" w:color="auto"/>
                    <w:bottom w:val="none" w:sz="0" w:space="0" w:color="auto"/>
                    <w:right w:val="none" w:sz="0" w:space="0" w:color="auto"/>
                  </w:divBdr>
                </w:div>
                <w:div w:id="156000400">
                  <w:marLeft w:val="0"/>
                  <w:marRight w:val="0"/>
                  <w:marTop w:val="0"/>
                  <w:marBottom w:val="0"/>
                  <w:divBdr>
                    <w:top w:val="none" w:sz="0" w:space="0" w:color="auto"/>
                    <w:left w:val="none" w:sz="0" w:space="0" w:color="auto"/>
                    <w:bottom w:val="none" w:sz="0" w:space="0" w:color="auto"/>
                    <w:right w:val="none" w:sz="0" w:space="0" w:color="auto"/>
                  </w:divBdr>
                </w:div>
                <w:div w:id="326791732">
                  <w:marLeft w:val="0"/>
                  <w:marRight w:val="0"/>
                  <w:marTop w:val="0"/>
                  <w:marBottom w:val="0"/>
                  <w:divBdr>
                    <w:top w:val="none" w:sz="0" w:space="0" w:color="auto"/>
                    <w:left w:val="none" w:sz="0" w:space="0" w:color="auto"/>
                    <w:bottom w:val="none" w:sz="0" w:space="0" w:color="auto"/>
                    <w:right w:val="none" w:sz="0" w:space="0" w:color="auto"/>
                  </w:divBdr>
                </w:div>
                <w:div w:id="1484468698">
                  <w:marLeft w:val="0"/>
                  <w:marRight w:val="0"/>
                  <w:marTop w:val="0"/>
                  <w:marBottom w:val="0"/>
                  <w:divBdr>
                    <w:top w:val="none" w:sz="0" w:space="0" w:color="auto"/>
                    <w:left w:val="none" w:sz="0" w:space="0" w:color="auto"/>
                    <w:bottom w:val="none" w:sz="0" w:space="0" w:color="auto"/>
                    <w:right w:val="none" w:sz="0" w:space="0" w:color="auto"/>
                  </w:divBdr>
                </w:div>
                <w:div w:id="353724958">
                  <w:marLeft w:val="0"/>
                  <w:marRight w:val="0"/>
                  <w:marTop w:val="0"/>
                  <w:marBottom w:val="0"/>
                  <w:divBdr>
                    <w:top w:val="none" w:sz="0" w:space="0" w:color="auto"/>
                    <w:left w:val="none" w:sz="0" w:space="0" w:color="auto"/>
                    <w:bottom w:val="none" w:sz="0" w:space="0" w:color="auto"/>
                    <w:right w:val="none" w:sz="0" w:space="0" w:color="auto"/>
                  </w:divBdr>
                </w:div>
                <w:div w:id="559287641">
                  <w:marLeft w:val="0"/>
                  <w:marRight w:val="0"/>
                  <w:marTop w:val="0"/>
                  <w:marBottom w:val="0"/>
                  <w:divBdr>
                    <w:top w:val="none" w:sz="0" w:space="0" w:color="auto"/>
                    <w:left w:val="none" w:sz="0" w:space="0" w:color="auto"/>
                    <w:bottom w:val="none" w:sz="0" w:space="0" w:color="auto"/>
                    <w:right w:val="none" w:sz="0" w:space="0" w:color="auto"/>
                  </w:divBdr>
                </w:div>
                <w:div w:id="407312509">
                  <w:marLeft w:val="0"/>
                  <w:marRight w:val="0"/>
                  <w:marTop w:val="0"/>
                  <w:marBottom w:val="0"/>
                  <w:divBdr>
                    <w:top w:val="none" w:sz="0" w:space="0" w:color="auto"/>
                    <w:left w:val="none" w:sz="0" w:space="0" w:color="auto"/>
                    <w:bottom w:val="none" w:sz="0" w:space="0" w:color="auto"/>
                    <w:right w:val="none" w:sz="0" w:space="0" w:color="auto"/>
                  </w:divBdr>
                </w:div>
                <w:div w:id="57560847">
                  <w:marLeft w:val="0"/>
                  <w:marRight w:val="0"/>
                  <w:marTop w:val="0"/>
                  <w:marBottom w:val="0"/>
                  <w:divBdr>
                    <w:top w:val="none" w:sz="0" w:space="0" w:color="auto"/>
                    <w:left w:val="none" w:sz="0" w:space="0" w:color="auto"/>
                    <w:bottom w:val="none" w:sz="0" w:space="0" w:color="auto"/>
                    <w:right w:val="none" w:sz="0" w:space="0" w:color="auto"/>
                  </w:divBdr>
                </w:div>
                <w:div w:id="41026798">
                  <w:marLeft w:val="0"/>
                  <w:marRight w:val="0"/>
                  <w:marTop w:val="0"/>
                  <w:marBottom w:val="0"/>
                  <w:divBdr>
                    <w:top w:val="none" w:sz="0" w:space="0" w:color="auto"/>
                    <w:left w:val="none" w:sz="0" w:space="0" w:color="auto"/>
                    <w:bottom w:val="none" w:sz="0" w:space="0" w:color="auto"/>
                    <w:right w:val="none" w:sz="0" w:space="0" w:color="auto"/>
                  </w:divBdr>
                </w:div>
                <w:div w:id="394668137">
                  <w:marLeft w:val="0"/>
                  <w:marRight w:val="0"/>
                  <w:marTop w:val="0"/>
                  <w:marBottom w:val="0"/>
                  <w:divBdr>
                    <w:top w:val="none" w:sz="0" w:space="0" w:color="auto"/>
                    <w:left w:val="none" w:sz="0" w:space="0" w:color="auto"/>
                    <w:bottom w:val="none" w:sz="0" w:space="0" w:color="auto"/>
                    <w:right w:val="none" w:sz="0" w:space="0" w:color="auto"/>
                  </w:divBdr>
                </w:div>
                <w:div w:id="1679193688">
                  <w:marLeft w:val="0"/>
                  <w:marRight w:val="0"/>
                  <w:marTop w:val="0"/>
                  <w:marBottom w:val="0"/>
                  <w:divBdr>
                    <w:top w:val="none" w:sz="0" w:space="0" w:color="auto"/>
                    <w:left w:val="none" w:sz="0" w:space="0" w:color="auto"/>
                    <w:bottom w:val="none" w:sz="0" w:space="0" w:color="auto"/>
                    <w:right w:val="none" w:sz="0" w:space="0" w:color="auto"/>
                  </w:divBdr>
                </w:div>
                <w:div w:id="1129780438">
                  <w:marLeft w:val="0"/>
                  <w:marRight w:val="0"/>
                  <w:marTop w:val="0"/>
                  <w:marBottom w:val="0"/>
                  <w:divBdr>
                    <w:top w:val="none" w:sz="0" w:space="0" w:color="auto"/>
                    <w:left w:val="none" w:sz="0" w:space="0" w:color="auto"/>
                    <w:bottom w:val="none" w:sz="0" w:space="0" w:color="auto"/>
                    <w:right w:val="none" w:sz="0" w:space="0" w:color="auto"/>
                  </w:divBdr>
                </w:div>
                <w:div w:id="1955745086">
                  <w:marLeft w:val="0"/>
                  <w:marRight w:val="0"/>
                  <w:marTop w:val="0"/>
                  <w:marBottom w:val="0"/>
                  <w:divBdr>
                    <w:top w:val="none" w:sz="0" w:space="0" w:color="auto"/>
                    <w:left w:val="none" w:sz="0" w:space="0" w:color="auto"/>
                    <w:bottom w:val="none" w:sz="0" w:space="0" w:color="auto"/>
                    <w:right w:val="none" w:sz="0" w:space="0" w:color="auto"/>
                  </w:divBdr>
                </w:div>
                <w:div w:id="1373647498">
                  <w:marLeft w:val="0"/>
                  <w:marRight w:val="0"/>
                  <w:marTop w:val="0"/>
                  <w:marBottom w:val="0"/>
                  <w:divBdr>
                    <w:top w:val="none" w:sz="0" w:space="0" w:color="auto"/>
                    <w:left w:val="none" w:sz="0" w:space="0" w:color="auto"/>
                    <w:bottom w:val="none" w:sz="0" w:space="0" w:color="auto"/>
                    <w:right w:val="none" w:sz="0" w:space="0" w:color="auto"/>
                  </w:divBdr>
                </w:div>
                <w:div w:id="1574468858">
                  <w:marLeft w:val="0"/>
                  <w:marRight w:val="0"/>
                  <w:marTop w:val="0"/>
                  <w:marBottom w:val="0"/>
                  <w:divBdr>
                    <w:top w:val="none" w:sz="0" w:space="0" w:color="auto"/>
                    <w:left w:val="none" w:sz="0" w:space="0" w:color="auto"/>
                    <w:bottom w:val="none" w:sz="0" w:space="0" w:color="auto"/>
                    <w:right w:val="none" w:sz="0" w:space="0" w:color="auto"/>
                  </w:divBdr>
                </w:div>
                <w:div w:id="884178882">
                  <w:marLeft w:val="0"/>
                  <w:marRight w:val="0"/>
                  <w:marTop w:val="0"/>
                  <w:marBottom w:val="0"/>
                  <w:divBdr>
                    <w:top w:val="none" w:sz="0" w:space="0" w:color="auto"/>
                    <w:left w:val="none" w:sz="0" w:space="0" w:color="auto"/>
                    <w:bottom w:val="none" w:sz="0" w:space="0" w:color="auto"/>
                    <w:right w:val="none" w:sz="0" w:space="0" w:color="auto"/>
                  </w:divBdr>
                </w:div>
                <w:div w:id="1409769962">
                  <w:marLeft w:val="0"/>
                  <w:marRight w:val="0"/>
                  <w:marTop w:val="0"/>
                  <w:marBottom w:val="0"/>
                  <w:divBdr>
                    <w:top w:val="none" w:sz="0" w:space="0" w:color="auto"/>
                    <w:left w:val="none" w:sz="0" w:space="0" w:color="auto"/>
                    <w:bottom w:val="none" w:sz="0" w:space="0" w:color="auto"/>
                    <w:right w:val="none" w:sz="0" w:space="0" w:color="auto"/>
                  </w:divBdr>
                </w:div>
                <w:div w:id="1796097596">
                  <w:marLeft w:val="0"/>
                  <w:marRight w:val="0"/>
                  <w:marTop w:val="0"/>
                  <w:marBottom w:val="0"/>
                  <w:divBdr>
                    <w:top w:val="none" w:sz="0" w:space="0" w:color="auto"/>
                    <w:left w:val="none" w:sz="0" w:space="0" w:color="auto"/>
                    <w:bottom w:val="none" w:sz="0" w:space="0" w:color="auto"/>
                    <w:right w:val="none" w:sz="0" w:space="0" w:color="auto"/>
                  </w:divBdr>
                </w:div>
                <w:div w:id="407919840">
                  <w:marLeft w:val="0"/>
                  <w:marRight w:val="0"/>
                  <w:marTop w:val="0"/>
                  <w:marBottom w:val="0"/>
                  <w:divBdr>
                    <w:top w:val="none" w:sz="0" w:space="0" w:color="auto"/>
                    <w:left w:val="none" w:sz="0" w:space="0" w:color="auto"/>
                    <w:bottom w:val="none" w:sz="0" w:space="0" w:color="auto"/>
                    <w:right w:val="none" w:sz="0" w:space="0" w:color="auto"/>
                  </w:divBdr>
                </w:div>
                <w:div w:id="322047853">
                  <w:marLeft w:val="0"/>
                  <w:marRight w:val="0"/>
                  <w:marTop w:val="0"/>
                  <w:marBottom w:val="0"/>
                  <w:divBdr>
                    <w:top w:val="none" w:sz="0" w:space="0" w:color="auto"/>
                    <w:left w:val="none" w:sz="0" w:space="0" w:color="auto"/>
                    <w:bottom w:val="none" w:sz="0" w:space="0" w:color="auto"/>
                    <w:right w:val="none" w:sz="0" w:space="0" w:color="auto"/>
                  </w:divBdr>
                </w:div>
                <w:div w:id="1373311906">
                  <w:marLeft w:val="0"/>
                  <w:marRight w:val="0"/>
                  <w:marTop w:val="0"/>
                  <w:marBottom w:val="0"/>
                  <w:divBdr>
                    <w:top w:val="none" w:sz="0" w:space="0" w:color="auto"/>
                    <w:left w:val="none" w:sz="0" w:space="0" w:color="auto"/>
                    <w:bottom w:val="none" w:sz="0" w:space="0" w:color="auto"/>
                    <w:right w:val="none" w:sz="0" w:space="0" w:color="auto"/>
                  </w:divBdr>
                </w:div>
                <w:div w:id="683170894">
                  <w:marLeft w:val="0"/>
                  <w:marRight w:val="0"/>
                  <w:marTop w:val="0"/>
                  <w:marBottom w:val="0"/>
                  <w:divBdr>
                    <w:top w:val="none" w:sz="0" w:space="0" w:color="auto"/>
                    <w:left w:val="none" w:sz="0" w:space="0" w:color="auto"/>
                    <w:bottom w:val="none" w:sz="0" w:space="0" w:color="auto"/>
                    <w:right w:val="none" w:sz="0" w:space="0" w:color="auto"/>
                  </w:divBdr>
                </w:div>
                <w:div w:id="1160999749">
                  <w:marLeft w:val="0"/>
                  <w:marRight w:val="0"/>
                  <w:marTop w:val="0"/>
                  <w:marBottom w:val="0"/>
                  <w:divBdr>
                    <w:top w:val="none" w:sz="0" w:space="0" w:color="auto"/>
                    <w:left w:val="none" w:sz="0" w:space="0" w:color="auto"/>
                    <w:bottom w:val="none" w:sz="0" w:space="0" w:color="auto"/>
                    <w:right w:val="none" w:sz="0" w:space="0" w:color="auto"/>
                  </w:divBdr>
                </w:div>
                <w:div w:id="1397511536">
                  <w:marLeft w:val="0"/>
                  <w:marRight w:val="0"/>
                  <w:marTop w:val="0"/>
                  <w:marBottom w:val="0"/>
                  <w:divBdr>
                    <w:top w:val="none" w:sz="0" w:space="0" w:color="auto"/>
                    <w:left w:val="none" w:sz="0" w:space="0" w:color="auto"/>
                    <w:bottom w:val="none" w:sz="0" w:space="0" w:color="auto"/>
                    <w:right w:val="none" w:sz="0" w:space="0" w:color="auto"/>
                  </w:divBdr>
                </w:div>
                <w:div w:id="1373923205">
                  <w:marLeft w:val="0"/>
                  <w:marRight w:val="0"/>
                  <w:marTop w:val="0"/>
                  <w:marBottom w:val="0"/>
                  <w:divBdr>
                    <w:top w:val="none" w:sz="0" w:space="0" w:color="auto"/>
                    <w:left w:val="none" w:sz="0" w:space="0" w:color="auto"/>
                    <w:bottom w:val="none" w:sz="0" w:space="0" w:color="auto"/>
                    <w:right w:val="none" w:sz="0" w:space="0" w:color="auto"/>
                  </w:divBdr>
                </w:div>
                <w:div w:id="90123219">
                  <w:marLeft w:val="0"/>
                  <w:marRight w:val="0"/>
                  <w:marTop w:val="0"/>
                  <w:marBottom w:val="0"/>
                  <w:divBdr>
                    <w:top w:val="none" w:sz="0" w:space="0" w:color="auto"/>
                    <w:left w:val="none" w:sz="0" w:space="0" w:color="auto"/>
                    <w:bottom w:val="none" w:sz="0" w:space="0" w:color="auto"/>
                    <w:right w:val="none" w:sz="0" w:space="0" w:color="auto"/>
                  </w:divBdr>
                </w:div>
                <w:div w:id="1220164254">
                  <w:marLeft w:val="0"/>
                  <w:marRight w:val="0"/>
                  <w:marTop w:val="0"/>
                  <w:marBottom w:val="0"/>
                  <w:divBdr>
                    <w:top w:val="none" w:sz="0" w:space="0" w:color="auto"/>
                    <w:left w:val="none" w:sz="0" w:space="0" w:color="auto"/>
                    <w:bottom w:val="none" w:sz="0" w:space="0" w:color="auto"/>
                    <w:right w:val="none" w:sz="0" w:space="0" w:color="auto"/>
                  </w:divBdr>
                </w:div>
                <w:div w:id="1504007312">
                  <w:marLeft w:val="0"/>
                  <w:marRight w:val="0"/>
                  <w:marTop w:val="0"/>
                  <w:marBottom w:val="0"/>
                  <w:divBdr>
                    <w:top w:val="none" w:sz="0" w:space="0" w:color="auto"/>
                    <w:left w:val="none" w:sz="0" w:space="0" w:color="auto"/>
                    <w:bottom w:val="none" w:sz="0" w:space="0" w:color="auto"/>
                    <w:right w:val="none" w:sz="0" w:space="0" w:color="auto"/>
                  </w:divBdr>
                </w:div>
                <w:div w:id="943876618">
                  <w:marLeft w:val="0"/>
                  <w:marRight w:val="0"/>
                  <w:marTop w:val="0"/>
                  <w:marBottom w:val="0"/>
                  <w:divBdr>
                    <w:top w:val="none" w:sz="0" w:space="0" w:color="auto"/>
                    <w:left w:val="none" w:sz="0" w:space="0" w:color="auto"/>
                    <w:bottom w:val="none" w:sz="0" w:space="0" w:color="auto"/>
                    <w:right w:val="none" w:sz="0" w:space="0" w:color="auto"/>
                  </w:divBdr>
                </w:div>
                <w:div w:id="938368012">
                  <w:marLeft w:val="0"/>
                  <w:marRight w:val="0"/>
                  <w:marTop w:val="0"/>
                  <w:marBottom w:val="0"/>
                  <w:divBdr>
                    <w:top w:val="none" w:sz="0" w:space="0" w:color="auto"/>
                    <w:left w:val="none" w:sz="0" w:space="0" w:color="auto"/>
                    <w:bottom w:val="none" w:sz="0" w:space="0" w:color="auto"/>
                    <w:right w:val="none" w:sz="0" w:space="0" w:color="auto"/>
                  </w:divBdr>
                </w:div>
                <w:div w:id="1355418341">
                  <w:marLeft w:val="0"/>
                  <w:marRight w:val="0"/>
                  <w:marTop w:val="0"/>
                  <w:marBottom w:val="0"/>
                  <w:divBdr>
                    <w:top w:val="none" w:sz="0" w:space="0" w:color="auto"/>
                    <w:left w:val="none" w:sz="0" w:space="0" w:color="auto"/>
                    <w:bottom w:val="none" w:sz="0" w:space="0" w:color="auto"/>
                    <w:right w:val="none" w:sz="0" w:space="0" w:color="auto"/>
                  </w:divBdr>
                </w:div>
                <w:div w:id="39596506">
                  <w:marLeft w:val="0"/>
                  <w:marRight w:val="0"/>
                  <w:marTop w:val="0"/>
                  <w:marBottom w:val="0"/>
                  <w:divBdr>
                    <w:top w:val="none" w:sz="0" w:space="0" w:color="auto"/>
                    <w:left w:val="none" w:sz="0" w:space="0" w:color="auto"/>
                    <w:bottom w:val="none" w:sz="0" w:space="0" w:color="auto"/>
                    <w:right w:val="none" w:sz="0" w:space="0" w:color="auto"/>
                  </w:divBdr>
                </w:div>
                <w:div w:id="383217510">
                  <w:marLeft w:val="0"/>
                  <w:marRight w:val="0"/>
                  <w:marTop w:val="0"/>
                  <w:marBottom w:val="0"/>
                  <w:divBdr>
                    <w:top w:val="none" w:sz="0" w:space="0" w:color="auto"/>
                    <w:left w:val="none" w:sz="0" w:space="0" w:color="auto"/>
                    <w:bottom w:val="none" w:sz="0" w:space="0" w:color="auto"/>
                    <w:right w:val="none" w:sz="0" w:space="0" w:color="auto"/>
                  </w:divBdr>
                </w:div>
                <w:div w:id="957569191">
                  <w:marLeft w:val="0"/>
                  <w:marRight w:val="0"/>
                  <w:marTop w:val="0"/>
                  <w:marBottom w:val="0"/>
                  <w:divBdr>
                    <w:top w:val="none" w:sz="0" w:space="0" w:color="auto"/>
                    <w:left w:val="none" w:sz="0" w:space="0" w:color="auto"/>
                    <w:bottom w:val="none" w:sz="0" w:space="0" w:color="auto"/>
                    <w:right w:val="none" w:sz="0" w:space="0" w:color="auto"/>
                  </w:divBdr>
                </w:div>
                <w:div w:id="473640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3530157">
      <w:bodyDiv w:val="1"/>
      <w:marLeft w:val="0"/>
      <w:marRight w:val="0"/>
      <w:marTop w:val="0"/>
      <w:marBottom w:val="0"/>
      <w:divBdr>
        <w:top w:val="none" w:sz="0" w:space="0" w:color="auto"/>
        <w:left w:val="none" w:sz="0" w:space="0" w:color="auto"/>
        <w:bottom w:val="none" w:sz="0" w:space="0" w:color="auto"/>
        <w:right w:val="none" w:sz="0" w:space="0" w:color="auto"/>
      </w:divBdr>
      <w:divsChild>
        <w:div w:id="1516534141">
          <w:marLeft w:val="0"/>
          <w:marRight w:val="0"/>
          <w:marTop w:val="0"/>
          <w:marBottom w:val="0"/>
          <w:divBdr>
            <w:top w:val="none" w:sz="0" w:space="0" w:color="auto"/>
            <w:left w:val="none" w:sz="0" w:space="0" w:color="auto"/>
            <w:bottom w:val="none" w:sz="0" w:space="0" w:color="auto"/>
            <w:right w:val="none" w:sz="0" w:space="0" w:color="auto"/>
          </w:divBdr>
          <w:divsChild>
            <w:div w:id="303434629">
              <w:marLeft w:val="0"/>
              <w:marRight w:val="0"/>
              <w:marTop w:val="0"/>
              <w:marBottom w:val="0"/>
              <w:divBdr>
                <w:top w:val="none" w:sz="0" w:space="0" w:color="auto"/>
                <w:left w:val="none" w:sz="0" w:space="0" w:color="auto"/>
                <w:bottom w:val="none" w:sz="0" w:space="0" w:color="auto"/>
                <w:right w:val="none" w:sz="0" w:space="0" w:color="auto"/>
              </w:divBdr>
            </w:div>
            <w:div w:id="1148520124">
              <w:marLeft w:val="0"/>
              <w:marRight w:val="0"/>
              <w:marTop w:val="0"/>
              <w:marBottom w:val="0"/>
              <w:divBdr>
                <w:top w:val="none" w:sz="0" w:space="0" w:color="auto"/>
                <w:left w:val="none" w:sz="0" w:space="0" w:color="auto"/>
                <w:bottom w:val="none" w:sz="0" w:space="0" w:color="auto"/>
                <w:right w:val="none" w:sz="0" w:space="0" w:color="auto"/>
              </w:divBdr>
              <w:divsChild>
                <w:div w:id="1731148956">
                  <w:marLeft w:val="0"/>
                  <w:marRight w:val="0"/>
                  <w:marTop w:val="0"/>
                  <w:marBottom w:val="0"/>
                  <w:divBdr>
                    <w:top w:val="none" w:sz="0" w:space="0" w:color="auto"/>
                    <w:left w:val="none" w:sz="0" w:space="0" w:color="auto"/>
                    <w:bottom w:val="none" w:sz="0" w:space="0" w:color="auto"/>
                    <w:right w:val="none" w:sz="0" w:space="0" w:color="auto"/>
                  </w:divBdr>
                  <w:divsChild>
                    <w:div w:id="1470712323">
                      <w:marLeft w:val="0"/>
                      <w:marRight w:val="0"/>
                      <w:marTop w:val="0"/>
                      <w:marBottom w:val="0"/>
                      <w:divBdr>
                        <w:top w:val="none" w:sz="0" w:space="0" w:color="auto"/>
                        <w:left w:val="none" w:sz="0" w:space="0" w:color="auto"/>
                        <w:bottom w:val="single" w:sz="6" w:space="12" w:color="DDDDDD"/>
                        <w:right w:val="none" w:sz="0" w:space="0" w:color="auto"/>
                      </w:divBdr>
                      <w:divsChild>
                        <w:div w:id="1815639738">
                          <w:marLeft w:val="0"/>
                          <w:marRight w:val="0"/>
                          <w:marTop w:val="0"/>
                          <w:marBottom w:val="0"/>
                          <w:divBdr>
                            <w:top w:val="none" w:sz="0" w:space="0" w:color="auto"/>
                            <w:left w:val="none" w:sz="0" w:space="0" w:color="auto"/>
                            <w:bottom w:val="none" w:sz="0" w:space="0" w:color="auto"/>
                            <w:right w:val="none" w:sz="0" w:space="0" w:color="auto"/>
                          </w:divBdr>
                          <w:divsChild>
                            <w:div w:id="1952711029">
                              <w:marLeft w:val="0"/>
                              <w:marRight w:val="0"/>
                              <w:marTop w:val="0"/>
                              <w:marBottom w:val="0"/>
                              <w:divBdr>
                                <w:top w:val="none" w:sz="0" w:space="0" w:color="auto"/>
                                <w:left w:val="none" w:sz="0" w:space="0" w:color="auto"/>
                                <w:bottom w:val="none" w:sz="0" w:space="0" w:color="auto"/>
                                <w:right w:val="none" w:sz="0" w:space="0" w:color="auto"/>
                              </w:divBdr>
                              <w:divsChild>
                                <w:div w:id="171917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7070821">
                      <w:marLeft w:val="0"/>
                      <w:marRight w:val="0"/>
                      <w:marTop w:val="0"/>
                      <w:marBottom w:val="0"/>
                      <w:divBdr>
                        <w:top w:val="none" w:sz="0" w:space="0" w:color="auto"/>
                        <w:left w:val="none" w:sz="0" w:space="0" w:color="auto"/>
                        <w:bottom w:val="single" w:sz="6" w:space="12" w:color="DDDDDD"/>
                        <w:right w:val="none" w:sz="0" w:space="0" w:color="auto"/>
                      </w:divBdr>
                      <w:divsChild>
                        <w:div w:id="1744331668">
                          <w:marLeft w:val="0"/>
                          <w:marRight w:val="0"/>
                          <w:marTop w:val="0"/>
                          <w:marBottom w:val="0"/>
                          <w:divBdr>
                            <w:top w:val="none" w:sz="0" w:space="0" w:color="auto"/>
                            <w:left w:val="none" w:sz="0" w:space="0" w:color="auto"/>
                            <w:bottom w:val="none" w:sz="0" w:space="0" w:color="auto"/>
                            <w:right w:val="none" w:sz="0" w:space="0" w:color="auto"/>
                          </w:divBdr>
                          <w:divsChild>
                            <w:div w:id="836307040">
                              <w:marLeft w:val="0"/>
                              <w:marRight w:val="0"/>
                              <w:marTop w:val="0"/>
                              <w:marBottom w:val="0"/>
                              <w:divBdr>
                                <w:top w:val="none" w:sz="0" w:space="0" w:color="auto"/>
                                <w:left w:val="none" w:sz="0" w:space="0" w:color="auto"/>
                                <w:bottom w:val="none" w:sz="0" w:space="0" w:color="auto"/>
                                <w:right w:val="none" w:sz="0" w:space="0" w:color="auto"/>
                              </w:divBdr>
                              <w:divsChild>
                                <w:div w:id="2076393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9341764">
                      <w:marLeft w:val="0"/>
                      <w:marRight w:val="0"/>
                      <w:marTop w:val="0"/>
                      <w:marBottom w:val="0"/>
                      <w:divBdr>
                        <w:top w:val="none" w:sz="0" w:space="0" w:color="auto"/>
                        <w:left w:val="none" w:sz="0" w:space="0" w:color="auto"/>
                        <w:bottom w:val="single" w:sz="6" w:space="12" w:color="DDDDDD"/>
                        <w:right w:val="none" w:sz="0" w:space="0" w:color="auto"/>
                      </w:divBdr>
                      <w:divsChild>
                        <w:div w:id="636183471">
                          <w:marLeft w:val="0"/>
                          <w:marRight w:val="0"/>
                          <w:marTop w:val="0"/>
                          <w:marBottom w:val="0"/>
                          <w:divBdr>
                            <w:top w:val="none" w:sz="0" w:space="0" w:color="auto"/>
                            <w:left w:val="none" w:sz="0" w:space="0" w:color="auto"/>
                            <w:bottom w:val="none" w:sz="0" w:space="0" w:color="auto"/>
                            <w:right w:val="none" w:sz="0" w:space="0" w:color="auto"/>
                          </w:divBdr>
                          <w:divsChild>
                            <w:div w:id="26874559">
                              <w:marLeft w:val="0"/>
                              <w:marRight w:val="0"/>
                              <w:marTop w:val="0"/>
                              <w:marBottom w:val="0"/>
                              <w:divBdr>
                                <w:top w:val="none" w:sz="0" w:space="0" w:color="auto"/>
                                <w:left w:val="none" w:sz="0" w:space="0" w:color="auto"/>
                                <w:bottom w:val="none" w:sz="0" w:space="0" w:color="auto"/>
                                <w:right w:val="none" w:sz="0" w:space="0" w:color="auto"/>
                              </w:divBdr>
                              <w:divsChild>
                                <w:div w:id="941497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8371530">
                      <w:marLeft w:val="0"/>
                      <w:marRight w:val="0"/>
                      <w:marTop w:val="0"/>
                      <w:marBottom w:val="0"/>
                      <w:divBdr>
                        <w:top w:val="none" w:sz="0" w:space="0" w:color="auto"/>
                        <w:left w:val="none" w:sz="0" w:space="0" w:color="auto"/>
                        <w:bottom w:val="single" w:sz="6" w:space="12" w:color="DDDDDD"/>
                        <w:right w:val="none" w:sz="0" w:space="0" w:color="auto"/>
                      </w:divBdr>
                      <w:divsChild>
                        <w:div w:id="775825864">
                          <w:marLeft w:val="0"/>
                          <w:marRight w:val="0"/>
                          <w:marTop w:val="0"/>
                          <w:marBottom w:val="0"/>
                          <w:divBdr>
                            <w:top w:val="none" w:sz="0" w:space="0" w:color="auto"/>
                            <w:left w:val="none" w:sz="0" w:space="0" w:color="auto"/>
                            <w:bottom w:val="none" w:sz="0" w:space="0" w:color="auto"/>
                            <w:right w:val="none" w:sz="0" w:space="0" w:color="auto"/>
                          </w:divBdr>
                          <w:divsChild>
                            <w:div w:id="219248423">
                              <w:marLeft w:val="0"/>
                              <w:marRight w:val="0"/>
                              <w:marTop w:val="0"/>
                              <w:marBottom w:val="0"/>
                              <w:divBdr>
                                <w:top w:val="none" w:sz="0" w:space="0" w:color="auto"/>
                                <w:left w:val="none" w:sz="0" w:space="0" w:color="auto"/>
                                <w:bottom w:val="none" w:sz="0" w:space="0" w:color="auto"/>
                                <w:right w:val="none" w:sz="0" w:space="0" w:color="auto"/>
                              </w:divBdr>
                              <w:divsChild>
                                <w:div w:id="204414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2209133">
                      <w:marLeft w:val="0"/>
                      <w:marRight w:val="0"/>
                      <w:marTop w:val="0"/>
                      <w:marBottom w:val="0"/>
                      <w:divBdr>
                        <w:top w:val="none" w:sz="0" w:space="0" w:color="auto"/>
                        <w:left w:val="none" w:sz="0" w:space="0" w:color="auto"/>
                        <w:bottom w:val="single" w:sz="6" w:space="12" w:color="DDDDDD"/>
                        <w:right w:val="none" w:sz="0" w:space="0" w:color="auto"/>
                      </w:divBdr>
                      <w:divsChild>
                        <w:div w:id="1905792971">
                          <w:marLeft w:val="0"/>
                          <w:marRight w:val="0"/>
                          <w:marTop w:val="0"/>
                          <w:marBottom w:val="0"/>
                          <w:divBdr>
                            <w:top w:val="none" w:sz="0" w:space="0" w:color="auto"/>
                            <w:left w:val="none" w:sz="0" w:space="0" w:color="auto"/>
                            <w:bottom w:val="none" w:sz="0" w:space="0" w:color="auto"/>
                            <w:right w:val="none" w:sz="0" w:space="0" w:color="auto"/>
                          </w:divBdr>
                          <w:divsChild>
                            <w:div w:id="1557471287">
                              <w:marLeft w:val="0"/>
                              <w:marRight w:val="0"/>
                              <w:marTop w:val="0"/>
                              <w:marBottom w:val="0"/>
                              <w:divBdr>
                                <w:top w:val="none" w:sz="0" w:space="0" w:color="auto"/>
                                <w:left w:val="none" w:sz="0" w:space="0" w:color="auto"/>
                                <w:bottom w:val="none" w:sz="0" w:space="0" w:color="auto"/>
                                <w:right w:val="none" w:sz="0" w:space="0" w:color="auto"/>
                              </w:divBdr>
                              <w:divsChild>
                                <w:div w:id="1555114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0808519">
                      <w:marLeft w:val="0"/>
                      <w:marRight w:val="0"/>
                      <w:marTop w:val="0"/>
                      <w:marBottom w:val="0"/>
                      <w:divBdr>
                        <w:top w:val="none" w:sz="0" w:space="0" w:color="auto"/>
                        <w:left w:val="none" w:sz="0" w:space="0" w:color="auto"/>
                        <w:bottom w:val="single" w:sz="6" w:space="12" w:color="DDDDDD"/>
                        <w:right w:val="none" w:sz="0" w:space="0" w:color="auto"/>
                      </w:divBdr>
                      <w:divsChild>
                        <w:div w:id="2132169385">
                          <w:marLeft w:val="0"/>
                          <w:marRight w:val="0"/>
                          <w:marTop w:val="0"/>
                          <w:marBottom w:val="0"/>
                          <w:divBdr>
                            <w:top w:val="none" w:sz="0" w:space="0" w:color="auto"/>
                            <w:left w:val="none" w:sz="0" w:space="0" w:color="auto"/>
                            <w:bottom w:val="none" w:sz="0" w:space="0" w:color="auto"/>
                            <w:right w:val="none" w:sz="0" w:space="0" w:color="auto"/>
                          </w:divBdr>
                          <w:divsChild>
                            <w:div w:id="1540976324">
                              <w:marLeft w:val="0"/>
                              <w:marRight w:val="0"/>
                              <w:marTop w:val="0"/>
                              <w:marBottom w:val="0"/>
                              <w:divBdr>
                                <w:top w:val="none" w:sz="0" w:space="0" w:color="auto"/>
                                <w:left w:val="none" w:sz="0" w:space="0" w:color="auto"/>
                                <w:bottom w:val="none" w:sz="0" w:space="0" w:color="auto"/>
                                <w:right w:val="none" w:sz="0" w:space="0" w:color="auto"/>
                              </w:divBdr>
                              <w:divsChild>
                                <w:div w:id="1309826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9553302">
                      <w:marLeft w:val="0"/>
                      <w:marRight w:val="0"/>
                      <w:marTop w:val="0"/>
                      <w:marBottom w:val="0"/>
                      <w:divBdr>
                        <w:top w:val="none" w:sz="0" w:space="0" w:color="auto"/>
                        <w:left w:val="none" w:sz="0" w:space="0" w:color="auto"/>
                        <w:bottom w:val="single" w:sz="6" w:space="12" w:color="DDDDDD"/>
                        <w:right w:val="none" w:sz="0" w:space="0" w:color="auto"/>
                      </w:divBdr>
                      <w:divsChild>
                        <w:div w:id="1021516999">
                          <w:marLeft w:val="0"/>
                          <w:marRight w:val="0"/>
                          <w:marTop w:val="0"/>
                          <w:marBottom w:val="0"/>
                          <w:divBdr>
                            <w:top w:val="none" w:sz="0" w:space="0" w:color="auto"/>
                            <w:left w:val="none" w:sz="0" w:space="0" w:color="auto"/>
                            <w:bottom w:val="none" w:sz="0" w:space="0" w:color="auto"/>
                            <w:right w:val="none" w:sz="0" w:space="0" w:color="auto"/>
                          </w:divBdr>
                          <w:divsChild>
                            <w:div w:id="197161106">
                              <w:marLeft w:val="0"/>
                              <w:marRight w:val="0"/>
                              <w:marTop w:val="0"/>
                              <w:marBottom w:val="0"/>
                              <w:divBdr>
                                <w:top w:val="none" w:sz="0" w:space="0" w:color="auto"/>
                                <w:left w:val="none" w:sz="0" w:space="0" w:color="auto"/>
                                <w:bottom w:val="none" w:sz="0" w:space="0" w:color="auto"/>
                                <w:right w:val="none" w:sz="0" w:space="0" w:color="auto"/>
                              </w:divBdr>
                              <w:divsChild>
                                <w:div w:id="2013599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0440855">
                      <w:marLeft w:val="0"/>
                      <w:marRight w:val="0"/>
                      <w:marTop w:val="0"/>
                      <w:marBottom w:val="0"/>
                      <w:divBdr>
                        <w:top w:val="none" w:sz="0" w:space="0" w:color="auto"/>
                        <w:left w:val="none" w:sz="0" w:space="0" w:color="auto"/>
                        <w:bottom w:val="single" w:sz="6" w:space="12" w:color="DDDDDD"/>
                        <w:right w:val="none" w:sz="0" w:space="0" w:color="auto"/>
                      </w:divBdr>
                      <w:divsChild>
                        <w:div w:id="511576354">
                          <w:marLeft w:val="0"/>
                          <w:marRight w:val="0"/>
                          <w:marTop w:val="0"/>
                          <w:marBottom w:val="0"/>
                          <w:divBdr>
                            <w:top w:val="none" w:sz="0" w:space="0" w:color="auto"/>
                            <w:left w:val="none" w:sz="0" w:space="0" w:color="auto"/>
                            <w:bottom w:val="none" w:sz="0" w:space="0" w:color="auto"/>
                            <w:right w:val="none" w:sz="0" w:space="0" w:color="auto"/>
                          </w:divBdr>
                          <w:divsChild>
                            <w:div w:id="1795177527">
                              <w:marLeft w:val="0"/>
                              <w:marRight w:val="0"/>
                              <w:marTop w:val="0"/>
                              <w:marBottom w:val="0"/>
                              <w:divBdr>
                                <w:top w:val="none" w:sz="0" w:space="0" w:color="auto"/>
                                <w:left w:val="none" w:sz="0" w:space="0" w:color="auto"/>
                                <w:bottom w:val="none" w:sz="0" w:space="0" w:color="auto"/>
                                <w:right w:val="none" w:sz="0" w:space="0" w:color="auto"/>
                              </w:divBdr>
                              <w:divsChild>
                                <w:div w:id="1677536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56677">
                      <w:marLeft w:val="0"/>
                      <w:marRight w:val="0"/>
                      <w:marTop w:val="0"/>
                      <w:marBottom w:val="0"/>
                      <w:divBdr>
                        <w:top w:val="none" w:sz="0" w:space="0" w:color="auto"/>
                        <w:left w:val="none" w:sz="0" w:space="0" w:color="auto"/>
                        <w:bottom w:val="single" w:sz="6" w:space="12" w:color="DDDDDD"/>
                        <w:right w:val="none" w:sz="0" w:space="0" w:color="auto"/>
                      </w:divBdr>
                      <w:divsChild>
                        <w:div w:id="1195999228">
                          <w:marLeft w:val="0"/>
                          <w:marRight w:val="0"/>
                          <w:marTop w:val="0"/>
                          <w:marBottom w:val="0"/>
                          <w:divBdr>
                            <w:top w:val="none" w:sz="0" w:space="0" w:color="auto"/>
                            <w:left w:val="none" w:sz="0" w:space="0" w:color="auto"/>
                            <w:bottom w:val="none" w:sz="0" w:space="0" w:color="auto"/>
                            <w:right w:val="none" w:sz="0" w:space="0" w:color="auto"/>
                          </w:divBdr>
                          <w:divsChild>
                            <w:div w:id="945230537">
                              <w:marLeft w:val="0"/>
                              <w:marRight w:val="0"/>
                              <w:marTop w:val="0"/>
                              <w:marBottom w:val="0"/>
                              <w:divBdr>
                                <w:top w:val="none" w:sz="0" w:space="0" w:color="auto"/>
                                <w:left w:val="none" w:sz="0" w:space="0" w:color="auto"/>
                                <w:bottom w:val="none" w:sz="0" w:space="0" w:color="auto"/>
                                <w:right w:val="none" w:sz="0" w:space="0" w:color="auto"/>
                              </w:divBdr>
                              <w:divsChild>
                                <w:div w:id="1689214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8575872">
                      <w:marLeft w:val="0"/>
                      <w:marRight w:val="0"/>
                      <w:marTop w:val="0"/>
                      <w:marBottom w:val="0"/>
                      <w:divBdr>
                        <w:top w:val="none" w:sz="0" w:space="0" w:color="auto"/>
                        <w:left w:val="none" w:sz="0" w:space="0" w:color="auto"/>
                        <w:bottom w:val="single" w:sz="6" w:space="12" w:color="DDDDDD"/>
                        <w:right w:val="none" w:sz="0" w:space="0" w:color="auto"/>
                      </w:divBdr>
                      <w:divsChild>
                        <w:div w:id="1109163344">
                          <w:marLeft w:val="0"/>
                          <w:marRight w:val="0"/>
                          <w:marTop w:val="0"/>
                          <w:marBottom w:val="0"/>
                          <w:divBdr>
                            <w:top w:val="none" w:sz="0" w:space="0" w:color="auto"/>
                            <w:left w:val="none" w:sz="0" w:space="0" w:color="auto"/>
                            <w:bottom w:val="none" w:sz="0" w:space="0" w:color="auto"/>
                            <w:right w:val="none" w:sz="0" w:space="0" w:color="auto"/>
                          </w:divBdr>
                          <w:divsChild>
                            <w:div w:id="1343125687">
                              <w:marLeft w:val="0"/>
                              <w:marRight w:val="0"/>
                              <w:marTop w:val="0"/>
                              <w:marBottom w:val="0"/>
                              <w:divBdr>
                                <w:top w:val="none" w:sz="0" w:space="0" w:color="auto"/>
                                <w:left w:val="none" w:sz="0" w:space="0" w:color="auto"/>
                                <w:bottom w:val="none" w:sz="0" w:space="0" w:color="auto"/>
                                <w:right w:val="none" w:sz="0" w:space="0" w:color="auto"/>
                              </w:divBdr>
                              <w:divsChild>
                                <w:div w:id="1673795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4011312">
                      <w:marLeft w:val="0"/>
                      <w:marRight w:val="0"/>
                      <w:marTop w:val="0"/>
                      <w:marBottom w:val="0"/>
                      <w:divBdr>
                        <w:top w:val="none" w:sz="0" w:space="0" w:color="auto"/>
                        <w:left w:val="none" w:sz="0" w:space="0" w:color="auto"/>
                        <w:bottom w:val="single" w:sz="6" w:space="12" w:color="DDDDDD"/>
                        <w:right w:val="none" w:sz="0" w:space="0" w:color="auto"/>
                      </w:divBdr>
                      <w:divsChild>
                        <w:div w:id="182746533">
                          <w:marLeft w:val="0"/>
                          <w:marRight w:val="0"/>
                          <w:marTop w:val="0"/>
                          <w:marBottom w:val="0"/>
                          <w:divBdr>
                            <w:top w:val="none" w:sz="0" w:space="0" w:color="auto"/>
                            <w:left w:val="none" w:sz="0" w:space="0" w:color="auto"/>
                            <w:bottom w:val="none" w:sz="0" w:space="0" w:color="auto"/>
                            <w:right w:val="none" w:sz="0" w:space="0" w:color="auto"/>
                          </w:divBdr>
                          <w:divsChild>
                            <w:div w:id="802430158">
                              <w:marLeft w:val="0"/>
                              <w:marRight w:val="0"/>
                              <w:marTop w:val="0"/>
                              <w:marBottom w:val="0"/>
                              <w:divBdr>
                                <w:top w:val="none" w:sz="0" w:space="0" w:color="auto"/>
                                <w:left w:val="none" w:sz="0" w:space="0" w:color="auto"/>
                                <w:bottom w:val="none" w:sz="0" w:space="0" w:color="auto"/>
                                <w:right w:val="none" w:sz="0" w:space="0" w:color="auto"/>
                              </w:divBdr>
                              <w:divsChild>
                                <w:div w:id="277302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3195125">
                      <w:marLeft w:val="0"/>
                      <w:marRight w:val="0"/>
                      <w:marTop w:val="0"/>
                      <w:marBottom w:val="0"/>
                      <w:divBdr>
                        <w:top w:val="none" w:sz="0" w:space="0" w:color="auto"/>
                        <w:left w:val="none" w:sz="0" w:space="0" w:color="auto"/>
                        <w:bottom w:val="single" w:sz="6" w:space="12" w:color="DDDDDD"/>
                        <w:right w:val="none" w:sz="0" w:space="0" w:color="auto"/>
                      </w:divBdr>
                      <w:divsChild>
                        <w:div w:id="1258707926">
                          <w:marLeft w:val="0"/>
                          <w:marRight w:val="0"/>
                          <w:marTop w:val="0"/>
                          <w:marBottom w:val="0"/>
                          <w:divBdr>
                            <w:top w:val="none" w:sz="0" w:space="0" w:color="auto"/>
                            <w:left w:val="none" w:sz="0" w:space="0" w:color="auto"/>
                            <w:bottom w:val="none" w:sz="0" w:space="0" w:color="auto"/>
                            <w:right w:val="none" w:sz="0" w:space="0" w:color="auto"/>
                          </w:divBdr>
                          <w:divsChild>
                            <w:div w:id="789124696">
                              <w:marLeft w:val="0"/>
                              <w:marRight w:val="0"/>
                              <w:marTop w:val="0"/>
                              <w:marBottom w:val="0"/>
                              <w:divBdr>
                                <w:top w:val="none" w:sz="0" w:space="0" w:color="auto"/>
                                <w:left w:val="none" w:sz="0" w:space="0" w:color="auto"/>
                                <w:bottom w:val="none" w:sz="0" w:space="0" w:color="auto"/>
                                <w:right w:val="none" w:sz="0" w:space="0" w:color="auto"/>
                              </w:divBdr>
                              <w:divsChild>
                                <w:div w:id="1889950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2798519">
                      <w:marLeft w:val="0"/>
                      <w:marRight w:val="0"/>
                      <w:marTop w:val="0"/>
                      <w:marBottom w:val="0"/>
                      <w:divBdr>
                        <w:top w:val="none" w:sz="0" w:space="0" w:color="auto"/>
                        <w:left w:val="none" w:sz="0" w:space="0" w:color="auto"/>
                        <w:bottom w:val="single" w:sz="6" w:space="12" w:color="DDDDDD"/>
                        <w:right w:val="none" w:sz="0" w:space="0" w:color="auto"/>
                      </w:divBdr>
                      <w:divsChild>
                        <w:div w:id="802818702">
                          <w:marLeft w:val="0"/>
                          <w:marRight w:val="0"/>
                          <w:marTop w:val="0"/>
                          <w:marBottom w:val="0"/>
                          <w:divBdr>
                            <w:top w:val="none" w:sz="0" w:space="0" w:color="auto"/>
                            <w:left w:val="none" w:sz="0" w:space="0" w:color="auto"/>
                            <w:bottom w:val="none" w:sz="0" w:space="0" w:color="auto"/>
                            <w:right w:val="none" w:sz="0" w:space="0" w:color="auto"/>
                          </w:divBdr>
                          <w:divsChild>
                            <w:div w:id="1904947054">
                              <w:marLeft w:val="0"/>
                              <w:marRight w:val="0"/>
                              <w:marTop w:val="0"/>
                              <w:marBottom w:val="0"/>
                              <w:divBdr>
                                <w:top w:val="none" w:sz="0" w:space="0" w:color="auto"/>
                                <w:left w:val="none" w:sz="0" w:space="0" w:color="auto"/>
                                <w:bottom w:val="none" w:sz="0" w:space="0" w:color="auto"/>
                                <w:right w:val="none" w:sz="0" w:space="0" w:color="auto"/>
                              </w:divBdr>
                              <w:divsChild>
                                <w:div w:id="930502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9139402">
                      <w:marLeft w:val="0"/>
                      <w:marRight w:val="0"/>
                      <w:marTop w:val="0"/>
                      <w:marBottom w:val="0"/>
                      <w:divBdr>
                        <w:top w:val="none" w:sz="0" w:space="0" w:color="auto"/>
                        <w:left w:val="none" w:sz="0" w:space="0" w:color="auto"/>
                        <w:bottom w:val="single" w:sz="6" w:space="12" w:color="DDDDDD"/>
                        <w:right w:val="none" w:sz="0" w:space="0" w:color="auto"/>
                      </w:divBdr>
                      <w:divsChild>
                        <w:div w:id="617956285">
                          <w:marLeft w:val="0"/>
                          <w:marRight w:val="0"/>
                          <w:marTop w:val="0"/>
                          <w:marBottom w:val="0"/>
                          <w:divBdr>
                            <w:top w:val="none" w:sz="0" w:space="0" w:color="auto"/>
                            <w:left w:val="none" w:sz="0" w:space="0" w:color="auto"/>
                            <w:bottom w:val="none" w:sz="0" w:space="0" w:color="auto"/>
                            <w:right w:val="none" w:sz="0" w:space="0" w:color="auto"/>
                          </w:divBdr>
                          <w:divsChild>
                            <w:div w:id="664406431">
                              <w:marLeft w:val="0"/>
                              <w:marRight w:val="0"/>
                              <w:marTop w:val="0"/>
                              <w:marBottom w:val="0"/>
                              <w:divBdr>
                                <w:top w:val="none" w:sz="0" w:space="0" w:color="auto"/>
                                <w:left w:val="none" w:sz="0" w:space="0" w:color="auto"/>
                                <w:bottom w:val="none" w:sz="0" w:space="0" w:color="auto"/>
                                <w:right w:val="none" w:sz="0" w:space="0" w:color="auto"/>
                              </w:divBdr>
                              <w:divsChild>
                                <w:div w:id="255016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8120948">
                      <w:marLeft w:val="0"/>
                      <w:marRight w:val="0"/>
                      <w:marTop w:val="0"/>
                      <w:marBottom w:val="0"/>
                      <w:divBdr>
                        <w:top w:val="none" w:sz="0" w:space="0" w:color="auto"/>
                        <w:left w:val="none" w:sz="0" w:space="0" w:color="auto"/>
                        <w:bottom w:val="single" w:sz="6" w:space="12" w:color="DDDDDD"/>
                        <w:right w:val="none" w:sz="0" w:space="0" w:color="auto"/>
                      </w:divBdr>
                      <w:divsChild>
                        <w:div w:id="255788904">
                          <w:marLeft w:val="0"/>
                          <w:marRight w:val="0"/>
                          <w:marTop w:val="0"/>
                          <w:marBottom w:val="0"/>
                          <w:divBdr>
                            <w:top w:val="none" w:sz="0" w:space="0" w:color="auto"/>
                            <w:left w:val="none" w:sz="0" w:space="0" w:color="auto"/>
                            <w:bottom w:val="none" w:sz="0" w:space="0" w:color="auto"/>
                            <w:right w:val="none" w:sz="0" w:space="0" w:color="auto"/>
                          </w:divBdr>
                          <w:divsChild>
                            <w:div w:id="1396246632">
                              <w:marLeft w:val="0"/>
                              <w:marRight w:val="0"/>
                              <w:marTop w:val="0"/>
                              <w:marBottom w:val="0"/>
                              <w:divBdr>
                                <w:top w:val="none" w:sz="0" w:space="0" w:color="auto"/>
                                <w:left w:val="none" w:sz="0" w:space="0" w:color="auto"/>
                                <w:bottom w:val="none" w:sz="0" w:space="0" w:color="auto"/>
                                <w:right w:val="none" w:sz="0" w:space="0" w:color="auto"/>
                              </w:divBdr>
                              <w:divsChild>
                                <w:div w:id="145434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1556583">
                      <w:marLeft w:val="0"/>
                      <w:marRight w:val="0"/>
                      <w:marTop w:val="0"/>
                      <w:marBottom w:val="0"/>
                      <w:divBdr>
                        <w:top w:val="none" w:sz="0" w:space="0" w:color="auto"/>
                        <w:left w:val="none" w:sz="0" w:space="0" w:color="auto"/>
                        <w:bottom w:val="single" w:sz="6" w:space="12" w:color="DDDDDD"/>
                        <w:right w:val="none" w:sz="0" w:space="0" w:color="auto"/>
                      </w:divBdr>
                      <w:divsChild>
                        <w:div w:id="471412905">
                          <w:marLeft w:val="0"/>
                          <w:marRight w:val="0"/>
                          <w:marTop w:val="0"/>
                          <w:marBottom w:val="0"/>
                          <w:divBdr>
                            <w:top w:val="none" w:sz="0" w:space="0" w:color="auto"/>
                            <w:left w:val="none" w:sz="0" w:space="0" w:color="auto"/>
                            <w:bottom w:val="none" w:sz="0" w:space="0" w:color="auto"/>
                            <w:right w:val="none" w:sz="0" w:space="0" w:color="auto"/>
                          </w:divBdr>
                          <w:divsChild>
                            <w:div w:id="555549213">
                              <w:marLeft w:val="0"/>
                              <w:marRight w:val="0"/>
                              <w:marTop w:val="0"/>
                              <w:marBottom w:val="0"/>
                              <w:divBdr>
                                <w:top w:val="none" w:sz="0" w:space="0" w:color="auto"/>
                                <w:left w:val="none" w:sz="0" w:space="0" w:color="auto"/>
                                <w:bottom w:val="none" w:sz="0" w:space="0" w:color="auto"/>
                                <w:right w:val="none" w:sz="0" w:space="0" w:color="auto"/>
                              </w:divBdr>
                              <w:divsChild>
                                <w:div w:id="1909682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6381218">
                      <w:marLeft w:val="0"/>
                      <w:marRight w:val="0"/>
                      <w:marTop w:val="0"/>
                      <w:marBottom w:val="0"/>
                      <w:divBdr>
                        <w:top w:val="none" w:sz="0" w:space="0" w:color="auto"/>
                        <w:left w:val="none" w:sz="0" w:space="0" w:color="auto"/>
                        <w:bottom w:val="single" w:sz="6" w:space="12" w:color="DDDDDD"/>
                        <w:right w:val="none" w:sz="0" w:space="0" w:color="auto"/>
                      </w:divBdr>
                      <w:divsChild>
                        <w:div w:id="1090810112">
                          <w:marLeft w:val="0"/>
                          <w:marRight w:val="0"/>
                          <w:marTop w:val="0"/>
                          <w:marBottom w:val="0"/>
                          <w:divBdr>
                            <w:top w:val="none" w:sz="0" w:space="0" w:color="auto"/>
                            <w:left w:val="none" w:sz="0" w:space="0" w:color="auto"/>
                            <w:bottom w:val="none" w:sz="0" w:space="0" w:color="auto"/>
                            <w:right w:val="none" w:sz="0" w:space="0" w:color="auto"/>
                          </w:divBdr>
                          <w:divsChild>
                            <w:div w:id="1762532192">
                              <w:marLeft w:val="0"/>
                              <w:marRight w:val="0"/>
                              <w:marTop w:val="0"/>
                              <w:marBottom w:val="0"/>
                              <w:divBdr>
                                <w:top w:val="none" w:sz="0" w:space="0" w:color="auto"/>
                                <w:left w:val="none" w:sz="0" w:space="0" w:color="auto"/>
                                <w:bottom w:val="none" w:sz="0" w:space="0" w:color="auto"/>
                                <w:right w:val="none" w:sz="0" w:space="0" w:color="auto"/>
                              </w:divBdr>
                              <w:divsChild>
                                <w:div w:id="984703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8642990">
                      <w:marLeft w:val="0"/>
                      <w:marRight w:val="0"/>
                      <w:marTop w:val="0"/>
                      <w:marBottom w:val="0"/>
                      <w:divBdr>
                        <w:top w:val="none" w:sz="0" w:space="0" w:color="auto"/>
                        <w:left w:val="none" w:sz="0" w:space="0" w:color="auto"/>
                        <w:bottom w:val="single" w:sz="6" w:space="12" w:color="DDDDDD"/>
                        <w:right w:val="none" w:sz="0" w:space="0" w:color="auto"/>
                      </w:divBdr>
                      <w:divsChild>
                        <w:div w:id="1387030536">
                          <w:marLeft w:val="0"/>
                          <w:marRight w:val="0"/>
                          <w:marTop w:val="0"/>
                          <w:marBottom w:val="0"/>
                          <w:divBdr>
                            <w:top w:val="none" w:sz="0" w:space="0" w:color="auto"/>
                            <w:left w:val="none" w:sz="0" w:space="0" w:color="auto"/>
                            <w:bottom w:val="none" w:sz="0" w:space="0" w:color="auto"/>
                            <w:right w:val="none" w:sz="0" w:space="0" w:color="auto"/>
                          </w:divBdr>
                          <w:divsChild>
                            <w:div w:id="1207794222">
                              <w:marLeft w:val="0"/>
                              <w:marRight w:val="0"/>
                              <w:marTop w:val="0"/>
                              <w:marBottom w:val="0"/>
                              <w:divBdr>
                                <w:top w:val="none" w:sz="0" w:space="0" w:color="auto"/>
                                <w:left w:val="none" w:sz="0" w:space="0" w:color="auto"/>
                                <w:bottom w:val="none" w:sz="0" w:space="0" w:color="auto"/>
                                <w:right w:val="none" w:sz="0" w:space="0" w:color="auto"/>
                              </w:divBdr>
                              <w:divsChild>
                                <w:div w:id="22481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2756681">
                      <w:marLeft w:val="0"/>
                      <w:marRight w:val="0"/>
                      <w:marTop w:val="0"/>
                      <w:marBottom w:val="0"/>
                      <w:divBdr>
                        <w:top w:val="none" w:sz="0" w:space="0" w:color="auto"/>
                        <w:left w:val="none" w:sz="0" w:space="0" w:color="auto"/>
                        <w:bottom w:val="single" w:sz="6" w:space="12" w:color="DDDDDD"/>
                        <w:right w:val="none" w:sz="0" w:space="0" w:color="auto"/>
                      </w:divBdr>
                      <w:divsChild>
                        <w:div w:id="140000578">
                          <w:marLeft w:val="0"/>
                          <w:marRight w:val="0"/>
                          <w:marTop w:val="0"/>
                          <w:marBottom w:val="0"/>
                          <w:divBdr>
                            <w:top w:val="none" w:sz="0" w:space="0" w:color="auto"/>
                            <w:left w:val="none" w:sz="0" w:space="0" w:color="auto"/>
                            <w:bottom w:val="none" w:sz="0" w:space="0" w:color="auto"/>
                            <w:right w:val="none" w:sz="0" w:space="0" w:color="auto"/>
                          </w:divBdr>
                          <w:divsChild>
                            <w:div w:id="91556825">
                              <w:marLeft w:val="0"/>
                              <w:marRight w:val="0"/>
                              <w:marTop w:val="0"/>
                              <w:marBottom w:val="0"/>
                              <w:divBdr>
                                <w:top w:val="none" w:sz="0" w:space="0" w:color="auto"/>
                                <w:left w:val="none" w:sz="0" w:space="0" w:color="auto"/>
                                <w:bottom w:val="none" w:sz="0" w:space="0" w:color="auto"/>
                                <w:right w:val="none" w:sz="0" w:space="0" w:color="auto"/>
                              </w:divBdr>
                              <w:divsChild>
                                <w:div w:id="1510364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7816141">
                      <w:marLeft w:val="0"/>
                      <w:marRight w:val="0"/>
                      <w:marTop w:val="0"/>
                      <w:marBottom w:val="0"/>
                      <w:divBdr>
                        <w:top w:val="none" w:sz="0" w:space="0" w:color="auto"/>
                        <w:left w:val="none" w:sz="0" w:space="0" w:color="auto"/>
                        <w:bottom w:val="single" w:sz="6" w:space="12" w:color="DDDDDD"/>
                        <w:right w:val="none" w:sz="0" w:space="0" w:color="auto"/>
                      </w:divBdr>
                      <w:divsChild>
                        <w:div w:id="1141263523">
                          <w:marLeft w:val="0"/>
                          <w:marRight w:val="0"/>
                          <w:marTop w:val="0"/>
                          <w:marBottom w:val="0"/>
                          <w:divBdr>
                            <w:top w:val="none" w:sz="0" w:space="0" w:color="auto"/>
                            <w:left w:val="none" w:sz="0" w:space="0" w:color="auto"/>
                            <w:bottom w:val="none" w:sz="0" w:space="0" w:color="auto"/>
                            <w:right w:val="none" w:sz="0" w:space="0" w:color="auto"/>
                          </w:divBdr>
                          <w:divsChild>
                            <w:div w:id="1185946608">
                              <w:marLeft w:val="0"/>
                              <w:marRight w:val="0"/>
                              <w:marTop w:val="0"/>
                              <w:marBottom w:val="0"/>
                              <w:divBdr>
                                <w:top w:val="none" w:sz="0" w:space="0" w:color="auto"/>
                                <w:left w:val="none" w:sz="0" w:space="0" w:color="auto"/>
                                <w:bottom w:val="none" w:sz="0" w:space="0" w:color="auto"/>
                                <w:right w:val="none" w:sz="0" w:space="0" w:color="auto"/>
                              </w:divBdr>
                              <w:divsChild>
                                <w:div w:id="313918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8636854">
                      <w:marLeft w:val="0"/>
                      <w:marRight w:val="0"/>
                      <w:marTop w:val="0"/>
                      <w:marBottom w:val="0"/>
                      <w:divBdr>
                        <w:top w:val="none" w:sz="0" w:space="0" w:color="auto"/>
                        <w:left w:val="none" w:sz="0" w:space="0" w:color="auto"/>
                        <w:bottom w:val="single" w:sz="6" w:space="12" w:color="DDDDDD"/>
                        <w:right w:val="none" w:sz="0" w:space="0" w:color="auto"/>
                      </w:divBdr>
                      <w:divsChild>
                        <w:div w:id="857161093">
                          <w:marLeft w:val="0"/>
                          <w:marRight w:val="0"/>
                          <w:marTop w:val="0"/>
                          <w:marBottom w:val="0"/>
                          <w:divBdr>
                            <w:top w:val="none" w:sz="0" w:space="0" w:color="auto"/>
                            <w:left w:val="none" w:sz="0" w:space="0" w:color="auto"/>
                            <w:bottom w:val="none" w:sz="0" w:space="0" w:color="auto"/>
                            <w:right w:val="none" w:sz="0" w:space="0" w:color="auto"/>
                          </w:divBdr>
                          <w:divsChild>
                            <w:div w:id="1073821027">
                              <w:marLeft w:val="0"/>
                              <w:marRight w:val="0"/>
                              <w:marTop w:val="0"/>
                              <w:marBottom w:val="0"/>
                              <w:divBdr>
                                <w:top w:val="none" w:sz="0" w:space="0" w:color="auto"/>
                                <w:left w:val="none" w:sz="0" w:space="0" w:color="auto"/>
                                <w:bottom w:val="none" w:sz="0" w:space="0" w:color="auto"/>
                                <w:right w:val="none" w:sz="0" w:space="0" w:color="auto"/>
                              </w:divBdr>
                              <w:divsChild>
                                <w:div w:id="508372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0631785">
                      <w:marLeft w:val="0"/>
                      <w:marRight w:val="0"/>
                      <w:marTop w:val="0"/>
                      <w:marBottom w:val="0"/>
                      <w:divBdr>
                        <w:top w:val="none" w:sz="0" w:space="0" w:color="auto"/>
                        <w:left w:val="none" w:sz="0" w:space="0" w:color="auto"/>
                        <w:bottom w:val="single" w:sz="6" w:space="12" w:color="DDDDDD"/>
                        <w:right w:val="none" w:sz="0" w:space="0" w:color="auto"/>
                      </w:divBdr>
                      <w:divsChild>
                        <w:div w:id="1733001026">
                          <w:marLeft w:val="0"/>
                          <w:marRight w:val="0"/>
                          <w:marTop w:val="0"/>
                          <w:marBottom w:val="0"/>
                          <w:divBdr>
                            <w:top w:val="none" w:sz="0" w:space="0" w:color="auto"/>
                            <w:left w:val="none" w:sz="0" w:space="0" w:color="auto"/>
                            <w:bottom w:val="none" w:sz="0" w:space="0" w:color="auto"/>
                            <w:right w:val="none" w:sz="0" w:space="0" w:color="auto"/>
                          </w:divBdr>
                          <w:divsChild>
                            <w:div w:id="676880934">
                              <w:marLeft w:val="0"/>
                              <w:marRight w:val="0"/>
                              <w:marTop w:val="0"/>
                              <w:marBottom w:val="0"/>
                              <w:divBdr>
                                <w:top w:val="none" w:sz="0" w:space="0" w:color="auto"/>
                                <w:left w:val="none" w:sz="0" w:space="0" w:color="auto"/>
                                <w:bottom w:val="none" w:sz="0" w:space="0" w:color="auto"/>
                                <w:right w:val="none" w:sz="0" w:space="0" w:color="auto"/>
                              </w:divBdr>
                              <w:divsChild>
                                <w:div w:id="1222475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2033619">
                      <w:marLeft w:val="0"/>
                      <w:marRight w:val="0"/>
                      <w:marTop w:val="0"/>
                      <w:marBottom w:val="0"/>
                      <w:divBdr>
                        <w:top w:val="none" w:sz="0" w:space="0" w:color="auto"/>
                        <w:left w:val="none" w:sz="0" w:space="0" w:color="auto"/>
                        <w:bottom w:val="single" w:sz="6" w:space="12" w:color="DDDDDD"/>
                        <w:right w:val="none" w:sz="0" w:space="0" w:color="auto"/>
                      </w:divBdr>
                      <w:divsChild>
                        <w:div w:id="163210098">
                          <w:marLeft w:val="0"/>
                          <w:marRight w:val="0"/>
                          <w:marTop w:val="0"/>
                          <w:marBottom w:val="0"/>
                          <w:divBdr>
                            <w:top w:val="none" w:sz="0" w:space="0" w:color="auto"/>
                            <w:left w:val="none" w:sz="0" w:space="0" w:color="auto"/>
                            <w:bottom w:val="none" w:sz="0" w:space="0" w:color="auto"/>
                            <w:right w:val="none" w:sz="0" w:space="0" w:color="auto"/>
                          </w:divBdr>
                          <w:divsChild>
                            <w:div w:id="31467313">
                              <w:marLeft w:val="0"/>
                              <w:marRight w:val="0"/>
                              <w:marTop w:val="0"/>
                              <w:marBottom w:val="0"/>
                              <w:divBdr>
                                <w:top w:val="none" w:sz="0" w:space="0" w:color="auto"/>
                                <w:left w:val="none" w:sz="0" w:space="0" w:color="auto"/>
                                <w:bottom w:val="none" w:sz="0" w:space="0" w:color="auto"/>
                                <w:right w:val="none" w:sz="0" w:space="0" w:color="auto"/>
                              </w:divBdr>
                              <w:divsChild>
                                <w:div w:id="568931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2271178">
                      <w:marLeft w:val="0"/>
                      <w:marRight w:val="0"/>
                      <w:marTop w:val="0"/>
                      <w:marBottom w:val="0"/>
                      <w:divBdr>
                        <w:top w:val="none" w:sz="0" w:space="0" w:color="auto"/>
                        <w:left w:val="none" w:sz="0" w:space="0" w:color="auto"/>
                        <w:bottom w:val="none" w:sz="0" w:space="0" w:color="auto"/>
                        <w:right w:val="none" w:sz="0" w:space="0" w:color="auto"/>
                      </w:divBdr>
                      <w:divsChild>
                        <w:div w:id="236064117">
                          <w:marLeft w:val="0"/>
                          <w:marRight w:val="0"/>
                          <w:marTop w:val="0"/>
                          <w:marBottom w:val="0"/>
                          <w:divBdr>
                            <w:top w:val="none" w:sz="0" w:space="0" w:color="auto"/>
                            <w:left w:val="none" w:sz="0" w:space="0" w:color="auto"/>
                            <w:bottom w:val="none" w:sz="0" w:space="0" w:color="auto"/>
                            <w:right w:val="none" w:sz="0" w:space="0" w:color="auto"/>
                          </w:divBdr>
                          <w:divsChild>
                            <w:div w:id="1390766925">
                              <w:marLeft w:val="0"/>
                              <w:marRight w:val="0"/>
                              <w:marTop w:val="0"/>
                              <w:marBottom w:val="0"/>
                              <w:divBdr>
                                <w:top w:val="none" w:sz="0" w:space="0" w:color="auto"/>
                                <w:left w:val="none" w:sz="0" w:space="0" w:color="auto"/>
                                <w:bottom w:val="none" w:sz="0" w:space="0" w:color="auto"/>
                                <w:right w:val="none" w:sz="0" w:space="0" w:color="auto"/>
                              </w:divBdr>
                              <w:divsChild>
                                <w:div w:id="141362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91684935">
      <w:bodyDiv w:val="1"/>
      <w:marLeft w:val="0"/>
      <w:marRight w:val="0"/>
      <w:marTop w:val="0"/>
      <w:marBottom w:val="0"/>
      <w:divBdr>
        <w:top w:val="none" w:sz="0" w:space="0" w:color="auto"/>
        <w:left w:val="none" w:sz="0" w:space="0" w:color="auto"/>
        <w:bottom w:val="none" w:sz="0" w:space="0" w:color="auto"/>
        <w:right w:val="none" w:sz="0" w:space="0" w:color="auto"/>
      </w:divBdr>
      <w:divsChild>
        <w:div w:id="763962884">
          <w:marLeft w:val="0"/>
          <w:marRight w:val="0"/>
          <w:marTop w:val="0"/>
          <w:marBottom w:val="0"/>
          <w:divBdr>
            <w:top w:val="none" w:sz="0" w:space="0" w:color="auto"/>
            <w:left w:val="none" w:sz="0" w:space="0" w:color="auto"/>
            <w:bottom w:val="none" w:sz="0" w:space="0" w:color="auto"/>
            <w:right w:val="none" w:sz="0" w:space="0" w:color="auto"/>
          </w:divBdr>
          <w:divsChild>
            <w:div w:id="1689404966">
              <w:marLeft w:val="0"/>
              <w:marRight w:val="0"/>
              <w:marTop w:val="0"/>
              <w:marBottom w:val="0"/>
              <w:divBdr>
                <w:top w:val="none" w:sz="0" w:space="0" w:color="auto"/>
                <w:left w:val="none" w:sz="0" w:space="0" w:color="auto"/>
                <w:bottom w:val="none" w:sz="0" w:space="0" w:color="auto"/>
                <w:right w:val="none" w:sz="0" w:space="0" w:color="auto"/>
              </w:divBdr>
              <w:divsChild>
                <w:div w:id="1973173518">
                  <w:marLeft w:val="0"/>
                  <w:marRight w:val="0"/>
                  <w:marTop w:val="0"/>
                  <w:marBottom w:val="0"/>
                  <w:divBdr>
                    <w:top w:val="none" w:sz="0" w:space="0" w:color="auto"/>
                    <w:left w:val="none" w:sz="0" w:space="0" w:color="auto"/>
                    <w:bottom w:val="none" w:sz="0" w:space="0" w:color="auto"/>
                    <w:right w:val="none" w:sz="0" w:space="0" w:color="auto"/>
                  </w:divBdr>
                  <w:divsChild>
                    <w:div w:id="346248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8363110">
          <w:marLeft w:val="0"/>
          <w:marRight w:val="0"/>
          <w:marTop w:val="0"/>
          <w:marBottom w:val="0"/>
          <w:divBdr>
            <w:top w:val="none" w:sz="0" w:space="0" w:color="auto"/>
            <w:left w:val="none" w:sz="0" w:space="0" w:color="auto"/>
            <w:bottom w:val="none" w:sz="0" w:space="0" w:color="auto"/>
            <w:right w:val="none" w:sz="0" w:space="0" w:color="auto"/>
          </w:divBdr>
        </w:div>
        <w:div w:id="347875283">
          <w:marLeft w:val="0"/>
          <w:marRight w:val="0"/>
          <w:marTop w:val="0"/>
          <w:marBottom w:val="0"/>
          <w:divBdr>
            <w:top w:val="none" w:sz="0" w:space="0" w:color="auto"/>
            <w:left w:val="none" w:sz="0" w:space="0" w:color="auto"/>
            <w:bottom w:val="none" w:sz="0" w:space="0" w:color="auto"/>
            <w:right w:val="none" w:sz="0" w:space="0" w:color="auto"/>
          </w:divBdr>
          <w:divsChild>
            <w:div w:id="332925773">
              <w:marLeft w:val="0"/>
              <w:marRight w:val="0"/>
              <w:marTop w:val="0"/>
              <w:marBottom w:val="0"/>
              <w:divBdr>
                <w:top w:val="none" w:sz="0" w:space="0" w:color="auto"/>
                <w:left w:val="none" w:sz="0" w:space="0" w:color="auto"/>
                <w:bottom w:val="none" w:sz="0" w:space="0" w:color="auto"/>
                <w:right w:val="none" w:sz="0" w:space="0" w:color="auto"/>
              </w:divBdr>
              <w:divsChild>
                <w:div w:id="2105496730">
                  <w:marLeft w:val="0"/>
                  <w:marRight w:val="0"/>
                  <w:marTop w:val="0"/>
                  <w:marBottom w:val="0"/>
                  <w:divBdr>
                    <w:top w:val="none" w:sz="0" w:space="0" w:color="auto"/>
                    <w:left w:val="none" w:sz="0" w:space="0" w:color="auto"/>
                    <w:bottom w:val="none" w:sz="0" w:space="0" w:color="auto"/>
                    <w:right w:val="none" w:sz="0" w:space="0" w:color="auto"/>
                  </w:divBdr>
                </w:div>
                <w:div w:id="1056974635">
                  <w:marLeft w:val="0"/>
                  <w:marRight w:val="0"/>
                  <w:marTop w:val="0"/>
                  <w:marBottom w:val="0"/>
                  <w:divBdr>
                    <w:top w:val="none" w:sz="0" w:space="0" w:color="auto"/>
                    <w:left w:val="none" w:sz="0" w:space="0" w:color="auto"/>
                    <w:bottom w:val="none" w:sz="0" w:space="0" w:color="auto"/>
                    <w:right w:val="none" w:sz="0" w:space="0" w:color="auto"/>
                  </w:divBdr>
                </w:div>
                <w:div w:id="106853245">
                  <w:marLeft w:val="0"/>
                  <w:marRight w:val="0"/>
                  <w:marTop w:val="0"/>
                  <w:marBottom w:val="0"/>
                  <w:divBdr>
                    <w:top w:val="none" w:sz="0" w:space="0" w:color="auto"/>
                    <w:left w:val="none" w:sz="0" w:space="0" w:color="auto"/>
                    <w:bottom w:val="none" w:sz="0" w:space="0" w:color="auto"/>
                    <w:right w:val="none" w:sz="0" w:space="0" w:color="auto"/>
                  </w:divBdr>
                  <w:divsChild>
                    <w:div w:id="792018351">
                      <w:marLeft w:val="0"/>
                      <w:marRight w:val="0"/>
                      <w:marTop w:val="0"/>
                      <w:marBottom w:val="0"/>
                      <w:divBdr>
                        <w:top w:val="none" w:sz="0" w:space="0" w:color="auto"/>
                        <w:left w:val="none" w:sz="0" w:space="0" w:color="auto"/>
                        <w:bottom w:val="none" w:sz="0" w:space="0" w:color="auto"/>
                        <w:right w:val="none" w:sz="0" w:space="0" w:color="auto"/>
                      </w:divBdr>
                    </w:div>
                  </w:divsChild>
                </w:div>
                <w:div w:id="670261375">
                  <w:marLeft w:val="0"/>
                  <w:marRight w:val="0"/>
                  <w:marTop w:val="0"/>
                  <w:marBottom w:val="0"/>
                  <w:divBdr>
                    <w:top w:val="none" w:sz="0" w:space="0" w:color="auto"/>
                    <w:left w:val="none" w:sz="0" w:space="0" w:color="auto"/>
                    <w:bottom w:val="none" w:sz="0" w:space="0" w:color="auto"/>
                    <w:right w:val="none" w:sz="0" w:space="0" w:color="auto"/>
                  </w:divBdr>
                  <w:divsChild>
                    <w:div w:id="766122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1747014">
              <w:marLeft w:val="0"/>
              <w:marRight w:val="0"/>
              <w:marTop w:val="0"/>
              <w:marBottom w:val="0"/>
              <w:divBdr>
                <w:top w:val="none" w:sz="0" w:space="0" w:color="auto"/>
                <w:left w:val="none" w:sz="0" w:space="0" w:color="auto"/>
                <w:bottom w:val="none" w:sz="0" w:space="0" w:color="auto"/>
                <w:right w:val="none" w:sz="0" w:space="0" w:color="auto"/>
              </w:divBdr>
              <w:divsChild>
                <w:div w:id="69693117">
                  <w:marLeft w:val="0"/>
                  <w:marRight w:val="0"/>
                  <w:marTop w:val="0"/>
                  <w:marBottom w:val="0"/>
                  <w:divBdr>
                    <w:top w:val="none" w:sz="0" w:space="0" w:color="auto"/>
                    <w:left w:val="none" w:sz="0" w:space="0" w:color="auto"/>
                    <w:bottom w:val="none" w:sz="0" w:space="0" w:color="auto"/>
                    <w:right w:val="none" w:sz="0" w:space="0" w:color="auto"/>
                  </w:divBdr>
                </w:div>
                <w:div w:id="2023774350">
                  <w:marLeft w:val="0"/>
                  <w:marRight w:val="0"/>
                  <w:marTop w:val="0"/>
                  <w:marBottom w:val="0"/>
                  <w:divBdr>
                    <w:top w:val="none" w:sz="0" w:space="0" w:color="auto"/>
                    <w:left w:val="none" w:sz="0" w:space="0" w:color="auto"/>
                    <w:bottom w:val="none" w:sz="0" w:space="0" w:color="auto"/>
                    <w:right w:val="none" w:sz="0" w:space="0" w:color="auto"/>
                  </w:divBdr>
                </w:div>
                <w:div w:id="1718701557">
                  <w:marLeft w:val="0"/>
                  <w:marRight w:val="0"/>
                  <w:marTop w:val="0"/>
                  <w:marBottom w:val="0"/>
                  <w:divBdr>
                    <w:top w:val="none" w:sz="0" w:space="0" w:color="auto"/>
                    <w:left w:val="none" w:sz="0" w:space="0" w:color="auto"/>
                    <w:bottom w:val="none" w:sz="0" w:space="0" w:color="auto"/>
                    <w:right w:val="none" w:sz="0" w:space="0" w:color="auto"/>
                  </w:divBdr>
                </w:div>
                <w:div w:id="1408460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7974958">
      <w:bodyDiv w:val="1"/>
      <w:marLeft w:val="0"/>
      <w:marRight w:val="0"/>
      <w:marTop w:val="0"/>
      <w:marBottom w:val="0"/>
      <w:divBdr>
        <w:top w:val="none" w:sz="0" w:space="0" w:color="auto"/>
        <w:left w:val="none" w:sz="0" w:space="0" w:color="auto"/>
        <w:bottom w:val="none" w:sz="0" w:space="0" w:color="auto"/>
        <w:right w:val="none" w:sz="0" w:space="0" w:color="auto"/>
      </w:divBdr>
      <w:divsChild>
        <w:div w:id="1135297875">
          <w:marLeft w:val="0"/>
          <w:marRight w:val="0"/>
          <w:marTop w:val="0"/>
          <w:marBottom w:val="0"/>
          <w:divBdr>
            <w:top w:val="single" w:sz="6" w:space="0" w:color="B3B2B2"/>
            <w:left w:val="none" w:sz="0" w:space="0" w:color="auto"/>
            <w:bottom w:val="none" w:sz="0" w:space="0" w:color="auto"/>
            <w:right w:val="none" w:sz="0" w:space="0" w:color="auto"/>
          </w:divBdr>
        </w:div>
        <w:div w:id="746146591">
          <w:marLeft w:val="0"/>
          <w:marRight w:val="0"/>
          <w:marTop w:val="0"/>
          <w:marBottom w:val="0"/>
          <w:divBdr>
            <w:top w:val="none" w:sz="0" w:space="0" w:color="auto"/>
            <w:left w:val="none" w:sz="0" w:space="0" w:color="auto"/>
            <w:bottom w:val="none" w:sz="0" w:space="0" w:color="auto"/>
            <w:right w:val="none" w:sz="0" w:space="0" w:color="auto"/>
          </w:divBdr>
        </w:div>
        <w:div w:id="86578961">
          <w:marLeft w:val="0"/>
          <w:marRight w:val="0"/>
          <w:marTop w:val="0"/>
          <w:marBottom w:val="0"/>
          <w:divBdr>
            <w:top w:val="none" w:sz="0" w:space="0" w:color="auto"/>
            <w:left w:val="none" w:sz="0" w:space="0" w:color="auto"/>
            <w:bottom w:val="none" w:sz="0" w:space="0" w:color="auto"/>
            <w:right w:val="none" w:sz="0" w:space="0" w:color="auto"/>
          </w:divBdr>
        </w:div>
        <w:div w:id="270358264">
          <w:marLeft w:val="0"/>
          <w:marRight w:val="0"/>
          <w:marTop w:val="0"/>
          <w:marBottom w:val="0"/>
          <w:divBdr>
            <w:top w:val="none" w:sz="0" w:space="0" w:color="auto"/>
            <w:left w:val="none" w:sz="0" w:space="0" w:color="auto"/>
            <w:bottom w:val="none" w:sz="0" w:space="0" w:color="auto"/>
            <w:right w:val="none" w:sz="0" w:space="0" w:color="auto"/>
          </w:divBdr>
          <w:divsChild>
            <w:div w:id="361172329">
              <w:marLeft w:val="0"/>
              <w:marRight w:val="0"/>
              <w:marTop w:val="0"/>
              <w:marBottom w:val="0"/>
              <w:divBdr>
                <w:top w:val="none" w:sz="0" w:space="0" w:color="auto"/>
                <w:left w:val="none" w:sz="0" w:space="0" w:color="auto"/>
                <w:bottom w:val="none" w:sz="0" w:space="0" w:color="auto"/>
                <w:right w:val="none" w:sz="0" w:space="0" w:color="auto"/>
              </w:divBdr>
            </w:div>
          </w:divsChild>
        </w:div>
        <w:div w:id="251091986">
          <w:marLeft w:val="0"/>
          <w:marRight w:val="0"/>
          <w:marTop w:val="0"/>
          <w:marBottom w:val="0"/>
          <w:divBdr>
            <w:top w:val="none" w:sz="0" w:space="0" w:color="auto"/>
            <w:left w:val="none" w:sz="0" w:space="0" w:color="auto"/>
            <w:bottom w:val="none" w:sz="0" w:space="0" w:color="auto"/>
            <w:right w:val="none" w:sz="0" w:space="0" w:color="auto"/>
          </w:divBdr>
          <w:divsChild>
            <w:div w:id="989020731">
              <w:marLeft w:val="0"/>
              <w:marRight w:val="0"/>
              <w:marTop w:val="0"/>
              <w:marBottom w:val="0"/>
              <w:divBdr>
                <w:top w:val="none" w:sz="0" w:space="0" w:color="auto"/>
                <w:left w:val="none" w:sz="0" w:space="0" w:color="auto"/>
                <w:bottom w:val="none" w:sz="0" w:space="0" w:color="auto"/>
                <w:right w:val="none" w:sz="0" w:space="0" w:color="auto"/>
              </w:divBdr>
              <w:divsChild>
                <w:div w:id="1832256397">
                  <w:marLeft w:val="0"/>
                  <w:marRight w:val="0"/>
                  <w:marTop w:val="0"/>
                  <w:marBottom w:val="0"/>
                  <w:divBdr>
                    <w:top w:val="none" w:sz="0" w:space="0" w:color="auto"/>
                    <w:left w:val="none" w:sz="0" w:space="0" w:color="auto"/>
                    <w:bottom w:val="none" w:sz="0" w:space="0" w:color="auto"/>
                    <w:right w:val="none" w:sz="0" w:space="0" w:color="auto"/>
                  </w:divBdr>
                  <w:divsChild>
                    <w:div w:id="121732541">
                      <w:marLeft w:val="0"/>
                      <w:marRight w:val="0"/>
                      <w:marTop w:val="0"/>
                      <w:marBottom w:val="0"/>
                      <w:divBdr>
                        <w:top w:val="none" w:sz="0" w:space="0" w:color="auto"/>
                        <w:left w:val="none" w:sz="0" w:space="0" w:color="auto"/>
                        <w:bottom w:val="none" w:sz="0" w:space="0" w:color="auto"/>
                        <w:right w:val="none" w:sz="0" w:space="0" w:color="auto"/>
                      </w:divBdr>
                      <w:divsChild>
                        <w:div w:id="1239821916">
                          <w:marLeft w:val="0"/>
                          <w:marRight w:val="0"/>
                          <w:marTop w:val="0"/>
                          <w:marBottom w:val="0"/>
                          <w:divBdr>
                            <w:top w:val="single" w:sz="12" w:space="0" w:color="B5B5B5"/>
                            <w:left w:val="none" w:sz="0" w:space="0" w:color="auto"/>
                            <w:bottom w:val="none" w:sz="0" w:space="0" w:color="auto"/>
                            <w:right w:val="none" w:sz="0" w:space="0" w:color="auto"/>
                          </w:divBdr>
                          <w:divsChild>
                            <w:div w:id="308749456">
                              <w:marLeft w:val="0"/>
                              <w:marRight w:val="0"/>
                              <w:marTop w:val="0"/>
                              <w:marBottom w:val="0"/>
                              <w:divBdr>
                                <w:top w:val="none" w:sz="0" w:space="0" w:color="auto"/>
                                <w:left w:val="none" w:sz="0" w:space="0" w:color="auto"/>
                                <w:bottom w:val="none" w:sz="0" w:space="0" w:color="auto"/>
                                <w:right w:val="none" w:sz="0" w:space="0" w:color="auto"/>
                              </w:divBdr>
                              <w:divsChild>
                                <w:div w:id="2078355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13090846">
              <w:marLeft w:val="0"/>
              <w:marRight w:val="0"/>
              <w:marTop w:val="0"/>
              <w:marBottom w:val="0"/>
              <w:divBdr>
                <w:top w:val="none" w:sz="0" w:space="0" w:color="auto"/>
                <w:left w:val="none" w:sz="0" w:space="0" w:color="auto"/>
                <w:bottom w:val="none" w:sz="0" w:space="0" w:color="auto"/>
                <w:right w:val="none" w:sz="0" w:space="0" w:color="auto"/>
              </w:divBdr>
            </w:div>
            <w:div w:id="1688631342">
              <w:marLeft w:val="0"/>
              <w:marRight w:val="0"/>
              <w:marTop w:val="0"/>
              <w:marBottom w:val="0"/>
              <w:divBdr>
                <w:top w:val="none" w:sz="0" w:space="0" w:color="auto"/>
                <w:left w:val="none" w:sz="0" w:space="0" w:color="auto"/>
                <w:bottom w:val="none" w:sz="0" w:space="0" w:color="auto"/>
                <w:right w:val="none" w:sz="0" w:space="0" w:color="auto"/>
              </w:divBdr>
            </w:div>
            <w:div w:id="803893230">
              <w:marLeft w:val="0"/>
              <w:marRight w:val="0"/>
              <w:marTop w:val="0"/>
              <w:marBottom w:val="0"/>
              <w:divBdr>
                <w:top w:val="none" w:sz="0" w:space="0" w:color="auto"/>
                <w:left w:val="none" w:sz="0" w:space="0" w:color="auto"/>
                <w:bottom w:val="none" w:sz="0" w:space="0" w:color="auto"/>
                <w:right w:val="none" w:sz="0" w:space="0" w:color="auto"/>
              </w:divBdr>
            </w:div>
            <w:div w:id="997000337">
              <w:marLeft w:val="0"/>
              <w:marRight w:val="0"/>
              <w:marTop w:val="0"/>
              <w:marBottom w:val="0"/>
              <w:divBdr>
                <w:top w:val="none" w:sz="0" w:space="0" w:color="auto"/>
                <w:left w:val="none" w:sz="0" w:space="0" w:color="auto"/>
                <w:bottom w:val="none" w:sz="0" w:space="0" w:color="auto"/>
                <w:right w:val="none" w:sz="0" w:space="0" w:color="auto"/>
              </w:divBdr>
              <w:divsChild>
                <w:div w:id="196435723">
                  <w:marLeft w:val="0"/>
                  <w:marRight w:val="0"/>
                  <w:marTop w:val="0"/>
                  <w:marBottom w:val="0"/>
                  <w:divBdr>
                    <w:top w:val="none" w:sz="0" w:space="0" w:color="auto"/>
                    <w:left w:val="none" w:sz="0" w:space="0" w:color="auto"/>
                    <w:bottom w:val="none" w:sz="0" w:space="0" w:color="auto"/>
                    <w:right w:val="none" w:sz="0" w:space="0" w:color="auto"/>
                  </w:divBdr>
                  <w:divsChild>
                    <w:div w:id="520508999">
                      <w:marLeft w:val="0"/>
                      <w:marRight w:val="0"/>
                      <w:marTop w:val="0"/>
                      <w:marBottom w:val="0"/>
                      <w:divBdr>
                        <w:top w:val="none" w:sz="0" w:space="0" w:color="auto"/>
                        <w:left w:val="none" w:sz="0" w:space="0" w:color="auto"/>
                        <w:bottom w:val="none" w:sz="0" w:space="0" w:color="auto"/>
                        <w:right w:val="none" w:sz="0" w:space="0" w:color="auto"/>
                      </w:divBdr>
                      <w:divsChild>
                        <w:div w:id="2043632153">
                          <w:marLeft w:val="0"/>
                          <w:marRight w:val="0"/>
                          <w:marTop w:val="0"/>
                          <w:marBottom w:val="0"/>
                          <w:divBdr>
                            <w:top w:val="single" w:sz="12" w:space="0" w:color="B5B5B5"/>
                            <w:left w:val="none" w:sz="0" w:space="0" w:color="auto"/>
                            <w:bottom w:val="none" w:sz="0" w:space="0" w:color="auto"/>
                            <w:right w:val="none" w:sz="0" w:space="0" w:color="auto"/>
                          </w:divBdr>
                          <w:divsChild>
                            <w:div w:id="1727338968">
                              <w:marLeft w:val="0"/>
                              <w:marRight w:val="0"/>
                              <w:marTop w:val="0"/>
                              <w:marBottom w:val="0"/>
                              <w:divBdr>
                                <w:top w:val="none" w:sz="0" w:space="0" w:color="auto"/>
                                <w:left w:val="none" w:sz="0" w:space="0" w:color="auto"/>
                                <w:bottom w:val="none" w:sz="0" w:space="0" w:color="auto"/>
                                <w:right w:val="none" w:sz="0" w:space="0" w:color="auto"/>
                              </w:divBdr>
                              <w:divsChild>
                                <w:div w:id="1607351777">
                                  <w:marLeft w:val="0"/>
                                  <w:marRight w:val="0"/>
                                  <w:marTop w:val="0"/>
                                  <w:marBottom w:val="0"/>
                                  <w:divBdr>
                                    <w:top w:val="none" w:sz="0" w:space="0" w:color="auto"/>
                                    <w:left w:val="none" w:sz="0" w:space="0" w:color="auto"/>
                                    <w:bottom w:val="none" w:sz="0" w:space="0" w:color="auto"/>
                                    <w:right w:val="none" w:sz="0" w:space="0" w:color="auto"/>
                                  </w:divBdr>
                                </w:div>
                                <w:div w:id="2021005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57845577">
              <w:marLeft w:val="0"/>
              <w:marRight w:val="0"/>
              <w:marTop w:val="0"/>
              <w:marBottom w:val="0"/>
              <w:divBdr>
                <w:top w:val="none" w:sz="0" w:space="0" w:color="auto"/>
                <w:left w:val="none" w:sz="0" w:space="0" w:color="auto"/>
                <w:bottom w:val="none" w:sz="0" w:space="0" w:color="auto"/>
                <w:right w:val="none" w:sz="0" w:space="0" w:color="auto"/>
              </w:divBdr>
              <w:divsChild>
                <w:div w:id="552158074">
                  <w:marLeft w:val="0"/>
                  <w:marRight w:val="0"/>
                  <w:marTop w:val="0"/>
                  <w:marBottom w:val="0"/>
                  <w:divBdr>
                    <w:top w:val="none" w:sz="0" w:space="0" w:color="auto"/>
                    <w:left w:val="none" w:sz="0" w:space="0" w:color="auto"/>
                    <w:bottom w:val="none" w:sz="0" w:space="0" w:color="auto"/>
                    <w:right w:val="none" w:sz="0" w:space="0" w:color="auto"/>
                  </w:divBdr>
                </w:div>
              </w:divsChild>
            </w:div>
            <w:div w:id="1306474065">
              <w:marLeft w:val="0"/>
              <w:marRight w:val="0"/>
              <w:marTop w:val="0"/>
              <w:marBottom w:val="0"/>
              <w:divBdr>
                <w:top w:val="none" w:sz="0" w:space="0" w:color="auto"/>
                <w:left w:val="none" w:sz="0" w:space="0" w:color="auto"/>
                <w:bottom w:val="none" w:sz="0" w:space="0" w:color="auto"/>
                <w:right w:val="none" w:sz="0" w:space="0" w:color="auto"/>
              </w:divBdr>
              <w:divsChild>
                <w:div w:id="87846762">
                  <w:marLeft w:val="0"/>
                  <w:marRight w:val="0"/>
                  <w:marTop w:val="0"/>
                  <w:marBottom w:val="0"/>
                  <w:divBdr>
                    <w:top w:val="none" w:sz="0" w:space="0" w:color="auto"/>
                    <w:left w:val="none" w:sz="0" w:space="0" w:color="auto"/>
                    <w:bottom w:val="none" w:sz="0" w:space="0" w:color="auto"/>
                    <w:right w:val="none" w:sz="0" w:space="0" w:color="auto"/>
                  </w:divBdr>
                </w:div>
              </w:divsChild>
            </w:div>
            <w:div w:id="1620258460">
              <w:marLeft w:val="0"/>
              <w:marRight w:val="0"/>
              <w:marTop w:val="0"/>
              <w:marBottom w:val="0"/>
              <w:divBdr>
                <w:top w:val="none" w:sz="0" w:space="0" w:color="auto"/>
                <w:left w:val="none" w:sz="0" w:space="0" w:color="auto"/>
                <w:bottom w:val="none" w:sz="0" w:space="0" w:color="auto"/>
                <w:right w:val="none" w:sz="0" w:space="0" w:color="auto"/>
              </w:divBdr>
              <w:divsChild>
                <w:div w:id="1780836859">
                  <w:marLeft w:val="0"/>
                  <w:marRight w:val="0"/>
                  <w:marTop w:val="0"/>
                  <w:marBottom w:val="0"/>
                  <w:divBdr>
                    <w:top w:val="none" w:sz="0" w:space="0" w:color="auto"/>
                    <w:left w:val="none" w:sz="0" w:space="0" w:color="auto"/>
                    <w:bottom w:val="none" w:sz="0" w:space="0" w:color="auto"/>
                    <w:right w:val="none" w:sz="0" w:space="0" w:color="auto"/>
                  </w:divBdr>
                  <w:divsChild>
                    <w:div w:id="272058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9841256">
              <w:marLeft w:val="0"/>
              <w:marRight w:val="0"/>
              <w:marTop w:val="0"/>
              <w:marBottom w:val="0"/>
              <w:divBdr>
                <w:top w:val="none" w:sz="0" w:space="0" w:color="auto"/>
                <w:left w:val="none" w:sz="0" w:space="0" w:color="auto"/>
                <w:bottom w:val="none" w:sz="0" w:space="0" w:color="auto"/>
                <w:right w:val="none" w:sz="0" w:space="0" w:color="auto"/>
              </w:divBdr>
              <w:divsChild>
                <w:div w:id="1890532117">
                  <w:marLeft w:val="0"/>
                  <w:marRight w:val="0"/>
                  <w:marTop w:val="0"/>
                  <w:marBottom w:val="0"/>
                  <w:divBdr>
                    <w:top w:val="none" w:sz="0" w:space="0" w:color="auto"/>
                    <w:left w:val="none" w:sz="0" w:space="0" w:color="auto"/>
                    <w:bottom w:val="none" w:sz="0" w:space="0" w:color="auto"/>
                    <w:right w:val="none" w:sz="0" w:space="0" w:color="auto"/>
                  </w:divBdr>
                </w:div>
              </w:divsChild>
            </w:div>
            <w:div w:id="1247766045">
              <w:marLeft w:val="0"/>
              <w:marRight w:val="0"/>
              <w:marTop w:val="0"/>
              <w:marBottom w:val="0"/>
              <w:divBdr>
                <w:top w:val="none" w:sz="0" w:space="0" w:color="auto"/>
                <w:left w:val="none" w:sz="0" w:space="0" w:color="auto"/>
                <w:bottom w:val="none" w:sz="0" w:space="0" w:color="auto"/>
                <w:right w:val="none" w:sz="0" w:space="0" w:color="auto"/>
              </w:divBdr>
              <w:divsChild>
                <w:div w:id="1059745271">
                  <w:marLeft w:val="0"/>
                  <w:marRight w:val="0"/>
                  <w:marTop w:val="0"/>
                  <w:marBottom w:val="0"/>
                  <w:divBdr>
                    <w:top w:val="none" w:sz="0" w:space="0" w:color="auto"/>
                    <w:left w:val="none" w:sz="0" w:space="0" w:color="auto"/>
                    <w:bottom w:val="none" w:sz="0" w:space="0" w:color="auto"/>
                    <w:right w:val="none" w:sz="0" w:space="0" w:color="auto"/>
                  </w:divBdr>
                </w:div>
              </w:divsChild>
            </w:div>
            <w:div w:id="2017492247">
              <w:marLeft w:val="0"/>
              <w:marRight w:val="0"/>
              <w:marTop w:val="0"/>
              <w:marBottom w:val="0"/>
              <w:divBdr>
                <w:top w:val="none" w:sz="0" w:space="0" w:color="auto"/>
                <w:left w:val="none" w:sz="0" w:space="0" w:color="auto"/>
                <w:bottom w:val="none" w:sz="0" w:space="0" w:color="auto"/>
                <w:right w:val="none" w:sz="0" w:space="0" w:color="auto"/>
              </w:divBdr>
              <w:divsChild>
                <w:div w:id="516893282">
                  <w:marLeft w:val="0"/>
                  <w:marRight w:val="0"/>
                  <w:marTop w:val="0"/>
                  <w:marBottom w:val="0"/>
                  <w:divBdr>
                    <w:top w:val="none" w:sz="0" w:space="0" w:color="auto"/>
                    <w:left w:val="none" w:sz="0" w:space="0" w:color="auto"/>
                    <w:bottom w:val="none" w:sz="0" w:space="0" w:color="auto"/>
                    <w:right w:val="none" w:sz="0" w:space="0" w:color="auto"/>
                  </w:divBdr>
                </w:div>
              </w:divsChild>
            </w:div>
            <w:div w:id="624048584">
              <w:marLeft w:val="0"/>
              <w:marRight w:val="0"/>
              <w:marTop w:val="0"/>
              <w:marBottom w:val="0"/>
              <w:divBdr>
                <w:top w:val="none" w:sz="0" w:space="0" w:color="auto"/>
                <w:left w:val="none" w:sz="0" w:space="0" w:color="auto"/>
                <w:bottom w:val="none" w:sz="0" w:space="0" w:color="auto"/>
                <w:right w:val="none" w:sz="0" w:space="0" w:color="auto"/>
              </w:divBdr>
              <w:divsChild>
                <w:div w:id="1305357770">
                  <w:marLeft w:val="0"/>
                  <w:marRight w:val="0"/>
                  <w:marTop w:val="0"/>
                  <w:marBottom w:val="0"/>
                  <w:divBdr>
                    <w:top w:val="none" w:sz="0" w:space="0" w:color="auto"/>
                    <w:left w:val="none" w:sz="0" w:space="0" w:color="auto"/>
                    <w:bottom w:val="none" w:sz="0" w:space="0" w:color="auto"/>
                    <w:right w:val="none" w:sz="0" w:space="0" w:color="auto"/>
                  </w:divBdr>
                </w:div>
              </w:divsChild>
            </w:div>
            <w:div w:id="1133059381">
              <w:marLeft w:val="0"/>
              <w:marRight w:val="0"/>
              <w:marTop w:val="0"/>
              <w:marBottom w:val="0"/>
              <w:divBdr>
                <w:top w:val="none" w:sz="0" w:space="0" w:color="auto"/>
                <w:left w:val="none" w:sz="0" w:space="0" w:color="auto"/>
                <w:bottom w:val="none" w:sz="0" w:space="0" w:color="auto"/>
                <w:right w:val="none" w:sz="0" w:space="0" w:color="auto"/>
              </w:divBdr>
              <w:divsChild>
                <w:div w:id="2068717739">
                  <w:marLeft w:val="0"/>
                  <w:marRight w:val="0"/>
                  <w:marTop w:val="0"/>
                  <w:marBottom w:val="0"/>
                  <w:divBdr>
                    <w:top w:val="none" w:sz="0" w:space="0" w:color="auto"/>
                    <w:left w:val="none" w:sz="0" w:space="0" w:color="auto"/>
                    <w:bottom w:val="none" w:sz="0" w:space="0" w:color="auto"/>
                    <w:right w:val="none" w:sz="0" w:space="0" w:color="auto"/>
                  </w:divBdr>
                </w:div>
              </w:divsChild>
            </w:div>
            <w:div w:id="1110052709">
              <w:marLeft w:val="0"/>
              <w:marRight w:val="0"/>
              <w:marTop w:val="0"/>
              <w:marBottom w:val="0"/>
              <w:divBdr>
                <w:top w:val="none" w:sz="0" w:space="0" w:color="auto"/>
                <w:left w:val="none" w:sz="0" w:space="0" w:color="auto"/>
                <w:bottom w:val="none" w:sz="0" w:space="0" w:color="auto"/>
                <w:right w:val="none" w:sz="0" w:space="0" w:color="auto"/>
              </w:divBdr>
              <w:divsChild>
                <w:div w:id="199703955">
                  <w:marLeft w:val="0"/>
                  <w:marRight w:val="0"/>
                  <w:marTop w:val="0"/>
                  <w:marBottom w:val="0"/>
                  <w:divBdr>
                    <w:top w:val="none" w:sz="0" w:space="0" w:color="auto"/>
                    <w:left w:val="none" w:sz="0" w:space="0" w:color="auto"/>
                    <w:bottom w:val="none" w:sz="0" w:space="0" w:color="auto"/>
                    <w:right w:val="none" w:sz="0" w:space="0" w:color="auto"/>
                  </w:divBdr>
                </w:div>
              </w:divsChild>
            </w:div>
            <w:div w:id="1392121515">
              <w:marLeft w:val="0"/>
              <w:marRight w:val="0"/>
              <w:marTop w:val="0"/>
              <w:marBottom w:val="0"/>
              <w:divBdr>
                <w:top w:val="none" w:sz="0" w:space="0" w:color="auto"/>
                <w:left w:val="none" w:sz="0" w:space="0" w:color="auto"/>
                <w:bottom w:val="none" w:sz="0" w:space="0" w:color="auto"/>
                <w:right w:val="none" w:sz="0" w:space="0" w:color="auto"/>
              </w:divBdr>
              <w:divsChild>
                <w:div w:id="1607538985">
                  <w:marLeft w:val="0"/>
                  <w:marRight w:val="0"/>
                  <w:marTop w:val="0"/>
                  <w:marBottom w:val="0"/>
                  <w:divBdr>
                    <w:top w:val="none" w:sz="0" w:space="0" w:color="auto"/>
                    <w:left w:val="none" w:sz="0" w:space="0" w:color="auto"/>
                    <w:bottom w:val="none" w:sz="0" w:space="0" w:color="auto"/>
                    <w:right w:val="none" w:sz="0" w:space="0" w:color="auto"/>
                  </w:divBdr>
                </w:div>
              </w:divsChild>
            </w:div>
            <w:div w:id="905072363">
              <w:marLeft w:val="0"/>
              <w:marRight w:val="0"/>
              <w:marTop w:val="0"/>
              <w:marBottom w:val="0"/>
              <w:divBdr>
                <w:top w:val="none" w:sz="0" w:space="0" w:color="auto"/>
                <w:left w:val="none" w:sz="0" w:space="0" w:color="auto"/>
                <w:bottom w:val="none" w:sz="0" w:space="0" w:color="auto"/>
                <w:right w:val="none" w:sz="0" w:space="0" w:color="auto"/>
              </w:divBdr>
              <w:divsChild>
                <w:div w:id="39137091">
                  <w:marLeft w:val="0"/>
                  <w:marRight w:val="0"/>
                  <w:marTop w:val="0"/>
                  <w:marBottom w:val="0"/>
                  <w:divBdr>
                    <w:top w:val="none" w:sz="0" w:space="0" w:color="auto"/>
                    <w:left w:val="none" w:sz="0" w:space="0" w:color="auto"/>
                    <w:bottom w:val="none" w:sz="0" w:space="0" w:color="auto"/>
                    <w:right w:val="none" w:sz="0" w:space="0" w:color="auto"/>
                  </w:divBdr>
                </w:div>
              </w:divsChild>
            </w:div>
            <w:div w:id="1564825886">
              <w:marLeft w:val="0"/>
              <w:marRight w:val="0"/>
              <w:marTop w:val="0"/>
              <w:marBottom w:val="0"/>
              <w:divBdr>
                <w:top w:val="none" w:sz="0" w:space="0" w:color="auto"/>
                <w:left w:val="none" w:sz="0" w:space="0" w:color="auto"/>
                <w:bottom w:val="none" w:sz="0" w:space="0" w:color="auto"/>
                <w:right w:val="none" w:sz="0" w:space="0" w:color="auto"/>
              </w:divBdr>
              <w:divsChild>
                <w:div w:id="318464953">
                  <w:marLeft w:val="0"/>
                  <w:marRight w:val="0"/>
                  <w:marTop w:val="0"/>
                  <w:marBottom w:val="0"/>
                  <w:divBdr>
                    <w:top w:val="none" w:sz="0" w:space="0" w:color="auto"/>
                    <w:left w:val="none" w:sz="0" w:space="0" w:color="auto"/>
                    <w:bottom w:val="none" w:sz="0" w:space="0" w:color="auto"/>
                    <w:right w:val="none" w:sz="0" w:space="0" w:color="auto"/>
                  </w:divBdr>
                </w:div>
              </w:divsChild>
            </w:div>
            <w:div w:id="46417106">
              <w:marLeft w:val="0"/>
              <w:marRight w:val="0"/>
              <w:marTop w:val="0"/>
              <w:marBottom w:val="0"/>
              <w:divBdr>
                <w:top w:val="none" w:sz="0" w:space="0" w:color="auto"/>
                <w:left w:val="none" w:sz="0" w:space="0" w:color="auto"/>
                <w:bottom w:val="none" w:sz="0" w:space="0" w:color="auto"/>
                <w:right w:val="none" w:sz="0" w:space="0" w:color="auto"/>
              </w:divBdr>
              <w:divsChild>
                <w:div w:id="1025256331">
                  <w:marLeft w:val="0"/>
                  <w:marRight w:val="0"/>
                  <w:marTop w:val="0"/>
                  <w:marBottom w:val="0"/>
                  <w:divBdr>
                    <w:top w:val="none" w:sz="0" w:space="0" w:color="auto"/>
                    <w:left w:val="none" w:sz="0" w:space="0" w:color="auto"/>
                    <w:bottom w:val="none" w:sz="0" w:space="0" w:color="auto"/>
                    <w:right w:val="none" w:sz="0" w:space="0" w:color="auto"/>
                  </w:divBdr>
                </w:div>
              </w:divsChild>
            </w:div>
            <w:div w:id="666203776">
              <w:marLeft w:val="0"/>
              <w:marRight w:val="0"/>
              <w:marTop w:val="0"/>
              <w:marBottom w:val="0"/>
              <w:divBdr>
                <w:top w:val="none" w:sz="0" w:space="0" w:color="auto"/>
                <w:left w:val="none" w:sz="0" w:space="0" w:color="auto"/>
                <w:bottom w:val="none" w:sz="0" w:space="0" w:color="auto"/>
                <w:right w:val="none" w:sz="0" w:space="0" w:color="auto"/>
              </w:divBdr>
              <w:divsChild>
                <w:div w:id="1995603421">
                  <w:marLeft w:val="0"/>
                  <w:marRight w:val="0"/>
                  <w:marTop w:val="0"/>
                  <w:marBottom w:val="0"/>
                  <w:divBdr>
                    <w:top w:val="none" w:sz="0" w:space="0" w:color="auto"/>
                    <w:left w:val="none" w:sz="0" w:space="0" w:color="auto"/>
                    <w:bottom w:val="none" w:sz="0" w:space="0" w:color="auto"/>
                    <w:right w:val="none" w:sz="0" w:space="0" w:color="auto"/>
                  </w:divBdr>
                </w:div>
              </w:divsChild>
            </w:div>
            <w:div w:id="1140465131">
              <w:marLeft w:val="0"/>
              <w:marRight w:val="0"/>
              <w:marTop w:val="0"/>
              <w:marBottom w:val="0"/>
              <w:divBdr>
                <w:top w:val="none" w:sz="0" w:space="0" w:color="auto"/>
                <w:left w:val="none" w:sz="0" w:space="0" w:color="auto"/>
                <w:bottom w:val="none" w:sz="0" w:space="0" w:color="auto"/>
                <w:right w:val="none" w:sz="0" w:space="0" w:color="auto"/>
              </w:divBdr>
            </w:div>
            <w:div w:id="814642711">
              <w:marLeft w:val="0"/>
              <w:marRight w:val="0"/>
              <w:marTop w:val="0"/>
              <w:marBottom w:val="0"/>
              <w:divBdr>
                <w:top w:val="none" w:sz="0" w:space="0" w:color="auto"/>
                <w:left w:val="none" w:sz="0" w:space="0" w:color="auto"/>
                <w:bottom w:val="none" w:sz="0" w:space="0" w:color="auto"/>
                <w:right w:val="none" w:sz="0" w:space="0" w:color="auto"/>
              </w:divBdr>
            </w:div>
            <w:div w:id="979386681">
              <w:marLeft w:val="0"/>
              <w:marRight w:val="0"/>
              <w:marTop w:val="0"/>
              <w:marBottom w:val="0"/>
              <w:divBdr>
                <w:top w:val="none" w:sz="0" w:space="0" w:color="auto"/>
                <w:left w:val="none" w:sz="0" w:space="0" w:color="auto"/>
                <w:bottom w:val="none" w:sz="0" w:space="0" w:color="auto"/>
                <w:right w:val="none" w:sz="0" w:space="0" w:color="auto"/>
              </w:divBdr>
            </w:div>
            <w:div w:id="1379089730">
              <w:marLeft w:val="0"/>
              <w:marRight w:val="0"/>
              <w:marTop w:val="0"/>
              <w:marBottom w:val="0"/>
              <w:divBdr>
                <w:top w:val="none" w:sz="0" w:space="0" w:color="auto"/>
                <w:left w:val="none" w:sz="0" w:space="0" w:color="auto"/>
                <w:bottom w:val="none" w:sz="0" w:space="0" w:color="auto"/>
                <w:right w:val="none" w:sz="0" w:space="0" w:color="auto"/>
              </w:divBdr>
            </w:div>
            <w:div w:id="752898133">
              <w:marLeft w:val="0"/>
              <w:marRight w:val="0"/>
              <w:marTop w:val="0"/>
              <w:marBottom w:val="0"/>
              <w:divBdr>
                <w:top w:val="none" w:sz="0" w:space="0" w:color="auto"/>
                <w:left w:val="none" w:sz="0" w:space="0" w:color="auto"/>
                <w:bottom w:val="none" w:sz="0" w:space="0" w:color="auto"/>
                <w:right w:val="none" w:sz="0" w:space="0" w:color="auto"/>
              </w:divBdr>
            </w:div>
            <w:div w:id="325784916">
              <w:marLeft w:val="0"/>
              <w:marRight w:val="0"/>
              <w:marTop w:val="0"/>
              <w:marBottom w:val="0"/>
              <w:divBdr>
                <w:top w:val="none" w:sz="0" w:space="0" w:color="auto"/>
                <w:left w:val="none" w:sz="0" w:space="0" w:color="auto"/>
                <w:bottom w:val="none" w:sz="0" w:space="0" w:color="auto"/>
                <w:right w:val="none" w:sz="0" w:space="0" w:color="auto"/>
              </w:divBdr>
            </w:div>
            <w:div w:id="1216695463">
              <w:marLeft w:val="0"/>
              <w:marRight w:val="0"/>
              <w:marTop w:val="0"/>
              <w:marBottom w:val="0"/>
              <w:divBdr>
                <w:top w:val="none" w:sz="0" w:space="0" w:color="auto"/>
                <w:left w:val="none" w:sz="0" w:space="0" w:color="auto"/>
                <w:bottom w:val="none" w:sz="0" w:space="0" w:color="auto"/>
                <w:right w:val="none" w:sz="0" w:space="0" w:color="auto"/>
              </w:divBdr>
            </w:div>
            <w:div w:id="1965844997">
              <w:marLeft w:val="0"/>
              <w:marRight w:val="0"/>
              <w:marTop w:val="0"/>
              <w:marBottom w:val="0"/>
              <w:divBdr>
                <w:top w:val="none" w:sz="0" w:space="0" w:color="auto"/>
                <w:left w:val="none" w:sz="0" w:space="0" w:color="auto"/>
                <w:bottom w:val="none" w:sz="0" w:space="0" w:color="auto"/>
                <w:right w:val="none" w:sz="0" w:space="0" w:color="auto"/>
              </w:divBdr>
            </w:div>
            <w:div w:id="685056496">
              <w:marLeft w:val="0"/>
              <w:marRight w:val="0"/>
              <w:marTop w:val="0"/>
              <w:marBottom w:val="0"/>
              <w:divBdr>
                <w:top w:val="none" w:sz="0" w:space="0" w:color="auto"/>
                <w:left w:val="none" w:sz="0" w:space="0" w:color="auto"/>
                <w:bottom w:val="none" w:sz="0" w:space="0" w:color="auto"/>
                <w:right w:val="none" w:sz="0" w:space="0" w:color="auto"/>
              </w:divBdr>
            </w:div>
            <w:div w:id="1253129308">
              <w:marLeft w:val="0"/>
              <w:marRight w:val="0"/>
              <w:marTop w:val="0"/>
              <w:marBottom w:val="0"/>
              <w:divBdr>
                <w:top w:val="none" w:sz="0" w:space="0" w:color="auto"/>
                <w:left w:val="none" w:sz="0" w:space="0" w:color="auto"/>
                <w:bottom w:val="none" w:sz="0" w:space="0" w:color="auto"/>
                <w:right w:val="none" w:sz="0" w:space="0" w:color="auto"/>
              </w:divBdr>
            </w:div>
            <w:div w:id="2067409353">
              <w:marLeft w:val="0"/>
              <w:marRight w:val="0"/>
              <w:marTop w:val="0"/>
              <w:marBottom w:val="0"/>
              <w:divBdr>
                <w:top w:val="none" w:sz="0" w:space="0" w:color="auto"/>
                <w:left w:val="none" w:sz="0" w:space="0" w:color="auto"/>
                <w:bottom w:val="none" w:sz="0" w:space="0" w:color="auto"/>
                <w:right w:val="none" w:sz="0" w:space="0" w:color="auto"/>
              </w:divBdr>
            </w:div>
            <w:div w:id="255214108">
              <w:marLeft w:val="0"/>
              <w:marRight w:val="0"/>
              <w:marTop w:val="0"/>
              <w:marBottom w:val="0"/>
              <w:divBdr>
                <w:top w:val="none" w:sz="0" w:space="0" w:color="auto"/>
                <w:left w:val="none" w:sz="0" w:space="0" w:color="auto"/>
                <w:bottom w:val="none" w:sz="0" w:space="0" w:color="auto"/>
                <w:right w:val="none" w:sz="0" w:space="0" w:color="auto"/>
              </w:divBdr>
            </w:div>
            <w:div w:id="1567448645">
              <w:marLeft w:val="0"/>
              <w:marRight w:val="0"/>
              <w:marTop w:val="0"/>
              <w:marBottom w:val="0"/>
              <w:divBdr>
                <w:top w:val="none" w:sz="0" w:space="0" w:color="auto"/>
                <w:left w:val="none" w:sz="0" w:space="0" w:color="auto"/>
                <w:bottom w:val="none" w:sz="0" w:space="0" w:color="auto"/>
                <w:right w:val="none" w:sz="0" w:space="0" w:color="auto"/>
              </w:divBdr>
            </w:div>
            <w:div w:id="1765758700">
              <w:marLeft w:val="0"/>
              <w:marRight w:val="0"/>
              <w:marTop w:val="0"/>
              <w:marBottom w:val="0"/>
              <w:divBdr>
                <w:top w:val="none" w:sz="0" w:space="0" w:color="auto"/>
                <w:left w:val="none" w:sz="0" w:space="0" w:color="auto"/>
                <w:bottom w:val="none" w:sz="0" w:space="0" w:color="auto"/>
                <w:right w:val="none" w:sz="0" w:space="0" w:color="auto"/>
              </w:divBdr>
              <w:divsChild>
                <w:div w:id="847983819">
                  <w:marLeft w:val="0"/>
                  <w:marRight w:val="0"/>
                  <w:marTop w:val="0"/>
                  <w:marBottom w:val="0"/>
                  <w:divBdr>
                    <w:top w:val="none" w:sz="0" w:space="0" w:color="auto"/>
                    <w:left w:val="none" w:sz="0" w:space="0" w:color="auto"/>
                    <w:bottom w:val="none" w:sz="0" w:space="0" w:color="auto"/>
                    <w:right w:val="none" w:sz="0" w:space="0" w:color="auto"/>
                  </w:divBdr>
                </w:div>
              </w:divsChild>
            </w:div>
            <w:div w:id="6294497">
              <w:marLeft w:val="0"/>
              <w:marRight w:val="0"/>
              <w:marTop w:val="0"/>
              <w:marBottom w:val="0"/>
              <w:divBdr>
                <w:top w:val="none" w:sz="0" w:space="0" w:color="auto"/>
                <w:left w:val="none" w:sz="0" w:space="0" w:color="auto"/>
                <w:bottom w:val="none" w:sz="0" w:space="0" w:color="auto"/>
                <w:right w:val="none" w:sz="0" w:space="0" w:color="auto"/>
              </w:divBdr>
              <w:divsChild>
                <w:div w:id="2012100802">
                  <w:marLeft w:val="0"/>
                  <w:marRight w:val="0"/>
                  <w:marTop w:val="0"/>
                  <w:marBottom w:val="0"/>
                  <w:divBdr>
                    <w:top w:val="none" w:sz="0" w:space="0" w:color="auto"/>
                    <w:left w:val="none" w:sz="0" w:space="0" w:color="auto"/>
                    <w:bottom w:val="none" w:sz="0" w:space="0" w:color="auto"/>
                    <w:right w:val="none" w:sz="0" w:space="0" w:color="auto"/>
                  </w:divBdr>
                </w:div>
              </w:divsChild>
            </w:div>
            <w:div w:id="899170141">
              <w:marLeft w:val="0"/>
              <w:marRight w:val="0"/>
              <w:marTop w:val="0"/>
              <w:marBottom w:val="0"/>
              <w:divBdr>
                <w:top w:val="none" w:sz="0" w:space="0" w:color="auto"/>
                <w:left w:val="none" w:sz="0" w:space="0" w:color="auto"/>
                <w:bottom w:val="none" w:sz="0" w:space="0" w:color="auto"/>
                <w:right w:val="none" w:sz="0" w:space="0" w:color="auto"/>
              </w:divBdr>
              <w:divsChild>
                <w:div w:id="971716670">
                  <w:marLeft w:val="0"/>
                  <w:marRight w:val="0"/>
                  <w:marTop w:val="0"/>
                  <w:marBottom w:val="0"/>
                  <w:divBdr>
                    <w:top w:val="none" w:sz="0" w:space="0" w:color="auto"/>
                    <w:left w:val="none" w:sz="0" w:space="0" w:color="auto"/>
                    <w:bottom w:val="none" w:sz="0" w:space="0" w:color="auto"/>
                    <w:right w:val="none" w:sz="0" w:space="0" w:color="auto"/>
                  </w:divBdr>
                </w:div>
              </w:divsChild>
            </w:div>
            <w:div w:id="1325159298">
              <w:marLeft w:val="0"/>
              <w:marRight w:val="0"/>
              <w:marTop w:val="0"/>
              <w:marBottom w:val="0"/>
              <w:divBdr>
                <w:top w:val="none" w:sz="0" w:space="0" w:color="auto"/>
                <w:left w:val="none" w:sz="0" w:space="0" w:color="auto"/>
                <w:bottom w:val="none" w:sz="0" w:space="0" w:color="auto"/>
                <w:right w:val="none" w:sz="0" w:space="0" w:color="auto"/>
              </w:divBdr>
              <w:divsChild>
                <w:div w:id="1389037287">
                  <w:marLeft w:val="0"/>
                  <w:marRight w:val="0"/>
                  <w:marTop w:val="0"/>
                  <w:marBottom w:val="0"/>
                  <w:divBdr>
                    <w:top w:val="none" w:sz="0" w:space="0" w:color="auto"/>
                    <w:left w:val="none" w:sz="0" w:space="0" w:color="auto"/>
                    <w:bottom w:val="none" w:sz="0" w:space="0" w:color="auto"/>
                    <w:right w:val="none" w:sz="0" w:space="0" w:color="auto"/>
                  </w:divBdr>
                </w:div>
              </w:divsChild>
            </w:div>
            <w:div w:id="541212528">
              <w:marLeft w:val="0"/>
              <w:marRight w:val="0"/>
              <w:marTop w:val="0"/>
              <w:marBottom w:val="0"/>
              <w:divBdr>
                <w:top w:val="none" w:sz="0" w:space="0" w:color="auto"/>
                <w:left w:val="none" w:sz="0" w:space="0" w:color="auto"/>
                <w:bottom w:val="none" w:sz="0" w:space="0" w:color="auto"/>
                <w:right w:val="none" w:sz="0" w:space="0" w:color="auto"/>
              </w:divBdr>
              <w:divsChild>
                <w:div w:id="1400054550">
                  <w:marLeft w:val="0"/>
                  <w:marRight w:val="0"/>
                  <w:marTop w:val="0"/>
                  <w:marBottom w:val="0"/>
                  <w:divBdr>
                    <w:top w:val="none" w:sz="0" w:space="0" w:color="auto"/>
                    <w:left w:val="none" w:sz="0" w:space="0" w:color="auto"/>
                    <w:bottom w:val="none" w:sz="0" w:space="0" w:color="auto"/>
                    <w:right w:val="none" w:sz="0" w:space="0" w:color="auto"/>
                  </w:divBdr>
                </w:div>
              </w:divsChild>
            </w:div>
            <w:div w:id="302542729">
              <w:marLeft w:val="0"/>
              <w:marRight w:val="0"/>
              <w:marTop w:val="0"/>
              <w:marBottom w:val="0"/>
              <w:divBdr>
                <w:top w:val="none" w:sz="0" w:space="0" w:color="auto"/>
                <w:left w:val="none" w:sz="0" w:space="0" w:color="auto"/>
                <w:bottom w:val="none" w:sz="0" w:space="0" w:color="auto"/>
                <w:right w:val="none" w:sz="0" w:space="0" w:color="auto"/>
              </w:divBdr>
              <w:divsChild>
                <w:div w:id="1619406985">
                  <w:marLeft w:val="0"/>
                  <w:marRight w:val="0"/>
                  <w:marTop w:val="0"/>
                  <w:marBottom w:val="0"/>
                  <w:divBdr>
                    <w:top w:val="none" w:sz="0" w:space="0" w:color="auto"/>
                    <w:left w:val="none" w:sz="0" w:space="0" w:color="auto"/>
                    <w:bottom w:val="none" w:sz="0" w:space="0" w:color="auto"/>
                    <w:right w:val="none" w:sz="0" w:space="0" w:color="auto"/>
                  </w:divBdr>
                </w:div>
              </w:divsChild>
            </w:div>
            <w:div w:id="1061829906">
              <w:marLeft w:val="0"/>
              <w:marRight w:val="0"/>
              <w:marTop w:val="0"/>
              <w:marBottom w:val="0"/>
              <w:divBdr>
                <w:top w:val="none" w:sz="0" w:space="0" w:color="auto"/>
                <w:left w:val="none" w:sz="0" w:space="0" w:color="auto"/>
                <w:bottom w:val="none" w:sz="0" w:space="0" w:color="auto"/>
                <w:right w:val="none" w:sz="0" w:space="0" w:color="auto"/>
              </w:divBdr>
              <w:divsChild>
                <w:div w:id="1531720529">
                  <w:marLeft w:val="0"/>
                  <w:marRight w:val="0"/>
                  <w:marTop w:val="0"/>
                  <w:marBottom w:val="0"/>
                  <w:divBdr>
                    <w:top w:val="none" w:sz="0" w:space="0" w:color="auto"/>
                    <w:left w:val="none" w:sz="0" w:space="0" w:color="auto"/>
                    <w:bottom w:val="none" w:sz="0" w:space="0" w:color="auto"/>
                    <w:right w:val="none" w:sz="0" w:space="0" w:color="auto"/>
                  </w:divBdr>
                </w:div>
              </w:divsChild>
            </w:div>
            <w:div w:id="1486823918">
              <w:marLeft w:val="0"/>
              <w:marRight w:val="0"/>
              <w:marTop w:val="0"/>
              <w:marBottom w:val="0"/>
              <w:divBdr>
                <w:top w:val="none" w:sz="0" w:space="0" w:color="auto"/>
                <w:left w:val="none" w:sz="0" w:space="0" w:color="auto"/>
                <w:bottom w:val="none" w:sz="0" w:space="0" w:color="auto"/>
                <w:right w:val="none" w:sz="0" w:space="0" w:color="auto"/>
              </w:divBdr>
              <w:divsChild>
                <w:div w:id="1854105343">
                  <w:marLeft w:val="0"/>
                  <w:marRight w:val="0"/>
                  <w:marTop w:val="0"/>
                  <w:marBottom w:val="0"/>
                  <w:divBdr>
                    <w:top w:val="none" w:sz="0" w:space="0" w:color="auto"/>
                    <w:left w:val="none" w:sz="0" w:space="0" w:color="auto"/>
                    <w:bottom w:val="none" w:sz="0" w:space="0" w:color="auto"/>
                    <w:right w:val="none" w:sz="0" w:space="0" w:color="auto"/>
                  </w:divBdr>
                </w:div>
              </w:divsChild>
            </w:div>
            <w:div w:id="1780221226">
              <w:marLeft w:val="0"/>
              <w:marRight w:val="0"/>
              <w:marTop w:val="0"/>
              <w:marBottom w:val="0"/>
              <w:divBdr>
                <w:top w:val="none" w:sz="0" w:space="0" w:color="auto"/>
                <w:left w:val="none" w:sz="0" w:space="0" w:color="auto"/>
                <w:bottom w:val="none" w:sz="0" w:space="0" w:color="auto"/>
                <w:right w:val="none" w:sz="0" w:space="0" w:color="auto"/>
              </w:divBdr>
            </w:div>
            <w:div w:id="641235884">
              <w:marLeft w:val="0"/>
              <w:marRight w:val="0"/>
              <w:marTop w:val="0"/>
              <w:marBottom w:val="0"/>
              <w:divBdr>
                <w:top w:val="none" w:sz="0" w:space="0" w:color="auto"/>
                <w:left w:val="none" w:sz="0" w:space="0" w:color="auto"/>
                <w:bottom w:val="none" w:sz="0" w:space="0" w:color="auto"/>
                <w:right w:val="none" w:sz="0" w:space="0" w:color="auto"/>
              </w:divBdr>
              <w:divsChild>
                <w:div w:id="38479876">
                  <w:marLeft w:val="0"/>
                  <w:marRight w:val="0"/>
                  <w:marTop w:val="0"/>
                  <w:marBottom w:val="0"/>
                  <w:divBdr>
                    <w:top w:val="none" w:sz="0" w:space="0" w:color="auto"/>
                    <w:left w:val="none" w:sz="0" w:space="0" w:color="auto"/>
                    <w:bottom w:val="none" w:sz="0" w:space="0" w:color="auto"/>
                    <w:right w:val="none" w:sz="0" w:space="0" w:color="auto"/>
                  </w:divBdr>
                </w:div>
              </w:divsChild>
            </w:div>
            <w:div w:id="1389307650">
              <w:marLeft w:val="0"/>
              <w:marRight w:val="0"/>
              <w:marTop w:val="0"/>
              <w:marBottom w:val="0"/>
              <w:divBdr>
                <w:top w:val="none" w:sz="0" w:space="0" w:color="auto"/>
                <w:left w:val="none" w:sz="0" w:space="0" w:color="auto"/>
                <w:bottom w:val="none" w:sz="0" w:space="0" w:color="auto"/>
                <w:right w:val="none" w:sz="0" w:space="0" w:color="auto"/>
              </w:divBdr>
              <w:divsChild>
                <w:div w:id="1555384344">
                  <w:marLeft w:val="0"/>
                  <w:marRight w:val="0"/>
                  <w:marTop w:val="0"/>
                  <w:marBottom w:val="0"/>
                  <w:divBdr>
                    <w:top w:val="none" w:sz="0" w:space="0" w:color="auto"/>
                    <w:left w:val="none" w:sz="0" w:space="0" w:color="auto"/>
                    <w:bottom w:val="none" w:sz="0" w:space="0" w:color="auto"/>
                    <w:right w:val="none" w:sz="0" w:space="0" w:color="auto"/>
                  </w:divBdr>
                </w:div>
              </w:divsChild>
            </w:div>
            <w:div w:id="1599408694">
              <w:marLeft w:val="0"/>
              <w:marRight w:val="0"/>
              <w:marTop w:val="0"/>
              <w:marBottom w:val="0"/>
              <w:divBdr>
                <w:top w:val="none" w:sz="0" w:space="0" w:color="auto"/>
                <w:left w:val="none" w:sz="0" w:space="0" w:color="auto"/>
                <w:bottom w:val="none" w:sz="0" w:space="0" w:color="auto"/>
                <w:right w:val="none" w:sz="0" w:space="0" w:color="auto"/>
              </w:divBdr>
              <w:divsChild>
                <w:div w:id="1402830335">
                  <w:marLeft w:val="0"/>
                  <w:marRight w:val="0"/>
                  <w:marTop w:val="0"/>
                  <w:marBottom w:val="0"/>
                  <w:divBdr>
                    <w:top w:val="none" w:sz="0" w:space="0" w:color="auto"/>
                    <w:left w:val="none" w:sz="0" w:space="0" w:color="auto"/>
                    <w:bottom w:val="none" w:sz="0" w:space="0" w:color="auto"/>
                    <w:right w:val="none" w:sz="0" w:space="0" w:color="auto"/>
                  </w:divBdr>
                </w:div>
              </w:divsChild>
            </w:div>
            <w:div w:id="1584026663">
              <w:marLeft w:val="0"/>
              <w:marRight w:val="0"/>
              <w:marTop w:val="0"/>
              <w:marBottom w:val="0"/>
              <w:divBdr>
                <w:top w:val="none" w:sz="0" w:space="0" w:color="auto"/>
                <w:left w:val="none" w:sz="0" w:space="0" w:color="auto"/>
                <w:bottom w:val="none" w:sz="0" w:space="0" w:color="auto"/>
                <w:right w:val="none" w:sz="0" w:space="0" w:color="auto"/>
              </w:divBdr>
              <w:divsChild>
                <w:div w:id="425812731">
                  <w:marLeft w:val="0"/>
                  <w:marRight w:val="0"/>
                  <w:marTop w:val="0"/>
                  <w:marBottom w:val="0"/>
                  <w:divBdr>
                    <w:top w:val="none" w:sz="0" w:space="0" w:color="auto"/>
                    <w:left w:val="none" w:sz="0" w:space="0" w:color="auto"/>
                    <w:bottom w:val="none" w:sz="0" w:space="0" w:color="auto"/>
                    <w:right w:val="none" w:sz="0" w:space="0" w:color="auto"/>
                  </w:divBdr>
                </w:div>
              </w:divsChild>
            </w:div>
            <w:div w:id="1703558062">
              <w:marLeft w:val="0"/>
              <w:marRight w:val="0"/>
              <w:marTop w:val="0"/>
              <w:marBottom w:val="0"/>
              <w:divBdr>
                <w:top w:val="none" w:sz="0" w:space="0" w:color="auto"/>
                <w:left w:val="none" w:sz="0" w:space="0" w:color="auto"/>
                <w:bottom w:val="none" w:sz="0" w:space="0" w:color="auto"/>
                <w:right w:val="none" w:sz="0" w:space="0" w:color="auto"/>
              </w:divBdr>
              <w:divsChild>
                <w:div w:id="1009328076">
                  <w:marLeft w:val="0"/>
                  <w:marRight w:val="0"/>
                  <w:marTop w:val="0"/>
                  <w:marBottom w:val="0"/>
                  <w:divBdr>
                    <w:top w:val="none" w:sz="0" w:space="0" w:color="auto"/>
                    <w:left w:val="none" w:sz="0" w:space="0" w:color="auto"/>
                    <w:bottom w:val="none" w:sz="0" w:space="0" w:color="auto"/>
                    <w:right w:val="none" w:sz="0" w:space="0" w:color="auto"/>
                  </w:divBdr>
                </w:div>
              </w:divsChild>
            </w:div>
            <w:div w:id="1089277903">
              <w:marLeft w:val="0"/>
              <w:marRight w:val="0"/>
              <w:marTop w:val="0"/>
              <w:marBottom w:val="0"/>
              <w:divBdr>
                <w:top w:val="none" w:sz="0" w:space="0" w:color="auto"/>
                <w:left w:val="none" w:sz="0" w:space="0" w:color="auto"/>
                <w:bottom w:val="none" w:sz="0" w:space="0" w:color="auto"/>
                <w:right w:val="none" w:sz="0" w:space="0" w:color="auto"/>
              </w:divBdr>
              <w:divsChild>
                <w:div w:id="923152642">
                  <w:marLeft w:val="0"/>
                  <w:marRight w:val="0"/>
                  <w:marTop w:val="0"/>
                  <w:marBottom w:val="0"/>
                  <w:divBdr>
                    <w:top w:val="none" w:sz="0" w:space="0" w:color="auto"/>
                    <w:left w:val="none" w:sz="0" w:space="0" w:color="auto"/>
                    <w:bottom w:val="none" w:sz="0" w:space="0" w:color="auto"/>
                    <w:right w:val="none" w:sz="0" w:space="0" w:color="auto"/>
                  </w:divBdr>
                </w:div>
              </w:divsChild>
            </w:div>
            <w:div w:id="2078168452">
              <w:marLeft w:val="0"/>
              <w:marRight w:val="0"/>
              <w:marTop w:val="0"/>
              <w:marBottom w:val="0"/>
              <w:divBdr>
                <w:top w:val="none" w:sz="0" w:space="0" w:color="auto"/>
                <w:left w:val="none" w:sz="0" w:space="0" w:color="auto"/>
                <w:bottom w:val="none" w:sz="0" w:space="0" w:color="auto"/>
                <w:right w:val="none" w:sz="0" w:space="0" w:color="auto"/>
              </w:divBdr>
              <w:divsChild>
                <w:div w:id="1902712987">
                  <w:marLeft w:val="0"/>
                  <w:marRight w:val="0"/>
                  <w:marTop w:val="0"/>
                  <w:marBottom w:val="0"/>
                  <w:divBdr>
                    <w:top w:val="none" w:sz="0" w:space="0" w:color="auto"/>
                    <w:left w:val="none" w:sz="0" w:space="0" w:color="auto"/>
                    <w:bottom w:val="none" w:sz="0" w:space="0" w:color="auto"/>
                    <w:right w:val="none" w:sz="0" w:space="0" w:color="auto"/>
                  </w:divBdr>
                </w:div>
              </w:divsChild>
            </w:div>
            <w:div w:id="189805024">
              <w:marLeft w:val="0"/>
              <w:marRight w:val="0"/>
              <w:marTop w:val="0"/>
              <w:marBottom w:val="0"/>
              <w:divBdr>
                <w:top w:val="none" w:sz="0" w:space="0" w:color="auto"/>
                <w:left w:val="none" w:sz="0" w:space="0" w:color="auto"/>
                <w:bottom w:val="none" w:sz="0" w:space="0" w:color="auto"/>
                <w:right w:val="none" w:sz="0" w:space="0" w:color="auto"/>
              </w:divBdr>
              <w:divsChild>
                <w:div w:id="2047757531">
                  <w:marLeft w:val="0"/>
                  <w:marRight w:val="0"/>
                  <w:marTop w:val="0"/>
                  <w:marBottom w:val="0"/>
                  <w:divBdr>
                    <w:top w:val="none" w:sz="0" w:space="0" w:color="auto"/>
                    <w:left w:val="none" w:sz="0" w:space="0" w:color="auto"/>
                    <w:bottom w:val="none" w:sz="0" w:space="0" w:color="auto"/>
                    <w:right w:val="none" w:sz="0" w:space="0" w:color="auto"/>
                  </w:divBdr>
                </w:div>
              </w:divsChild>
            </w:div>
            <w:div w:id="977804871">
              <w:marLeft w:val="0"/>
              <w:marRight w:val="0"/>
              <w:marTop w:val="0"/>
              <w:marBottom w:val="0"/>
              <w:divBdr>
                <w:top w:val="none" w:sz="0" w:space="0" w:color="auto"/>
                <w:left w:val="none" w:sz="0" w:space="0" w:color="auto"/>
                <w:bottom w:val="none" w:sz="0" w:space="0" w:color="auto"/>
                <w:right w:val="none" w:sz="0" w:space="0" w:color="auto"/>
              </w:divBdr>
              <w:divsChild>
                <w:div w:id="760838511">
                  <w:marLeft w:val="0"/>
                  <w:marRight w:val="0"/>
                  <w:marTop w:val="0"/>
                  <w:marBottom w:val="0"/>
                  <w:divBdr>
                    <w:top w:val="none" w:sz="0" w:space="0" w:color="auto"/>
                    <w:left w:val="none" w:sz="0" w:space="0" w:color="auto"/>
                    <w:bottom w:val="none" w:sz="0" w:space="0" w:color="auto"/>
                    <w:right w:val="none" w:sz="0" w:space="0" w:color="auto"/>
                  </w:divBdr>
                </w:div>
              </w:divsChild>
            </w:div>
            <w:div w:id="1461069239">
              <w:marLeft w:val="0"/>
              <w:marRight w:val="0"/>
              <w:marTop w:val="0"/>
              <w:marBottom w:val="0"/>
              <w:divBdr>
                <w:top w:val="none" w:sz="0" w:space="0" w:color="auto"/>
                <w:left w:val="none" w:sz="0" w:space="0" w:color="auto"/>
                <w:bottom w:val="none" w:sz="0" w:space="0" w:color="auto"/>
                <w:right w:val="none" w:sz="0" w:space="0" w:color="auto"/>
              </w:divBdr>
              <w:divsChild>
                <w:div w:id="775176125">
                  <w:marLeft w:val="0"/>
                  <w:marRight w:val="0"/>
                  <w:marTop w:val="0"/>
                  <w:marBottom w:val="0"/>
                  <w:divBdr>
                    <w:top w:val="none" w:sz="0" w:space="0" w:color="auto"/>
                    <w:left w:val="none" w:sz="0" w:space="0" w:color="auto"/>
                    <w:bottom w:val="none" w:sz="0" w:space="0" w:color="auto"/>
                    <w:right w:val="none" w:sz="0" w:space="0" w:color="auto"/>
                  </w:divBdr>
                </w:div>
              </w:divsChild>
            </w:div>
            <w:div w:id="1762678946">
              <w:marLeft w:val="0"/>
              <w:marRight w:val="0"/>
              <w:marTop w:val="0"/>
              <w:marBottom w:val="0"/>
              <w:divBdr>
                <w:top w:val="none" w:sz="0" w:space="0" w:color="auto"/>
                <w:left w:val="none" w:sz="0" w:space="0" w:color="auto"/>
                <w:bottom w:val="none" w:sz="0" w:space="0" w:color="auto"/>
                <w:right w:val="none" w:sz="0" w:space="0" w:color="auto"/>
              </w:divBdr>
              <w:divsChild>
                <w:div w:id="837842718">
                  <w:marLeft w:val="0"/>
                  <w:marRight w:val="0"/>
                  <w:marTop w:val="0"/>
                  <w:marBottom w:val="0"/>
                  <w:divBdr>
                    <w:top w:val="none" w:sz="0" w:space="0" w:color="auto"/>
                    <w:left w:val="none" w:sz="0" w:space="0" w:color="auto"/>
                    <w:bottom w:val="none" w:sz="0" w:space="0" w:color="auto"/>
                    <w:right w:val="none" w:sz="0" w:space="0" w:color="auto"/>
                  </w:divBdr>
                </w:div>
              </w:divsChild>
            </w:div>
            <w:div w:id="24914679">
              <w:marLeft w:val="0"/>
              <w:marRight w:val="0"/>
              <w:marTop w:val="0"/>
              <w:marBottom w:val="0"/>
              <w:divBdr>
                <w:top w:val="none" w:sz="0" w:space="0" w:color="auto"/>
                <w:left w:val="none" w:sz="0" w:space="0" w:color="auto"/>
                <w:bottom w:val="none" w:sz="0" w:space="0" w:color="auto"/>
                <w:right w:val="none" w:sz="0" w:space="0" w:color="auto"/>
              </w:divBdr>
              <w:divsChild>
                <w:div w:id="1493714629">
                  <w:marLeft w:val="0"/>
                  <w:marRight w:val="0"/>
                  <w:marTop w:val="0"/>
                  <w:marBottom w:val="0"/>
                  <w:divBdr>
                    <w:top w:val="none" w:sz="0" w:space="0" w:color="auto"/>
                    <w:left w:val="none" w:sz="0" w:space="0" w:color="auto"/>
                    <w:bottom w:val="none" w:sz="0" w:space="0" w:color="auto"/>
                    <w:right w:val="none" w:sz="0" w:space="0" w:color="auto"/>
                  </w:divBdr>
                </w:div>
              </w:divsChild>
            </w:div>
            <w:div w:id="283968352">
              <w:marLeft w:val="0"/>
              <w:marRight w:val="0"/>
              <w:marTop w:val="0"/>
              <w:marBottom w:val="0"/>
              <w:divBdr>
                <w:top w:val="none" w:sz="0" w:space="0" w:color="auto"/>
                <w:left w:val="none" w:sz="0" w:space="0" w:color="auto"/>
                <w:bottom w:val="none" w:sz="0" w:space="0" w:color="auto"/>
                <w:right w:val="none" w:sz="0" w:space="0" w:color="auto"/>
              </w:divBdr>
              <w:divsChild>
                <w:div w:id="1133135784">
                  <w:marLeft w:val="0"/>
                  <w:marRight w:val="0"/>
                  <w:marTop w:val="0"/>
                  <w:marBottom w:val="0"/>
                  <w:divBdr>
                    <w:top w:val="none" w:sz="0" w:space="0" w:color="auto"/>
                    <w:left w:val="none" w:sz="0" w:space="0" w:color="auto"/>
                    <w:bottom w:val="none" w:sz="0" w:space="0" w:color="auto"/>
                    <w:right w:val="none" w:sz="0" w:space="0" w:color="auto"/>
                  </w:divBdr>
                </w:div>
              </w:divsChild>
            </w:div>
            <w:div w:id="1117721387">
              <w:marLeft w:val="0"/>
              <w:marRight w:val="0"/>
              <w:marTop w:val="0"/>
              <w:marBottom w:val="0"/>
              <w:divBdr>
                <w:top w:val="none" w:sz="0" w:space="0" w:color="auto"/>
                <w:left w:val="none" w:sz="0" w:space="0" w:color="auto"/>
                <w:bottom w:val="none" w:sz="0" w:space="0" w:color="auto"/>
                <w:right w:val="none" w:sz="0" w:space="0" w:color="auto"/>
              </w:divBdr>
              <w:divsChild>
                <w:div w:id="377173037">
                  <w:marLeft w:val="0"/>
                  <w:marRight w:val="0"/>
                  <w:marTop w:val="0"/>
                  <w:marBottom w:val="0"/>
                  <w:divBdr>
                    <w:top w:val="none" w:sz="0" w:space="0" w:color="auto"/>
                    <w:left w:val="none" w:sz="0" w:space="0" w:color="auto"/>
                    <w:bottom w:val="none" w:sz="0" w:space="0" w:color="auto"/>
                    <w:right w:val="none" w:sz="0" w:space="0" w:color="auto"/>
                  </w:divBdr>
                </w:div>
              </w:divsChild>
            </w:div>
            <w:div w:id="1505321890">
              <w:marLeft w:val="0"/>
              <w:marRight w:val="0"/>
              <w:marTop w:val="0"/>
              <w:marBottom w:val="0"/>
              <w:divBdr>
                <w:top w:val="none" w:sz="0" w:space="0" w:color="auto"/>
                <w:left w:val="none" w:sz="0" w:space="0" w:color="auto"/>
                <w:bottom w:val="none" w:sz="0" w:space="0" w:color="auto"/>
                <w:right w:val="none" w:sz="0" w:space="0" w:color="auto"/>
              </w:divBdr>
              <w:divsChild>
                <w:div w:id="1604537141">
                  <w:marLeft w:val="0"/>
                  <w:marRight w:val="0"/>
                  <w:marTop w:val="0"/>
                  <w:marBottom w:val="0"/>
                  <w:divBdr>
                    <w:top w:val="none" w:sz="0" w:space="0" w:color="auto"/>
                    <w:left w:val="none" w:sz="0" w:space="0" w:color="auto"/>
                    <w:bottom w:val="none" w:sz="0" w:space="0" w:color="auto"/>
                    <w:right w:val="none" w:sz="0" w:space="0" w:color="auto"/>
                  </w:divBdr>
                </w:div>
              </w:divsChild>
            </w:div>
            <w:div w:id="681973630">
              <w:marLeft w:val="0"/>
              <w:marRight w:val="0"/>
              <w:marTop w:val="0"/>
              <w:marBottom w:val="0"/>
              <w:divBdr>
                <w:top w:val="none" w:sz="0" w:space="0" w:color="auto"/>
                <w:left w:val="none" w:sz="0" w:space="0" w:color="auto"/>
                <w:bottom w:val="none" w:sz="0" w:space="0" w:color="auto"/>
                <w:right w:val="none" w:sz="0" w:space="0" w:color="auto"/>
              </w:divBdr>
              <w:divsChild>
                <w:div w:id="1385639580">
                  <w:marLeft w:val="0"/>
                  <w:marRight w:val="0"/>
                  <w:marTop w:val="0"/>
                  <w:marBottom w:val="0"/>
                  <w:divBdr>
                    <w:top w:val="none" w:sz="0" w:space="0" w:color="auto"/>
                    <w:left w:val="none" w:sz="0" w:space="0" w:color="auto"/>
                    <w:bottom w:val="none" w:sz="0" w:space="0" w:color="auto"/>
                    <w:right w:val="none" w:sz="0" w:space="0" w:color="auto"/>
                  </w:divBdr>
                </w:div>
              </w:divsChild>
            </w:div>
            <w:div w:id="731465918">
              <w:marLeft w:val="0"/>
              <w:marRight w:val="0"/>
              <w:marTop w:val="0"/>
              <w:marBottom w:val="0"/>
              <w:divBdr>
                <w:top w:val="none" w:sz="0" w:space="0" w:color="auto"/>
                <w:left w:val="none" w:sz="0" w:space="0" w:color="auto"/>
                <w:bottom w:val="none" w:sz="0" w:space="0" w:color="auto"/>
                <w:right w:val="none" w:sz="0" w:space="0" w:color="auto"/>
              </w:divBdr>
              <w:divsChild>
                <w:div w:id="1555114552">
                  <w:marLeft w:val="0"/>
                  <w:marRight w:val="0"/>
                  <w:marTop w:val="0"/>
                  <w:marBottom w:val="0"/>
                  <w:divBdr>
                    <w:top w:val="none" w:sz="0" w:space="0" w:color="auto"/>
                    <w:left w:val="none" w:sz="0" w:space="0" w:color="auto"/>
                    <w:bottom w:val="none" w:sz="0" w:space="0" w:color="auto"/>
                    <w:right w:val="none" w:sz="0" w:space="0" w:color="auto"/>
                  </w:divBdr>
                </w:div>
              </w:divsChild>
            </w:div>
            <w:div w:id="370571276">
              <w:marLeft w:val="0"/>
              <w:marRight w:val="0"/>
              <w:marTop w:val="0"/>
              <w:marBottom w:val="0"/>
              <w:divBdr>
                <w:top w:val="none" w:sz="0" w:space="0" w:color="auto"/>
                <w:left w:val="none" w:sz="0" w:space="0" w:color="auto"/>
                <w:bottom w:val="none" w:sz="0" w:space="0" w:color="auto"/>
                <w:right w:val="none" w:sz="0" w:space="0" w:color="auto"/>
              </w:divBdr>
              <w:divsChild>
                <w:div w:id="840580264">
                  <w:marLeft w:val="0"/>
                  <w:marRight w:val="0"/>
                  <w:marTop w:val="0"/>
                  <w:marBottom w:val="0"/>
                  <w:divBdr>
                    <w:top w:val="none" w:sz="0" w:space="0" w:color="auto"/>
                    <w:left w:val="none" w:sz="0" w:space="0" w:color="auto"/>
                    <w:bottom w:val="none" w:sz="0" w:space="0" w:color="auto"/>
                    <w:right w:val="none" w:sz="0" w:space="0" w:color="auto"/>
                  </w:divBdr>
                </w:div>
              </w:divsChild>
            </w:div>
            <w:div w:id="1598253093">
              <w:marLeft w:val="0"/>
              <w:marRight w:val="0"/>
              <w:marTop w:val="0"/>
              <w:marBottom w:val="0"/>
              <w:divBdr>
                <w:top w:val="none" w:sz="0" w:space="0" w:color="auto"/>
                <w:left w:val="none" w:sz="0" w:space="0" w:color="auto"/>
                <w:bottom w:val="none" w:sz="0" w:space="0" w:color="auto"/>
                <w:right w:val="none" w:sz="0" w:space="0" w:color="auto"/>
              </w:divBdr>
              <w:divsChild>
                <w:div w:id="22098880">
                  <w:marLeft w:val="0"/>
                  <w:marRight w:val="0"/>
                  <w:marTop w:val="0"/>
                  <w:marBottom w:val="0"/>
                  <w:divBdr>
                    <w:top w:val="none" w:sz="0" w:space="0" w:color="auto"/>
                    <w:left w:val="none" w:sz="0" w:space="0" w:color="auto"/>
                    <w:bottom w:val="none" w:sz="0" w:space="0" w:color="auto"/>
                    <w:right w:val="none" w:sz="0" w:space="0" w:color="auto"/>
                  </w:divBdr>
                </w:div>
              </w:divsChild>
            </w:div>
            <w:div w:id="1030185873">
              <w:marLeft w:val="0"/>
              <w:marRight w:val="0"/>
              <w:marTop w:val="0"/>
              <w:marBottom w:val="0"/>
              <w:divBdr>
                <w:top w:val="none" w:sz="0" w:space="0" w:color="auto"/>
                <w:left w:val="none" w:sz="0" w:space="0" w:color="auto"/>
                <w:bottom w:val="none" w:sz="0" w:space="0" w:color="auto"/>
                <w:right w:val="none" w:sz="0" w:space="0" w:color="auto"/>
              </w:divBdr>
              <w:divsChild>
                <w:div w:id="1009212020">
                  <w:marLeft w:val="0"/>
                  <w:marRight w:val="0"/>
                  <w:marTop w:val="0"/>
                  <w:marBottom w:val="0"/>
                  <w:divBdr>
                    <w:top w:val="none" w:sz="0" w:space="0" w:color="auto"/>
                    <w:left w:val="none" w:sz="0" w:space="0" w:color="auto"/>
                    <w:bottom w:val="none" w:sz="0" w:space="0" w:color="auto"/>
                    <w:right w:val="none" w:sz="0" w:space="0" w:color="auto"/>
                  </w:divBdr>
                </w:div>
              </w:divsChild>
            </w:div>
            <w:div w:id="2144149882">
              <w:marLeft w:val="0"/>
              <w:marRight w:val="0"/>
              <w:marTop w:val="0"/>
              <w:marBottom w:val="0"/>
              <w:divBdr>
                <w:top w:val="none" w:sz="0" w:space="0" w:color="auto"/>
                <w:left w:val="none" w:sz="0" w:space="0" w:color="auto"/>
                <w:bottom w:val="none" w:sz="0" w:space="0" w:color="auto"/>
                <w:right w:val="none" w:sz="0" w:space="0" w:color="auto"/>
              </w:divBdr>
              <w:divsChild>
                <w:div w:id="2059930688">
                  <w:marLeft w:val="0"/>
                  <w:marRight w:val="0"/>
                  <w:marTop w:val="0"/>
                  <w:marBottom w:val="0"/>
                  <w:divBdr>
                    <w:top w:val="none" w:sz="0" w:space="0" w:color="auto"/>
                    <w:left w:val="none" w:sz="0" w:space="0" w:color="auto"/>
                    <w:bottom w:val="none" w:sz="0" w:space="0" w:color="auto"/>
                    <w:right w:val="none" w:sz="0" w:space="0" w:color="auto"/>
                  </w:divBdr>
                </w:div>
              </w:divsChild>
            </w:div>
            <w:div w:id="975719806">
              <w:marLeft w:val="0"/>
              <w:marRight w:val="0"/>
              <w:marTop w:val="0"/>
              <w:marBottom w:val="0"/>
              <w:divBdr>
                <w:top w:val="none" w:sz="0" w:space="0" w:color="auto"/>
                <w:left w:val="none" w:sz="0" w:space="0" w:color="auto"/>
                <w:bottom w:val="none" w:sz="0" w:space="0" w:color="auto"/>
                <w:right w:val="none" w:sz="0" w:space="0" w:color="auto"/>
              </w:divBdr>
              <w:divsChild>
                <w:div w:id="551161672">
                  <w:marLeft w:val="0"/>
                  <w:marRight w:val="0"/>
                  <w:marTop w:val="0"/>
                  <w:marBottom w:val="0"/>
                  <w:divBdr>
                    <w:top w:val="none" w:sz="0" w:space="0" w:color="auto"/>
                    <w:left w:val="none" w:sz="0" w:space="0" w:color="auto"/>
                    <w:bottom w:val="none" w:sz="0" w:space="0" w:color="auto"/>
                    <w:right w:val="none" w:sz="0" w:space="0" w:color="auto"/>
                  </w:divBdr>
                </w:div>
              </w:divsChild>
            </w:div>
            <w:div w:id="915167780">
              <w:marLeft w:val="0"/>
              <w:marRight w:val="0"/>
              <w:marTop w:val="0"/>
              <w:marBottom w:val="0"/>
              <w:divBdr>
                <w:top w:val="none" w:sz="0" w:space="0" w:color="auto"/>
                <w:left w:val="none" w:sz="0" w:space="0" w:color="auto"/>
                <w:bottom w:val="none" w:sz="0" w:space="0" w:color="auto"/>
                <w:right w:val="none" w:sz="0" w:space="0" w:color="auto"/>
              </w:divBdr>
              <w:divsChild>
                <w:div w:id="934753041">
                  <w:marLeft w:val="0"/>
                  <w:marRight w:val="0"/>
                  <w:marTop w:val="0"/>
                  <w:marBottom w:val="0"/>
                  <w:divBdr>
                    <w:top w:val="none" w:sz="0" w:space="0" w:color="auto"/>
                    <w:left w:val="none" w:sz="0" w:space="0" w:color="auto"/>
                    <w:bottom w:val="none" w:sz="0" w:space="0" w:color="auto"/>
                    <w:right w:val="none" w:sz="0" w:space="0" w:color="auto"/>
                  </w:divBdr>
                </w:div>
              </w:divsChild>
            </w:div>
            <w:div w:id="734471328">
              <w:marLeft w:val="0"/>
              <w:marRight w:val="0"/>
              <w:marTop w:val="0"/>
              <w:marBottom w:val="0"/>
              <w:divBdr>
                <w:top w:val="none" w:sz="0" w:space="0" w:color="auto"/>
                <w:left w:val="none" w:sz="0" w:space="0" w:color="auto"/>
                <w:bottom w:val="none" w:sz="0" w:space="0" w:color="auto"/>
                <w:right w:val="none" w:sz="0" w:space="0" w:color="auto"/>
              </w:divBdr>
              <w:divsChild>
                <w:div w:id="1252156888">
                  <w:marLeft w:val="0"/>
                  <w:marRight w:val="0"/>
                  <w:marTop w:val="0"/>
                  <w:marBottom w:val="0"/>
                  <w:divBdr>
                    <w:top w:val="none" w:sz="0" w:space="0" w:color="auto"/>
                    <w:left w:val="none" w:sz="0" w:space="0" w:color="auto"/>
                    <w:bottom w:val="none" w:sz="0" w:space="0" w:color="auto"/>
                    <w:right w:val="none" w:sz="0" w:space="0" w:color="auto"/>
                  </w:divBdr>
                </w:div>
              </w:divsChild>
            </w:div>
            <w:div w:id="1312515952">
              <w:marLeft w:val="0"/>
              <w:marRight w:val="0"/>
              <w:marTop w:val="0"/>
              <w:marBottom w:val="0"/>
              <w:divBdr>
                <w:top w:val="none" w:sz="0" w:space="0" w:color="auto"/>
                <w:left w:val="none" w:sz="0" w:space="0" w:color="auto"/>
                <w:bottom w:val="none" w:sz="0" w:space="0" w:color="auto"/>
                <w:right w:val="none" w:sz="0" w:space="0" w:color="auto"/>
              </w:divBdr>
              <w:divsChild>
                <w:div w:id="244605861">
                  <w:marLeft w:val="0"/>
                  <w:marRight w:val="0"/>
                  <w:marTop w:val="0"/>
                  <w:marBottom w:val="0"/>
                  <w:divBdr>
                    <w:top w:val="none" w:sz="0" w:space="0" w:color="auto"/>
                    <w:left w:val="none" w:sz="0" w:space="0" w:color="auto"/>
                    <w:bottom w:val="none" w:sz="0" w:space="0" w:color="auto"/>
                    <w:right w:val="none" w:sz="0" w:space="0" w:color="auto"/>
                  </w:divBdr>
                </w:div>
              </w:divsChild>
            </w:div>
            <w:div w:id="319583557">
              <w:marLeft w:val="0"/>
              <w:marRight w:val="0"/>
              <w:marTop w:val="0"/>
              <w:marBottom w:val="0"/>
              <w:divBdr>
                <w:top w:val="none" w:sz="0" w:space="0" w:color="auto"/>
                <w:left w:val="none" w:sz="0" w:space="0" w:color="auto"/>
                <w:bottom w:val="none" w:sz="0" w:space="0" w:color="auto"/>
                <w:right w:val="none" w:sz="0" w:space="0" w:color="auto"/>
              </w:divBdr>
              <w:divsChild>
                <w:div w:id="1717896716">
                  <w:marLeft w:val="0"/>
                  <w:marRight w:val="0"/>
                  <w:marTop w:val="0"/>
                  <w:marBottom w:val="0"/>
                  <w:divBdr>
                    <w:top w:val="none" w:sz="0" w:space="0" w:color="auto"/>
                    <w:left w:val="none" w:sz="0" w:space="0" w:color="auto"/>
                    <w:bottom w:val="none" w:sz="0" w:space="0" w:color="auto"/>
                    <w:right w:val="none" w:sz="0" w:space="0" w:color="auto"/>
                  </w:divBdr>
                </w:div>
              </w:divsChild>
            </w:div>
            <w:div w:id="625164846">
              <w:marLeft w:val="0"/>
              <w:marRight w:val="0"/>
              <w:marTop w:val="0"/>
              <w:marBottom w:val="0"/>
              <w:divBdr>
                <w:top w:val="none" w:sz="0" w:space="0" w:color="auto"/>
                <w:left w:val="none" w:sz="0" w:space="0" w:color="auto"/>
                <w:bottom w:val="none" w:sz="0" w:space="0" w:color="auto"/>
                <w:right w:val="none" w:sz="0" w:space="0" w:color="auto"/>
              </w:divBdr>
              <w:divsChild>
                <w:div w:id="225342146">
                  <w:marLeft w:val="0"/>
                  <w:marRight w:val="0"/>
                  <w:marTop w:val="0"/>
                  <w:marBottom w:val="0"/>
                  <w:divBdr>
                    <w:top w:val="none" w:sz="0" w:space="0" w:color="auto"/>
                    <w:left w:val="none" w:sz="0" w:space="0" w:color="auto"/>
                    <w:bottom w:val="none" w:sz="0" w:space="0" w:color="auto"/>
                    <w:right w:val="none" w:sz="0" w:space="0" w:color="auto"/>
                  </w:divBdr>
                </w:div>
              </w:divsChild>
            </w:div>
            <w:div w:id="1110275646">
              <w:marLeft w:val="0"/>
              <w:marRight w:val="0"/>
              <w:marTop w:val="0"/>
              <w:marBottom w:val="0"/>
              <w:divBdr>
                <w:top w:val="none" w:sz="0" w:space="0" w:color="auto"/>
                <w:left w:val="none" w:sz="0" w:space="0" w:color="auto"/>
                <w:bottom w:val="none" w:sz="0" w:space="0" w:color="auto"/>
                <w:right w:val="none" w:sz="0" w:space="0" w:color="auto"/>
              </w:divBdr>
              <w:divsChild>
                <w:div w:id="1159734783">
                  <w:marLeft w:val="0"/>
                  <w:marRight w:val="0"/>
                  <w:marTop w:val="0"/>
                  <w:marBottom w:val="0"/>
                  <w:divBdr>
                    <w:top w:val="none" w:sz="0" w:space="0" w:color="auto"/>
                    <w:left w:val="none" w:sz="0" w:space="0" w:color="auto"/>
                    <w:bottom w:val="none" w:sz="0" w:space="0" w:color="auto"/>
                    <w:right w:val="none" w:sz="0" w:space="0" w:color="auto"/>
                  </w:divBdr>
                </w:div>
              </w:divsChild>
            </w:div>
            <w:div w:id="278683994">
              <w:marLeft w:val="0"/>
              <w:marRight w:val="0"/>
              <w:marTop w:val="0"/>
              <w:marBottom w:val="0"/>
              <w:divBdr>
                <w:top w:val="none" w:sz="0" w:space="0" w:color="auto"/>
                <w:left w:val="none" w:sz="0" w:space="0" w:color="auto"/>
                <w:bottom w:val="none" w:sz="0" w:space="0" w:color="auto"/>
                <w:right w:val="none" w:sz="0" w:space="0" w:color="auto"/>
              </w:divBdr>
              <w:divsChild>
                <w:div w:id="599991662">
                  <w:marLeft w:val="0"/>
                  <w:marRight w:val="0"/>
                  <w:marTop w:val="0"/>
                  <w:marBottom w:val="0"/>
                  <w:divBdr>
                    <w:top w:val="none" w:sz="0" w:space="0" w:color="auto"/>
                    <w:left w:val="none" w:sz="0" w:space="0" w:color="auto"/>
                    <w:bottom w:val="none" w:sz="0" w:space="0" w:color="auto"/>
                    <w:right w:val="none" w:sz="0" w:space="0" w:color="auto"/>
                  </w:divBdr>
                </w:div>
              </w:divsChild>
            </w:div>
            <w:div w:id="204298451">
              <w:marLeft w:val="0"/>
              <w:marRight w:val="0"/>
              <w:marTop w:val="0"/>
              <w:marBottom w:val="0"/>
              <w:divBdr>
                <w:top w:val="none" w:sz="0" w:space="0" w:color="auto"/>
                <w:left w:val="none" w:sz="0" w:space="0" w:color="auto"/>
                <w:bottom w:val="none" w:sz="0" w:space="0" w:color="auto"/>
                <w:right w:val="none" w:sz="0" w:space="0" w:color="auto"/>
              </w:divBdr>
              <w:divsChild>
                <w:div w:id="974993782">
                  <w:marLeft w:val="0"/>
                  <w:marRight w:val="0"/>
                  <w:marTop w:val="0"/>
                  <w:marBottom w:val="0"/>
                  <w:divBdr>
                    <w:top w:val="none" w:sz="0" w:space="0" w:color="auto"/>
                    <w:left w:val="none" w:sz="0" w:space="0" w:color="auto"/>
                    <w:bottom w:val="none" w:sz="0" w:space="0" w:color="auto"/>
                    <w:right w:val="none" w:sz="0" w:space="0" w:color="auto"/>
                  </w:divBdr>
                </w:div>
              </w:divsChild>
            </w:div>
            <w:div w:id="1095129347">
              <w:marLeft w:val="0"/>
              <w:marRight w:val="0"/>
              <w:marTop w:val="0"/>
              <w:marBottom w:val="0"/>
              <w:divBdr>
                <w:top w:val="none" w:sz="0" w:space="0" w:color="auto"/>
                <w:left w:val="none" w:sz="0" w:space="0" w:color="auto"/>
                <w:bottom w:val="none" w:sz="0" w:space="0" w:color="auto"/>
                <w:right w:val="none" w:sz="0" w:space="0" w:color="auto"/>
              </w:divBdr>
              <w:divsChild>
                <w:div w:id="1513952846">
                  <w:marLeft w:val="0"/>
                  <w:marRight w:val="0"/>
                  <w:marTop w:val="0"/>
                  <w:marBottom w:val="0"/>
                  <w:divBdr>
                    <w:top w:val="none" w:sz="0" w:space="0" w:color="auto"/>
                    <w:left w:val="none" w:sz="0" w:space="0" w:color="auto"/>
                    <w:bottom w:val="none" w:sz="0" w:space="0" w:color="auto"/>
                    <w:right w:val="none" w:sz="0" w:space="0" w:color="auto"/>
                  </w:divBdr>
                </w:div>
              </w:divsChild>
            </w:div>
            <w:div w:id="1102144363">
              <w:marLeft w:val="0"/>
              <w:marRight w:val="0"/>
              <w:marTop w:val="0"/>
              <w:marBottom w:val="0"/>
              <w:divBdr>
                <w:top w:val="none" w:sz="0" w:space="0" w:color="auto"/>
                <w:left w:val="none" w:sz="0" w:space="0" w:color="auto"/>
                <w:bottom w:val="none" w:sz="0" w:space="0" w:color="auto"/>
                <w:right w:val="none" w:sz="0" w:space="0" w:color="auto"/>
              </w:divBdr>
              <w:divsChild>
                <w:div w:id="1306011192">
                  <w:marLeft w:val="0"/>
                  <w:marRight w:val="0"/>
                  <w:marTop w:val="0"/>
                  <w:marBottom w:val="0"/>
                  <w:divBdr>
                    <w:top w:val="none" w:sz="0" w:space="0" w:color="auto"/>
                    <w:left w:val="none" w:sz="0" w:space="0" w:color="auto"/>
                    <w:bottom w:val="none" w:sz="0" w:space="0" w:color="auto"/>
                    <w:right w:val="none" w:sz="0" w:space="0" w:color="auto"/>
                  </w:divBdr>
                </w:div>
              </w:divsChild>
            </w:div>
            <w:div w:id="321004041">
              <w:marLeft w:val="0"/>
              <w:marRight w:val="0"/>
              <w:marTop w:val="0"/>
              <w:marBottom w:val="0"/>
              <w:divBdr>
                <w:top w:val="none" w:sz="0" w:space="0" w:color="auto"/>
                <w:left w:val="none" w:sz="0" w:space="0" w:color="auto"/>
                <w:bottom w:val="none" w:sz="0" w:space="0" w:color="auto"/>
                <w:right w:val="none" w:sz="0" w:space="0" w:color="auto"/>
              </w:divBdr>
              <w:divsChild>
                <w:div w:id="1718356926">
                  <w:marLeft w:val="0"/>
                  <w:marRight w:val="0"/>
                  <w:marTop w:val="0"/>
                  <w:marBottom w:val="0"/>
                  <w:divBdr>
                    <w:top w:val="none" w:sz="0" w:space="0" w:color="auto"/>
                    <w:left w:val="none" w:sz="0" w:space="0" w:color="auto"/>
                    <w:bottom w:val="none" w:sz="0" w:space="0" w:color="auto"/>
                    <w:right w:val="none" w:sz="0" w:space="0" w:color="auto"/>
                  </w:divBdr>
                </w:div>
              </w:divsChild>
            </w:div>
            <w:div w:id="2117627093">
              <w:marLeft w:val="0"/>
              <w:marRight w:val="0"/>
              <w:marTop w:val="0"/>
              <w:marBottom w:val="0"/>
              <w:divBdr>
                <w:top w:val="none" w:sz="0" w:space="0" w:color="auto"/>
                <w:left w:val="none" w:sz="0" w:space="0" w:color="auto"/>
                <w:bottom w:val="none" w:sz="0" w:space="0" w:color="auto"/>
                <w:right w:val="none" w:sz="0" w:space="0" w:color="auto"/>
              </w:divBdr>
              <w:divsChild>
                <w:div w:id="1188254492">
                  <w:marLeft w:val="0"/>
                  <w:marRight w:val="0"/>
                  <w:marTop w:val="0"/>
                  <w:marBottom w:val="0"/>
                  <w:divBdr>
                    <w:top w:val="none" w:sz="0" w:space="0" w:color="auto"/>
                    <w:left w:val="none" w:sz="0" w:space="0" w:color="auto"/>
                    <w:bottom w:val="none" w:sz="0" w:space="0" w:color="auto"/>
                    <w:right w:val="none" w:sz="0" w:space="0" w:color="auto"/>
                  </w:divBdr>
                </w:div>
              </w:divsChild>
            </w:div>
            <w:div w:id="1806578838">
              <w:marLeft w:val="0"/>
              <w:marRight w:val="0"/>
              <w:marTop w:val="0"/>
              <w:marBottom w:val="0"/>
              <w:divBdr>
                <w:top w:val="none" w:sz="0" w:space="0" w:color="auto"/>
                <w:left w:val="none" w:sz="0" w:space="0" w:color="auto"/>
                <w:bottom w:val="none" w:sz="0" w:space="0" w:color="auto"/>
                <w:right w:val="none" w:sz="0" w:space="0" w:color="auto"/>
              </w:divBdr>
              <w:divsChild>
                <w:div w:id="2056851083">
                  <w:marLeft w:val="0"/>
                  <w:marRight w:val="0"/>
                  <w:marTop w:val="0"/>
                  <w:marBottom w:val="0"/>
                  <w:divBdr>
                    <w:top w:val="none" w:sz="0" w:space="0" w:color="auto"/>
                    <w:left w:val="none" w:sz="0" w:space="0" w:color="auto"/>
                    <w:bottom w:val="none" w:sz="0" w:space="0" w:color="auto"/>
                    <w:right w:val="none" w:sz="0" w:space="0" w:color="auto"/>
                  </w:divBdr>
                </w:div>
              </w:divsChild>
            </w:div>
            <w:div w:id="353195287">
              <w:marLeft w:val="0"/>
              <w:marRight w:val="0"/>
              <w:marTop w:val="0"/>
              <w:marBottom w:val="0"/>
              <w:divBdr>
                <w:top w:val="none" w:sz="0" w:space="0" w:color="auto"/>
                <w:left w:val="none" w:sz="0" w:space="0" w:color="auto"/>
                <w:bottom w:val="none" w:sz="0" w:space="0" w:color="auto"/>
                <w:right w:val="none" w:sz="0" w:space="0" w:color="auto"/>
              </w:divBdr>
              <w:divsChild>
                <w:div w:id="1033463038">
                  <w:marLeft w:val="0"/>
                  <w:marRight w:val="0"/>
                  <w:marTop w:val="0"/>
                  <w:marBottom w:val="0"/>
                  <w:divBdr>
                    <w:top w:val="none" w:sz="0" w:space="0" w:color="auto"/>
                    <w:left w:val="none" w:sz="0" w:space="0" w:color="auto"/>
                    <w:bottom w:val="none" w:sz="0" w:space="0" w:color="auto"/>
                    <w:right w:val="none" w:sz="0" w:space="0" w:color="auto"/>
                  </w:divBdr>
                </w:div>
              </w:divsChild>
            </w:div>
            <w:div w:id="117768596">
              <w:marLeft w:val="0"/>
              <w:marRight w:val="0"/>
              <w:marTop w:val="0"/>
              <w:marBottom w:val="0"/>
              <w:divBdr>
                <w:top w:val="none" w:sz="0" w:space="0" w:color="auto"/>
                <w:left w:val="none" w:sz="0" w:space="0" w:color="auto"/>
                <w:bottom w:val="none" w:sz="0" w:space="0" w:color="auto"/>
                <w:right w:val="none" w:sz="0" w:space="0" w:color="auto"/>
              </w:divBdr>
              <w:divsChild>
                <w:div w:id="158011450">
                  <w:marLeft w:val="0"/>
                  <w:marRight w:val="0"/>
                  <w:marTop w:val="0"/>
                  <w:marBottom w:val="0"/>
                  <w:divBdr>
                    <w:top w:val="none" w:sz="0" w:space="0" w:color="auto"/>
                    <w:left w:val="none" w:sz="0" w:space="0" w:color="auto"/>
                    <w:bottom w:val="none" w:sz="0" w:space="0" w:color="auto"/>
                    <w:right w:val="none" w:sz="0" w:space="0" w:color="auto"/>
                  </w:divBdr>
                </w:div>
              </w:divsChild>
            </w:div>
            <w:div w:id="331228533">
              <w:marLeft w:val="0"/>
              <w:marRight w:val="0"/>
              <w:marTop w:val="0"/>
              <w:marBottom w:val="0"/>
              <w:divBdr>
                <w:top w:val="none" w:sz="0" w:space="0" w:color="auto"/>
                <w:left w:val="none" w:sz="0" w:space="0" w:color="auto"/>
                <w:bottom w:val="none" w:sz="0" w:space="0" w:color="auto"/>
                <w:right w:val="none" w:sz="0" w:space="0" w:color="auto"/>
              </w:divBdr>
            </w:div>
            <w:div w:id="1071732147">
              <w:marLeft w:val="0"/>
              <w:marRight w:val="0"/>
              <w:marTop w:val="0"/>
              <w:marBottom w:val="0"/>
              <w:divBdr>
                <w:top w:val="none" w:sz="0" w:space="0" w:color="auto"/>
                <w:left w:val="none" w:sz="0" w:space="0" w:color="auto"/>
                <w:bottom w:val="none" w:sz="0" w:space="0" w:color="auto"/>
                <w:right w:val="none" w:sz="0" w:space="0" w:color="auto"/>
              </w:divBdr>
              <w:divsChild>
                <w:div w:id="1427773423">
                  <w:marLeft w:val="0"/>
                  <w:marRight w:val="0"/>
                  <w:marTop w:val="0"/>
                  <w:marBottom w:val="0"/>
                  <w:divBdr>
                    <w:top w:val="none" w:sz="0" w:space="0" w:color="auto"/>
                    <w:left w:val="none" w:sz="0" w:space="0" w:color="auto"/>
                    <w:bottom w:val="none" w:sz="0" w:space="0" w:color="auto"/>
                    <w:right w:val="none" w:sz="0" w:space="0" w:color="auto"/>
                  </w:divBdr>
                </w:div>
              </w:divsChild>
            </w:div>
            <w:div w:id="1582712764">
              <w:marLeft w:val="0"/>
              <w:marRight w:val="0"/>
              <w:marTop w:val="0"/>
              <w:marBottom w:val="0"/>
              <w:divBdr>
                <w:top w:val="none" w:sz="0" w:space="0" w:color="auto"/>
                <w:left w:val="none" w:sz="0" w:space="0" w:color="auto"/>
                <w:bottom w:val="none" w:sz="0" w:space="0" w:color="auto"/>
                <w:right w:val="none" w:sz="0" w:space="0" w:color="auto"/>
              </w:divBdr>
            </w:div>
            <w:div w:id="481317852">
              <w:marLeft w:val="0"/>
              <w:marRight w:val="0"/>
              <w:marTop w:val="0"/>
              <w:marBottom w:val="0"/>
              <w:divBdr>
                <w:top w:val="none" w:sz="0" w:space="0" w:color="auto"/>
                <w:left w:val="none" w:sz="0" w:space="0" w:color="auto"/>
                <w:bottom w:val="none" w:sz="0" w:space="0" w:color="auto"/>
                <w:right w:val="none" w:sz="0" w:space="0" w:color="auto"/>
              </w:divBdr>
              <w:divsChild>
                <w:div w:id="324407545">
                  <w:marLeft w:val="0"/>
                  <w:marRight w:val="0"/>
                  <w:marTop w:val="0"/>
                  <w:marBottom w:val="0"/>
                  <w:divBdr>
                    <w:top w:val="none" w:sz="0" w:space="0" w:color="auto"/>
                    <w:left w:val="none" w:sz="0" w:space="0" w:color="auto"/>
                    <w:bottom w:val="none" w:sz="0" w:space="0" w:color="auto"/>
                    <w:right w:val="none" w:sz="0" w:space="0" w:color="auto"/>
                  </w:divBdr>
                </w:div>
              </w:divsChild>
            </w:div>
            <w:div w:id="1071344562">
              <w:marLeft w:val="0"/>
              <w:marRight w:val="0"/>
              <w:marTop w:val="0"/>
              <w:marBottom w:val="0"/>
              <w:divBdr>
                <w:top w:val="none" w:sz="0" w:space="0" w:color="auto"/>
                <w:left w:val="none" w:sz="0" w:space="0" w:color="auto"/>
                <w:bottom w:val="none" w:sz="0" w:space="0" w:color="auto"/>
                <w:right w:val="none" w:sz="0" w:space="0" w:color="auto"/>
              </w:divBdr>
              <w:divsChild>
                <w:div w:id="9449537">
                  <w:marLeft w:val="0"/>
                  <w:marRight w:val="0"/>
                  <w:marTop w:val="0"/>
                  <w:marBottom w:val="0"/>
                  <w:divBdr>
                    <w:top w:val="none" w:sz="0" w:space="0" w:color="auto"/>
                    <w:left w:val="none" w:sz="0" w:space="0" w:color="auto"/>
                    <w:bottom w:val="none" w:sz="0" w:space="0" w:color="auto"/>
                    <w:right w:val="none" w:sz="0" w:space="0" w:color="auto"/>
                  </w:divBdr>
                </w:div>
              </w:divsChild>
            </w:div>
            <w:div w:id="238298565">
              <w:marLeft w:val="0"/>
              <w:marRight w:val="0"/>
              <w:marTop w:val="0"/>
              <w:marBottom w:val="0"/>
              <w:divBdr>
                <w:top w:val="none" w:sz="0" w:space="0" w:color="auto"/>
                <w:left w:val="none" w:sz="0" w:space="0" w:color="auto"/>
                <w:bottom w:val="none" w:sz="0" w:space="0" w:color="auto"/>
                <w:right w:val="none" w:sz="0" w:space="0" w:color="auto"/>
              </w:divBdr>
              <w:divsChild>
                <w:div w:id="633222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5368942">
      <w:bodyDiv w:val="1"/>
      <w:marLeft w:val="0"/>
      <w:marRight w:val="0"/>
      <w:marTop w:val="0"/>
      <w:marBottom w:val="0"/>
      <w:divBdr>
        <w:top w:val="none" w:sz="0" w:space="0" w:color="auto"/>
        <w:left w:val="none" w:sz="0" w:space="0" w:color="auto"/>
        <w:bottom w:val="none" w:sz="0" w:space="0" w:color="auto"/>
        <w:right w:val="none" w:sz="0" w:space="0" w:color="auto"/>
      </w:divBdr>
    </w:div>
    <w:div w:id="1416173160">
      <w:bodyDiv w:val="1"/>
      <w:marLeft w:val="0"/>
      <w:marRight w:val="0"/>
      <w:marTop w:val="0"/>
      <w:marBottom w:val="0"/>
      <w:divBdr>
        <w:top w:val="none" w:sz="0" w:space="0" w:color="auto"/>
        <w:left w:val="none" w:sz="0" w:space="0" w:color="auto"/>
        <w:bottom w:val="none" w:sz="0" w:space="0" w:color="auto"/>
        <w:right w:val="none" w:sz="0" w:space="0" w:color="auto"/>
      </w:divBdr>
      <w:divsChild>
        <w:div w:id="487088397">
          <w:marLeft w:val="0"/>
          <w:marRight w:val="0"/>
          <w:marTop w:val="0"/>
          <w:marBottom w:val="0"/>
          <w:divBdr>
            <w:top w:val="none" w:sz="0" w:space="0" w:color="auto"/>
            <w:left w:val="none" w:sz="0" w:space="0" w:color="auto"/>
            <w:bottom w:val="none" w:sz="0" w:space="0" w:color="auto"/>
            <w:right w:val="none" w:sz="0" w:space="0" w:color="auto"/>
          </w:divBdr>
          <w:divsChild>
            <w:div w:id="866530145">
              <w:marLeft w:val="0"/>
              <w:marRight w:val="0"/>
              <w:marTop w:val="0"/>
              <w:marBottom w:val="0"/>
              <w:divBdr>
                <w:top w:val="none" w:sz="0" w:space="0" w:color="auto"/>
                <w:left w:val="none" w:sz="0" w:space="0" w:color="auto"/>
                <w:bottom w:val="none" w:sz="0" w:space="0" w:color="auto"/>
                <w:right w:val="none" w:sz="0" w:space="0" w:color="auto"/>
              </w:divBdr>
              <w:divsChild>
                <w:div w:id="373967101">
                  <w:marLeft w:val="0"/>
                  <w:marRight w:val="0"/>
                  <w:marTop w:val="0"/>
                  <w:marBottom w:val="0"/>
                  <w:divBdr>
                    <w:top w:val="none" w:sz="0" w:space="0" w:color="auto"/>
                    <w:left w:val="none" w:sz="0" w:space="0" w:color="auto"/>
                    <w:bottom w:val="none" w:sz="0" w:space="0" w:color="auto"/>
                    <w:right w:val="none" w:sz="0" w:space="0" w:color="auto"/>
                  </w:divBdr>
                  <w:divsChild>
                    <w:div w:id="1719893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0759383">
          <w:marLeft w:val="0"/>
          <w:marRight w:val="0"/>
          <w:marTop w:val="0"/>
          <w:marBottom w:val="0"/>
          <w:divBdr>
            <w:top w:val="none" w:sz="0" w:space="0" w:color="auto"/>
            <w:left w:val="none" w:sz="0" w:space="0" w:color="auto"/>
            <w:bottom w:val="none" w:sz="0" w:space="0" w:color="auto"/>
            <w:right w:val="none" w:sz="0" w:space="0" w:color="auto"/>
          </w:divBdr>
          <w:divsChild>
            <w:div w:id="487867962">
              <w:marLeft w:val="0"/>
              <w:marRight w:val="0"/>
              <w:marTop w:val="0"/>
              <w:marBottom w:val="0"/>
              <w:divBdr>
                <w:top w:val="none" w:sz="0" w:space="0" w:color="auto"/>
                <w:left w:val="none" w:sz="0" w:space="0" w:color="auto"/>
                <w:bottom w:val="none" w:sz="0" w:space="0" w:color="auto"/>
                <w:right w:val="none" w:sz="0" w:space="0" w:color="auto"/>
              </w:divBdr>
              <w:divsChild>
                <w:div w:id="1552771387">
                  <w:marLeft w:val="0"/>
                  <w:marRight w:val="0"/>
                  <w:marTop w:val="0"/>
                  <w:marBottom w:val="0"/>
                  <w:divBdr>
                    <w:top w:val="none" w:sz="0" w:space="0" w:color="auto"/>
                    <w:left w:val="none" w:sz="0" w:space="0" w:color="auto"/>
                    <w:bottom w:val="none" w:sz="0" w:space="0" w:color="auto"/>
                    <w:right w:val="none" w:sz="0" w:space="0" w:color="auto"/>
                  </w:divBdr>
                  <w:divsChild>
                    <w:div w:id="1842893865">
                      <w:marLeft w:val="0"/>
                      <w:marRight w:val="0"/>
                      <w:marTop w:val="0"/>
                      <w:marBottom w:val="0"/>
                      <w:divBdr>
                        <w:top w:val="none" w:sz="0" w:space="0" w:color="auto"/>
                        <w:left w:val="none" w:sz="0" w:space="0" w:color="auto"/>
                        <w:bottom w:val="none" w:sz="0" w:space="0" w:color="auto"/>
                        <w:right w:val="none" w:sz="0" w:space="0" w:color="auto"/>
                      </w:divBdr>
                      <w:divsChild>
                        <w:div w:id="26681235">
                          <w:marLeft w:val="0"/>
                          <w:marRight w:val="0"/>
                          <w:marTop w:val="0"/>
                          <w:marBottom w:val="0"/>
                          <w:divBdr>
                            <w:top w:val="none" w:sz="0" w:space="0" w:color="auto"/>
                            <w:left w:val="none" w:sz="0" w:space="0" w:color="auto"/>
                            <w:bottom w:val="none" w:sz="0" w:space="0" w:color="auto"/>
                            <w:right w:val="none" w:sz="0" w:space="0" w:color="auto"/>
                          </w:divBdr>
                          <w:divsChild>
                            <w:div w:id="821968173">
                              <w:marLeft w:val="0"/>
                              <w:marRight w:val="0"/>
                              <w:marTop w:val="0"/>
                              <w:marBottom w:val="0"/>
                              <w:divBdr>
                                <w:top w:val="none" w:sz="0" w:space="0" w:color="auto"/>
                                <w:left w:val="none" w:sz="0" w:space="0" w:color="auto"/>
                                <w:bottom w:val="none" w:sz="0" w:space="0" w:color="auto"/>
                                <w:right w:val="none" w:sz="0" w:space="0" w:color="auto"/>
                              </w:divBdr>
                              <w:divsChild>
                                <w:div w:id="127670625">
                                  <w:marLeft w:val="0"/>
                                  <w:marRight w:val="0"/>
                                  <w:marTop w:val="0"/>
                                  <w:marBottom w:val="0"/>
                                  <w:divBdr>
                                    <w:top w:val="none" w:sz="0" w:space="0" w:color="auto"/>
                                    <w:left w:val="none" w:sz="0" w:space="0" w:color="auto"/>
                                    <w:bottom w:val="none" w:sz="0" w:space="0" w:color="auto"/>
                                    <w:right w:val="none" w:sz="0" w:space="0" w:color="auto"/>
                                  </w:divBdr>
                                  <w:divsChild>
                                    <w:div w:id="438985678">
                                      <w:marLeft w:val="0"/>
                                      <w:marRight w:val="0"/>
                                      <w:marTop w:val="0"/>
                                      <w:marBottom w:val="0"/>
                                      <w:divBdr>
                                        <w:top w:val="none" w:sz="0" w:space="0" w:color="auto"/>
                                        <w:left w:val="none" w:sz="0" w:space="0" w:color="auto"/>
                                        <w:bottom w:val="none" w:sz="0" w:space="0" w:color="auto"/>
                                        <w:right w:val="none" w:sz="0" w:space="0" w:color="auto"/>
                                      </w:divBdr>
                                      <w:divsChild>
                                        <w:div w:id="1200819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29499895">
      <w:bodyDiv w:val="1"/>
      <w:marLeft w:val="0"/>
      <w:marRight w:val="0"/>
      <w:marTop w:val="0"/>
      <w:marBottom w:val="0"/>
      <w:divBdr>
        <w:top w:val="none" w:sz="0" w:space="0" w:color="auto"/>
        <w:left w:val="none" w:sz="0" w:space="0" w:color="auto"/>
        <w:bottom w:val="none" w:sz="0" w:space="0" w:color="auto"/>
        <w:right w:val="none" w:sz="0" w:space="0" w:color="auto"/>
      </w:divBdr>
      <w:divsChild>
        <w:div w:id="403573270">
          <w:marLeft w:val="0"/>
          <w:marRight w:val="0"/>
          <w:marTop w:val="0"/>
          <w:marBottom w:val="0"/>
          <w:divBdr>
            <w:top w:val="none" w:sz="0" w:space="0" w:color="auto"/>
            <w:left w:val="none" w:sz="0" w:space="0" w:color="auto"/>
            <w:bottom w:val="none" w:sz="0" w:space="0" w:color="auto"/>
            <w:right w:val="none" w:sz="0" w:space="0" w:color="auto"/>
          </w:divBdr>
        </w:div>
      </w:divsChild>
    </w:div>
    <w:div w:id="1430660299">
      <w:bodyDiv w:val="1"/>
      <w:marLeft w:val="0"/>
      <w:marRight w:val="0"/>
      <w:marTop w:val="0"/>
      <w:marBottom w:val="0"/>
      <w:divBdr>
        <w:top w:val="none" w:sz="0" w:space="0" w:color="auto"/>
        <w:left w:val="none" w:sz="0" w:space="0" w:color="auto"/>
        <w:bottom w:val="none" w:sz="0" w:space="0" w:color="auto"/>
        <w:right w:val="none" w:sz="0" w:space="0" w:color="auto"/>
      </w:divBdr>
      <w:divsChild>
        <w:div w:id="1669407501">
          <w:marLeft w:val="0"/>
          <w:marRight w:val="0"/>
          <w:marTop w:val="0"/>
          <w:marBottom w:val="0"/>
          <w:divBdr>
            <w:top w:val="none" w:sz="0" w:space="0" w:color="auto"/>
            <w:left w:val="none" w:sz="0" w:space="0" w:color="auto"/>
            <w:bottom w:val="none" w:sz="0" w:space="0" w:color="auto"/>
            <w:right w:val="none" w:sz="0" w:space="0" w:color="auto"/>
          </w:divBdr>
          <w:divsChild>
            <w:div w:id="1205141637">
              <w:marLeft w:val="0"/>
              <w:marRight w:val="0"/>
              <w:marTop w:val="0"/>
              <w:marBottom w:val="0"/>
              <w:divBdr>
                <w:top w:val="none" w:sz="0" w:space="0" w:color="auto"/>
                <w:left w:val="none" w:sz="0" w:space="0" w:color="auto"/>
                <w:bottom w:val="none" w:sz="0" w:space="0" w:color="auto"/>
                <w:right w:val="none" w:sz="0" w:space="0" w:color="auto"/>
              </w:divBdr>
            </w:div>
          </w:divsChild>
        </w:div>
        <w:div w:id="1966689464">
          <w:marLeft w:val="0"/>
          <w:marRight w:val="0"/>
          <w:marTop w:val="0"/>
          <w:marBottom w:val="0"/>
          <w:divBdr>
            <w:top w:val="none" w:sz="0" w:space="0" w:color="auto"/>
            <w:left w:val="none" w:sz="0" w:space="0" w:color="auto"/>
            <w:bottom w:val="none" w:sz="0" w:space="0" w:color="auto"/>
            <w:right w:val="none" w:sz="0" w:space="0" w:color="auto"/>
          </w:divBdr>
          <w:divsChild>
            <w:div w:id="1147547501">
              <w:marLeft w:val="0"/>
              <w:marRight w:val="0"/>
              <w:marTop w:val="0"/>
              <w:marBottom w:val="0"/>
              <w:divBdr>
                <w:top w:val="none" w:sz="0" w:space="0" w:color="auto"/>
                <w:left w:val="none" w:sz="0" w:space="0" w:color="auto"/>
                <w:bottom w:val="none" w:sz="0" w:space="0" w:color="auto"/>
                <w:right w:val="none" w:sz="0" w:space="0" w:color="auto"/>
              </w:divBdr>
              <w:divsChild>
                <w:div w:id="2018574551">
                  <w:marLeft w:val="0"/>
                  <w:marRight w:val="0"/>
                  <w:marTop w:val="0"/>
                  <w:marBottom w:val="0"/>
                  <w:divBdr>
                    <w:top w:val="none" w:sz="0" w:space="0" w:color="auto"/>
                    <w:left w:val="none" w:sz="0" w:space="0" w:color="auto"/>
                    <w:bottom w:val="none" w:sz="0" w:space="0" w:color="auto"/>
                    <w:right w:val="none" w:sz="0" w:space="0" w:color="auto"/>
                  </w:divBdr>
                  <w:divsChild>
                    <w:div w:id="1301693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9536477">
          <w:marLeft w:val="0"/>
          <w:marRight w:val="0"/>
          <w:marTop w:val="0"/>
          <w:marBottom w:val="0"/>
          <w:divBdr>
            <w:top w:val="none" w:sz="0" w:space="0" w:color="auto"/>
            <w:left w:val="none" w:sz="0" w:space="0" w:color="auto"/>
            <w:bottom w:val="none" w:sz="0" w:space="0" w:color="auto"/>
            <w:right w:val="none" w:sz="0" w:space="0" w:color="auto"/>
          </w:divBdr>
          <w:divsChild>
            <w:div w:id="574510454">
              <w:marLeft w:val="0"/>
              <w:marRight w:val="0"/>
              <w:marTop w:val="0"/>
              <w:marBottom w:val="0"/>
              <w:divBdr>
                <w:top w:val="none" w:sz="0" w:space="0" w:color="auto"/>
                <w:left w:val="none" w:sz="0" w:space="0" w:color="auto"/>
                <w:bottom w:val="none" w:sz="0" w:space="0" w:color="auto"/>
                <w:right w:val="none" w:sz="0" w:space="0" w:color="auto"/>
              </w:divBdr>
              <w:divsChild>
                <w:div w:id="603810154">
                  <w:marLeft w:val="0"/>
                  <w:marRight w:val="0"/>
                  <w:marTop w:val="0"/>
                  <w:marBottom w:val="0"/>
                  <w:divBdr>
                    <w:top w:val="none" w:sz="0" w:space="0" w:color="auto"/>
                    <w:left w:val="none" w:sz="0" w:space="0" w:color="auto"/>
                    <w:bottom w:val="none" w:sz="0" w:space="0" w:color="auto"/>
                    <w:right w:val="none" w:sz="0" w:space="0" w:color="auto"/>
                  </w:divBdr>
                  <w:divsChild>
                    <w:div w:id="384329139">
                      <w:marLeft w:val="0"/>
                      <w:marRight w:val="0"/>
                      <w:marTop w:val="0"/>
                      <w:marBottom w:val="0"/>
                      <w:divBdr>
                        <w:top w:val="none" w:sz="0" w:space="0" w:color="auto"/>
                        <w:left w:val="none" w:sz="0" w:space="0" w:color="auto"/>
                        <w:bottom w:val="none" w:sz="0" w:space="0" w:color="auto"/>
                        <w:right w:val="none" w:sz="0" w:space="0" w:color="auto"/>
                      </w:divBdr>
                      <w:divsChild>
                        <w:div w:id="1162962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8008938">
              <w:marLeft w:val="0"/>
              <w:marRight w:val="0"/>
              <w:marTop w:val="0"/>
              <w:marBottom w:val="0"/>
              <w:divBdr>
                <w:top w:val="none" w:sz="0" w:space="0" w:color="auto"/>
                <w:left w:val="none" w:sz="0" w:space="0" w:color="auto"/>
                <w:bottom w:val="none" w:sz="0" w:space="0" w:color="auto"/>
                <w:right w:val="none" w:sz="0" w:space="0" w:color="auto"/>
              </w:divBdr>
              <w:divsChild>
                <w:div w:id="711422106">
                  <w:marLeft w:val="0"/>
                  <w:marRight w:val="0"/>
                  <w:marTop w:val="0"/>
                  <w:marBottom w:val="0"/>
                  <w:divBdr>
                    <w:top w:val="none" w:sz="0" w:space="0" w:color="auto"/>
                    <w:left w:val="none" w:sz="0" w:space="0" w:color="auto"/>
                    <w:bottom w:val="none" w:sz="0" w:space="0" w:color="auto"/>
                    <w:right w:val="none" w:sz="0" w:space="0" w:color="auto"/>
                  </w:divBdr>
                  <w:divsChild>
                    <w:div w:id="1974752907">
                      <w:marLeft w:val="0"/>
                      <w:marRight w:val="0"/>
                      <w:marTop w:val="0"/>
                      <w:marBottom w:val="0"/>
                      <w:divBdr>
                        <w:top w:val="none" w:sz="0" w:space="0" w:color="auto"/>
                        <w:left w:val="none" w:sz="0" w:space="0" w:color="auto"/>
                        <w:bottom w:val="none" w:sz="0" w:space="0" w:color="auto"/>
                        <w:right w:val="none" w:sz="0" w:space="0" w:color="auto"/>
                      </w:divBdr>
                      <w:divsChild>
                        <w:div w:id="1823425730">
                          <w:marLeft w:val="0"/>
                          <w:marRight w:val="0"/>
                          <w:marTop w:val="0"/>
                          <w:marBottom w:val="0"/>
                          <w:divBdr>
                            <w:top w:val="none" w:sz="0" w:space="0" w:color="auto"/>
                            <w:left w:val="none" w:sz="0" w:space="0" w:color="auto"/>
                            <w:bottom w:val="none" w:sz="0" w:space="0" w:color="auto"/>
                            <w:right w:val="none" w:sz="0" w:space="0" w:color="auto"/>
                          </w:divBdr>
                          <w:divsChild>
                            <w:div w:id="341319301">
                              <w:marLeft w:val="0"/>
                              <w:marRight w:val="0"/>
                              <w:marTop w:val="0"/>
                              <w:marBottom w:val="0"/>
                              <w:divBdr>
                                <w:top w:val="none" w:sz="0" w:space="0" w:color="auto"/>
                                <w:left w:val="none" w:sz="0" w:space="0" w:color="auto"/>
                                <w:bottom w:val="none" w:sz="0" w:space="0" w:color="auto"/>
                                <w:right w:val="none" w:sz="0" w:space="0" w:color="auto"/>
                              </w:divBdr>
                              <w:divsChild>
                                <w:div w:id="1922713659">
                                  <w:marLeft w:val="0"/>
                                  <w:marRight w:val="0"/>
                                  <w:marTop w:val="0"/>
                                  <w:marBottom w:val="0"/>
                                  <w:divBdr>
                                    <w:top w:val="none" w:sz="0" w:space="0" w:color="auto"/>
                                    <w:left w:val="none" w:sz="0" w:space="0" w:color="auto"/>
                                    <w:bottom w:val="none" w:sz="0" w:space="0" w:color="auto"/>
                                    <w:right w:val="none" w:sz="0" w:space="0" w:color="auto"/>
                                  </w:divBdr>
                                  <w:divsChild>
                                    <w:div w:id="1216355968">
                                      <w:marLeft w:val="0"/>
                                      <w:marRight w:val="0"/>
                                      <w:marTop w:val="0"/>
                                      <w:marBottom w:val="0"/>
                                      <w:divBdr>
                                        <w:top w:val="none" w:sz="0" w:space="0" w:color="auto"/>
                                        <w:left w:val="none" w:sz="0" w:space="0" w:color="auto"/>
                                        <w:bottom w:val="none" w:sz="0" w:space="0" w:color="auto"/>
                                        <w:right w:val="none" w:sz="0" w:space="0" w:color="auto"/>
                                      </w:divBdr>
                                      <w:divsChild>
                                        <w:div w:id="2073038100">
                                          <w:marLeft w:val="0"/>
                                          <w:marRight w:val="0"/>
                                          <w:marTop w:val="0"/>
                                          <w:marBottom w:val="0"/>
                                          <w:divBdr>
                                            <w:top w:val="none" w:sz="0" w:space="0" w:color="auto"/>
                                            <w:left w:val="none" w:sz="0" w:space="0" w:color="auto"/>
                                            <w:bottom w:val="none" w:sz="0" w:space="0" w:color="auto"/>
                                            <w:right w:val="none" w:sz="0" w:space="0" w:color="auto"/>
                                          </w:divBdr>
                                          <w:divsChild>
                                            <w:div w:id="972753827">
                                              <w:marLeft w:val="0"/>
                                              <w:marRight w:val="0"/>
                                              <w:marTop w:val="0"/>
                                              <w:marBottom w:val="0"/>
                                              <w:divBdr>
                                                <w:top w:val="none" w:sz="0" w:space="0" w:color="auto"/>
                                                <w:left w:val="none" w:sz="0" w:space="0" w:color="auto"/>
                                                <w:bottom w:val="none" w:sz="0" w:space="0" w:color="auto"/>
                                                <w:right w:val="none" w:sz="0" w:space="0" w:color="auto"/>
                                              </w:divBdr>
                                              <w:divsChild>
                                                <w:div w:id="1309244089">
                                                  <w:marLeft w:val="0"/>
                                                  <w:marRight w:val="0"/>
                                                  <w:marTop w:val="0"/>
                                                  <w:marBottom w:val="0"/>
                                                  <w:divBdr>
                                                    <w:top w:val="none" w:sz="0" w:space="0" w:color="auto"/>
                                                    <w:left w:val="none" w:sz="0" w:space="0" w:color="auto"/>
                                                    <w:bottom w:val="none" w:sz="0" w:space="0" w:color="auto"/>
                                                    <w:right w:val="none" w:sz="0" w:space="0" w:color="auto"/>
                                                  </w:divBdr>
                                                  <w:divsChild>
                                                    <w:div w:id="1495561494">
                                                      <w:marLeft w:val="0"/>
                                                      <w:marRight w:val="0"/>
                                                      <w:marTop w:val="0"/>
                                                      <w:marBottom w:val="0"/>
                                                      <w:divBdr>
                                                        <w:top w:val="none" w:sz="0" w:space="0" w:color="auto"/>
                                                        <w:left w:val="none" w:sz="0" w:space="0" w:color="auto"/>
                                                        <w:bottom w:val="none" w:sz="0" w:space="0" w:color="auto"/>
                                                        <w:right w:val="none" w:sz="0" w:space="0" w:color="auto"/>
                                                      </w:divBdr>
                                                      <w:divsChild>
                                                        <w:div w:id="1789348404">
                                                          <w:marLeft w:val="0"/>
                                                          <w:marRight w:val="0"/>
                                                          <w:marTop w:val="0"/>
                                                          <w:marBottom w:val="0"/>
                                                          <w:divBdr>
                                                            <w:top w:val="none" w:sz="0" w:space="0" w:color="auto"/>
                                                            <w:left w:val="none" w:sz="0" w:space="0" w:color="auto"/>
                                                            <w:bottom w:val="none" w:sz="0" w:space="0" w:color="auto"/>
                                                            <w:right w:val="none" w:sz="0" w:space="0" w:color="auto"/>
                                                          </w:divBdr>
                                                          <w:divsChild>
                                                            <w:div w:id="1624800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8840508">
                                                      <w:marLeft w:val="0"/>
                                                      <w:marRight w:val="0"/>
                                                      <w:marTop w:val="0"/>
                                                      <w:marBottom w:val="0"/>
                                                      <w:divBdr>
                                                        <w:top w:val="none" w:sz="0" w:space="0" w:color="auto"/>
                                                        <w:left w:val="none" w:sz="0" w:space="0" w:color="auto"/>
                                                        <w:bottom w:val="none" w:sz="0" w:space="0" w:color="auto"/>
                                                        <w:right w:val="none" w:sz="0" w:space="0" w:color="auto"/>
                                                      </w:divBdr>
                                                      <w:divsChild>
                                                        <w:div w:id="1967082059">
                                                          <w:marLeft w:val="0"/>
                                                          <w:marRight w:val="0"/>
                                                          <w:marTop w:val="0"/>
                                                          <w:marBottom w:val="0"/>
                                                          <w:divBdr>
                                                            <w:top w:val="none" w:sz="0" w:space="0" w:color="auto"/>
                                                            <w:left w:val="none" w:sz="0" w:space="0" w:color="auto"/>
                                                            <w:bottom w:val="none" w:sz="0" w:space="0" w:color="auto"/>
                                                            <w:right w:val="none" w:sz="0" w:space="0" w:color="auto"/>
                                                          </w:divBdr>
                                                          <w:divsChild>
                                                            <w:div w:id="714888821">
                                                              <w:marLeft w:val="0"/>
                                                              <w:marRight w:val="0"/>
                                                              <w:marTop w:val="0"/>
                                                              <w:marBottom w:val="0"/>
                                                              <w:divBdr>
                                                                <w:top w:val="none" w:sz="0" w:space="0" w:color="auto"/>
                                                                <w:left w:val="none" w:sz="0" w:space="0" w:color="auto"/>
                                                                <w:bottom w:val="none" w:sz="0" w:space="0" w:color="auto"/>
                                                                <w:right w:val="none" w:sz="0" w:space="0" w:color="auto"/>
                                                              </w:divBdr>
                                                              <w:divsChild>
                                                                <w:div w:id="1471897611">
                                                                  <w:marLeft w:val="0"/>
                                                                  <w:marRight w:val="0"/>
                                                                  <w:marTop w:val="0"/>
                                                                  <w:marBottom w:val="0"/>
                                                                  <w:divBdr>
                                                                    <w:top w:val="none" w:sz="0" w:space="0" w:color="auto"/>
                                                                    <w:left w:val="none" w:sz="0" w:space="0" w:color="auto"/>
                                                                    <w:bottom w:val="none" w:sz="0" w:space="0" w:color="auto"/>
                                                                    <w:right w:val="none" w:sz="0" w:space="0" w:color="auto"/>
                                                                  </w:divBdr>
                                                                  <w:divsChild>
                                                                    <w:div w:id="2060395688">
                                                                      <w:marLeft w:val="0"/>
                                                                      <w:marRight w:val="0"/>
                                                                      <w:marTop w:val="0"/>
                                                                      <w:marBottom w:val="0"/>
                                                                      <w:divBdr>
                                                                        <w:top w:val="none" w:sz="0" w:space="0" w:color="auto"/>
                                                                        <w:left w:val="none" w:sz="0" w:space="0" w:color="auto"/>
                                                                        <w:bottom w:val="none" w:sz="0" w:space="0" w:color="auto"/>
                                                                        <w:right w:val="none" w:sz="0" w:space="0" w:color="auto"/>
                                                                      </w:divBdr>
                                                                      <w:divsChild>
                                                                        <w:div w:id="1170875775">
                                                                          <w:marLeft w:val="0"/>
                                                                          <w:marRight w:val="0"/>
                                                                          <w:marTop w:val="0"/>
                                                                          <w:marBottom w:val="0"/>
                                                                          <w:divBdr>
                                                                            <w:top w:val="none" w:sz="0" w:space="0" w:color="auto"/>
                                                                            <w:left w:val="none" w:sz="0" w:space="0" w:color="auto"/>
                                                                            <w:bottom w:val="none" w:sz="0" w:space="0" w:color="auto"/>
                                                                            <w:right w:val="none" w:sz="0" w:space="0" w:color="auto"/>
                                                                          </w:divBdr>
                                                                          <w:divsChild>
                                                                            <w:div w:id="2108884007">
                                                                              <w:marLeft w:val="0"/>
                                                                              <w:marRight w:val="0"/>
                                                                              <w:marTop w:val="0"/>
                                                                              <w:marBottom w:val="0"/>
                                                                              <w:divBdr>
                                                                                <w:top w:val="none" w:sz="0" w:space="0" w:color="auto"/>
                                                                                <w:left w:val="none" w:sz="0" w:space="0" w:color="auto"/>
                                                                                <w:bottom w:val="none" w:sz="0" w:space="0" w:color="auto"/>
                                                                                <w:right w:val="none" w:sz="0" w:space="0" w:color="auto"/>
                                                                              </w:divBdr>
                                                                              <w:divsChild>
                                                                                <w:div w:id="76052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550722357">
                                      <w:marLeft w:val="0"/>
                                      <w:marRight w:val="0"/>
                                      <w:marTop w:val="0"/>
                                      <w:marBottom w:val="0"/>
                                      <w:divBdr>
                                        <w:top w:val="none" w:sz="0" w:space="0" w:color="auto"/>
                                        <w:left w:val="none" w:sz="0" w:space="0" w:color="auto"/>
                                        <w:bottom w:val="none" w:sz="0" w:space="0" w:color="auto"/>
                                        <w:right w:val="none" w:sz="0" w:space="0" w:color="auto"/>
                                      </w:divBdr>
                                      <w:divsChild>
                                        <w:div w:id="288244046">
                                          <w:marLeft w:val="0"/>
                                          <w:marRight w:val="0"/>
                                          <w:marTop w:val="0"/>
                                          <w:marBottom w:val="0"/>
                                          <w:divBdr>
                                            <w:top w:val="none" w:sz="0" w:space="0" w:color="auto"/>
                                            <w:left w:val="none" w:sz="0" w:space="0" w:color="auto"/>
                                            <w:bottom w:val="none" w:sz="0" w:space="0" w:color="auto"/>
                                            <w:right w:val="none" w:sz="0" w:space="0" w:color="auto"/>
                                          </w:divBdr>
                                          <w:divsChild>
                                            <w:div w:id="1571890339">
                                              <w:marLeft w:val="0"/>
                                              <w:marRight w:val="0"/>
                                              <w:marTop w:val="0"/>
                                              <w:marBottom w:val="0"/>
                                              <w:divBdr>
                                                <w:top w:val="none" w:sz="0" w:space="0" w:color="auto"/>
                                                <w:left w:val="none" w:sz="0" w:space="0" w:color="auto"/>
                                                <w:bottom w:val="none" w:sz="0" w:space="0" w:color="auto"/>
                                                <w:right w:val="none" w:sz="0" w:space="0" w:color="auto"/>
                                              </w:divBdr>
                                              <w:divsChild>
                                                <w:div w:id="2124374762">
                                                  <w:marLeft w:val="0"/>
                                                  <w:marRight w:val="0"/>
                                                  <w:marTop w:val="0"/>
                                                  <w:marBottom w:val="0"/>
                                                  <w:divBdr>
                                                    <w:top w:val="none" w:sz="0" w:space="0" w:color="auto"/>
                                                    <w:left w:val="none" w:sz="0" w:space="0" w:color="auto"/>
                                                    <w:bottom w:val="none" w:sz="0" w:space="0" w:color="auto"/>
                                                    <w:right w:val="none" w:sz="0" w:space="0" w:color="auto"/>
                                                  </w:divBdr>
                                                  <w:divsChild>
                                                    <w:div w:id="554240212">
                                                      <w:marLeft w:val="0"/>
                                                      <w:marRight w:val="0"/>
                                                      <w:marTop w:val="0"/>
                                                      <w:marBottom w:val="0"/>
                                                      <w:divBdr>
                                                        <w:top w:val="none" w:sz="0" w:space="0" w:color="auto"/>
                                                        <w:left w:val="none" w:sz="0" w:space="0" w:color="auto"/>
                                                        <w:bottom w:val="none" w:sz="0" w:space="0" w:color="auto"/>
                                                        <w:right w:val="none" w:sz="0" w:space="0" w:color="auto"/>
                                                      </w:divBdr>
                                                    </w:div>
                                                    <w:div w:id="1114980867">
                                                      <w:marLeft w:val="0"/>
                                                      <w:marRight w:val="0"/>
                                                      <w:marTop w:val="0"/>
                                                      <w:marBottom w:val="0"/>
                                                      <w:divBdr>
                                                        <w:top w:val="none" w:sz="0" w:space="0" w:color="auto"/>
                                                        <w:left w:val="none" w:sz="0" w:space="0" w:color="auto"/>
                                                        <w:bottom w:val="none" w:sz="0" w:space="0" w:color="auto"/>
                                                        <w:right w:val="none" w:sz="0" w:space="0" w:color="auto"/>
                                                      </w:divBdr>
                                                    </w:div>
                                                  </w:divsChild>
                                                </w:div>
                                                <w:div w:id="817383762">
                                                  <w:marLeft w:val="0"/>
                                                  <w:marRight w:val="0"/>
                                                  <w:marTop w:val="0"/>
                                                  <w:marBottom w:val="0"/>
                                                  <w:divBdr>
                                                    <w:top w:val="none" w:sz="0" w:space="0" w:color="auto"/>
                                                    <w:left w:val="none" w:sz="0" w:space="0" w:color="auto"/>
                                                    <w:bottom w:val="none" w:sz="0" w:space="0" w:color="auto"/>
                                                    <w:right w:val="none" w:sz="0" w:space="0" w:color="auto"/>
                                                  </w:divBdr>
                                                  <w:divsChild>
                                                    <w:div w:id="308294030">
                                                      <w:marLeft w:val="0"/>
                                                      <w:marRight w:val="0"/>
                                                      <w:marTop w:val="0"/>
                                                      <w:marBottom w:val="0"/>
                                                      <w:divBdr>
                                                        <w:top w:val="none" w:sz="0" w:space="0" w:color="auto"/>
                                                        <w:left w:val="none" w:sz="0" w:space="0" w:color="auto"/>
                                                        <w:bottom w:val="none" w:sz="0" w:space="0" w:color="auto"/>
                                                        <w:right w:val="none" w:sz="0" w:space="0" w:color="auto"/>
                                                      </w:divBdr>
                                                      <w:divsChild>
                                                        <w:div w:id="1995600371">
                                                          <w:marLeft w:val="0"/>
                                                          <w:marRight w:val="0"/>
                                                          <w:marTop w:val="0"/>
                                                          <w:marBottom w:val="0"/>
                                                          <w:divBdr>
                                                            <w:top w:val="none" w:sz="0" w:space="0" w:color="auto"/>
                                                            <w:left w:val="none" w:sz="0" w:space="0" w:color="auto"/>
                                                            <w:bottom w:val="none" w:sz="0" w:space="0" w:color="auto"/>
                                                            <w:right w:val="none" w:sz="0" w:space="0" w:color="auto"/>
                                                          </w:divBdr>
                                                          <w:divsChild>
                                                            <w:div w:id="1039747691">
                                                              <w:marLeft w:val="0"/>
                                                              <w:marRight w:val="0"/>
                                                              <w:marTop w:val="0"/>
                                                              <w:marBottom w:val="0"/>
                                                              <w:divBdr>
                                                                <w:top w:val="none" w:sz="0" w:space="0" w:color="auto"/>
                                                                <w:left w:val="none" w:sz="0" w:space="0" w:color="auto"/>
                                                                <w:bottom w:val="none" w:sz="0" w:space="0" w:color="auto"/>
                                                                <w:right w:val="none" w:sz="0" w:space="0" w:color="auto"/>
                                                              </w:divBdr>
                                                            </w:div>
                                                            <w:div w:id="419640105">
                                                              <w:marLeft w:val="0"/>
                                                              <w:marRight w:val="0"/>
                                                              <w:marTop w:val="0"/>
                                                              <w:marBottom w:val="0"/>
                                                              <w:divBdr>
                                                                <w:top w:val="none" w:sz="0" w:space="0" w:color="auto"/>
                                                                <w:left w:val="none" w:sz="0" w:space="0" w:color="auto"/>
                                                                <w:bottom w:val="none" w:sz="0" w:space="0" w:color="auto"/>
                                                                <w:right w:val="none" w:sz="0" w:space="0" w:color="auto"/>
                                                              </w:divBdr>
                                                            </w:div>
                                                            <w:div w:id="1320883931">
                                                              <w:marLeft w:val="0"/>
                                                              <w:marRight w:val="0"/>
                                                              <w:marTop w:val="0"/>
                                                              <w:marBottom w:val="0"/>
                                                              <w:divBdr>
                                                                <w:top w:val="none" w:sz="0" w:space="0" w:color="auto"/>
                                                                <w:left w:val="none" w:sz="0" w:space="0" w:color="auto"/>
                                                                <w:bottom w:val="none" w:sz="0" w:space="0" w:color="auto"/>
                                                                <w:right w:val="none" w:sz="0" w:space="0" w:color="auto"/>
                                                              </w:divBdr>
                                                            </w:div>
                                                            <w:div w:id="1318996147">
                                                              <w:marLeft w:val="0"/>
                                                              <w:marRight w:val="0"/>
                                                              <w:marTop w:val="0"/>
                                                              <w:marBottom w:val="0"/>
                                                              <w:divBdr>
                                                                <w:top w:val="none" w:sz="0" w:space="0" w:color="auto"/>
                                                                <w:left w:val="none" w:sz="0" w:space="0" w:color="auto"/>
                                                                <w:bottom w:val="none" w:sz="0" w:space="0" w:color="auto"/>
                                                                <w:right w:val="none" w:sz="0" w:space="0" w:color="auto"/>
                                                              </w:divBdr>
                                                            </w:div>
                                                            <w:div w:id="334651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436050910">
      <w:bodyDiv w:val="1"/>
      <w:marLeft w:val="0"/>
      <w:marRight w:val="0"/>
      <w:marTop w:val="0"/>
      <w:marBottom w:val="0"/>
      <w:divBdr>
        <w:top w:val="none" w:sz="0" w:space="0" w:color="auto"/>
        <w:left w:val="none" w:sz="0" w:space="0" w:color="auto"/>
        <w:bottom w:val="none" w:sz="0" w:space="0" w:color="auto"/>
        <w:right w:val="none" w:sz="0" w:space="0" w:color="auto"/>
      </w:divBdr>
    </w:div>
    <w:div w:id="1437018996">
      <w:bodyDiv w:val="1"/>
      <w:marLeft w:val="0"/>
      <w:marRight w:val="0"/>
      <w:marTop w:val="0"/>
      <w:marBottom w:val="0"/>
      <w:divBdr>
        <w:top w:val="none" w:sz="0" w:space="0" w:color="auto"/>
        <w:left w:val="none" w:sz="0" w:space="0" w:color="auto"/>
        <w:bottom w:val="none" w:sz="0" w:space="0" w:color="auto"/>
        <w:right w:val="none" w:sz="0" w:space="0" w:color="auto"/>
      </w:divBdr>
      <w:divsChild>
        <w:div w:id="1732581379">
          <w:marLeft w:val="0"/>
          <w:marRight w:val="0"/>
          <w:marTop w:val="0"/>
          <w:marBottom w:val="0"/>
          <w:divBdr>
            <w:top w:val="none" w:sz="0" w:space="0" w:color="auto"/>
            <w:left w:val="none" w:sz="0" w:space="0" w:color="auto"/>
            <w:bottom w:val="none" w:sz="0" w:space="0" w:color="auto"/>
            <w:right w:val="none" w:sz="0" w:space="0" w:color="auto"/>
          </w:divBdr>
        </w:div>
        <w:div w:id="980814146">
          <w:marLeft w:val="0"/>
          <w:marRight w:val="0"/>
          <w:marTop w:val="0"/>
          <w:marBottom w:val="0"/>
          <w:divBdr>
            <w:top w:val="none" w:sz="0" w:space="0" w:color="auto"/>
            <w:left w:val="none" w:sz="0" w:space="0" w:color="auto"/>
            <w:bottom w:val="none" w:sz="0" w:space="0" w:color="auto"/>
            <w:right w:val="none" w:sz="0" w:space="0" w:color="auto"/>
          </w:divBdr>
        </w:div>
        <w:div w:id="1449620663">
          <w:marLeft w:val="0"/>
          <w:marRight w:val="320"/>
          <w:marTop w:val="0"/>
          <w:marBottom w:val="320"/>
          <w:divBdr>
            <w:top w:val="single" w:sz="6" w:space="0" w:color="89BBF6"/>
            <w:left w:val="single" w:sz="6" w:space="0" w:color="89BBF6"/>
            <w:bottom w:val="single" w:sz="6" w:space="0" w:color="89BBF6"/>
            <w:right w:val="single" w:sz="6" w:space="0" w:color="89BBF6"/>
          </w:divBdr>
        </w:div>
        <w:div w:id="1222249905">
          <w:marLeft w:val="0"/>
          <w:marRight w:val="0"/>
          <w:marTop w:val="0"/>
          <w:marBottom w:val="150"/>
          <w:divBdr>
            <w:top w:val="none" w:sz="0" w:space="0" w:color="auto"/>
            <w:left w:val="none" w:sz="0" w:space="0" w:color="auto"/>
            <w:bottom w:val="none" w:sz="0" w:space="0" w:color="auto"/>
            <w:right w:val="none" w:sz="0" w:space="0" w:color="auto"/>
          </w:divBdr>
        </w:div>
      </w:divsChild>
    </w:div>
    <w:div w:id="1447887325">
      <w:bodyDiv w:val="1"/>
      <w:marLeft w:val="0"/>
      <w:marRight w:val="0"/>
      <w:marTop w:val="0"/>
      <w:marBottom w:val="0"/>
      <w:divBdr>
        <w:top w:val="none" w:sz="0" w:space="0" w:color="auto"/>
        <w:left w:val="none" w:sz="0" w:space="0" w:color="auto"/>
        <w:bottom w:val="none" w:sz="0" w:space="0" w:color="auto"/>
        <w:right w:val="none" w:sz="0" w:space="0" w:color="auto"/>
      </w:divBdr>
    </w:div>
    <w:div w:id="1455908318">
      <w:bodyDiv w:val="1"/>
      <w:marLeft w:val="0"/>
      <w:marRight w:val="0"/>
      <w:marTop w:val="0"/>
      <w:marBottom w:val="0"/>
      <w:divBdr>
        <w:top w:val="none" w:sz="0" w:space="0" w:color="auto"/>
        <w:left w:val="none" w:sz="0" w:space="0" w:color="auto"/>
        <w:bottom w:val="none" w:sz="0" w:space="0" w:color="auto"/>
        <w:right w:val="none" w:sz="0" w:space="0" w:color="auto"/>
      </w:divBdr>
      <w:divsChild>
        <w:div w:id="1541940736">
          <w:marLeft w:val="0"/>
          <w:marRight w:val="0"/>
          <w:marTop w:val="0"/>
          <w:marBottom w:val="0"/>
          <w:divBdr>
            <w:top w:val="none" w:sz="0" w:space="0" w:color="auto"/>
            <w:left w:val="none" w:sz="0" w:space="0" w:color="auto"/>
            <w:bottom w:val="none" w:sz="0" w:space="0" w:color="auto"/>
            <w:right w:val="none" w:sz="0" w:space="0" w:color="auto"/>
          </w:divBdr>
          <w:divsChild>
            <w:div w:id="407390025">
              <w:marLeft w:val="0"/>
              <w:marRight w:val="0"/>
              <w:marTop w:val="0"/>
              <w:marBottom w:val="0"/>
              <w:divBdr>
                <w:top w:val="none" w:sz="0" w:space="0" w:color="auto"/>
                <w:left w:val="none" w:sz="0" w:space="0" w:color="auto"/>
                <w:bottom w:val="none" w:sz="0" w:space="0" w:color="auto"/>
                <w:right w:val="none" w:sz="0" w:space="0" w:color="auto"/>
              </w:divBdr>
              <w:divsChild>
                <w:div w:id="1724059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8010810">
      <w:bodyDiv w:val="1"/>
      <w:marLeft w:val="0"/>
      <w:marRight w:val="0"/>
      <w:marTop w:val="0"/>
      <w:marBottom w:val="0"/>
      <w:divBdr>
        <w:top w:val="none" w:sz="0" w:space="0" w:color="auto"/>
        <w:left w:val="none" w:sz="0" w:space="0" w:color="auto"/>
        <w:bottom w:val="none" w:sz="0" w:space="0" w:color="auto"/>
        <w:right w:val="none" w:sz="0" w:space="0" w:color="auto"/>
      </w:divBdr>
      <w:divsChild>
        <w:div w:id="1684088965">
          <w:marLeft w:val="0"/>
          <w:marRight w:val="0"/>
          <w:marTop w:val="0"/>
          <w:marBottom w:val="0"/>
          <w:divBdr>
            <w:top w:val="none" w:sz="0" w:space="0" w:color="auto"/>
            <w:left w:val="none" w:sz="0" w:space="0" w:color="auto"/>
            <w:bottom w:val="single" w:sz="12" w:space="0" w:color="006699"/>
            <w:right w:val="none" w:sz="0" w:space="0" w:color="auto"/>
          </w:divBdr>
          <w:divsChild>
            <w:div w:id="1124348986">
              <w:marLeft w:val="0"/>
              <w:marRight w:val="0"/>
              <w:marTop w:val="0"/>
              <w:marBottom w:val="0"/>
              <w:divBdr>
                <w:top w:val="none" w:sz="0" w:space="0" w:color="auto"/>
                <w:left w:val="none" w:sz="0" w:space="0" w:color="auto"/>
                <w:bottom w:val="none" w:sz="0" w:space="0" w:color="auto"/>
                <w:right w:val="none" w:sz="0" w:space="0" w:color="auto"/>
              </w:divBdr>
              <w:divsChild>
                <w:div w:id="1335911996">
                  <w:marLeft w:val="0"/>
                  <w:marRight w:val="0"/>
                  <w:marTop w:val="0"/>
                  <w:marBottom w:val="0"/>
                  <w:divBdr>
                    <w:top w:val="none" w:sz="0" w:space="0" w:color="auto"/>
                    <w:left w:val="none" w:sz="0" w:space="0" w:color="auto"/>
                    <w:bottom w:val="none" w:sz="0" w:space="0" w:color="auto"/>
                    <w:right w:val="none" w:sz="0" w:space="0" w:color="auto"/>
                  </w:divBdr>
                  <w:divsChild>
                    <w:div w:id="1102216276">
                      <w:marLeft w:val="0"/>
                      <w:marRight w:val="0"/>
                      <w:marTop w:val="0"/>
                      <w:marBottom w:val="0"/>
                      <w:divBdr>
                        <w:top w:val="none" w:sz="0" w:space="0" w:color="auto"/>
                        <w:left w:val="none" w:sz="0" w:space="0" w:color="auto"/>
                        <w:bottom w:val="none" w:sz="0" w:space="0" w:color="auto"/>
                        <w:right w:val="none" w:sz="0" w:space="0" w:color="auto"/>
                      </w:divBdr>
                      <w:divsChild>
                        <w:div w:id="1928684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7793180">
              <w:marLeft w:val="0"/>
              <w:marRight w:val="0"/>
              <w:marTop w:val="0"/>
              <w:marBottom w:val="0"/>
              <w:divBdr>
                <w:top w:val="none" w:sz="0" w:space="0" w:color="auto"/>
                <w:left w:val="none" w:sz="0" w:space="0" w:color="auto"/>
                <w:bottom w:val="none" w:sz="0" w:space="0" w:color="auto"/>
                <w:right w:val="none" w:sz="0" w:space="0" w:color="auto"/>
              </w:divBdr>
            </w:div>
            <w:div w:id="1297447520">
              <w:marLeft w:val="0"/>
              <w:marRight w:val="0"/>
              <w:marTop w:val="0"/>
              <w:marBottom w:val="0"/>
              <w:divBdr>
                <w:top w:val="none" w:sz="0" w:space="0" w:color="auto"/>
                <w:left w:val="none" w:sz="0" w:space="0" w:color="auto"/>
                <w:bottom w:val="none" w:sz="0" w:space="0" w:color="auto"/>
                <w:right w:val="none" w:sz="0" w:space="0" w:color="auto"/>
              </w:divBdr>
              <w:divsChild>
                <w:div w:id="431365111">
                  <w:marLeft w:val="0"/>
                  <w:marRight w:val="0"/>
                  <w:marTop w:val="0"/>
                  <w:marBottom w:val="0"/>
                  <w:divBdr>
                    <w:top w:val="none" w:sz="0" w:space="0" w:color="auto"/>
                    <w:left w:val="none" w:sz="0" w:space="0" w:color="auto"/>
                    <w:bottom w:val="none" w:sz="0" w:space="0" w:color="auto"/>
                    <w:right w:val="none" w:sz="0" w:space="0" w:color="auto"/>
                  </w:divBdr>
                  <w:divsChild>
                    <w:div w:id="348721717">
                      <w:marLeft w:val="0"/>
                      <w:marRight w:val="0"/>
                      <w:marTop w:val="0"/>
                      <w:marBottom w:val="0"/>
                      <w:divBdr>
                        <w:top w:val="none" w:sz="0" w:space="0" w:color="auto"/>
                        <w:left w:val="none" w:sz="0" w:space="0" w:color="auto"/>
                        <w:bottom w:val="none" w:sz="0" w:space="0" w:color="auto"/>
                        <w:right w:val="none" w:sz="0" w:space="0" w:color="auto"/>
                      </w:divBdr>
                    </w:div>
                    <w:div w:id="232475513">
                      <w:marLeft w:val="0"/>
                      <w:marRight w:val="0"/>
                      <w:marTop w:val="0"/>
                      <w:marBottom w:val="0"/>
                      <w:divBdr>
                        <w:top w:val="none" w:sz="0" w:space="0" w:color="auto"/>
                        <w:left w:val="none" w:sz="0" w:space="0" w:color="auto"/>
                        <w:bottom w:val="none" w:sz="0" w:space="0" w:color="auto"/>
                        <w:right w:val="none" w:sz="0" w:space="0" w:color="auto"/>
                      </w:divBdr>
                    </w:div>
                    <w:div w:id="512573480">
                      <w:marLeft w:val="0"/>
                      <w:marRight w:val="0"/>
                      <w:marTop w:val="0"/>
                      <w:marBottom w:val="0"/>
                      <w:divBdr>
                        <w:top w:val="none" w:sz="0" w:space="0" w:color="auto"/>
                        <w:left w:val="none" w:sz="0" w:space="0" w:color="auto"/>
                        <w:bottom w:val="none" w:sz="0" w:space="0" w:color="auto"/>
                        <w:right w:val="none" w:sz="0" w:space="0" w:color="auto"/>
                      </w:divBdr>
                      <w:divsChild>
                        <w:div w:id="958805206">
                          <w:marLeft w:val="0"/>
                          <w:marRight w:val="0"/>
                          <w:marTop w:val="0"/>
                          <w:marBottom w:val="0"/>
                          <w:divBdr>
                            <w:top w:val="none" w:sz="0" w:space="0" w:color="auto"/>
                            <w:left w:val="none" w:sz="0" w:space="0" w:color="auto"/>
                            <w:bottom w:val="none" w:sz="0" w:space="0" w:color="auto"/>
                            <w:right w:val="none" w:sz="0" w:space="0" w:color="auto"/>
                          </w:divBdr>
                          <w:divsChild>
                            <w:div w:id="166134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0455832">
                      <w:marLeft w:val="0"/>
                      <w:marRight w:val="0"/>
                      <w:marTop w:val="0"/>
                      <w:marBottom w:val="0"/>
                      <w:divBdr>
                        <w:top w:val="none" w:sz="0" w:space="0" w:color="auto"/>
                        <w:left w:val="none" w:sz="0" w:space="0" w:color="auto"/>
                        <w:bottom w:val="none" w:sz="0" w:space="0" w:color="auto"/>
                        <w:right w:val="none" w:sz="0" w:space="0" w:color="auto"/>
                      </w:divBdr>
                      <w:divsChild>
                        <w:div w:id="403793988">
                          <w:marLeft w:val="0"/>
                          <w:marRight w:val="0"/>
                          <w:marTop w:val="0"/>
                          <w:marBottom w:val="0"/>
                          <w:divBdr>
                            <w:top w:val="none" w:sz="0" w:space="0" w:color="auto"/>
                            <w:left w:val="none" w:sz="0" w:space="0" w:color="auto"/>
                            <w:bottom w:val="none" w:sz="0" w:space="0" w:color="auto"/>
                            <w:right w:val="none" w:sz="0" w:space="0" w:color="auto"/>
                          </w:divBdr>
                          <w:divsChild>
                            <w:div w:id="1302074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6347125">
                  <w:marLeft w:val="0"/>
                  <w:marRight w:val="0"/>
                  <w:marTop w:val="0"/>
                  <w:marBottom w:val="0"/>
                  <w:divBdr>
                    <w:top w:val="none" w:sz="0" w:space="0" w:color="auto"/>
                    <w:left w:val="none" w:sz="0" w:space="0" w:color="auto"/>
                    <w:bottom w:val="none" w:sz="0" w:space="0" w:color="auto"/>
                    <w:right w:val="none" w:sz="0" w:space="0" w:color="auto"/>
                  </w:divBdr>
                  <w:divsChild>
                    <w:div w:id="1597205095">
                      <w:marLeft w:val="0"/>
                      <w:marRight w:val="0"/>
                      <w:marTop w:val="0"/>
                      <w:marBottom w:val="0"/>
                      <w:divBdr>
                        <w:top w:val="none" w:sz="0" w:space="0" w:color="auto"/>
                        <w:left w:val="none" w:sz="0" w:space="0" w:color="auto"/>
                        <w:bottom w:val="none" w:sz="0" w:space="0" w:color="auto"/>
                        <w:right w:val="none" w:sz="0" w:space="0" w:color="auto"/>
                      </w:divBdr>
                    </w:div>
                    <w:div w:id="264962337">
                      <w:marLeft w:val="0"/>
                      <w:marRight w:val="0"/>
                      <w:marTop w:val="0"/>
                      <w:marBottom w:val="0"/>
                      <w:divBdr>
                        <w:top w:val="none" w:sz="0" w:space="0" w:color="auto"/>
                        <w:left w:val="none" w:sz="0" w:space="0" w:color="auto"/>
                        <w:bottom w:val="none" w:sz="0" w:space="0" w:color="auto"/>
                        <w:right w:val="none" w:sz="0" w:space="0" w:color="auto"/>
                      </w:divBdr>
                    </w:div>
                    <w:div w:id="1351683739">
                      <w:marLeft w:val="0"/>
                      <w:marRight w:val="0"/>
                      <w:marTop w:val="0"/>
                      <w:marBottom w:val="0"/>
                      <w:divBdr>
                        <w:top w:val="none" w:sz="0" w:space="0" w:color="auto"/>
                        <w:left w:val="none" w:sz="0" w:space="0" w:color="auto"/>
                        <w:bottom w:val="none" w:sz="0" w:space="0" w:color="auto"/>
                        <w:right w:val="none" w:sz="0" w:space="0" w:color="auto"/>
                      </w:divBdr>
                    </w:div>
                    <w:div w:id="1552812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1934801">
          <w:marLeft w:val="0"/>
          <w:marRight w:val="0"/>
          <w:marTop w:val="0"/>
          <w:marBottom w:val="0"/>
          <w:divBdr>
            <w:top w:val="none" w:sz="0" w:space="0" w:color="auto"/>
            <w:left w:val="none" w:sz="0" w:space="0" w:color="auto"/>
            <w:bottom w:val="single" w:sz="6" w:space="0" w:color="333333"/>
            <w:right w:val="none" w:sz="0" w:space="0" w:color="auto"/>
          </w:divBdr>
          <w:divsChild>
            <w:div w:id="1344670175">
              <w:marLeft w:val="0"/>
              <w:marRight w:val="0"/>
              <w:marTop w:val="0"/>
              <w:marBottom w:val="0"/>
              <w:divBdr>
                <w:top w:val="none" w:sz="0" w:space="0" w:color="auto"/>
                <w:left w:val="none" w:sz="0" w:space="0" w:color="auto"/>
                <w:bottom w:val="none" w:sz="0" w:space="0" w:color="auto"/>
                <w:right w:val="none" w:sz="0" w:space="0" w:color="auto"/>
              </w:divBdr>
              <w:divsChild>
                <w:div w:id="1239948996">
                  <w:marLeft w:val="0"/>
                  <w:marRight w:val="0"/>
                  <w:marTop w:val="0"/>
                  <w:marBottom w:val="0"/>
                  <w:divBdr>
                    <w:top w:val="none" w:sz="0" w:space="0" w:color="auto"/>
                    <w:left w:val="none" w:sz="0" w:space="0" w:color="auto"/>
                    <w:bottom w:val="none" w:sz="0" w:space="0" w:color="auto"/>
                    <w:right w:val="none" w:sz="0" w:space="0" w:color="auto"/>
                  </w:divBdr>
                  <w:divsChild>
                    <w:div w:id="1429690950">
                      <w:marLeft w:val="0"/>
                      <w:marRight w:val="0"/>
                      <w:marTop w:val="0"/>
                      <w:marBottom w:val="0"/>
                      <w:divBdr>
                        <w:top w:val="none" w:sz="0" w:space="0" w:color="auto"/>
                        <w:left w:val="none" w:sz="0" w:space="0" w:color="auto"/>
                        <w:bottom w:val="none" w:sz="0" w:space="0" w:color="auto"/>
                        <w:right w:val="none" w:sz="0" w:space="0" w:color="auto"/>
                      </w:divBdr>
                      <w:divsChild>
                        <w:div w:id="1138842933">
                          <w:marLeft w:val="0"/>
                          <w:marRight w:val="0"/>
                          <w:marTop w:val="0"/>
                          <w:marBottom w:val="0"/>
                          <w:divBdr>
                            <w:top w:val="none" w:sz="0" w:space="0" w:color="auto"/>
                            <w:left w:val="none" w:sz="0" w:space="0" w:color="auto"/>
                            <w:bottom w:val="dotted" w:sz="6" w:space="0" w:color="FEA957"/>
                            <w:right w:val="none" w:sz="0" w:space="0" w:color="auto"/>
                          </w:divBdr>
                          <w:divsChild>
                            <w:div w:id="405956680">
                              <w:marLeft w:val="0"/>
                              <w:marRight w:val="0"/>
                              <w:marTop w:val="0"/>
                              <w:marBottom w:val="0"/>
                              <w:divBdr>
                                <w:top w:val="none" w:sz="0" w:space="0" w:color="auto"/>
                                <w:left w:val="none" w:sz="0" w:space="0" w:color="auto"/>
                                <w:bottom w:val="none" w:sz="0" w:space="0" w:color="auto"/>
                                <w:right w:val="none" w:sz="0" w:space="0" w:color="auto"/>
                              </w:divBdr>
                              <w:divsChild>
                                <w:div w:id="1964772536">
                                  <w:marLeft w:val="0"/>
                                  <w:marRight w:val="0"/>
                                  <w:marTop w:val="0"/>
                                  <w:marBottom w:val="450"/>
                                  <w:divBdr>
                                    <w:top w:val="none" w:sz="0" w:space="0" w:color="auto"/>
                                    <w:left w:val="none" w:sz="0" w:space="0" w:color="auto"/>
                                    <w:bottom w:val="none" w:sz="0" w:space="0" w:color="auto"/>
                                    <w:right w:val="none" w:sz="0" w:space="0" w:color="auto"/>
                                  </w:divBdr>
                                  <w:divsChild>
                                    <w:div w:id="242225079">
                                      <w:marLeft w:val="0"/>
                                      <w:marRight w:val="0"/>
                                      <w:marTop w:val="0"/>
                                      <w:marBottom w:val="375"/>
                                      <w:divBdr>
                                        <w:top w:val="none" w:sz="0" w:space="0" w:color="auto"/>
                                        <w:left w:val="none" w:sz="0" w:space="0" w:color="auto"/>
                                        <w:bottom w:val="none" w:sz="0" w:space="0" w:color="auto"/>
                                        <w:right w:val="none" w:sz="0" w:space="0" w:color="auto"/>
                                      </w:divBdr>
                                      <w:divsChild>
                                        <w:div w:id="54397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1612113">
                                  <w:marLeft w:val="0"/>
                                  <w:marRight w:val="0"/>
                                  <w:marTop w:val="0"/>
                                  <w:marBottom w:val="450"/>
                                  <w:divBdr>
                                    <w:top w:val="none" w:sz="0" w:space="0" w:color="auto"/>
                                    <w:left w:val="none" w:sz="0" w:space="0" w:color="auto"/>
                                    <w:bottom w:val="none" w:sz="0" w:space="0" w:color="auto"/>
                                    <w:right w:val="none" w:sz="0" w:space="0" w:color="auto"/>
                                  </w:divBdr>
                                  <w:divsChild>
                                    <w:div w:id="1696228200">
                                      <w:marLeft w:val="0"/>
                                      <w:marRight w:val="0"/>
                                      <w:marTop w:val="0"/>
                                      <w:marBottom w:val="375"/>
                                      <w:divBdr>
                                        <w:top w:val="none" w:sz="0" w:space="0" w:color="auto"/>
                                        <w:left w:val="none" w:sz="0" w:space="0" w:color="auto"/>
                                        <w:bottom w:val="none" w:sz="0" w:space="0" w:color="auto"/>
                                        <w:right w:val="none" w:sz="0" w:space="0" w:color="auto"/>
                                      </w:divBdr>
                                      <w:divsChild>
                                        <w:div w:id="1812474835">
                                          <w:marLeft w:val="0"/>
                                          <w:marRight w:val="0"/>
                                          <w:marTop w:val="0"/>
                                          <w:marBottom w:val="0"/>
                                          <w:divBdr>
                                            <w:top w:val="none" w:sz="0" w:space="0" w:color="auto"/>
                                            <w:left w:val="none" w:sz="0" w:space="0" w:color="auto"/>
                                            <w:bottom w:val="none" w:sz="0" w:space="0" w:color="auto"/>
                                            <w:right w:val="none" w:sz="0" w:space="0" w:color="auto"/>
                                          </w:divBdr>
                                        </w:div>
                                      </w:divsChild>
                                    </w:div>
                                    <w:div w:id="1947613427">
                                      <w:marLeft w:val="0"/>
                                      <w:marRight w:val="0"/>
                                      <w:marTop w:val="240"/>
                                      <w:marBottom w:val="480"/>
                                      <w:divBdr>
                                        <w:top w:val="none" w:sz="0" w:space="0" w:color="auto"/>
                                        <w:left w:val="none" w:sz="0" w:space="0" w:color="auto"/>
                                        <w:bottom w:val="none" w:sz="0" w:space="0" w:color="auto"/>
                                        <w:right w:val="none" w:sz="0" w:space="0" w:color="auto"/>
                                      </w:divBdr>
                                      <w:divsChild>
                                        <w:div w:id="715853115">
                                          <w:marLeft w:val="0"/>
                                          <w:marRight w:val="0"/>
                                          <w:marTop w:val="0"/>
                                          <w:marBottom w:val="0"/>
                                          <w:divBdr>
                                            <w:top w:val="single" w:sz="6" w:space="0" w:color="C6C6C6"/>
                                            <w:left w:val="single" w:sz="6" w:space="0" w:color="C6C6C6"/>
                                            <w:bottom w:val="single" w:sz="6" w:space="0" w:color="C6C6C6"/>
                                            <w:right w:val="single" w:sz="6" w:space="0" w:color="C6C6C6"/>
                                          </w:divBdr>
                                        </w:div>
                                        <w:div w:id="34795385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945037629">
                                  <w:marLeft w:val="0"/>
                                  <w:marRight w:val="0"/>
                                  <w:marTop w:val="0"/>
                                  <w:marBottom w:val="450"/>
                                  <w:divBdr>
                                    <w:top w:val="none" w:sz="0" w:space="0" w:color="auto"/>
                                    <w:left w:val="none" w:sz="0" w:space="0" w:color="auto"/>
                                    <w:bottom w:val="none" w:sz="0" w:space="0" w:color="auto"/>
                                    <w:right w:val="none" w:sz="0" w:space="0" w:color="auto"/>
                                  </w:divBdr>
                                  <w:divsChild>
                                    <w:div w:id="737628685">
                                      <w:marLeft w:val="0"/>
                                      <w:marRight w:val="0"/>
                                      <w:marTop w:val="0"/>
                                      <w:marBottom w:val="375"/>
                                      <w:divBdr>
                                        <w:top w:val="none" w:sz="0" w:space="0" w:color="auto"/>
                                        <w:left w:val="none" w:sz="0" w:space="0" w:color="auto"/>
                                        <w:bottom w:val="none" w:sz="0" w:space="0" w:color="auto"/>
                                        <w:right w:val="none" w:sz="0" w:space="0" w:color="auto"/>
                                      </w:divBdr>
                                      <w:divsChild>
                                        <w:div w:id="1114902480">
                                          <w:marLeft w:val="0"/>
                                          <w:marRight w:val="0"/>
                                          <w:marTop w:val="0"/>
                                          <w:marBottom w:val="0"/>
                                          <w:divBdr>
                                            <w:top w:val="none" w:sz="0" w:space="0" w:color="auto"/>
                                            <w:left w:val="none" w:sz="0" w:space="0" w:color="auto"/>
                                            <w:bottom w:val="none" w:sz="0" w:space="0" w:color="auto"/>
                                            <w:right w:val="none" w:sz="0" w:space="0" w:color="auto"/>
                                          </w:divBdr>
                                        </w:div>
                                      </w:divsChild>
                                    </w:div>
                                    <w:div w:id="1603564783">
                                      <w:marLeft w:val="0"/>
                                      <w:marRight w:val="0"/>
                                      <w:marTop w:val="0"/>
                                      <w:marBottom w:val="0"/>
                                      <w:divBdr>
                                        <w:top w:val="none" w:sz="0" w:space="0" w:color="auto"/>
                                        <w:left w:val="none" w:sz="0" w:space="0" w:color="auto"/>
                                        <w:bottom w:val="none" w:sz="0" w:space="0" w:color="auto"/>
                                        <w:right w:val="none" w:sz="0" w:space="0" w:color="auto"/>
                                      </w:divBdr>
                                    </w:div>
                                    <w:div w:id="812871653">
                                      <w:marLeft w:val="0"/>
                                      <w:marRight w:val="0"/>
                                      <w:marTop w:val="0"/>
                                      <w:marBottom w:val="0"/>
                                      <w:divBdr>
                                        <w:top w:val="none" w:sz="0" w:space="0" w:color="auto"/>
                                        <w:left w:val="none" w:sz="0" w:space="0" w:color="auto"/>
                                        <w:bottom w:val="none" w:sz="0" w:space="0" w:color="auto"/>
                                        <w:right w:val="none" w:sz="0" w:space="0" w:color="auto"/>
                                      </w:divBdr>
                                    </w:div>
                                    <w:div w:id="664095590">
                                      <w:marLeft w:val="0"/>
                                      <w:marRight w:val="0"/>
                                      <w:marTop w:val="0"/>
                                      <w:marBottom w:val="0"/>
                                      <w:divBdr>
                                        <w:top w:val="none" w:sz="0" w:space="0" w:color="auto"/>
                                        <w:left w:val="none" w:sz="0" w:space="0" w:color="auto"/>
                                        <w:bottom w:val="none" w:sz="0" w:space="0" w:color="auto"/>
                                        <w:right w:val="none" w:sz="0" w:space="0" w:color="auto"/>
                                      </w:divBdr>
                                      <w:divsChild>
                                        <w:div w:id="2057271242">
                                          <w:marLeft w:val="0"/>
                                          <w:marRight w:val="0"/>
                                          <w:marTop w:val="240"/>
                                          <w:marBottom w:val="480"/>
                                          <w:divBdr>
                                            <w:top w:val="none" w:sz="0" w:space="0" w:color="auto"/>
                                            <w:left w:val="none" w:sz="0" w:space="0" w:color="auto"/>
                                            <w:bottom w:val="none" w:sz="0" w:space="0" w:color="auto"/>
                                            <w:right w:val="none" w:sz="0" w:space="0" w:color="auto"/>
                                          </w:divBdr>
                                          <w:divsChild>
                                            <w:div w:id="1860388906">
                                              <w:marLeft w:val="0"/>
                                              <w:marRight w:val="0"/>
                                              <w:marTop w:val="0"/>
                                              <w:marBottom w:val="0"/>
                                              <w:divBdr>
                                                <w:top w:val="single" w:sz="6" w:space="0" w:color="C6C6C6"/>
                                                <w:left w:val="single" w:sz="6" w:space="0" w:color="C6C6C6"/>
                                                <w:bottom w:val="single" w:sz="6" w:space="0" w:color="C6C6C6"/>
                                                <w:right w:val="single" w:sz="6" w:space="0" w:color="C6C6C6"/>
                                              </w:divBdr>
                                            </w:div>
                                            <w:div w:id="35862744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575748130">
                                  <w:marLeft w:val="0"/>
                                  <w:marRight w:val="0"/>
                                  <w:marTop w:val="0"/>
                                  <w:marBottom w:val="450"/>
                                  <w:divBdr>
                                    <w:top w:val="none" w:sz="0" w:space="0" w:color="auto"/>
                                    <w:left w:val="none" w:sz="0" w:space="0" w:color="auto"/>
                                    <w:bottom w:val="none" w:sz="0" w:space="0" w:color="auto"/>
                                    <w:right w:val="none" w:sz="0" w:space="0" w:color="auto"/>
                                  </w:divBdr>
                                  <w:divsChild>
                                    <w:div w:id="1246036104">
                                      <w:marLeft w:val="0"/>
                                      <w:marRight w:val="0"/>
                                      <w:marTop w:val="0"/>
                                      <w:marBottom w:val="375"/>
                                      <w:divBdr>
                                        <w:top w:val="none" w:sz="0" w:space="0" w:color="auto"/>
                                        <w:left w:val="none" w:sz="0" w:space="0" w:color="auto"/>
                                        <w:bottom w:val="none" w:sz="0" w:space="0" w:color="auto"/>
                                        <w:right w:val="none" w:sz="0" w:space="0" w:color="auto"/>
                                      </w:divBdr>
                                      <w:divsChild>
                                        <w:div w:id="585648986">
                                          <w:marLeft w:val="0"/>
                                          <w:marRight w:val="0"/>
                                          <w:marTop w:val="0"/>
                                          <w:marBottom w:val="0"/>
                                          <w:divBdr>
                                            <w:top w:val="none" w:sz="0" w:space="0" w:color="auto"/>
                                            <w:left w:val="none" w:sz="0" w:space="0" w:color="auto"/>
                                            <w:bottom w:val="none" w:sz="0" w:space="0" w:color="auto"/>
                                            <w:right w:val="none" w:sz="0" w:space="0" w:color="auto"/>
                                          </w:divBdr>
                                        </w:div>
                                      </w:divsChild>
                                    </w:div>
                                    <w:div w:id="802886326">
                                      <w:marLeft w:val="0"/>
                                      <w:marRight w:val="0"/>
                                      <w:marTop w:val="0"/>
                                      <w:marBottom w:val="0"/>
                                      <w:divBdr>
                                        <w:top w:val="none" w:sz="0" w:space="0" w:color="auto"/>
                                        <w:left w:val="none" w:sz="0" w:space="0" w:color="auto"/>
                                        <w:bottom w:val="none" w:sz="0" w:space="0" w:color="auto"/>
                                        <w:right w:val="none" w:sz="0" w:space="0" w:color="auto"/>
                                      </w:divBdr>
                                      <w:divsChild>
                                        <w:div w:id="1960716048">
                                          <w:marLeft w:val="0"/>
                                          <w:marRight w:val="0"/>
                                          <w:marTop w:val="240"/>
                                          <w:marBottom w:val="480"/>
                                          <w:divBdr>
                                            <w:top w:val="none" w:sz="0" w:space="0" w:color="auto"/>
                                            <w:left w:val="none" w:sz="0" w:space="0" w:color="auto"/>
                                            <w:bottom w:val="none" w:sz="0" w:space="0" w:color="auto"/>
                                            <w:right w:val="none" w:sz="0" w:space="0" w:color="auto"/>
                                          </w:divBdr>
                                          <w:divsChild>
                                            <w:div w:id="1322276579">
                                              <w:marLeft w:val="0"/>
                                              <w:marRight w:val="0"/>
                                              <w:marTop w:val="0"/>
                                              <w:marBottom w:val="0"/>
                                              <w:divBdr>
                                                <w:top w:val="single" w:sz="6" w:space="0" w:color="C6C6C6"/>
                                                <w:left w:val="single" w:sz="6" w:space="0" w:color="C6C6C6"/>
                                                <w:bottom w:val="single" w:sz="6" w:space="0" w:color="C6C6C6"/>
                                                <w:right w:val="single" w:sz="6" w:space="0" w:color="C6C6C6"/>
                                              </w:divBdr>
                                            </w:div>
                                            <w:div w:id="177505696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660383725">
                                      <w:marLeft w:val="0"/>
                                      <w:marRight w:val="0"/>
                                      <w:marTop w:val="0"/>
                                      <w:marBottom w:val="0"/>
                                      <w:divBdr>
                                        <w:top w:val="none" w:sz="0" w:space="0" w:color="auto"/>
                                        <w:left w:val="none" w:sz="0" w:space="0" w:color="auto"/>
                                        <w:bottom w:val="none" w:sz="0" w:space="0" w:color="auto"/>
                                        <w:right w:val="none" w:sz="0" w:space="0" w:color="auto"/>
                                      </w:divBdr>
                                    </w:div>
                                    <w:div w:id="1028026186">
                                      <w:marLeft w:val="0"/>
                                      <w:marRight w:val="0"/>
                                      <w:marTop w:val="0"/>
                                      <w:marBottom w:val="0"/>
                                      <w:divBdr>
                                        <w:top w:val="none" w:sz="0" w:space="0" w:color="auto"/>
                                        <w:left w:val="none" w:sz="0" w:space="0" w:color="auto"/>
                                        <w:bottom w:val="none" w:sz="0" w:space="0" w:color="auto"/>
                                        <w:right w:val="none" w:sz="0" w:space="0" w:color="auto"/>
                                      </w:divBdr>
                                      <w:divsChild>
                                        <w:div w:id="964853577">
                                          <w:marLeft w:val="0"/>
                                          <w:marRight w:val="0"/>
                                          <w:marTop w:val="240"/>
                                          <w:marBottom w:val="480"/>
                                          <w:divBdr>
                                            <w:top w:val="none" w:sz="0" w:space="0" w:color="auto"/>
                                            <w:left w:val="none" w:sz="0" w:space="0" w:color="auto"/>
                                            <w:bottom w:val="none" w:sz="0" w:space="0" w:color="auto"/>
                                            <w:right w:val="none" w:sz="0" w:space="0" w:color="auto"/>
                                          </w:divBdr>
                                          <w:divsChild>
                                            <w:div w:id="986513928">
                                              <w:marLeft w:val="0"/>
                                              <w:marRight w:val="0"/>
                                              <w:marTop w:val="0"/>
                                              <w:marBottom w:val="0"/>
                                              <w:divBdr>
                                                <w:top w:val="none" w:sz="0" w:space="0" w:color="auto"/>
                                                <w:left w:val="none" w:sz="0" w:space="0" w:color="auto"/>
                                                <w:bottom w:val="dotted" w:sz="6" w:space="6" w:color="999999"/>
                                                <w:right w:val="none" w:sz="0" w:space="0" w:color="auto"/>
                                              </w:divBdr>
                                            </w:div>
                                            <w:div w:id="1667636945">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457214336">
                                          <w:marLeft w:val="0"/>
                                          <w:marRight w:val="0"/>
                                          <w:marTop w:val="240"/>
                                          <w:marBottom w:val="480"/>
                                          <w:divBdr>
                                            <w:top w:val="none" w:sz="0" w:space="0" w:color="auto"/>
                                            <w:left w:val="none" w:sz="0" w:space="0" w:color="auto"/>
                                            <w:bottom w:val="none" w:sz="0" w:space="0" w:color="auto"/>
                                            <w:right w:val="none" w:sz="0" w:space="0" w:color="auto"/>
                                          </w:divBdr>
                                          <w:divsChild>
                                            <w:div w:id="1584023393">
                                              <w:marLeft w:val="0"/>
                                              <w:marRight w:val="0"/>
                                              <w:marTop w:val="0"/>
                                              <w:marBottom w:val="0"/>
                                              <w:divBdr>
                                                <w:top w:val="single" w:sz="6" w:space="0" w:color="C6C6C6"/>
                                                <w:left w:val="single" w:sz="6" w:space="0" w:color="C6C6C6"/>
                                                <w:bottom w:val="single" w:sz="6" w:space="0" w:color="C6C6C6"/>
                                                <w:right w:val="single" w:sz="6" w:space="0" w:color="C6C6C6"/>
                                              </w:divBdr>
                                            </w:div>
                                            <w:div w:id="1918395378">
                                              <w:marLeft w:val="0"/>
                                              <w:marRight w:val="0"/>
                                              <w:marTop w:val="0"/>
                                              <w:marBottom w:val="0"/>
                                              <w:divBdr>
                                                <w:top w:val="none" w:sz="0" w:space="0" w:color="auto"/>
                                                <w:left w:val="none" w:sz="0" w:space="0" w:color="auto"/>
                                                <w:bottom w:val="dotted" w:sz="6" w:space="6" w:color="999999"/>
                                                <w:right w:val="none" w:sz="0" w:space="0" w:color="auto"/>
                                              </w:divBdr>
                                            </w:div>
                                          </w:divsChild>
                                        </w:div>
                                        <w:div w:id="539632731">
                                          <w:marLeft w:val="0"/>
                                          <w:marRight w:val="0"/>
                                          <w:marTop w:val="240"/>
                                          <w:marBottom w:val="480"/>
                                          <w:divBdr>
                                            <w:top w:val="none" w:sz="0" w:space="0" w:color="auto"/>
                                            <w:left w:val="none" w:sz="0" w:space="0" w:color="auto"/>
                                            <w:bottom w:val="none" w:sz="0" w:space="0" w:color="auto"/>
                                            <w:right w:val="none" w:sz="0" w:space="0" w:color="auto"/>
                                          </w:divBdr>
                                          <w:divsChild>
                                            <w:div w:id="1246376058">
                                              <w:marLeft w:val="0"/>
                                              <w:marRight w:val="0"/>
                                              <w:marTop w:val="0"/>
                                              <w:marBottom w:val="0"/>
                                              <w:divBdr>
                                                <w:top w:val="single" w:sz="6" w:space="0" w:color="C6C6C6"/>
                                                <w:left w:val="single" w:sz="6" w:space="0" w:color="C6C6C6"/>
                                                <w:bottom w:val="single" w:sz="6" w:space="0" w:color="C6C6C6"/>
                                                <w:right w:val="single" w:sz="6" w:space="0" w:color="C6C6C6"/>
                                              </w:divBdr>
                                            </w:div>
                                            <w:div w:id="161490363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563440536">
                                      <w:marLeft w:val="0"/>
                                      <w:marRight w:val="0"/>
                                      <w:marTop w:val="0"/>
                                      <w:marBottom w:val="0"/>
                                      <w:divBdr>
                                        <w:top w:val="none" w:sz="0" w:space="0" w:color="auto"/>
                                        <w:left w:val="none" w:sz="0" w:space="0" w:color="auto"/>
                                        <w:bottom w:val="none" w:sz="0" w:space="0" w:color="auto"/>
                                        <w:right w:val="none" w:sz="0" w:space="0" w:color="auto"/>
                                      </w:divBdr>
                                      <w:divsChild>
                                        <w:div w:id="491989015">
                                          <w:marLeft w:val="0"/>
                                          <w:marRight w:val="0"/>
                                          <w:marTop w:val="240"/>
                                          <w:marBottom w:val="240"/>
                                          <w:divBdr>
                                            <w:top w:val="none" w:sz="0" w:space="0" w:color="auto"/>
                                            <w:left w:val="none" w:sz="0" w:space="0" w:color="auto"/>
                                            <w:bottom w:val="none" w:sz="0" w:space="0" w:color="auto"/>
                                            <w:right w:val="none" w:sz="0" w:space="0" w:color="auto"/>
                                          </w:divBdr>
                                        </w:div>
                                        <w:div w:id="2030258604">
                                          <w:marLeft w:val="0"/>
                                          <w:marRight w:val="0"/>
                                          <w:marTop w:val="240"/>
                                          <w:marBottom w:val="480"/>
                                          <w:divBdr>
                                            <w:top w:val="none" w:sz="0" w:space="0" w:color="auto"/>
                                            <w:left w:val="none" w:sz="0" w:space="0" w:color="auto"/>
                                            <w:bottom w:val="none" w:sz="0" w:space="0" w:color="auto"/>
                                            <w:right w:val="none" w:sz="0" w:space="0" w:color="auto"/>
                                          </w:divBdr>
                                          <w:divsChild>
                                            <w:div w:id="345182454">
                                              <w:marLeft w:val="0"/>
                                              <w:marRight w:val="0"/>
                                              <w:marTop w:val="0"/>
                                              <w:marBottom w:val="0"/>
                                              <w:divBdr>
                                                <w:top w:val="none" w:sz="0" w:space="0" w:color="auto"/>
                                                <w:left w:val="none" w:sz="0" w:space="0" w:color="auto"/>
                                                <w:bottom w:val="dotted" w:sz="6" w:space="6" w:color="999999"/>
                                                <w:right w:val="none" w:sz="0" w:space="0" w:color="auto"/>
                                              </w:divBdr>
                                            </w:div>
                                            <w:div w:id="1202981655">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sChild>
                                </w:div>
                                <w:div w:id="1045913181">
                                  <w:marLeft w:val="0"/>
                                  <w:marRight w:val="0"/>
                                  <w:marTop w:val="0"/>
                                  <w:marBottom w:val="450"/>
                                  <w:divBdr>
                                    <w:top w:val="none" w:sz="0" w:space="0" w:color="auto"/>
                                    <w:left w:val="none" w:sz="0" w:space="0" w:color="auto"/>
                                    <w:bottom w:val="none" w:sz="0" w:space="0" w:color="auto"/>
                                    <w:right w:val="none" w:sz="0" w:space="0" w:color="auto"/>
                                  </w:divBdr>
                                  <w:divsChild>
                                    <w:div w:id="1906641952">
                                      <w:marLeft w:val="0"/>
                                      <w:marRight w:val="0"/>
                                      <w:marTop w:val="0"/>
                                      <w:marBottom w:val="375"/>
                                      <w:divBdr>
                                        <w:top w:val="none" w:sz="0" w:space="0" w:color="auto"/>
                                        <w:left w:val="none" w:sz="0" w:space="0" w:color="auto"/>
                                        <w:bottom w:val="none" w:sz="0" w:space="0" w:color="auto"/>
                                        <w:right w:val="none" w:sz="0" w:space="0" w:color="auto"/>
                                      </w:divBdr>
                                      <w:divsChild>
                                        <w:div w:id="2069380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111640">
                                  <w:marLeft w:val="0"/>
                                  <w:marRight w:val="0"/>
                                  <w:marTop w:val="0"/>
                                  <w:marBottom w:val="450"/>
                                  <w:divBdr>
                                    <w:top w:val="none" w:sz="0" w:space="0" w:color="auto"/>
                                    <w:left w:val="none" w:sz="0" w:space="0" w:color="auto"/>
                                    <w:bottom w:val="none" w:sz="0" w:space="0" w:color="auto"/>
                                    <w:right w:val="none" w:sz="0" w:space="0" w:color="auto"/>
                                  </w:divBdr>
                                  <w:divsChild>
                                    <w:div w:id="1297417436">
                                      <w:marLeft w:val="0"/>
                                      <w:marRight w:val="0"/>
                                      <w:marTop w:val="0"/>
                                      <w:marBottom w:val="375"/>
                                      <w:divBdr>
                                        <w:top w:val="none" w:sz="0" w:space="0" w:color="auto"/>
                                        <w:left w:val="none" w:sz="0" w:space="0" w:color="auto"/>
                                        <w:bottom w:val="none" w:sz="0" w:space="0" w:color="auto"/>
                                        <w:right w:val="none" w:sz="0" w:space="0" w:color="auto"/>
                                      </w:divBdr>
                                      <w:divsChild>
                                        <w:div w:id="910236876">
                                          <w:marLeft w:val="0"/>
                                          <w:marRight w:val="0"/>
                                          <w:marTop w:val="0"/>
                                          <w:marBottom w:val="0"/>
                                          <w:divBdr>
                                            <w:top w:val="none" w:sz="0" w:space="0" w:color="auto"/>
                                            <w:left w:val="none" w:sz="0" w:space="0" w:color="auto"/>
                                            <w:bottom w:val="none" w:sz="0" w:space="0" w:color="auto"/>
                                            <w:right w:val="none" w:sz="0" w:space="0" w:color="auto"/>
                                          </w:divBdr>
                                        </w:div>
                                      </w:divsChild>
                                    </w:div>
                                    <w:div w:id="826048333">
                                      <w:marLeft w:val="0"/>
                                      <w:marRight w:val="0"/>
                                      <w:marTop w:val="240"/>
                                      <w:marBottom w:val="480"/>
                                      <w:divBdr>
                                        <w:top w:val="none" w:sz="0" w:space="0" w:color="auto"/>
                                        <w:left w:val="none" w:sz="0" w:space="0" w:color="auto"/>
                                        <w:bottom w:val="none" w:sz="0" w:space="0" w:color="auto"/>
                                        <w:right w:val="none" w:sz="0" w:space="0" w:color="auto"/>
                                      </w:divBdr>
                                      <w:divsChild>
                                        <w:div w:id="299266068">
                                          <w:marLeft w:val="0"/>
                                          <w:marRight w:val="0"/>
                                          <w:marTop w:val="0"/>
                                          <w:marBottom w:val="0"/>
                                          <w:divBdr>
                                            <w:top w:val="single" w:sz="6" w:space="0" w:color="C6C6C6"/>
                                            <w:left w:val="single" w:sz="6" w:space="0" w:color="C6C6C6"/>
                                            <w:bottom w:val="single" w:sz="6" w:space="0" w:color="C6C6C6"/>
                                            <w:right w:val="single" w:sz="6" w:space="0" w:color="C6C6C6"/>
                                          </w:divBdr>
                                        </w:div>
                                        <w:div w:id="125312249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sChild>
                        </w:div>
                      </w:divsChild>
                    </w:div>
                  </w:divsChild>
                </w:div>
              </w:divsChild>
            </w:div>
          </w:divsChild>
        </w:div>
      </w:divsChild>
    </w:div>
    <w:div w:id="1468821065">
      <w:bodyDiv w:val="1"/>
      <w:marLeft w:val="0"/>
      <w:marRight w:val="0"/>
      <w:marTop w:val="0"/>
      <w:marBottom w:val="0"/>
      <w:divBdr>
        <w:top w:val="none" w:sz="0" w:space="0" w:color="auto"/>
        <w:left w:val="none" w:sz="0" w:space="0" w:color="auto"/>
        <w:bottom w:val="none" w:sz="0" w:space="0" w:color="auto"/>
        <w:right w:val="none" w:sz="0" w:space="0" w:color="auto"/>
      </w:divBdr>
      <w:divsChild>
        <w:div w:id="963929449">
          <w:marLeft w:val="0"/>
          <w:marRight w:val="0"/>
          <w:marTop w:val="0"/>
          <w:marBottom w:val="0"/>
          <w:divBdr>
            <w:top w:val="none" w:sz="0" w:space="0" w:color="auto"/>
            <w:left w:val="none" w:sz="0" w:space="0" w:color="auto"/>
            <w:bottom w:val="none" w:sz="0" w:space="0" w:color="auto"/>
            <w:right w:val="none" w:sz="0" w:space="0" w:color="auto"/>
          </w:divBdr>
          <w:divsChild>
            <w:div w:id="2028174166">
              <w:marLeft w:val="0"/>
              <w:marRight w:val="0"/>
              <w:marTop w:val="0"/>
              <w:marBottom w:val="600"/>
              <w:divBdr>
                <w:top w:val="none" w:sz="0" w:space="0" w:color="auto"/>
                <w:left w:val="none" w:sz="0" w:space="0" w:color="auto"/>
                <w:bottom w:val="none" w:sz="0" w:space="0" w:color="auto"/>
                <w:right w:val="none" w:sz="0" w:space="0" w:color="auto"/>
              </w:divBdr>
            </w:div>
          </w:divsChild>
        </w:div>
        <w:div w:id="994576787">
          <w:marLeft w:val="0"/>
          <w:marRight w:val="0"/>
          <w:marTop w:val="0"/>
          <w:marBottom w:val="0"/>
          <w:divBdr>
            <w:top w:val="none" w:sz="0" w:space="0" w:color="auto"/>
            <w:left w:val="none" w:sz="0" w:space="0" w:color="auto"/>
            <w:bottom w:val="none" w:sz="0" w:space="0" w:color="auto"/>
            <w:right w:val="none" w:sz="0" w:space="0" w:color="auto"/>
          </w:divBdr>
          <w:divsChild>
            <w:div w:id="642855707">
              <w:marLeft w:val="0"/>
              <w:marRight w:val="0"/>
              <w:marTop w:val="0"/>
              <w:marBottom w:val="600"/>
              <w:divBdr>
                <w:top w:val="none" w:sz="0" w:space="0" w:color="auto"/>
                <w:left w:val="none" w:sz="0" w:space="0" w:color="auto"/>
                <w:bottom w:val="none" w:sz="0" w:space="0" w:color="auto"/>
                <w:right w:val="none" w:sz="0" w:space="0" w:color="auto"/>
              </w:divBdr>
            </w:div>
          </w:divsChild>
        </w:div>
        <w:div w:id="176698122">
          <w:marLeft w:val="0"/>
          <w:marRight w:val="0"/>
          <w:marTop w:val="0"/>
          <w:marBottom w:val="0"/>
          <w:divBdr>
            <w:top w:val="none" w:sz="0" w:space="0" w:color="auto"/>
            <w:left w:val="none" w:sz="0" w:space="0" w:color="auto"/>
            <w:bottom w:val="none" w:sz="0" w:space="0" w:color="auto"/>
            <w:right w:val="none" w:sz="0" w:space="0" w:color="auto"/>
          </w:divBdr>
          <w:divsChild>
            <w:div w:id="865023794">
              <w:marLeft w:val="0"/>
              <w:marRight w:val="0"/>
              <w:marTop w:val="0"/>
              <w:marBottom w:val="600"/>
              <w:divBdr>
                <w:top w:val="none" w:sz="0" w:space="0" w:color="auto"/>
                <w:left w:val="none" w:sz="0" w:space="0" w:color="auto"/>
                <w:bottom w:val="none" w:sz="0" w:space="0" w:color="auto"/>
                <w:right w:val="none" w:sz="0" w:space="0" w:color="auto"/>
              </w:divBdr>
              <w:divsChild>
                <w:div w:id="473453723">
                  <w:marLeft w:val="0"/>
                  <w:marRight w:val="0"/>
                  <w:marTop w:val="0"/>
                  <w:marBottom w:val="360"/>
                  <w:divBdr>
                    <w:top w:val="none" w:sz="0" w:space="0" w:color="auto"/>
                    <w:left w:val="none" w:sz="0" w:space="0" w:color="auto"/>
                    <w:bottom w:val="none" w:sz="0" w:space="0" w:color="auto"/>
                    <w:right w:val="none" w:sz="0" w:space="0" w:color="auto"/>
                  </w:divBdr>
                  <w:divsChild>
                    <w:div w:id="1778675227">
                      <w:marLeft w:val="0"/>
                      <w:marRight w:val="0"/>
                      <w:marTop w:val="180"/>
                      <w:marBottom w:val="240"/>
                      <w:divBdr>
                        <w:top w:val="none" w:sz="0" w:space="0" w:color="auto"/>
                        <w:left w:val="none" w:sz="0" w:space="0" w:color="auto"/>
                        <w:bottom w:val="none" w:sz="0" w:space="0" w:color="auto"/>
                        <w:right w:val="none" w:sz="0" w:space="0" w:color="auto"/>
                      </w:divBdr>
                    </w:div>
                  </w:divsChild>
                </w:div>
                <w:div w:id="1876044801">
                  <w:marLeft w:val="0"/>
                  <w:marRight w:val="0"/>
                  <w:marTop w:val="0"/>
                  <w:marBottom w:val="360"/>
                  <w:divBdr>
                    <w:top w:val="none" w:sz="0" w:space="0" w:color="auto"/>
                    <w:left w:val="none" w:sz="0" w:space="0" w:color="auto"/>
                    <w:bottom w:val="none" w:sz="0" w:space="0" w:color="auto"/>
                    <w:right w:val="none" w:sz="0" w:space="0" w:color="auto"/>
                  </w:divBdr>
                  <w:divsChild>
                    <w:div w:id="1304191566">
                      <w:marLeft w:val="0"/>
                      <w:marRight w:val="0"/>
                      <w:marTop w:val="180"/>
                      <w:marBottom w:val="240"/>
                      <w:divBdr>
                        <w:top w:val="none" w:sz="0" w:space="0" w:color="auto"/>
                        <w:left w:val="none" w:sz="0" w:space="0" w:color="auto"/>
                        <w:bottom w:val="none" w:sz="0" w:space="0" w:color="auto"/>
                        <w:right w:val="none" w:sz="0" w:space="0" w:color="auto"/>
                      </w:divBdr>
                    </w:div>
                  </w:divsChild>
                </w:div>
                <w:div w:id="153618291">
                  <w:marLeft w:val="0"/>
                  <w:marRight w:val="0"/>
                  <w:marTop w:val="0"/>
                  <w:marBottom w:val="360"/>
                  <w:divBdr>
                    <w:top w:val="none" w:sz="0" w:space="0" w:color="auto"/>
                    <w:left w:val="none" w:sz="0" w:space="0" w:color="auto"/>
                    <w:bottom w:val="none" w:sz="0" w:space="0" w:color="auto"/>
                    <w:right w:val="none" w:sz="0" w:space="0" w:color="auto"/>
                  </w:divBdr>
                  <w:divsChild>
                    <w:div w:id="850223044">
                      <w:marLeft w:val="0"/>
                      <w:marRight w:val="0"/>
                      <w:marTop w:val="180"/>
                      <w:marBottom w:val="240"/>
                      <w:divBdr>
                        <w:top w:val="none" w:sz="0" w:space="0" w:color="auto"/>
                        <w:left w:val="none" w:sz="0" w:space="0" w:color="auto"/>
                        <w:bottom w:val="none" w:sz="0" w:space="0" w:color="auto"/>
                        <w:right w:val="none" w:sz="0" w:space="0" w:color="auto"/>
                      </w:divBdr>
                    </w:div>
                  </w:divsChild>
                </w:div>
                <w:div w:id="511726877">
                  <w:marLeft w:val="0"/>
                  <w:marRight w:val="0"/>
                  <w:marTop w:val="0"/>
                  <w:marBottom w:val="360"/>
                  <w:divBdr>
                    <w:top w:val="none" w:sz="0" w:space="0" w:color="auto"/>
                    <w:left w:val="none" w:sz="0" w:space="0" w:color="auto"/>
                    <w:bottom w:val="none" w:sz="0" w:space="0" w:color="auto"/>
                    <w:right w:val="none" w:sz="0" w:space="0" w:color="auto"/>
                  </w:divBdr>
                  <w:divsChild>
                    <w:div w:id="1265764276">
                      <w:marLeft w:val="0"/>
                      <w:marRight w:val="0"/>
                      <w:marTop w:val="180"/>
                      <w:marBottom w:val="240"/>
                      <w:divBdr>
                        <w:top w:val="none" w:sz="0" w:space="0" w:color="auto"/>
                        <w:left w:val="none" w:sz="0" w:space="0" w:color="auto"/>
                        <w:bottom w:val="none" w:sz="0" w:space="0" w:color="auto"/>
                        <w:right w:val="none" w:sz="0" w:space="0" w:color="auto"/>
                      </w:divBdr>
                    </w:div>
                  </w:divsChild>
                </w:div>
                <w:div w:id="133914982">
                  <w:marLeft w:val="0"/>
                  <w:marRight w:val="0"/>
                  <w:marTop w:val="0"/>
                  <w:marBottom w:val="360"/>
                  <w:divBdr>
                    <w:top w:val="none" w:sz="0" w:space="0" w:color="auto"/>
                    <w:left w:val="none" w:sz="0" w:space="0" w:color="auto"/>
                    <w:bottom w:val="none" w:sz="0" w:space="0" w:color="auto"/>
                    <w:right w:val="none" w:sz="0" w:space="0" w:color="auto"/>
                  </w:divBdr>
                  <w:divsChild>
                    <w:div w:id="1507745305">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1731034461">
          <w:marLeft w:val="0"/>
          <w:marRight w:val="0"/>
          <w:marTop w:val="0"/>
          <w:marBottom w:val="0"/>
          <w:divBdr>
            <w:top w:val="none" w:sz="0" w:space="0" w:color="auto"/>
            <w:left w:val="none" w:sz="0" w:space="0" w:color="auto"/>
            <w:bottom w:val="none" w:sz="0" w:space="0" w:color="auto"/>
            <w:right w:val="none" w:sz="0" w:space="0" w:color="auto"/>
          </w:divBdr>
          <w:divsChild>
            <w:div w:id="1235580101">
              <w:marLeft w:val="0"/>
              <w:marRight w:val="0"/>
              <w:marTop w:val="0"/>
              <w:marBottom w:val="600"/>
              <w:divBdr>
                <w:top w:val="none" w:sz="0" w:space="0" w:color="auto"/>
                <w:left w:val="none" w:sz="0" w:space="0" w:color="auto"/>
                <w:bottom w:val="none" w:sz="0" w:space="0" w:color="auto"/>
                <w:right w:val="none" w:sz="0" w:space="0" w:color="auto"/>
              </w:divBdr>
              <w:divsChild>
                <w:div w:id="2142112027">
                  <w:marLeft w:val="0"/>
                  <w:marRight w:val="0"/>
                  <w:marTop w:val="0"/>
                  <w:marBottom w:val="360"/>
                  <w:divBdr>
                    <w:top w:val="none" w:sz="0" w:space="0" w:color="auto"/>
                    <w:left w:val="none" w:sz="0" w:space="0" w:color="auto"/>
                    <w:bottom w:val="none" w:sz="0" w:space="0" w:color="auto"/>
                    <w:right w:val="none" w:sz="0" w:space="0" w:color="auto"/>
                  </w:divBdr>
                  <w:divsChild>
                    <w:div w:id="358703848">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356319781">
          <w:marLeft w:val="0"/>
          <w:marRight w:val="0"/>
          <w:marTop w:val="0"/>
          <w:marBottom w:val="0"/>
          <w:divBdr>
            <w:top w:val="none" w:sz="0" w:space="0" w:color="auto"/>
            <w:left w:val="none" w:sz="0" w:space="0" w:color="auto"/>
            <w:bottom w:val="none" w:sz="0" w:space="0" w:color="auto"/>
            <w:right w:val="none" w:sz="0" w:space="0" w:color="auto"/>
          </w:divBdr>
          <w:divsChild>
            <w:div w:id="1469398511">
              <w:marLeft w:val="0"/>
              <w:marRight w:val="0"/>
              <w:marTop w:val="0"/>
              <w:marBottom w:val="600"/>
              <w:divBdr>
                <w:top w:val="none" w:sz="0" w:space="0" w:color="auto"/>
                <w:left w:val="none" w:sz="0" w:space="0" w:color="auto"/>
                <w:bottom w:val="none" w:sz="0" w:space="0" w:color="auto"/>
                <w:right w:val="none" w:sz="0" w:space="0" w:color="auto"/>
              </w:divBdr>
              <w:divsChild>
                <w:div w:id="110631472">
                  <w:marLeft w:val="0"/>
                  <w:marRight w:val="0"/>
                  <w:marTop w:val="0"/>
                  <w:marBottom w:val="360"/>
                  <w:divBdr>
                    <w:top w:val="none" w:sz="0" w:space="0" w:color="auto"/>
                    <w:left w:val="none" w:sz="0" w:space="0" w:color="auto"/>
                    <w:bottom w:val="none" w:sz="0" w:space="0" w:color="auto"/>
                    <w:right w:val="none" w:sz="0" w:space="0" w:color="auto"/>
                  </w:divBdr>
                  <w:divsChild>
                    <w:div w:id="65999897">
                      <w:marLeft w:val="0"/>
                      <w:marRight w:val="0"/>
                      <w:marTop w:val="180"/>
                      <w:marBottom w:val="240"/>
                      <w:divBdr>
                        <w:top w:val="none" w:sz="0" w:space="0" w:color="auto"/>
                        <w:left w:val="none" w:sz="0" w:space="0" w:color="auto"/>
                        <w:bottom w:val="none" w:sz="0" w:space="0" w:color="auto"/>
                        <w:right w:val="none" w:sz="0" w:space="0" w:color="auto"/>
                      </w:divBdr>
                    </w:div>
                  </w:divsChild>
                </w:div>
                <w:div w:id="159157368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327514521">
                      <w:marLeft w:val="0"/>
                      <w:marRight w:val="0"/>
                      <w:marTop w:val="0"/>
                      <w:marBottom w:val="240"/>
                      <w:divBdr>
                        <w:top w:val="none" w:sz="0" w:space="0" w:color="auto"/>
                        <w:left w:val="none" w:sz="0" w:space="0" w:color="auto"/>
                        <w:bottom w:val="none" w:sz="0" w:space="0" w:color="auto"/>
                        <w:right w:val="none" w:sz="0" w:space="0" w:color="auto"/>
                      </w:divBdr>
                      <w:divsChild>
                        <w:div w:id="1138036755">
                          <w:marLeft w:val="0"/>
                          <w:marRight w:val="0"/>
                          <w:marTop w:val="0"/>
                          <w:marBottom w:val="0"/>
                          <w:divBdr>
                            <w:top w:val="none" w:sz="0" w:space="0" w:color="auto"/>
                            <w:left w:val="none" w:sz="0" w:space="0" w:color="auto"/>
                            <w:bottom w:val="none" w:sz="0" w:space="0" w:color="auto"/>
                            <w:right w:val="none" w:sz="0" w:space="0" w:color="auto"/>
                          </w:divBdr>
                        </w:div>
                        <w:div w:id="1170754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28956547">
          <w:marLeft w:val="0"/>
          <w:marRight w:val="0"/>
          <w:marTop w:val="0"/>
          <w:marBottom w:val="0"/>
          <w:divBdr>
            <w:top w:val="none" w:sz="0" w:space="0" w:color="auto"/>
            <w:left w:val="none" w:sz="0" w:space="0" w:color="auto"/>
            <w:bottom w:val="none" w:sz="0" w:space="0" w:color="auto"/>
            <w:right w:val="none" w:sz="0" w:space="0" w:color="auto"/>
          </w:divBdr>
          <w:divsChild>
            <w:div w:id="1375959266">
              <w:marLeft w:val="0"/>
              <w:marRight w:val="0"/>
              <w:marTop w:val="0"/>
              <w:marBottom w:val="600"/>
              <w:divBdr>
                <w:top w:val="none" w:sz="0" w:space="0" w:color="auto"/>
                <w:left w:val="none" w:sz="0" w:space="0" w:color="auto"/>
                <w:bottom w:val="none" w:sz="0" w:space="0" w:color="auto"/>
                <w:right w:val="none" w:sz="0" w:space="0" w:color="auto"/>
              </w:divBdr>
              <w:divsChild>
                <w:div w:id="1757751079">
                  <w:marLeft w:val="0"/>
                  <w:marRight w:val="0"/>
                  <w:marTop w:val="0"/>
                  <w:marBottom w:val="360"/>
                  <w:divBdr>
                    <w:top w:val="none" w:sz="0" w:space="0" w:color="auto"/>
                    <w:left w:val="none" w:sz="0" w:space="0" w:color="auto"/>
                    <w:bottom w:val="none" w:sz="0" w:space="0" w:color="auto"/>
                    <w:right w:val="none" w:sz="0" w:space="0" w:color="auto"/>
                  </w:divBdr>
                  <w:divsChild>
                    <w:div w:id="1099910562">
                      <w:marLeft w:val="0"/>
                      <w:marRight w:val="0"/>
                      <w:marTop w:val="180"/>
                      <w:marBottom w:val="240"/>
                      <w:divBdr>
                        <w:top w:val="none" w:sz="0" w:space="0" w:color="auto"/>
                        <w:left w:val="none" w:sz="0" w:space="0" w:color="auto"/>
                        <w:bottom w:val="none" w:sz="0" w:space="0" w:color="auto"/>
                        <w:right w:val="none" w:sz="0" w:space="0" w:color="auto"/>
                      </w:divBdr>
                    </w:div>
                  </w:divsChild>
                </w:div>
                <w:div w:id="678122743">
                  <w:marLeft w:val="0"/>
                  <w:marRight w:val="0"/>
                  <w:marTop w:val="0"/>
                  <w:marBottom w:val="360"/>
                  <w:divBdr>
                    <w:top w:val="single" w:sz="36" w:space="15" w:color="D5D5D5"/>
                    <w:left w:val="single" w:sz="36" w:space="8" w:color="D5D5D5"/>
                    <w:bottom w:val="single" w:sz="36" w:space="15" w:color="D5D5D5"/>
                    <w:right w:val="single" w:sz="36" w:space="8" w:color="D5D5D5"/>
                  </w:divBdr>
                </w:div>
                <w:div w:id="385682433">
                  <w:marLeft w:val="0"/>
                  <w:marRight w:val="0"/>
                  <w:marTop w:val="0"/>
                  <w:marBottom w:val="360"/>
                  <w:divBdr>
                    <w:top w:val="single" w:sz="36" w:space="15" w:color="D5D5D5"/>
                    <w:left w:val="single" w:sz="36" w:space="8" w:color="D5D5D5"/>
                    <w:bottom w:val="single" w:sz="36" w:space="15" w:color="D5D5D5"/>
                    <w:right w:val="single" w:sz="36" w:space="8" w:color="D5D5D5"/>
                  </w:divBdr>
                </w:div>
                <w:div w:id="1835024063">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90330638">
                      <w:marLeft w:val="0"/>
                      <w:marRight w:val="0"/>
                      <w:marTop w:val="0"/>
                      <w:marBottom w:val="240"/>
                      <w:divBdr>
                        <w:top w:val="none" w:sz="0" w:space="0" w:color="auto"/>
                        <w:left w:val="none" w:sz="0" w:space="0" w:color="auto"/>
                        <w:bottom w:val="none" w:sz="0" w:space="0" w:color="auto"/>
                        <w:right w:val="none" w:sz="0" w:space="0" w:color="auto"/>
                      </w:divBdr>
                      <w:divsChild>
                        <w:div w:id="1780671">
                          <w:marLeft w:val="0"/>
                          <w:marRight w:val="0"/>
                          <w:marTop w:val="0"/>
                          <w:marBottom w:val="0"/>
                          <w:divBdr>
                            <w:top w:val="none" w:sz="0" w:space="0" w:color="auto"/>
                            <w:left w:val="none" w:sz="0" w:space="0" w:color="auto"/>
                            <w:bottom w:val="none" w:sz="0" w:space="0" w:color="auto"/>
                            <w:right w:val="none" w:sz="0" w:space="0" w:color="auto"/>
                          </w:divBdr>
                        </w:div>
                        <w:div w:id="1201818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2841239">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105374030">
                      <w:marLeft w:val="0"/>
                      <w:marRight w:val="0"/>
                      <w:marTop w:val="0"/>
                      <w:marBottom w:val="240"/>
                      <w:divBdr>
                        <w:top w:val="none" w:sz="0" w:space="0" w:color="auto"/>
                        <w:left w:val="none" w:sz="0" w:space="0" w:color="auto"/>
                        <w:bottom w:val="none" w:sz="0" w:space="0" w:color="auto"/>
                        <w:right w:val="none" w:sz="0" w:space="0" w:color="auto"/>
                      </w:divBdr>
                      <w:divsChild>
                        <w:div w:id="1036540882">
                          <w:marLeft w:val="0"/>
                          <w:marRight w:val="0"/>
                          <w:marTop w:val="0"/>
                          <w:marBottom w:val="0"/>
                          <w:divBdr>
                            <w:top w:val="none" w:sz="0" w:space="0" w:color="auto"/>
                            <w:left w:val="none" w:sz="0" w:space="0" w:color="auto"/>
                            <w:bottom w:val="none" w:sz="0" w:space="0" w:color="auto"/>
                            <w:right w:val="none" w:sz="0" w:space="0" w:color="auto"/>
                          </w:divBdr>
                        </w:div>
                        <w:div w:id="505248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8191843">
                  <w:marLeft w:val="0"/>
                  <w:marRight w:val="0"/>
                  <w:marTop w:val="0"/>
                  <w:marBottom w:val="360"/>
                  <w:divBdr>
                    <w:top w:val="none" w:sz="0" w:space="0" w:color="auto"/>
                    <w:left w:val="none" w:sz="0" w:space="0" w:color="auto"/>
                    <w:bottom w:val="none" w:sz="0" w:space="0" w:color="auto"/>
                    <w:right w:val="none" w:sz="0" w:space="0" w:color="auto"/>
                  </w:divBdr>
                  <w:divsChild>
                    <w:div w:id="716049894">
                      <w:marLeft w:val="0"/>
                      <w:marRight w:val="0"/>
                      <w:marTop w:val="180"/>
                      <w:marBottom w:val="240"/>
                      <w:divBdr>
                        <w:top w:val="none" w:sz="0" w:space="0" w:color="auto"/>
                        <w:left w:val="none" w:sz="0" w:space="0" w:color="auto"/>
                        <w:bottom w:val="none" w:sz="0" w:space="0" w:color="auto"/>
                        <w:right w:val="none" w:sz="0" w:space="0" w:color="auto"/>
                      </w:divBdr>
                    </w:div>
                  </w:divsChild>
                </w:div>
                <w:div w:id="824324816">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563759715">
                      <w:marLeft w:val="0"/>
                      <w:marRight w:val="0"/>
                      <w:marTop w:val="0"/>
                      <w:marBottom w:val="240"/>
                      <w:divBdr>
                        <w:top w:val="none" w:sz="0" w:space="0" w:color="auto"/>
                        <w:left w:val="none" w:sz="0" w:space="0" w:color="auto"/>
                        <w:bottom w:val="none" w:sz="0" w:space="0" w:color="auto"/>
                        <w:right w:val="none" w:sz="0" w:space="0" w:color="auto"/>
                      </w:divBdr>
                      <w:divsChild>
                        <w:div w:id="1877498325">
                          <w:marLeft w:val="0"/>
                          <w:marRight w:val="0"/>
                          <w:marTop w:val="0"/>
                          <w:marBottom w:val="0"/>
                          <w:divBdr>
                            <w:top w:val="none" w:sz="0" w:space="0" w:color="auto"/>
                            <w:left w:val="none" w:sz="0" w:space="0" w:color="auto"/>
                            <w:bottom w:val="none" w:sz="0" w:space="0" w:color="auto"/>
                            <w:right w:val="none" w:sz="0" w:space="0" w:color="auto"/>
                          </w:divBdr>
                        </w:div>
                        <w:div w:id="1898391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0669521">
                  <w:marLeft w:val="0"/>
                  <w:marRight w:val="0"/>
                  <w:marTop w:val="0"/>
                  <w:marBottom w:val="360"/>
                  <w:divBdr>
                    <w:top w:val="none" w:sz="0" w:space="0" w:color="auto"/>
                    <w:left w:val="none" w:sz="0" w:space="0" w:color="auto"/>
                    <w:bottom w:val="none" w:sz="0" w:space="0" w:color="auto"/>
                    <w:right w:val="none" w:sz="0" w:space="0" w:color="auto"/>
                  </w:divBdr>
                  <w:divsChild>
                    <w:div w:id="1718240312">
                      <w:marLeft w:val="0"/>
                      <w:marRight w:val="0"/>
                      <w:marTop w:val="180"/>
                      <w:marBottom w:val="240"/>
                      <w:divBdr>
                        <w:top w:val="none" w:sz="0" w:space="0" w:color="auto"/>
                        <w:left w:val="none" w:sz="0" w:space="0" w:color="auto"/>
                        <w:bottom w:val="none" w:sz="0" w:space="0" w:color="auto"/>
                        <w:right w:val="none" w:sz="0" w:space="0" w:color="auto"/>
                      </w:divBdr>
                    </w:div>
                  </w:divsChild>
                </w:div>
                <w:div w:id="302740132">
                  <w:marLeft w:val="0"/>
                  <w:marRight w:val="0"/>
                  <w:marTop w:val="0"/>
                  <w:marBottom w:val="360"/>
                  <w:divBdr>
                    <w:top w:val="none" w:sz="0" w:space="0" w:color="auto"/>
                    <w:left w:val="none" w:sz="0" w:space="0" w:color="auto"/>
                    <w:bottom w:val="none" w:sz="0" w:space="0" w:color="auto"/>
                    <w:right w:val="none" w:sz="0" w:space="0" w:color="auto"/>
                  </w:divBdr>
                  <w:divsChild>
                    <w:div w:id="942683864">
                      <w:marLeft w:val="0"/>
                      <w:marRight w:val="0"/>
                      <w:marTop w:val="180"/>
                      <w:marBottom w:val="240"/>
                      <w:divBdr>
                        <w:top w:val="none" w:sz="0" w:space="0" w:color="auto"/>
                        <w:left w:val="none" w:sz="0" w:space="0" w:color="auto"/>
                        <w:bottom w:val="none" w:sz="0" w:space="0" w:color="auto"/>
                        <w:right w:val="none" w:sz="0" w:space="0" w:color="auto"/>
                      </w:divBdr>
                    </w:div>
                  </w:divsChild>
                </w:div>
                <w:div w:id="937101722">
                  <w:marLeft w:val="0"/>
                  <w:marRight w:val="0"/>
                  <w:marTop w:val="0"/>
                  <w:marBottom w:val="360"/>
                  <w:divBdr>
                    <w:top w:val="none" w:sz="0" w:space="0" w:color="auto"/>
                    <w:left w:val="none" w:sz="0" w:space="0" w:color="auto"/>
                    <w:bottom w:val="none" w:sz="0" w:space="0" w:color="auto"/>
                    <w:right w:val="none" w:sz="0" w:space="0" w:color="auto"/>
                  </w:divBdr>
                  <w:divsChild>
                    <w:div w:id="687946751">
                      <w:marLeft w:val="0"/>
                      <w:marRight w:val="0"/>
                      <w:marTop w:val="180"/>
                      <w:marBottom w:val="240"/>
                      <w:divBdr>
                        <w:top w:val="none" w:sz="0" w:space="0" w:color="auto"/>
                        <w:left w:val="none" w:sz="0" w:space="0" w:color="auto"/>
                        <w:bottom w:val="none" w:sz="0" w:space="0" w:color="auto"/>
                        <w:right w:val="none" w:sz="0" w:space="0" w:color="auto"/>
                      </w:divBdr>
                    </w:div>
                  </w:divsChild>
                </w:div>
                <w:div w:id="288442954">
                  <w:marLeft w:val="0"/>
                  <w:marRight w:val="0"/>
                  <w:marTop w:val="0"/>
                  <w:marBottom w:val="360"/>
                  <w:divBdr>
                    <w:top w:val="none" w:sz="0" w:space="0" w:color="auto"/>
                    <w:left w:val="none" w:sz="0" w:space="0" w:color="auto"/>
                    <w:bottom w:val="none" w:sz="0" w:space="0" w:color="auto"/>
                    <w:right w:val="none" w:sz="0" w:space="0" w:color="auto"/>
                  </w:divBdr>
                  <w:divsChild>
                    <w:div w:id="1420906969">
                      <w:marLeft w:val="0"/>
                      <w:marRight w:val="0"/>
                      <w:marTop w:val="180"/>
                      <w:marBottom w:val="240"/>
                      <w:divBdr>
                        <w:top w:val="none" w:sz="0" w:space="0" w:color="auto"/>
                        <w:left w:val="none" w:sz="0" w:space="0" w:color="auto"/>
                        <w:bottom w:val="none" w:sz="0" w:space="0" w:color="auto"/>
                        <w:right w:val="none" w:sz="0" w:space="0" w:color="auto"/>
                      </w:divBdr>
                    </w:div>
                  </w:divsChild>
                </w:div>
                <w:div w:id="697043418">
                  <w:marLeft w:val="0"/>
                  <w:marRight w:val="0"/>
                  <w:marTop w:val="0"/>
                  <w:marBottom w:val="360"/>
                  <w:divBdr>
                    <w:top w:val="none" w:sz="0" w:space="0" w:color="auto"/>
                    <w:left w:val="none" w:sz="0" w:space="0" w:color="auto"/>
                    <w:bottom w:val="none" w:sz="0" w:space="0" w:color="auto"/>
                    <w:right w:val="none" w:sz="0" w:space="0" w:color="auto"/>
                  </w:divBdr>
                  <w:divsChild>
                    <w:div w:id="370303187">
                      <w:marLeft w:val="0"/>
                      <w:marRight w:val="0"/>
                      <w:marTop w:val="180"/>
                      <w:marBottom w:val="240"/>
                      <w:divBdr>
                        <w:top w:val="none" w:sz="0" w:space="0" w:color="auto"/>
                        <w:left w:val="none" w:sz="0" w:space="0" w:color="auto"/>
                        <w:bottom w:val="none" w:sz="0" w:space="0" w:color="auto"/>
                        <w:right w:val="none" w:sz="0" w:space="0" w:color="auto"/>
                      </w:divBdr>
                    </w:div>
                  </w:divsChild>
                </w:div>
                <w:div w:id="995720750">
                  <w:marLeft w:val="0"/>
                  <w:marRight w:val="0"/>
                  <w:marTop w:val="0"/>
                  <w:marBottom w:val="360"/>
                  <w:divBdr>
                    <w:top w:val="none" w:sz="0" w:space="0" w:color="auto"/>
                    <w:left w:val="none" w:sz="0" w:space="0" w:color="auto"/>
                    <w:bottom w:val="none" w:sz="0" w:space="0" w:color="auto"/>
                    <w:right w:val="none" w:sz="0" w:space="0" w:color="auto"/>
                  </w:divBdr>
                  <w:divsChild>
                    <w:div w:id="142742407">
                      <w:marLeft w:val="0"/>
                      <w:marRight w:val="0"/>
                      <w:marTop w:val="180"/>
                      <w:marBottom w:val="240"/>
                      <w:divBdr>
                        <w:top w:val="none" w:sz="0" w:space="0" w:color="auto"/>
                        <w:left w:val="none" w:sz="0" w:space="0" w:color="auto"/>
                        <w:bottom w:val="none" w:sz="0" w:space="0" w:color="auto"/>
                        <w:right w:val="none" w:sz="0" w:space="0" w:color="auto"/>
                      </w:divBdr>
                    </w:div>
                  </w:divsChild>
                </w:div>
                <w:div w:id="177742676">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843740936">
                      <w:marLeft w:val="0"/>
                      <w:marRight w:val="0"/>
                      <w:marTop w:val="0"/>
                      <w:marBottom w:val="240"/>
                      <w:divBdr>
                        <w:top w:val="none" w:sz="0" w:space="0" w:color="auto"/>
                        <w:left w:val="none" w:sz="0" w:space="0" w:color="auto"/>
                        <w:bottom w:val="none" w:sz="0" w:space="0" w:color="auto"/>
                        <w:right w:val="none" w:sz="0" w:space="0" w:color="auto"/>
                      </w:divBdr>
                      <w:divsChild>
                        <w:div w:id="1760563067">
                          <w:marLeft w:val="0"/>
                          <w:marRight w:val="0"/>
                          <w:marTop w:val="0"/>
                          <w:marBottom w:val="0"/>
                          <w:divBdr>
                            <w:top w:val="none" w:sz="0" w:space="0" w:color="auto"/>
                            <w:left w:val="none" w:sz="0" w:space="0" w:color="auto"/>
                            <w:bottom w:val="none" w:sz="0" w:space="0" w:color="auto"/>
                            <w:right w:val="none" w:sz="0" w:space="0" w:color="auto"/>
                          </w:divBdr>
                        </w:div>
                        <w:div w:id="1773892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9409850">
                  <w:marLeft w:val="0"/>
                  <w:marRight w:val="0"/>
                  <w:marTop w:val="0"/>
                  <w:marBottom w:val="360"/>
                  <w:divBdr>
                    <w:top w:val="none" w:sz="0" w:space="0" w:color="auto"/>
                    <w:left w:val="none" w:sz="0" w:space="0" w:color="auto"/>
                    <w:bottom w:val="none" w:sz="0" w:space="0" w:color="auto"/>
                    <w:right w:val="none" w:sz="0" w:space="0" w:color="auto"/>
                  </w:divBdr>
                  <w:divsChild>
                    <w:div w:id="1850212429">
                      <w:marLeft w:val="0"/>
                      <w:marRight w:val="0"/>
                      <w:marTop w:val="180"/>
                      <w:marBottom w:val="240"/>
                      <w:divBdr>
                        <w:top w:val="none" w:sz="0" w:space="0" w:color="auto"/>
                        <w:left w:val="none" w:sz="0" w:space="0" w:color="auto"/>
                        <w:bottom w:val="none" w:sz="0" w:space="0" w:color="auto"/>
                        <w:right w:val="none" w:sz="0" w:space="0" w:color="auto"/>
                      </w:divBdr>
                    </w:div>
                  </w:divsChild>
                </w:div>
                <w:div w:id="1813675886">
                  <w:marLeft w:val="0"/>
                  <w:marRight w:val="0"/>
                  <w:marTop w:val="0"/>
                  <w:marBottom w:val="360"/>
                  <w:divBdr>
                    <w:top w:val="none" w:sz="0" w:space="0" w:color="auto"/>
                    <w:left w:val="none" w:sz="0" w:space="0" w:color="auto"/>
                    <w:bottom w:val="none" w:sz="0" w:space="0" w:color="auto"/>
                    <w:right w:val="none" w:sz="0" w:space="0" w:color="auto"/>
                  </w:divBdr>
                  <w:divsChild>
                    <w:div w:id="1084838510">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1519782064">
          <w:marLeft w:val="0"/>
          <w:marRight w:val="0"/>
          <w:marTop w:val="0"/>
          <w:marBottom w:val="0"/>
          <w:divBdr>
            <w:top w:val="none" w:sz="0" w:space="0" w:color="auto"/>
            <w:left w:val="none" w:sz="0" w:space="0" w:color="auto"/>
            <w:bottom w:val="none" w:sz="0" w:space="0" w:color="auto"/>
            <w:right w:val="none" w:sz="0" w:space="0" w:color="auto"/>
          </w:divBdr>
          <w:divsChild>
            <w:div w:id="459685434">
              <w:marLeft w:val="0"/>
              <w:marRight w:val="0"/>
              <w:marTop w:val="0"/>
              <w:marBottom w:val="600"/>
              <w:divBdr>
                <w:top w:val="none" w:sz="0" w:space="0" w:color="auto"/>
                <w:left w:val="none" w:sz="0" w:space="0" w:color="auto"/>
                <w:bottom w:val="none" w:sz="0" w:space="0" w:color="auto"/>
                <w:right w:val="none" w:sz="0" w:space="0" w:color="auto"/>
              </w:divBdr>
              <w:divsChild>
                <w:div w:id="541869877">
                  <w:marLeft w:val="0"/>
                  <w:marRight w:val="0"/>
                  <w:marTop w:val="0"/>
                  <w:marBottom w:val="360"/>
                  <w:divBdr>
                    <w:top w:val="none" w:sz="0" w:space="0" w:color="auto"/>
                    <w:left w:val="none" w:sz="0" w:space="0" w:color="auto"/>
                    <w:bottom w:val="none" w:sz="0" w:space="0" w:color="auto"/>
                    <w:right w:val="none" w:sz="0" w:space="0" w:color="auto"/>
                  </w:divBdr>
                  <w:divsChild>
                    <w:div w:id="294024261">
                      <w:marLeft w:val="0"/>
                      <w:marRight w:val="0"/>
                      <w:marTop w:val="180"/>
                      <w:marBottom w:val="240"/>
                      <w:divBdr>
                        <w:top w:val="none" w:sz="0" w:space="0" w:color="auto"/>
                        <w:left w:val="none" w:sz="0" w:space="0" w:color="auto"/>
                        <w:bottom w:val="none" w:sz="0" w:space="0" w:color="auto"/>
                        <w:right w:val="none" w:sz="0" w:space="0" w:color="auto"/>
                      </w:divBdr>
                    </w:div>
                  </w:divsChild>
                </w:div>
                <w:div w:id="2050449958">
                  <w:marLeft w:val="0"/>
                  <w:marRight w:val="0"/>
                  <w:marTop w:val="0"/>
                  <w:marBottom w:val="360"/>
                  <w:divBdr>
                    <w:top w:val="none" w:sz="0" w:space="0" w:color="auto"/>
                    <w:left w:val="none" w:sz="0" w:space="0" w:color="auto"/>
                    <w:bottom w:val="none" w:sz="0" w:space="0" w:color="auto"/>
                    <w:right w:val="none" w:sz="0" w:space="0" w:color="auto"/>
                  </w:divBdr>
                  <w:divsChild>
                    <w:div w:id="1606184180">
                      <w:marLeft w:val="0"/>
                      <w:marRight w:val="0"/>
                      <w:marTop w:val="180"/>
                      <w:marBottom w:val="240"/>
                      <w:divBdr>
                        <w:top w:val="none" w:sz="0" w:space="0" w:color="auto"/>
                        <w:left w:val="none" w:sz="0" w:space="0" w:color="auto"/>
                        <w:bottom w:val="none" w:sz="0" w:space="0" w:color="auto"/>
                        <w:right w:val="none" w:sz="0" w:space="0" w:color="auto"/>
                      </w:divBdr>
                    </w:div>
                  </w:divsChild>
                </w:div>
                <w:div w:id="100760529">
                  <w:marLeft w:val="0"/>
                  <w:marRight w:val="0"/>
                  <w:marTop w:val="0"/>
                  <w:marBottom w:val="360"/>
                  <w:divBdr>
                    <w:top w:val="none" w:sz="0" w:space="0" w:color="auto"/>
                    <w:left w:val="none" w:sz="0" w:space="0" w:color="auto"/>
                    <w:bottom w:val="none" w:sz="0" w:space="0" w:color="auto"/>
                    <w:right w:val="none" w:sz="0" w:space="0" w:color="auto"/>
                  </w:divBdr>
                  <w:divsChild>
                    <w:div w:id="1943295606">
                      <w:marLeft w:val="0"/>
                      <w:marRight w:val="0"/>
                      <w:marTop w:val="180"/>
                      <w:marBottom w:val="240"/>
                      <w:divBdr>
                        <w:top w:val="none" w:sz="0" w:space="0" w:color="auto"/>
                        <w:left w:val="none" w:sz="0" w:space="0" w:color="auto"/>
                        <w:bottom w:val="none" w:sz="0" w:space="0" w:color="auto"/>
                        <w:right w:val="none" w:sz="0" w:space="0" w:color="auto"/>
                      </w:divBdr>
                    </w:div>
                  </w:divsChild>
                </w:div>
                <w:div w:id="1841117435">
                  <w:marLeft w:val="0"/>
                  <w:marRight w:val="0"/>
                  <w:marTop w:val="0"/>
                  <w:marBottom w:val="360"/>
                  <w:divBdr>
                    <w:top w:val="none" w:sz="0" w:space="0" w:color="auto"/>
                    <w:left w:val="none" w:sz="0" w:space="0" w:color="auto"/>
                    <w:bottom w:val="none" w:sz="0" w:space="0" w:color="auto"/>
                    <w:right w:val="none" w:sz="0" w:space="0" w:color="auto"/>
                  </w:divBdr>
                  <w:divsChild>
                    <w:div w:id="979382261">
                      <w:marLeft w:val="0"/>
                      <w:marRight w:val="0"/>
                      <w:marTop w:val="180"/>
                      <w:marBottom w:val="240"/>
                      <w:divBdr>
                        <w:top w:val="none" w:sz="0" w:space="0" w:color="auto"/>
                        <w:left w:val="none" w:sz="0" w:space="0" w:color="auto"/>
                        <w:bottom w:val="none" w:sz="0" w:space="0" w:color="auto"/>
                        <w:right w:val="none" w:sz="0" w:space="0" w:color="auto"/>
                      </w:divBdr>
                    </w:div>
                  </w:divsChild>
                </w:div>
                <w:div w:id="2105563409">
                  <w:marLeft w:val="0"/>
                  <w:marRight w:val="0"/>
                  <w:marTop w:val="0"/>
                  <w:marBottom w:val="360"/>
                  <w:divBdr>
                    <w:top w:val="none" w:sz="0" w:space="0" w:color="auto"/>
                    <w:left w:val="none" w:sz="0" w:space="0" w:color="auto"/>
                    <w:bottom w:val="none" w:sz="0" w:space="0" w:color="auto"/>
                    <w:right w:val="none" w:sz="0" w:space="0" w:color="auto"/>
                  </w:divBdr>
                  <w:divsChild>
                    <w:div w:id="490223166">
                      <w:marLeft w:val="0"/>
                      <w:marRight w:val="0"/>
                      <w:marTop w:val="180"/>
                      <w:marBottom w:val="240"/>
                      <w:divBdr>
                        <w:top w:val="none" w:sz="0" w:space="0" w:color="auto"/>
                        <w:left w:val="none" w:sz="0" w:space="0" w:color="auto"/>
                        <w:bottom w:val="none" w:sz="0" w:space="0" w:color="auto"/>
                        <w:right w:val="none" w:sz="0" w:space="0" w:color="auto"/>
                      </w:divBdr>
                    </w:div>
                  </w:divsChild>
                </w:div>
                <w:div w:id="1855420689">
                  <w:marLeft w:val="0"/>
                  <w:marRight w:val="0"/>
                  <w:marTop w:val="0"/>
                  <w:marBottom w:val="360"/>
                  <w:divBdr>
                    <w:top w:val="none" w:sz="0" w:space="0" w:color="auto"/>
                    <w:left w:val="none" w:sz="0" w:space="0" w:color="auto"/>
                    <w:bottom w:val="none" w:sz="0" w:space="0" w:color="auto"/>
                    <w:right w:val="none" w:sz="0" w:space="0" w:color="auto"/>
                  </w:divBdr>
                  <w:divsChild>
                    <w:div w:id="2118089596">
                      <w:marLeft w:val="0"/>
                      <w:marRight w:val="0"/>
                      <w:marTop w:val="180"/>
                      <w:marBottom w:val="240"/>
                      <w:divBdr>
                        <w:top w:val="none" w:sz="0" w:space="0" w:color="auto"/>
                        <w:left w:val="none" w:sz="0" w:space="0" w:color="auto"/>
                        <w:bottom w:val="none" w:sz="0" w:space="0" w:color="auto"/>
                        <w:right w:val="none" w:sz="0" w:space="0" w:color="auto"/>
                      </w:divBdr>
                    </w:div>
                  </w:divsChild>
                </w:div>
                <w:div w:id="170918042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047338722">
                      <w:marLeft w:val="0"/>
                      <w:marRight w:val="0"/>
                      <w:marTop w:val="0"/>
                      <w:marBottom w:val="240"/>
                      <w:divBdr>
                        <w:top w:val="none" w:sz="0" w:space="0" w:color="auto"/>
                        <w:left w:val="none" w:sz="0" w:space="0" w:color="auto"/>
                        <w:bottom w:val="none" w:sz="0" w:space="0" w:color="auto"/>
                        <w:right w:val="none" w:sz="0" w:space="0" w:color="auto"/>
                      </w:divBdr>
                      <w:divsChild>
                        <w:div w:id="868762822">
                          <w:marLeft w:val="0"/>
                          <w:marRight w:val="0"/>
                          <w:marTop w:val="0"/>
                          <w:marBottom w:val="0"/>
                          <w:divBdr>
                            <w:top w:val="none" w:sz="0" w:space="0" w:color="auto"/>
                            <w:left w:val="none" w:sz="0" w:space="0" w:color="auto"/>
                            <w:bottom w:val="none" w:sz="0" w:space="0" w:color="auto"/>
                            <w:right w:val="none" w:sz="0" w:space="0" w:color="auto"/>
                          </w:divBdr>
                        </w:div>
                        <w:div w:id="217475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9073965">
                  <w:marLeft w:val="0"/>
                  <w:marRight w:val="0"/>
                  <w:marTop w:val="0"/>
                  <w:marBottom w:val="360"/>
                  <w:divBdr>
                    <w:top w:val="none" w:sz="0" w:space="0" w:color="auto"/>
                    <w:left w:val="none" w:sz="0" w:space="0" w:color="auto"/>
                    <w:bottom w:val="none" w:sz="0" w:space="0" w:color="auto"/>
                    <w:right w:val="none" w:sz="0" w:space="0" w:color="auto"/>
                  </w:divBdr>
                  <w:divsChild>
                    <w:div w:id="236593913">
                      <w:marLeft w:val="0"/>
                      <w:marRight w:val="0"/>
                      <w:marTop w:val="180"/>
                      <w:marBottom w:val="240"/>
                      <w:divBdr>
                        <w:top w:val="none" w:sz="0" w:space="0" w:color="auto"/>
                        <w:left w:val="none" w:sz="0" w:space="0" w:color="auto"/>
                        <w:bottom w:val="none" w:sz="0" w:space="0" w:color="auto"/>
                        <w:right w:val="none" w:sz="0" w:space="0" w:color="auto"/>
                      </w:divBdr>
                    </w:div>
                  </w:divsChild>
                </w:div>
                <w:div w:id="1994219767">
                  <w:marLeft w:val="0"/>
                  <w:marRight w:val="0"/>
                  <w:marTop w:val="0"/>
                  <w:marBottom w:val="360"/>
                  <w:divBdr>
                    <w:top w:val="none" w:sz="0" w:space="0" w:color="auto"/>
                    <w:left w:val="none" w:sz="0" w:space="0" w:color="auto"/>
                    <w:bottom w:val="none" w:sz="0" w:space="0" w:color="auto"/>
                    <w:right w:val="none" w:sz="0" w:space="0" w:color="auto"/>
                  </w:divBdr>
                  <w:divsChild>
                    <w:div w:id="1621646796">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681012183">
          <w:marLeft w:val="0"/>
          <w:marRight w:val="0"/>
          <w:marTop w:val="0"/>
          <w:marBottom w:val="0"/>
          <w:divBdr>
            <w:top w:val="none" w:sz="0" w:space="0" w:color="auto"/>
            <w:left w:val="none" w:sz="0" w:space="0" w:color="auto"/>
            <w:bottom w:val="none" w:sz="0" w:space="0" w:color="auto"/>
            <w:right w:val="none" w:sz="0" w:space="0" w:color="auto"/>
          </w:divBdr>
          <w:divsChild>
            <w:div w:id="672758013">
              <w:marLeft w:val="0"/>
              <w:marRight w:val="0"/>
              <w:marTop w:val="0"/>
              <w:marBottom w:val="600"/>
              <w:divBdr>
                <w:top w:val="none" w:sz="0" w:space="0" w:color="auto"/>
                <w:left w:val="none" w:sz="0" w:space="0" w:color="auto"/>
                <w:bottom w:val="none" w:sz="0" w:space="0" w:color="auto"/>
                <w:right w:val="none" w:sz="0" w:space="0" w:color="auto"/>
              </w:divBdr>
              <w:divsChild>
                <w:div w:id="1636984681">
                  <w:marLeft w:val="0"/>
                  <w:marRight w:val="0"/>
                  <w:marTop w:val="0"/>
                  <w:marBottom w:val="360"/>
                  <w:divBdr>
                    <w:top w:val="none" w:sz="0" w:space="0" w:color="auto"/>
                    <w:left w:val="none" w:sz="0" w:space="0" w:color="auto"/>
                    <w:bottom w:val="none" w:sz="0" w:space="0" w:color="auto"/>
                    <w:right w:val="none" w:sz="0" w:space="0" w:color="auto"/>
                  </w:divBdr>
                  <w:divsChild>
                    <w:div w:id="1628586061">
                      <w:marLeft w:val="0"/>
                      <w:marRight w:val="0"/>
                      <w:marTop w:val="180"/>
                      <w:marBottom w:val="240"/>
                      <w:divBdr>
                        <w:top w:val="none" w:sz="0" w:space="0" w:color="auto"/>
                        <w:left w:val="none" w:sz="0" w:space="0" w:color="auto"/>
                        <w:bottom w:val="none" w:sz="0" w:space="0" w:color="auto"/>
                        <w:right w:val="none" w:sz="0" w:space="0" w:color="auto"/>
                      </w:divBdr>
                    </w:div>
                  </w:divsChild>
                </w:div>
                <w:div w:id="367724576">
                  <w:marLeft w:val="0"/>
                  <w:marRight w:val="0"/>
                  <w:marTop w:val="0"/>
                  <w:marBottom w:val="360"/>
                  <w:divBdr>
                    <w:top w:val="none" w:sz="0" w:space="0" w:color="auto"/>
                    <w:left w:val="none" w:sz="0" w:space="0" w:color="auto"/>
                    <w:bottom w:val="none" w:sz="0" w:space="0" w:color="auto"/>
                    <w:right w:val="none" w:sz="0" w:space="0" w:color="auto"/>
                  </w:divBdr>
                  <w:divsChild>
                    <w:div w:id="1309240071">
                      <w:marLeft w:val="0"/>
                      <w:marRight w:val="0"/>
                      <w:marTop w:val="180"/>
                      <w:marBottom w:val="240"/>
                      <w:divBdr>
                        <w:top w:val="none" w:sz="0" w:space="0" w:color="auto"/>
                        <w:left w:val="none" w:sz="0" w:space="0" w:color="auto"/>
                        <w:bottom w:val="none" w:sz="0" w:space="0" w:color="auto"/>
                        <w:right w:val="none" w:sz="0" w:space="0" w:color="auto"/>
                      </w:divBdr>
                    </w:div>
                  </w:divsChild>
                </w:div>
                <w:div w:id="35476403">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134325045">
                      <w:marLeft w:val="0"/>
                      <w:marRight w:val="0"/>
                      <w:marTop w:val="0"/>
                      <w:marBottom w:val="240"/>
                      <w:divBdr>
                        <w:top w:val="none" w:sz="0" w:space="0" w:color="auto"/>
                        <w:left w:val="none" w:sz="0" w:space="0" w:color="auto"/>
                        <w:bottom w:val="none" w:sz="0" w:space="0" w:color="auto"/>
                        <w:right w:val="none" w:sz="0" w:space="0" w:color="auto"/>
                      </w:divBdr>
                      <w:divsChild>
                        <w:div w:id="742138804">
                          <w:marLeft w:val="0"/>
                          <w:marRight w:val="0"/>
                          <w:marTop w:val="0"/>
                          <w:marBottom w:val="0"/>
                          <w:divBdr>
                            <w:top w:val="none" w:sz="0" w:space="0" w:color="auto"/>
                            <w:left w:val="none" w:sz="0" w:space="0" w:color="auto"/>
                            <w:bottom w:val="none" w:sz="0" w:space="0" w:color="auto"/>
                            <w:right w:val="none" w:sz="0" w:space="0" w:color="auto"/>
                          </w:divBdr>
                        </w:div>
                        <w:div w:id="1053428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6359533">
          <w:marLeft w:val="0"/>
          <w:marRight w:val="0"/>
          <w:marTop w:val="0"/>
          <w:marBottom w:val="0"/>
          <w:divBdr>
            <w:top w:val="none" w:sz="0" w:space="0" w:color="auto"/>
            <w:left w:val="none" w:sz="0" w:space="0" w:color="auto"/>
            <w:bottom w:val="none" w:sz="0" w:space="0" w:color="auto"/>
            <w:right w:val="none" w:sz="0" w:space="0" w:color="auto"/>
          </w:divBdr>
          <w:divsChild>
            <w:div w:id="1348672459">
              <w:marLeft w:val="0"/>
              <w:marRight w:val="0"/>
              <w:marTop w:val="0"/>
              <w:marBottom w:val="600"/>
              <w:divBdr>
                <w:top w:val="none" w:sz="0" w:space="0" w:color="auto"/>
                <w:left w:val="none" w:sz="0" w:space="0" w:color="auto"/>
                <w:bottom w:val="none" w:sz="0" w:space="0" w:color="auto"/>
                <w:right w:val="none" w:sz="0" w:space="0" w:color="auto"/>
              </w:divBdr>
              <w:divsChild>
                <w:div w:id="1542553549">
                  <w:marLeft w:val="0"/>
                  <w:marRight w:val="0"/>
                  <w:marTop w:val="0"/>
                  <w:marBottom w:val="360"/>
                  <w:divBdr>
                    <w:top w:val="none" w:sz="0" w:space="0" w:color="auto"/>
                    <w:left w:val="none" w:sz="0" w:space="0" w:color="auto"/>
                    <w:bottom w:val="none" w:sz="0" w:space="0" w:color="auto"/>
                    <w:right w:val="none" w:sz="0" w:space="0" w:color="auto"/>
                  </w:divBdr>
                  <w:divsChild>
                    <w:div w:id="779178135">
                      <w:marLeft w:val="0"/>
                      <w:marRight w:val="0"/>
                      <w:marTop w:val="180"/>
                      <w:marBottom w:val="240"/>
                      <w:divBdr>
                        <w:top w:val="none" w:sz="0" w:space="0" w:color="auto"/>
                        <w:left w:val="none" w:sz="0" w:space="0" w:color="auto"/>
                        <w:bottom w:val="none" w:sz="0" w:space="0" w:color="auto"/>
                        <w:right w:val="none" w:sz="0" w:space="0" w:color="auto"/>
                      </w:divBdr>
                    </w:div>
                  </w:divsChild>
                </w:div>
                <w:div w:id="161896363">
                  <w:marLeft w:val="0"/>
                  <w:marRight w:val="0"/>
                  <w:marTop w:val="0"/>
                  <w:marBottom w:val="360"/>
                  <w:divBdr>
                    <w:top w:val="single" w:sz="36" w:space="15" w:color="D5D5D5"/>
                    <w:left w:val="single" w:sz="36" w:space="8" w:color="D5D5D5"/>
                    <w:bottom w:val="single" w:sz="36" w:space="15" w:color="D5D5D5"/>
                    <w:right w:val="single" w:sz="36" w:space="8" w:color="D5D5D5"/>
                  </w:divBdr>
                </w:div>
                <w:div w:id="736630238">
                  <w:marLeft w:val="0"/>
                  <w:marRight w:val="0"/>
                  <w:marTop w:val="0"/>
                  <w:marBottom w:val="360"/>
                  <w:divBdr>
                    <w:top w:val="none" w:sz="0" w:space="0" w:color="auto"/>
                    <w:left w:val="none" w:sz="0" w:space="0" w:color="auto"/>
                    <w:bottom w:val="none" w:sz="0" w:space="0" w:color="auto"/>
                    <w:right w:val="none" w:sz="0" w:space="0" w:color="auto"/>
                  </w:divBdr>
                  <w:divsChild>
                    <w:div w:id="1745493726">
                      <w:marLeft w:val="0"/>
                      <w:marRight w:val="0"/>
                      <w:marTop w:val="180"/>
                      <w:marBottom w:val="240"/>
                      <w:divBdr>
                        <w:top w:val="none" w:sz="0" w:space="0" w:color="auto"/>
                        <w:left w:val="none" w:sz="0" w:space="0" w:color="auto"/>
                        <w:bottom w:val="none" w:sz="0" w:space="0" w:color="auto"/>
                        <w:right w:val="none" w:sz="0" w:space="0" w:color="auto"/>
                      </w:divBdr>
                    </w:div>
                  </w:divsChild>
                </w:div>
                <w:div w:id="1628967883">
                  <w:marLeft w:val="0"/>
                  <w:marRight w:val="0"/>
                  <w:marTop w:val="0"/>
                  <w:marBottom w:val="360"/>
                  <w:divBdr>
                    <w:top w:val="single" w:sz="36" w:space="15" w:color="D5D5D5"/>
                    <w:left w:val="single" w:sz="36" w:space="8" w:color="D5D5D5"/>
                    <w:bottom w:val="single" w:sz="36" w:space="15" w:color="D5D5D5"/>
                    <w:right w:val="single" w:sz="36" w:space="8" w:color="D5D5D5"/>
                  </w:divBdr>
                </w:div>
                <w:div w:id="2054386074">
                  <w:marLeft w:val="0"/>
                  <w:marRight w:val="0"/>
                  <w:marTop w:val="0"/>
                  <w:marBottom w:val="360"/>
                  <w:divBdr>
                    <w:top w:val="none" w:sz="0" w:space="0" w:color="auto"/>
                    <w:left w:val="none" w:sz="0" w:space="0" w:color="auto"/>
                    <w:bottom w:val="none" w:sz="0" w:space="0" w:color="auto"/>
                    <w:right w:val="none" w:sz="0" w:space="0" w:color="auto"/>
                  </w:divBdr>
                  <w:divsChild>
                    <w:div w:id="1642660090">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370031601">
          <w:marLeft w:val="0"/>
          <w:marRight w:val="0"/>
          <w:marTop w:val="0"/>
          <w:marBottom w:val="0"/>
          <w:divBdr>
            <w:top w:val="none" w:sz="0" w:space="0" w:color="auto"/>
            <w:left w:val="none" w:sz="0" w:space="0" w:color="auto"/>
            <w:bottom w:val="none" w:sz="0" w:space="0" w:color="auto"/>
            <w:right w:val="none" w:sz="0" w:space="0" w:color="auto"/>
          </w:divBdr>
          <w:divsChild>
            <w:div w:id="408699789">
              <w:marLeft w:val="0"/>
              <w:marRight w:val="0"/>
              <w:marTop w:val="0"/>
              <w:marBottom w:val="600"/>
              <w:divBdr>
                <w:top w:val="none" w:sz="0" w:space="0" w:color="auto"/>
                <w:left w:val="none" w:sz="0" w:space="0" w:color="auto"/>
                <w:bottom w:val="none" w:sz="0" w:space="0" w:color="auto"/>
                <w:right w:val="none" w:sz="0" w:space="0" w:color="auto"/>
              </w:divBdr>
              <w:divsChild>
                <w:div w:id="683241364">
                  <w:marLeft w:val="0"/>
                  <w:marRight w:val="0"/>
                  <w:marTop w:val="0"/>
                  <w:marBottom w:val="360"/>
                  <w:divBdr>
                    <w:top w:val="none" w:sz="0" w:space="0" w:color="auto"/>
                    <w:left w:val="none" w:sz="0" w:space="0" w:color="auto"/>
                    <w:bottom w:val="none" w:sz="0" w:space="0" w:color="auto"/>
                    <w:right w:val="none" w:sz="0" w:space="0" w:color="auto"/>
                  </w:divBdr>
                  <w:divsChild>
                    <w:div w:id="758451359">
                      <w:marLeft w:val="0"/>
                      <w:marRight w:val="0"/>
                      <w:marTop w:val="180"/>
                      <w:marBottom w:val="240"/>
                      <w:divBdr>
                        <w:top w:val="none" w:sz="0" w:space="0" w:color="auto"/>
                        <w:left w:val="none" w:sz="0" w:space="0" w:color="auto"/>
                        <w:bottom w:val="none" w:sz="0" w:space="0" w:color="auto"/>
                        <w:right w:val="none" w:sz="0" w:space="0" w:color="auto"/>
                      </w:divBdr>
                    </w:div>
                  </w:divsChild>
                </w:div>
                <w:div w:id="1226532264">
                  <w:marLeft w:val="0"/>
                  <w:marRight w:val="0"/>
                  <w:marTop w:val="0"/>
                  <w:marBottom w:val="360"/>
                  <w:divBdr>
                    <w:top w:val="none" w:sz="0" w:space="0" w:color="auto"/>
                    <w:left w:val="none" w:sz="0" w:space="0" w:color="auto"/>
                    <w:bottom w:val="none" w:sz="0" w:space="0" w:color="auto"/>
                    <w:right w:val="none" w:sz="0" w:space="0" w:color="auto"/>
                  </w:divBdr>
                  <w:divsChild>
                    <w:div w:id="871920290">
                      <w:marLeft w:val="0"/>
                      <w:marRight w:val="0"/>
                      <w:marTop w:val="180"/>
                      <w:marBottom w:val="240"/>
                      <w:divBdr>
                        <w:top w:val="none" w:sz="0" w:space="0" w:color="auto"/>
                        <w:left w:val="none" w:sz="0" w:space="0" w:color="auto"/>
                        <w:bottom w:val="none" w:sz="0" w:space="0" w:color="auto"/>
                        <w:right w:val="none" w:sz="0" w:space="0" w:color="auto"/>
                      </w:divBdr>
                    </w:div>
                  </w:divsChild>
                </w:div>
                <w:div w:id="716776617">
                  <w:marLeft w:val="0"/>
                  <w:marRight w:val="0"/>
                  <w:marTop w:val="0"/>
                  <w:marBottom w:val="360"/>
                  <w:divBdr>
                    <w:top w:val="none" w:sz="0" w:space="0" w:color="auto"/>
                    <w:left w:val="none" w:sz="0" w:space="0" w:color="auto"/>
                    <w:bottom w:val="none" w:sz="0" w:space="0" w:color="auto"/>
                    <w:right w:val="none" w:sz="0" w:space="0" w:color="auto"/>
                  </w:divBdr>
                  <w:divsChild>
                    <w:div w:id="174001424">
                      <w:marLeft w:val="0"/>
                      <w:marRight w:val="0"/>
                      <w:marTop w:val="180"/>
                      <w:marBottom w:val="240"/>
                      <w:divBdr>
                        <w:top w:val="none" w:sz="0" w:space="0" w:color="auto"/>
                        <w:left w:val="none" w:sz="0" w:space="0" w:color="auto"/>
                        <w:bottom w:val="none" w:sz="0" w:space="0" w:color="auto"/>
                        <w:right w:val="none" w:sz="0" w:space="0" w:color="auto"/>
                      </w:divBdr>
                    </w:div>
                  </w:divsChild>
                </w:div>
                <w:div w:id="971986096">
                  <w:marLeft w:val="0"/>
                  <w:marRight w:val="0"/>
                  <w:marTop w:val="0"/>
                  <w:marBottom w:val="360"/>
                  <w:divBdr>
                    <w:top w:val="none" w:sz="0" w:space="0" w:color="auto"/>
                    <w:left w:val="none" w:sz="0" w:space="0" w:color="auto"/>
                    <w:bottom w:val="none" w:sz="0" w:space="0" w:color="auto"/>
                    <w:right w:val="none" w:sz="0" w:space="0" w:color="auto"/>
                  </w:divBdr>
                  <w:divsChild>
                    <w:div w:id="2058310994">
                      <w:marLeft w:val="0"/>
                      <w:marRight w:val="0"/>
                      <w:marTop w:val="180"/>
                      <w:marBottom w:val="240"/>
                      <w:divBdr>
                        <w:top w:val="none" w:sz="0" w:space="0" w:color="auto"/>
                        <w:left w:val="none" w:sz="0" w:space="0" w:color="auto"/>
                        <w:bottom w:val="none" w:sz="0" w:space="0" w:color="auto"/>
                        <w:right w:val="none" w:sz="0" w:space="0" w:color="auto"/>
                      </w:divBdr>
                    </w:div>
                  </w:divsChild>
                </w:div>
                <w:div w:id="768236542">
                  <w:marLeft w:val="0"/>
                  <w:marRight w:val="0"/>
                  <w:marTop w:val="0"/>
                  <w:marBottom w:val="360"/>
                  <w:divBdr>
                    <w:top w:val="none" w:sz="0" w:space="0" w:color="auto"/>
                    <w:left w:val="none" w:sz="0" w:space="0" w:color="auto"/>
                    <w:bottom w:val="none" w:sz="0" w:space="0" w:color="auto"/>
                    <w:right w:val="none" w:sz="0" w:space="0" w:color="auto"/>
                  </w:divBdr>
                  <w:divsChild>
                    <w:div w:id="218245778">
                      <w:marLeft w:val="0"/>
                      <w:marRight w:val="0"/>
                      <w:marTop w:val="180"/>
                      <w:marBottom w:val="240"/>
                      <w:divBdr>
                        <w:top w:val="none" w:sz="0" w:space="0" w:color="auto"/>
                        <w:left w:val="none" w:sz="0" w:space="0" w:color="auto"/>
                        <w:bottom w:val="none" w:sz="0" w:space="0" w:color="auto"/>
                        <w:right w:val="none" w:sz="0" w:space="0" w:color="auto"/>
                      </w:divBdr>
                    </w:div>
                  </w:divsChild>
                </w:div>
                <w:div w:id="1545751800">
                  <w:marLeft w:val="0"/>
                  <w:marRight w:val="0"/>
                  <w:marTop w:val="0"/>
                  <w:marBottom w:val="360"/>
                  <w:divBdr>
                    <w:top w:val="none" w:sz="0" w:space="0" w:color="auto"/>
                    <w:left w:val="none" w:sz="0" w:space="0" w:color="auto"/>
                    <w:bottom w:val="none" w:sz="0" w:space="0" w:color="auto"/>
                    <w:right w:val="none" w:sz="0" w:space="0" w:color="auto"/>
                  </w:divBdr>
                  <w:divsChild>
                    <w:div w:id="1227186879">
                      <w:marLeft w:val="0"/>
                      <w:marRight w:val="0"/>
                      <w:marTop w:val="180"/>
                      <w:marBottom w:val="240"/>
                      <w:divBdr>
                        <w:top w:val="none" w:sz="0" w:space="0" w:color="auto"/>
                        <w:left w:val="none" w:sz="0" w:space="0" w:color="auto"/>
                        <w:bottom w:val="none" w:sz="0" w:space="0" w:color="auto"/>
                        <w:right w:val="none" w:sz="0" w:space="0" w:color="auto"/>
                      </w:divBdr>
                    </w:div>
                  </w:divsChild>
                </w:div>
                <w:div w:id="1079255110">
                  <w:marLeft w:val="0"/>
                  <w:marRight w:val="0"/>
                  <w:marTop w:val="0"/>
                  <w:marBottom w:val="360"/>
                  <w:divBdr>
                    <w:top w:val="none" w:sz="0" w:space="0" w:color="auto"/>
                    <w:left w:val="none" w:sz="0" w:space="0" w:color="auto"/>
                    <w:bottom w:val="none" w:sz="0" w:space="0" w:color="auto"/>
                    <w:right w:val="none" w:sz="0" w:space="0" w:color="auto"/>
                  </w:divBdr>
                  <w:divsChild>
                    <w:div w:id="1373655204">
                      <w:marLeft w:val="0"/>
                      <w:marRight w:val="0"/>
                      <w:marTop w:val="180"/>
                      <w:marBottom w:val="240"/>
                      <w:divBdr>
                        <w:top w:val="none" w:sz="0" w:space="0" w:color="auto"/>
                        <w:left w:val="none" w:sz="0" w:space="0" w:color="auto"/>
                        <w:bottom w:val="none" w:sz="0" w:space="0" w:color="auto"/>
                        <w:right w:val="none" w:sz="0" w:space="0" w:color="auto"/>
                      </w:divBdr>
                    </w:div>
                  </w:divsChild>
                </w:div>
                <w:div w:id="90393582">
                  <w:marLeft w:val="0"/>
                  <w:marRight w:val="0"/>
                  <w:marTop w:val="0"/>
                  <w:marBottom w:val="360"/>
                  <w:divBdr>
                    <w:top w:val="none" w:sz="0" w:space="0" w:color="auto"/>
                    <w:left w:val="none" w:sz="0" w:space="0" w:color="auto"/>
                    <w:bottom w:val="none" w:sz="0" w:space="0" w:color="auto"/>
                    <w:right w:val="none" w:sz="0" w:space="0" w:color="auto"/>
                  </w:divBdr>
                  <w:divsChild>
                    <w:div w:id="595871802">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1399403189">
          <w:marLeft w:val="0"/>
          <w:marRight w:val="0"/>
          <w:marTop w:val="0"/>
          <w:marBottom w:val="0"/>
          <w:divBdr>
            <w:top w:val="none" w:sz="0" w:space="0" w:color="auto"/>
            <w:left w:val="none" w:sz="0" w:space="0" w:color="auto"/>
            <w:bottom w:val="none" w:sz="0" w:space="0" w:color="auto"/>
            <w:right w:val="none" w:sz="0" w:space="0" w:color="auto"/>
          </w:divBdr>
          <w:divsChild>
            <w:div w:id="672801793">
              <w:marLeft w:val="0"/>
              <w:marRight w:val="0"/>
              <w:marTop w:val="0"/>
              <w:marBottom w:val="600"/>
              <w:divBdr>
                <w:top w:val="none" w:sz="0" w:space="0" w:color="auto"/>
                <w:left w:val="none" w:sz="0" w:space="0" w:color="auto"/>
                <w:bottom w:val="none" w:sz="0" w:space="0" w:color="auto"/>
                <w:right w:val="none" w:sz="0" w:space="0" w:color="auto"/>
              </w:divBdr>
            </w:div>
          </w:divsChild>
        </w:div>
        <w:div w:id="1868593671">
          <w:marLeft w:val="0"/>
          <w:marRight w:val="0"/>
          <w:marTop w:val="0"/>
          <w:marBottom w:val="0"/>
          <w:divBdr>
            <w:top w:val="none" w:sz="0" w:space="0" w:color="auto"/>
            <w:left w:val="none" w:sz="0" w:space="0" w:color="auto"/>
            <w:bottom w:val="none" w:sz="0" w:space="0" w:color="auto"/>
            <w:right w:val="none" w:sz="0" w:space="0" w:color="auto"/>
          </w:divBdr>
          <w:divsChild>
            <w:div w:id="670449908">
              <w:marLeft w:val="0"/>
              <w:marRight w:val="0"/>
              <w:marTop w:val="0"/>
              <w:marBottom w:val="600"/>
              <w:divBdr>
                <w:top w:val="none" w:sz="0" w:space="0" w:color="auto"/>
                <w:left w:val="none" w:sz="0" w:space="0" w:color="auto"/>
                <w:bottom w:val="none" w:sz="0" w:space="0" w:color="auto"/>
                <w:right w:val="none" w:sz="0" w:space="0" w:color="auto"/>
              </w:divBdr>
              <w:divsChild>
                <w:div w:id="624702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5747704">
          <w:marLeft w:val="0"/>
          <w:marRight w:val="0"/>
          <w:marTop w:val="0"/>
          <w:marBottom w:val="0"/>
          <w:divBdr>
            <w:top w:val="none" w:sz="0" w:space="0" w:color="auto"/>
            <w:left w:val="none" w:sz="0" w:space="0" w:color="auto"/>
            <w:bottom w:val="none" w:sz="0" w:space="0" w:color="auto"/>
            <w:right w:val="none" w:sz="0" w:space="0" w:color="auto"/>
          </w:divBdr>
          <w:divsChild>
            <w:div w:id="211161323">
              <w:marLeft w:val="0"/>
              <w:marRight w:val="0"/>
              <w:marTop w:val="0"/>
              <w:marBottom w:val="600"/>
              <w:divBdr>
                <w:top w:val="none" w:sz="0" w:space="0" w:color="auto"/>
                <w:left w:val="none" w:sz="0" w:space="0" w:color="auto"/>
                <w:bottom w:val="none" w:sz="0" w:space="0" w:color="auto"/>
                <w:right w:val="none" w:sz="0" w:space="0" w:color="auto"/>
              </w:divBdr>
            </w:div>
          </w:divsChild>
        </w:div>
        <w:div w:id="881937849">
          <w:marLeft w:val="0"/>
          <w:marRight w:val="0"/>
          <w:marTop w:val="0"/>
          <w:marBottom w:val="0"/>
          <w:divBdr>
            <w:top w:val="none" w:sz="0" w:space="0" w:color="auto"/>
            <w:left w:val="none" w:sz="0" w:space="0" w:color="auto"/>
            <w:bottom w:val="none" w:sz="0" w:space="0" w:color="auto"/>
            <w:right w:val="none" w:sz="0" w:space="0" w:color="auto"/>
          </w:divBdr>
          <w:divsChild>
            <w:div w:id="407504521">
              <w:marLeft w:val="0"/>
              <w:marRight w:val="0"/>
              <w:marTop w:val="0"/>
              <w:marBottom w:val="600"/>
              <w:divBdr>
                <w:top w:val="none" w:sz="0" w:space="0" w:color="auto"/>
                <w:left w:val="none" w:sz="0" w:space="0" w:color="auto"/>
                <w:bottom w:val="none" w:sz="0" w:space="0" w:color="auto"/>
                <w:right w:val="none" w:sz="0" w:space="0" w:color="auto"/>
              </w:divBdr>
            </w:div>
          </w:divsChild>
        </w:div>
        <w:div w:id="1852404499">
          <w:marLeft w:val="0"/>
          <w:marRight w:val="0"/>
          <w:marTop w:val="0"/>
          <w:marBottom w:val="0"/>
          <w:divBdr>
            <w:top w:val="none" w:sz="0" w:space="0" w:color="auto"/>
            <w:left w:val="none" w:sz="0" w:space="0" w:color="auto"/>
            <w:bottom w:val="none" w:sz="0" w:space="0" w:color="auto"/>
            <w:right w:val="none" w:sz="0" w:space="0" w:color="auto"/>
          </w:divBdr>
          <w:divsChild>
            <w:div w:id="1606034858">
              <w:marLeft w:val="0"/>
              <w:marRight w:val="0"/>
              <w:marTop w:val="0"/>
              <w:marBottom w:val="600"/>
              <w:divBdr>
                <w:top w:val="none" w:sz="0" w:space="0" w:color="auto"/>
                <w:left w:val="none" w:sz="0" w:space="0" w:color="auto"/>
                <w:bottom w:val="none" w:sz="0" w:space="0" w:color="auto"/>
                <w:right w:val="none" w:sz="0" w:space="0" w:color="auto"/>
              </w:divBdr>
              <w:divsChild>
                <w:div w:id="1266578219">
                  <w:marLeft w:val="0"/>
                  <w:marRight w:val="0"/>
                  <w:marTop w:val="0"/>
                  <w:marBottom w:val="0"/>
                  <w:divBdr>
                    <w:top w:val="none" w:sz="0" w:space="0" w:color="auto"/>
                    <w:left w:val="none" w:sz="0" w:space="0" w:color="auto"/>
                    <w:bottom w:val="none" w:sz="0" w:space="0" w:color="auto"/>
                    <w:right w:val="none" w:sz="0" w:space="0" w:color="auto"/>
                  </w:divBdr>
                  <w:divsChild>
                    <w:div w:id="998189064">
                      <w:marLeft w:val="0"/>
                      <w:marRight w:val="0"/>
                      <w:marTop w:val="0"/>
                      <w:marBottom w:val="0"/>
                      <w:divBdr>
                        <w:top w:val="none" w:sz="0" w:space="0" w:color="auto"/>
                        <w:left w:val="none" w:sz="0" w:space="0" w:color="auto"/>
                        <w:bottom w:val="none" w:sz="0" w:space="0" w:color="auto"/>
                        <w:right w:val="none" w:sz="0" w:space="0" w:color="auto"/>
                      </w:divBdr>
                      <w:divsChild>
                        <w:div w:id="1837459491">
                          <w:marLeft w:val="0"/>
                          <w:marRight w:val="0"/>
                          <w:marTop w:val="0"/>
                          <w:marBottom w:val="0"/>
                          <w:divBdr>
                            <w:top w:val="none" w:sz="0" w:space="0" w:color="auto"/>
                            <w:left w:val="none" w:sz="0" w:space="0" w:color="auto"/>
                            <w:bottom w:val="none" w:sz="0" w:space="0" w:color="auto"/>
                            <w:right w:val="none" w:sz="0" w:space="0" w:color="auto"/>
                          </w:divBdr>
                          <w:divsChild>
                            <w:div w:id="2014333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92138052">
      <w:bodyDiv w:val="1"/>
      <w:marLeft w:val="0"/>
      <w:marRight w:val="0"/>
      <w:marTop w:val="0"/>
      <w:marBottom w:val="0"/>
      <w:divBdr>
        <w:top w:val="none" w:sz="0" w:space="0" w:color="auto"/>
        <w:left w:val="none" w:sz="0" w:space="0" w:color="auto"/>
        <w:bottom w:val="none" w:sz="0" w:space="0" w:color="auto"/>
        <w:right w:val="none" w:sz="0" w:space="0" w:color="auto"/>
      </w:divBdr>
    </w:div>
    <w:div w:id="1495413858">
      <w:bodyDiv w:val="1"/>
      <w:marLeft w:val="0"/>
      <w:marRight w:val="0"/>
      <w:marTop w:val="0"/>
      <w:marBottom w:val="0"/>
      <w:divBdr>
        <w:top w:val="none" w:sz="0" w:space="0" w:color="auto"/>
        <w:left w:val="none" w:sz="0" w:space="0" w:color="auto"/>
        <w:bottom w:val="none" w:sz="0" w:space="0" w:color="auto"/>
        <w:right w:val="none" w:sz="0" w:space="0" w:color="auto"/>
      </w:divBdr>
      <w:divsChild>
        <w:div w:id="1318804548">
          <w:marLeft w:val="0"/>
          <w:marRight w:val="0"/>
          <w:marTop w:val="0"/>
          <w:marBottom w:val="0"/>
          <w:divBdr>
            <w:top w:val="none" w:sz="0" w:space="0" w:color="auto"/>
            <w:left w:val="none" w:sz="0" w:space="0" w:color="auto"/>
            <w:bottom w:val="none" w:sz="0" w:space="0" w:color="auto"/>
            <w:right w:val="none" w:sz="0" w:space="0" w:color="auto"/>
          </w:divBdr>
        </w:div>
        <w:div w:id="890192571">
          <w:marLeft w:val="0"/>
          <w:marRight w:val="0"/>
          <w:marTop w:val="0"/>
          <w:marBottom w:val="0"/>
          <w:divBdr>
            <w:top w:val="none" w:sz="0" w:space="0" w:color="auto"/>
            <w:left w:val="none" w:sz="0" w:space="0" w:color="auto"/>
            <w:bottom w:val="none" w:sz="0" w:space="0" w:color="auto"/>
            <w:right w:val="none" w:sz="0" w:space="0" w:color="auto"/>
          </w:divBdr>
        </w:div>
        <w:div w:id="555433325">
          <w:marLeft w:val="0"/>
          <w:marRight w:val="0"/>
          <w:marTop w:val="0"/>
          <w:marBottom w:val="0"/>
          <w:divBdr>
            <w:top w:val="none" w:sz="0" w:space="0" w:color="auto"/>
            <w:left w:val="none" w:sz="0" w:space="0" w:color="auto"/>
            <w:bottom w:val="none" w:sz="0" w:space="0" w:color="auto"/>
            <w:right w:val="none" w:sz="0" w:space="0" w:color="auto"/>
          </w:divBdr>
        </w:div>
        <w:div w:id="400056373">
          <w:marLeft w:val="0"/>
          <w:marRight w:val="0"/>
          <w:marTop w:val="0"/>
          <w:marBottom w:val="0"/>
          <w:divBdr>
            <w:top w:val="none" w:sz="0" w:space="0" w:color="auto"/>
            <w:left w:val="none" w:sz="0" w:space="0" w:color="auto"/>
            <w:bottom w:val="none" w:sz="0" w:space="0" w:color="auto"/>
            <w:right w:val="none" w:sz="0" w:space="0" w:color="auto"/>
          </w:divBdr>
        </w:div>
        <w:div w:id="2056275495">
          <w:marLeft w:val="0"/>
          <w:marRight w:val="0"/>
          <w:marTop w:val="0"/>
          <w:marBottom w:val="0"/>
          <w:divBdr>
            <w:top w:val="none" w:sz="0" w:space="0" w:color="auto"/>
            <w:left w:val="none" w:sz="0" w:space="0" w:color="auto"/>
            <w:bottom w:val="none" w:sz="0" w:space="0" w:color="auto"/>
            <w:right w:val="none" w:sz="0" w:space="0" w:color="auto"/>
          </w:divBdr>
        </w:div>
        <w:div w:id="1798405494">
          <w:marLeft w:val="0"/>
          <w:marRight w:val="0"/>
          <w:marTop w:val="0"/>
          <w:marBottom w:val="0"/>
          <w:divBdr>
            <w:top w:val="none" w:sz="0" w:space="0" w:color="auto"/>
            <w:left w:val="none" w:sz="0" w:space="0" w:color="auto"/>
            <w:bottom w:val="none" w:sz="0" w:space="0" w:color="auto"/>
            <w:right w:val="none" w:sz="0" w:space="0" w:color="auto"/>
          </w:divBdr>
        </w:div>
        <w:div w:id="1134056733">
          <w:marLeft w:val="0"/>
          <w:marRight w:val="0"/>
          <w:marTop w:val="0"/>
          <w:marBottom w:val="0"/>
          <w:divBdr>
            <w:top w:val="none" w:sz="0" w:space="0" w:color="auto"/>
            <w:left w:val="none" w:sz="0" w:space="0" w:color="auto"/>
            <w:bottom w:val="none" w:sz="0" w:space="0" w:color="auto"/>
            <w:right w:val="none" w:sz="0" w:space="0" w:color="auto"/>
          </w:divBdr>
        </w:div>
        <w:div w:id="1474713246">
          <w:marLeft w:val="0"/>
          <w:marRight w:val="0"/>
          <w:marTop w:val="0"/>
          <w:marBottom w:val="0"/>
          <w:divBdr>
            <w:top w:val="none" w:sz="0" w:space="0" w:color="auto"/>
            <w:left w:val="none" w:sz="0" w:space="0" w:color="auto"/>
            <w:bottom w:val="none" w:sz="0" w:space="0" w:color="auto"/>
            <w:right w:val="none" w:sz="0" w:space="0" w:color="auto"/>
          </w:divBdr>
        </w:div>
        <w:div w:id="268271609">
          <w:marLeft w:val="0"/>
          <w:marRight w:val="0"/>
          <w:marTop w:val="0"/>
          <w:marBottom w:val="0"/>
          <w:divBdr>
            <w:top w:val="none" w:sz="0" w:space="0" w:color="auto"/>
            <w:left w:val="none" w:sz="0" w:space="0" w:color="auto"/>
            <w:bottom w:val="none" w:sz="0" w:space="0" w:color="auto"/>
            <w:right w:val="none" w:sz="0" w:space="0" w:color="auto"/>
          </w:divBdr>
        </w:div>
        <w:div w:id="402223977">
          <w:marLeft w:val="0"/>
          <w:marRight w:val="0"/>
          <w:marTop w:val="0"/>
          <w:marBottom w:val="0"/>
          <w:divBdr>
            <w:top w:val="none" w:sz="0" w:space="0" w:color="auto"/>
            <w:left w:val="none" w:sz="0" w:space="0" w:color="auto"/>
            <w:bottom w:val="none" w:sz="0" w:space="0" w:color="auto"/>
            <w:right w:val="none" w:sz="0" w:space="0" w:color="auto"/>
          </w:divBdr>
        </w:div>
        <w:div w:id="591278701">
          <w:marLeft w:val="0"/>
          <w:marRight w:val="0"/>
          <w:marTop w:val="0"/>
          <w:marBottom w:val="0"/>
          <w:divBdr>
            <w:top w:val="none" w:sz="0" w:space="0" w:color="auto"/>
            <w:left w:val="none" w:sz="0" w:space="0" w:color="auto"/>
            <w:bottom w:val="none" w:sz="0" w:space="0" w:color="auto"/>
            <w:right w:val="none" w:sz="0" w:space="0" w:color="auto"/>
          </w:divBdr>
        </w:div>
        <w:div w:id="298655475">
          <w:marLeft w:val="0"/>
          <w:marRight w:val="0"/>
          <w:marTop w:val="0"/>
          <w:marBottom w:val="0"/>
          <w:divBdr>
            <w:top w:val="none" w:sz="0" w:space="0" w:color="auto"/>
            <w:left w:val="none" w:sz="0" w:space="0" w:color="auto"/>
            <w:bottom w:val="none" w:sz="0" w:space="0" w:color="auto"/>
            <w:right w:val="none" w:sz="0" w:space="0" w:color="auto"/>
          </w:divBdr>
        </w:div>
        <w:div w:id="1316952842">
          <w:marLeft w:val="0"/>
          <w:marRight w:val="0"/>
          <w:marTop w:val="0"/>
          <w:marBottom w:val="0"/>
          <w:divBdr>
            <w:top w:val="none" w:sz="0" w:space="0" w:color="auto"/>
            <w:left w:val="none" w:sz="0" w:space="0" w:color="auto"/>
            <w:bottom w:val="none" w:sz="0" w:space="0" w:color="auto"/>
            <w:right w:val="none" w:sz="0" w:space="0" w:color="auto"/>
          </w:divBdr>
        </w:div>
        <w:div w:id="1796368641">
          <w:marLeft w:val="0"/>
          <w:marRight w:val="0"/>
          <w:marTop w:val="0"/>
          <w:marBottom w:val="0"/>
          <w:divBdr>
            <w:top w:val="none" w:sz="0" w:space="0" w:color="auto"/>
            <w:left w:val="none" w:sz="0" w:space="0" w:color="auto"/>
            <w:bottom w:val="none" w:sz="0" w:space="0" w:color="auto"/>
            <w:right w:val="none" w:sz="0" w:space="0" w:color="auto"/>
          </w:divBdr>
        </w:div>
        <w:div w:id="1905750974">
          <w:marLeft w:val="0"/>
          <w:marRight w:val="0"/>
          <w:marTop w:val="0"/>
          <w:marBottom w:val="0"/>
          <w:divBdr>
            <w:top w:val="none" w:sz="0" w:space="0" w:color="auto"/>
            <w:left w:val="none" w:sz="0" w:space="0" w:color="auto"/>
            <w:bottom w:val="none" w:sz="0" w:space="0" w:color="auto"/>
            <w:right w:val="none" w:sz="0" w:space="0" w:color="auto"/>
          </w:divBdr>
        </w:div>
        <w:div w:id="1761559491">
          <w:marLeft w:val="0"/>
          <w:marRight w:val="0"/>
          <w:marTop w:val="0"/>
          <w:marBottom w:val="0"/>
          <w:divBdr>
            <w:top w:val="none" w:sz="0" w:space="0" w:color="auto"/>
            <w:left w:val="none" w:sz="0" w:space="0" w:color="auto"/>
            <w:bottom w:val="none" w:sz="0" w:space="0" w:color="auto"/>
            <w:right w:val="none" w:sz="0" w:space="0" w:color="auto"/>
          </w:divBdr>
        </w:div>
        <w:div w:id="573466015">
          <w:marLeft w:val="0"/>
          <w:marRight w:val="0"/>
          <w:marTop w:val="0"/>
          <w:marBottom w:val="0"/>
          <w:divBdr>
            <w:top w:val="none" w:sz="0" w:space="0" w:color="auto"/>
            <w:left w:val="none" w:sz="0" w:space="0" w:color="auto"/>
            <w:bottom w:val="none" w:sz="0" w:space="0" w:color="auto"/>
            <w:right w:val="none" w:sz="0" w:space="0" w:color="auto"/>
          </w:divBdr>
        </w:div>
        <w:div w:id="967321202">
          <w:marLeft w:val="0"/>
          <w:marRight w:val="0"/>
          <w:marTop w:val="0"/>
          <w:marBottom w:val="0"/>
          <w:divBdr>
            <w:top w:val="none" w:sz="0" w:space="0" w:color="auto"/>
            <w:left w:val="none" w:sz="0" w:space="0" w:color="auto"/>
            <w:bottom w:val="none" w:sz="0" w:space="0" w:color="auto"/>
            <w:right w:val="none" w:sz="0" w:space="0" w:color="auto"/>
          </w:divBdr>
        </w:div>
        <w:div w:id="2084257212">
          <w:marLeft w:val="0"/>
          <w:marRight w:val="0"/>
          <w:marTop w:val="0"/>
          <w:marBottom w:val="0"/>
          <w:divBdr>
            <w:top w:val="none" w:sz="0" w:space="0" w:color="auto"/>
            <w:left w:val="none" w:sz="0" w:space="0" w:color="auto"/>
            <w:bottom w:val="none" w:sz="0" w:space="0" w:color="auto"/>
            <w:right w:val="none" w:sz="0" w:space="0" w:color="auto"/>
          </w:divBdr>
        </w:div>
        <w:div w:id="1988777942">
          <w:marLeft w:val="0"/>
          <w:marRight w:val="0"/>
          <w:marTop w:val="0"/>
          <w:marBottom w:val="0"/>
          <w:divBdr>
            <w:top w:val="none" w:sz="0" w:space="0" w:color="auto"/>
            <w:left w:val="none" w:sz="0" w:space="0" w:color="auto"/>
            <w:bottom w:val="none" w:sz="0" w:space="0" w:color="auto"/>
            <w:right w:val="none" w:sz="0" w:space="0" w:color="auto"/>
          </w:divBdr>
        </w:div>
        <w:div w:id="1507818929">
          <w:marLeft w:val="0"/>
          <w:marRight w:val="0"/>
          <w:marTop w:val="0"/>
          <w:marBottom w:val="0"/>
          <w:divBdr>
            <w:top w:val="none" w:sz="0" w:space="0" w:color="auto"/>
            <w:left w:val="none" w:sz="0" w:space="0" w:color="auto"/>
            <w:bottom w:val="none" w:sz="0" w:space="0" w:color="auto"/>
            <w:right w:val="none" w:sz="0" w:space="0" w:color="auto"/>
          </w:divBdr>
        </w:div>
        <w:div w:id="591011029">
          <w:marLeft w:val="0"/>
          <w:marRight w:val="0"/>
          <w:marTop w:val="0"/>
          <w:marBottom w:val="0"/>
          <w:divBdr>
            <w:top w:val="none" w:sz="0" w:space="0" w:color="auto"/>
            <w:left w:val="none" w:sz="0" w:space="0" w:color="auto"/>
            <w:bottom w:val="none" w:sz="0" w:space="0" w:color="auto"/>
            <w:right w:val="none" w:sz="0" w:space="0" w:color="auto"/>
          </w:divBdr>
        </w:div>
        <w:div w:id="568226810">
          <w:marLeft w:val="0"/>
          <w:marRight w:val="0"/>
          <w:marTop w:val="0"/>
          <w:marBottom w:val="0"/>
          <w:divBdr>
            <w:top w:val="none" w:sz="0" w:space="0" w:color="auto"/>
            <w:left w:val="none" w:sz="0" w:space="0" w:color="auto"/>
            <w:bottom w:val="none" w:sz="0" w:space="0" w:color="auto"/>
            <w:right w:val="none" w:sz="0" w:space="0" w:color="auto"/>
          </w:divBdr>
        </w:div>
        <w:div w:id="1594363767">
          <w:marLeft w:val="0"/>
          <w:marRight w:val="0"/>
          <w:marTop w:val="0"/>
          <w:marBottom w:val="0"/>
          <w:divBdr>
            <w:top w:val="none" w:sz="0" w:space="0" w:color="auto"/>
            <w:left w:val="none" w:sz="0" w:space="0" w:color="auto"/>
            <w:bottom w:val="none" w:sz="0" w:space="0" w:color="auto"/>
            <w:right w:val="none" w:sz="0" w:space="0" w:color="auto"/>
          </w:divBdr>
        </w:div>
        <w:div w:id="1685936072">
          <w:marLeft w:val="0"/>
          <w:marRight w:val="0"/>
          <w:marTop w:val="0"/>
          <w:marBottom w:val="0"/>
          <w:divBdr>
            <w:top w:val="none" w:sz="0" w:space="0" w:color="auto"/>
            <w:left w:val="none" w:sz="0" w:space="0" w:color="auto"/>
            <w:bottom w:val="none" w:sz="0" w:space="0" w:color="auto"/>
            <w:right w:val="none" w:sz="0" w:space="0" w:color="auto"/>
          </w:divBdr>
        </w:div>
        <w:div w:id="697582765">
          <w:marLeft w:val="0"/>
          <w:marRight w:val="0"/>
          <w:marTop w:val="0"/>
          <w:marBottom w:val="0"/>
          <w:divBdr>
            <w:top w:val="none" w:sz="0" w:space="0" w:color="auto"/>
            <w:left w:val="none" w:sz="0" w:space="0" w:color="auto"/>
            <w:bottom w:val="none" w:sz="0" w:space="0" w:color="auto"/>
            <w:right w:val="none" w:sz="0" w:space="0" w:color="auto"/>
          </w:divBdr>
        </w:div>
        <w:div w:id="1127971264">
          <w:marLeft w:val="0"/>
          <w:marRight w:val="0"/>
          <w:marTop w:val="0"/>
          <w:marBottom w:val="0"/>
          <w:divBdr>
            <w:top w:val="none" w:sz="0" w:space="0" w:color="auto"/>
            <w:left w:val="none" w:sz="0" w:space="0" w:color="auto"/>
            <w:bottom w:val="none" w:sz="0" w:space="0" w:color="auto"/>
            <w:right w:val="none" w:sz="0" w:space="0" w:color="auto"/>
          </w:divBdr>
        </w:div>
        <w:div w:id="2001342895">
          <w:marLeft w:val="0"/>
          <w:marRight w:val="0"/>
          <w:marTop w:val="0"/>
          <w:marBottom w:val="0"/>
          <w:divBdr>
            <w:top w:val="none" w:sz="0" w:space="0" w:color="auto"/>
            <w:left w:val="none" w:sz="0" w:space="0" w:color="auto"/>
            <w:bottom w:val="none" w:sz="0" w:space="0" w:color="auto"/>
            <w:right w:val="none" w:sz="0" w:space="0" w:color="auto"/>
          </w:divBdr>
        </w:div>
        <w:div w:id="2095278920">
          <w:marLeft w:val="0"/>
          <w:marRight w:val="0"/>
          <w:marTop w:val="0"/>
          <w:marBottom w:val="0"/>
          <w:divBdr>
            <w:top w:val="none" w:sz="0" w:space="0" w:color="auto"/>
            <w:left w:val="none" w:sz="0" w:space="0" w:color="auto"/>
            <w:bottom w:val="none" w:sz="0" w:space="0" w:color="auto"/>
            <w:right w:val="none" w:sz="0" w:space="0" w:color="auto"/>
          </w:divBdr>
        </w:div>
        <w:div w:id="1064717254">
          <w:marLeft w:val="0"/>
          <w:marRight w:val="0"/>
          <w:marTop w:val="0"/>
          <w:marBottom w:val="0"/>
          <w:divBdr>
            <w:top w:val="none" w:sz="0" w:space="0" w:color="auto"/>
            <w:left w:val="none" w:sz="0" w:space="0" w:color="auto"/>
            <w:bottom w:val="none" w:sz="0" w:space="0" w:color="auto"/>
            <w:right w:val="none" w:sz="0" w:space="0" w:color="auto"/>
          </w:divBdr>
        </w:div>
        <w:div w:id="299312205">
          <w:marLeft w:val="0"/>
          <w:marRight w:val="0"/>
          <w:marTop w:val="0"/>
          <w:marBottom w:val="0"/>
          <w:divBdr>
            <w:top w:val="none" w:sz="0" w:space="0" w:color="auto"/>
            <w:left w:val="none" w:sz="0" w:space="0" w:color="auto"/>
            <w:bottom w:val="none" w:sz="0" w:space="0" w:color="auto"/>
            <w:right w:val="none" w:sz="0" w:space="0" w:color="auto"/>
          </w:divBdr>
        </w:div>
        <w:div w:id="950167984">
          <w:marLeft w:val="0"/>
          <w:marRight w:val="0"/>
          <w:marTop w:val="0"/>
          <w:marBottom w:val="0"/>
          <w:divBdr>
            <w:top w:val="none" w:sz="0" w:space="0" w:color="auto"/>
            <w:left w:val="none" w:sz="0" w:space="0" w:color="auto"/>
            <w:bottom w:val="none" w:sz="0" w:space="0" w:color="auto"/>
            <w:right w:val="none" w:sz="0" w:space="0" w:color="auto"/>
          </w:divBdr>
        </w:div>
        <w:div w:id="496458929">
          <w:marLeft w:val="0"/>
          <w:marRight w:val="0"/>
          <w:marTop w:val="0"/>
          <w:marBottom w:val="0"/>
          <w:divBdr>
            <w:top w:val="none" w:sz="0" w:space="0" w:color="auto"/>
            <w:left w:val="none" w:sz="0" w:space="0" w:color="auto"/>
            <w:bottom w:val="none" w:sz="0" w:space="0" w:color="auto"/>
            <w:right w:val="none" w:sz="0" w:space="0" w:color="auto"/>
          </w:divBdr>
        </w:div>
        <w:div w:id="178205528">
          <w:marLeft w:val="0"/>
          <w:marRight w:val="0"/>
          <w:marTop w:val="0"/>
          <w:marBottom w:val="0"/>
          <w:divBdr>
            <w:top w:val="none" w:sz="0" w:space="0" w:color="auto"/>
            <w:left w:val="none" w:sz="0" w:space="0" w:color="auto"/>
            <w:bottom w:val="none" w:sz="0" w:space="0" w:color="auto"/>
            <w:right w:val="none" w:sz="0" w:space="0" w:color="auto"/>
          </w:divBdr>
        </w:div>
        <w:div w:id="1314874949">
          <w:marLeft w:val="0"/>
          <w:marRight w:val="0"/>
          <w:marTop w:val="0"/>
          <w:marBottom w:val="0"/>
          <w:divBdr>
            <w:top w:val="none" w:sz="0" w:space="0" w:color="auto"/>
            <w:left w:val="none" w:sz="0" w:space="0" w:color="auto"/>
            <w:bottom w:val="none" w:sz="0" w:space="0" w:color="auto"/>
            <w:right w:val="none" w:sz="0" w:space="0" w:color="auto"/>
          </w:divBdr>
        </w:div>
        <w:div w:id="173299848">
          <w:marLeft w:val="0"/>
          <w:marRight w:val="0"/>
          <w:marTop w:val="0"/>
          <w:marBottom w:val="0"/>
          <w:divBdr>
            <w:top w:val="none" w:sz="0" w:space="0" w:color="auto"/>
            <w:left w:val="none" w:sz="0" w:space="0" w:color="auto"/>
            <w:bottom w:val="none" w:sz="0" w:space="0" w:color="auto"/>
            <w:right w:val="none" w:sz="0" w:space="0" w:color="auto"/>
          </w:divBdr>
        </w:div>
        <w:div w:id="136269367">
          <w:marLeft w:val="0"/>
          <w:marRight w:val="0"/>
          <w:marTop w:val="0"/>
          <w:marBottom w:val="0"/>
          <w:divBdr>
            <w:top w:val="none" w:sz="0" w:space="0" w:color="auto"/>
            <w:left w:val="none" w:sz="0" w:space="0" w:color="auto"/>
            <w:bottom w:val="none" w:sz="0" w:space="0" w:color="auto"/>
            <w:right w:val="none" w:sz="0" w:space="0" w:color="auto"/>
          </w:divBdr>
        </w:div>
        <w:div w:id="706762921">
          <w:marLeft w:val="0"/>
          <w:marRight w:val="0"/>
          <w:marTop w:val="0"/>
          <w:marBottom w:val="0"/>
          <w:divBdr>
            <w:top w:val="none" w:sz="0" w:space="0" w:color="auto"/>
            <w:left w:val="none" w:sz="0" w:space="0" w:color="auto"/>
            <w:bottom w:val="none" w:sz="0" w:space="0" w:color="auto"/>
            <w:right w:val="none" w:sz="0" w:space="0" w:color="auto"/>
          </w:divBdr>
        </w:div>
        <w:div w:id="8264722">
          <w:marLeft w:val="0"/>
          <w:marRight w:val="0"/>
          <w:marTop w:val="0"/>
          <w:marBottom w:val="0"/>
          <w:divBdr>
            <w:top w:val="none" w:sz="0" w:space="0" w:color="auto"/>
            <w:left w:val="none" w:sz="0" w:space="0" w:color="auto"/>
            <w:bottom w:val="none" w:sz="0" w:space="0" w:color="auto"/>
            <w:right w:val="none" w:sz="0" w:space="0" w:color="auto"/>
          </w:divBdr>
        </w:div>
        <w:div w:id="1650749808">
          <w:marLeft w:val="0"/>
          <w:marRight w:val="0"/>
          <w:marTop w:val="0"/>
          <w:marBottom w:val="0"/>
          <w:divBdr>
            <w:top w:val="none" w:sz="0" w:space="0" w:color="auto"/>
            <w:left w:val="none" w:sz="0" w:space="0" w:color="auto"/>
            <w:bottom w:val="none" w:sz="0" w:space="0" w:color="auto"/>
            <w:right w:val="none" w:sz="0" w:space="0" w:color="auto"/>
          </w:divBdr>
        </w:div>
        <w:div w:id="2108191768">
          <w:marLeft w:val="0"/>
          <w:marRight w:val="0"/>
          <w:marTop w:val="0"/>
          <w:marBottom w:val="0"/>
          <w:divBdr>
            <w:top w:val="none" w:sz="0" w:space="0" w:color="auto"/>
            <w:left w:val="none" w:sz="0" w:space="0" w:color="auto"/>
            <w:bottom w:val="none" w:sz="0" w:space="0" w:color="auto"/>
            <w:right w:val="none" w:sz="0" w:space="0" w:color="auto"/>
          </w:divBdr>
        </w:div>
        <w:div w:id="2023973091">
          <w:marLeft w:val="0"/>
          <w:marRight w:val="0"/>
          <w:marTop w:val="0"/>
          <w:marBottom w:val="0"/>
          <w:divBdr>
            <w:top w:val="none" w:sz="0" w:space="0" w:color="auto"/>
            <w:left w:val="none" w:sz="0" w:space="0" w:color="auto"/>
            <w:bottom w:val="none" w:sz="0" w:space="0" w:color="auto"/>
            <w:right w:val="none" w:sz="0" w:space="0" w:color="auto"/>
          </w:divBdr>
        </w:div>
        <w:div w:id="430273891">
          <w:marLeft w:val="0"/>
          <w:marRight w:val="0"/>
          <w:marTop w:val="0"/>
          <w:marBottom w:val="0"/>
          <w:divBdr>
            <w:top w:val="none" w:sz="0" w:space="0" w:color="auto"/>
            <w:left w:val="none" w:sz="0" w:space="0" w:color="auto"/>
            <w:bottom w:val="none" w:sz="0" w:space="0" w:color="auto"/>
            <w:right w:val="none" w:sz="0" w:space="0" w:color="auto"/>
          </w:divBdr>
        </w:div>
        <w:div w:id="34083595">
          <w:marLeft w:val="0"/>
          <w:marRight w:val="0"/>
          <w:marTop w:val="0"/>
          <w:marBottom w:val="0"/>
          <w:divBdr>
            <w:top w:val="none" w:sz="0" w:space="0" w:color="auto"/>
            <w:left w:val="none" w:sz="0" w:space="0" w:color="auto"/>
            <w:bottom w:val="none" w:sz="0" w:space="0" w:color="auto"/>
            <w:right w:val="none" w:sz="0" w:space="0" w:color="auto"/>
          </w:divBdr>
        </w:div>
        <w:div w:id="532613968">
          <w:marLeft w:val="0"/>
          <w:marRight w:val="0"/>
          <w:marTop w:val="0"/>
          <w:marBottom w:val="0"/>
          <w:divBdr>
            <w:top w:val="none" w:sz="0" w:space="0" w:color="auto"/>
            <w:left w:val="none" w:sz="0" w:space="0" w:color="auto"/>
            <w:bottom w:val="none" w:sz="0" w:space="0" w:color="auto"/>
            <w:right w:val="none" w:sz="0" w:space="0" w:color="auto"/>
          </w:divBdr>
        </w:div>
        <w:div w:id="2016224995">
          <w:marLeft w:val="0"/>
          <w:marRight w:val="0"/>
          <w:marTop w:val="0"/>
          <w:marBottom w:val="0"/>
          <w:divBdr>
            <w:top w:val="none" w:sz="0" w:space="0" w:color="auto"/>
            <w:left w:val="none" w:sz="0" w:space="0" w:color="auto"/>
            <w:bottom w:val="none" w:sz="0" w:space="0" w:color="auto"/>
            <w:right w:val="none" w:sz="0" w:space="0" w:color="auto"/>
          </w:divBdr>
        </w:div>
        <w:div w:id="1412123920">
          <w:marLeft w:val="0"/>
          <w:marRight w:val="0"/>
          <w:marTop w:val="0"/>
          <w:marBottom w:val="0"/>
          <w:divBdr>
            <w:top w:val="none" w:sz="0" w:space="0" w:color="auto"/>
            <w:left w:val="none" w:sz="0" w:space="0" w:color="auto"/>
            <w:bottom w:val="none" w:sz="0" w:space="0" w:color="auto"/>
            <w:right w:val="none" w:sz="0" w:space="0" w:color="auto"/>
          </w:divBdr>
        </w:div>
        <w:div w:id="1966888353">
          <w:marLeft w:val="0"/>
          <w:marRight w:val="0"/>
          <w:marTop w:val="0"/>
          <w:marBottom w:val="0"/>
          <w:divBdr>
            <w:top w:val="none" w:sz="0" w:space="0" w:color="auto"/>
            <w:left w:val="none" w:sz="0" w:space="0" w:color="auto"/>
            <w:bottom w:val="none" w:sz="0" w:space="0" w:color="auto"/>
            <w:right w:val="none" w:sz="0" w:space="0" w:color="auto"/>
          </w:divBdr>
        </w:div>
        <w:div w:id="464466622">
          <w:marLeft w:val="0"/>
          <w:marRight w:val="0"/>
          <w:marTop w:val="0"/>
          <w:marBottom w:val="0"/>
          <w:divBdr>
            <w:top w:val="none" w:sz="0" w:space="0" w:color="auto"/>
            <w:left w:val="none" w:sz="0" w:space="0" w:color="auto"/>
            <w:bottom w:val="none" w:sz="0" w:space="0" w:color="auto"/>
            <w:right w:val="none" w:sz="0" w:space="0" w:color="auto"/>
          </w:divBdr>
        </w:div>
        <w:div w:id="671839304">
          <w:marLeft w:val="0"/>
          <w:marRight w:val="0"/>
          <w:marTop w:val="0"/>
          <w:marBottom w:val="0"/>
          <w:divBdr>
            <w:top w:val="none" w:sz="0" w:space="0" w:color="auto"/>
            <w:left w:val="none" w:sz="0" w:space="0" w:color="auto"/>
            <w:bottom w:val="none" w:sz="0" w:space="0" w:color="auto"/>
            <w:right w:val="none" w:sz="0" w:space="0" w:color="auto"/>
          </w:divBdr>
        </w:div>
        <w:div w:id="496379986">
          <w:marLeft w:val="0"/>
          <w:marRight w:val="0"/>
          <w:marTop w:val="0"/>
          <w:marBottom w:val="0"/>
          <w:divBdr>
            <w:top w:val="none" w:sz="0" w:space="0" w:color="auto"/>
            <w:left w:val="none" w:sz="0" w:space="0" w:color="auto"/>
            <w:bottom w:val="none" w:sz="0" w:space="0" w:color="auto"/>
            <w:right w:val="none" w:sz="0" w:space="0" w:color="auto"/>
          </w:divBdr>
        </w:div>
        <w:div w:id="1604417957">
          <w:marLeft w:val="0"/>
          <w:marRight w:val="0"/>
          <w:marTop w:val="0"/>
          <w:marBottom w:val="0"/>
          <w:divBdr>
            <w:top w:val="none" w:sz="0" w:space="0" w:color="auto"/>
            <w:left w:val="none" w:sz="0" w:space="0" w:color="auto"/>
            <w:bottom w:val="none" w:sz="0" w:space="0" w:color="auto"/>
            <w:right w:val="none" w:sz="0" w:space="0" w:color="auto"/>
          </w:divBdr>
        </w:div>
      </w:divsChild>
    </w:div>
    <w:div w:id="1500387115">
      <w:bodyDiv w:val="1"/>
      <w:marLeft w:val="0"/>
      <w:marRight w:val="0"/>
      <w:marTop w:val="0"/>
      <w:marBottom w:val="0"/>
      <w:divBdr>
        <w:top w:val="none" w:sz="0" w:space="0" w:color="auto"/>
        <w:left w:val="none" w:sz="0" w:space="0" w:color="auto"/>
        <w:bottom w:val="none" w:sz="0" w:space="0" w:color="auto"/>
        <w:right w:val="none" w:sz="0" w:space="0" w:color="auto"/>
      </w:divBdr>
      <w:divsChild>
        <w:div w:id="1760524234">
          <w:marLeft w:val="0"/>
          <w:marRight w:val="0"/>
          <w:marTop w:val="0"/>
          <w:marBottom w:val="300"/>
          <w:divBdr>
            <w:top w:val="none" w:sz="0" w:space="0" w:color="auto"/>
            <w:left w:val="none" w:sz="0" w:space="0" w:color="auto"/>
            <w:bottom w:val="none" w:sz="0" w:space="0" w:color="auto"/>
            <w:right w:val="none" w:sz="0" w:space="0" w:color="auto"/>
          </w:divBdr>
          <w:divsChild>
            <w:div w:id="1918199204">
              <w:marLeft w:val="0"/>
              <w:marRight w:val="0"/>
              <w:marTop w:val="0"/>
              <w:marBottom w:val="0"/>
              <w:divBdr>
                <w:top w:val="none" w:sz="0" w:space="0" w:color="auto"/>
                <w:left w:val="none" w:sz="0" w:space="0" w:color="auto"/>
                <w:bottom w:val="none" w:sz="0" w:space="0" w:color="auto"/>
                <w:right w:val="none" w:sz="0" w:space="0" w:color="auto"/>
              </w:divBdr>
              <w:divsChild>
                <w:div w:id="872694411">
                  <w:marLeft w:val="0"/>
                  <w:marRight w:val="0"/>
                  <w:marTop w:val="0"/>
                  <w:marBottom w:val="0"/>
                  <w:divBdr>
                    <w:top w:val="none" w:sz="0" w:space="0" w:color="auto"/>
                    <w:left w:val="none" w:sz="0" w:space="0" w:color="auto"/>
                    <w:bottom w:val="none" w:sz="0" w:space="0" w:color="auto"/>
                    <w:right w:val="none" w:sz="0" w:space="0" w:color="auto"/>
                  </w:divBdr>
                  <w:divsChild>
                    <w:div w:id="463474754">
                      <w:marLeft w:val="0"/>
                      <w:marRight w:val="0"/>
                      <w:marTop w:val="0"/>
                      <w:marBottom w:val="0"/>
                      <w:divBdr>
                        <w:top w:val="none" w:sz="0" w:space="0" w:color="auto"/>
                        <w:left w:val="none" w:sz="0" w:space="0" w:color="auto"/>
                        <w:bottom w:val="none" w:sz="0" w:space="0" w:color="auto"/>
                        <w:right w:val="none" w:sz="0" w:space="0" w:color="auto"/>
                      </w:divBdr>
                      <w:divsChild>
                        <w:div w:id="182135450">
                          <w:marLeft w:val="0"/>
                          <w:marRight w:val="0"/>
                          <w:marTop w:val="75"/>
                          <w:marBottom w:val="0"/>
                          <w:divBdr>
                            <w:top w:val="none" w:sz="0" w:space="0" w:color="auto"/>
                            <w:left w:val="none" w:sz="0" w:space="0" w:color="auto"/>
                            <w:bottom w:val="none" w:sz="0" w:space="0" w:color="auto"/>
                            <w:right w:val="none" w:sz="0" w:space="0" w:color="auto"/>
                          </w:divBdr>
                        </w:div>
                        <w:div w:id="980505033">
                          <w:marLeft w:val="0"/>
                          <w:marRight w:val="0"/>
                          <w:marTop w:val="75"/>
                          <w:marBottom w:val="0"/>
                          <w:divBdr>
                            <w:top w:val="none" w:sz="0" w:space="0" w:color="auto"/>
                            <w:left w:val="none" w:sz="0" w:space="0" w:color="auto"/>
                            <w:bottom w:val="none" w:sz="0" w:space="0" w:color="auto"/>
                            <w:right w:val="none" w:sz="0" w:space="0" w:color="auto"/>
                          </w:divBdr>
                          <w:divsChild>
                            <w:div w:id="1664627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19032784">
          <w:marLeft w:val="0"/>
          <w:marRight w:val="0"/>
          <w:marTop w:val="0"/>
          <w:marBottom w:val="300"/>
          <w:divBdr>
            <w:top w:val="none" w:sz="0" w:space="0" w:color="auto"/>
            <w:left w:val="none" w:sz="0" w:space="0" w:color="auto"/>
            <w:bottom w:val="none" w:sz="0" w:space="0" w:color="auto"/>
            <w:right w:val="none" w:sz="0" w:space="0" w:color="auto"/>
          </w:divBdr>
          <w:divsChild>
            <w:div w:id="673801335">
              <w:marLeft w:val="0"/>
              <w:marRight w:val="0"/>
              <w:marTop w:val="0"/>
              <w:marBottom w:val="0"/>
              <w:divBdr>
                <w:top w:val="none" w:sz="0" w:space="0" w:color="auto"/>
                <w:left w:val="none" w:sz="0" w:space="0" w:color="auto"/>
                <w:bottom w:val="none" w:sz="0" w:space="0" w:color="auto"/>
                <w:right w:val="none" w:sz="0" w:space="0" w:color="auto"/>
              </w:divBdr>
              <w:divsChild>
                <w:div w:id="218828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6935904">
          <w:marLeft w:val="0"/>
          <w:marRight w:val="0"/>
          <w:marTop w:val="0"/>
          <w:marBottom w:val="300"/>
          <w:divBdr>
            <w:top w:val="none" w:sz="0" w:space="0" w:color="auto"/>
            <w:left w:val="none" w:sz="0" w:space="0" w:color="auto"/>
            <w:bottom w:val="none" w:sz="0" w:space="0" w:color="auto"/>
            <w:right w:val="none" w:sz="0" w:space="0" w:color="auto"/>
          </w:divBdr>
          <w:divsChild>
            <w:div w:id="1703557745">
              <w:marLeft w:val="0"/>
              <w:marRight w:val="0"/>
              <w:marTop w:val="0"/>
              <w:marBottom w:val="0"/>
              <w:divBdr>
                <w:top w:val="none" w:sz="0" w:space="0" w:color="auto"/>
                <w:left w:val="none" w:sz="0" w:space="0" w:color="auto"/>
                <w:bottom w:val="none" w:sz="0" w:space="0" w:color="auto"/>
                <w:right w:val="none" w:sz="0" w:space="0" w:color="auto"/>
              </w:divBdr>
              <w:divsChild>
                <w:div w:id="770125133">
                  <w:marLeft w:val="0"/>
                  <w:marRight w:val="0"/>
                  <w:marTop w:val="0"/>
                  <w:marBottom w:val="0"/>
                  <w:divBdr>
                    <w:top w:val="none" w:sz="0" w:space="0" w:color="auto"/>
                    <w:left w:val="none" w:sz="0" w:space="0" w:color="auto"/>
                    <w:bottom w:val="none" w:sz="0" w:space="0" w:color="auto"/>
                    <w:right w:val="none" w:sz="0" w:space="0" w:color="auto"/>
                  </w:divBdr>
                  <w:divsChild>
                    <w:div w:id="1085490782">
                      <w:marLeft w:val="0"/>
                      <w:marRight w:val="0"/>
                      <w:marTop w:val="0"/>
                      <w:marBottom w:val="0"/>
                      <w:divBdr>
                        <w:top w:val="none" w:sz="0" w:space="0" w:color="auto"/>
                        <w:left w:val="none" w:sz="0" w:space="0" w:color="auto"/>
                        <w:bottom w:val="none" w:sz="0" w:space="0" w:color="auto"/>
                        <w:right w:val="none" w:sz="0" w:space="0" w:color="auto"/>
                      </w:divBdr>
                      <w:divsChild>
                        <w:div w:id="1989246079">
                          <w:marLeft w:val="0"/>
                          <w:marRight w:val="0"/>
                          <w:marTop w:val="0"/>
                          <w:marBottom w:val="0"/>
                          <w:divBdr>
                            <w:top w:val="none" w:sz="0" w:space="0" w:color="auto"/>
                            <w:left w:val="none" w:sz="0" w:space="0" w:color="auto"/>
                            <w:bottom w:val="none" w:sz="0" w:space="0" w:color="auto"/>
                            <w:right w:val="none" w:sz="0" w:space="0" w:color="auto"/>
                          </w:divBdr>
                          <w:divsChild>
                            <w:div w:id="1203710702">
                              <w:marLeft w:val="0"/>
                              <w:marRight w:val="0"/>
                              <w:marTop w:val="0"/>
                              <w:marBottom w:val="0"/>
                              <w:divBdr>
                                <w:top w:val="none" w:sz="0" w:space="0" w:color="auto"/>
                                <w:left w:val="none" w:sz="0" w:space="0" w:color="auto"/>
                                <w:bottom w:val="none" w:sz="0" w:space="0" w:color="auto"/>
                                <w:right w:val="none" w:sz="0" w:space="0" w:color="auto"/>
                              </w:divBdr>
                              <w:divsChild>
                                <w:div w:id="1628512827">
                                  <w:marLeft w:val="0"/>
                                  <w:marRight w:val="0"/>
                                  <w:marTop w:val="0"/>
                                  <w:marBottom w:val="0"/>
                                  <w:divBdr>
                                    <w:top w:val="none" w:sz="0" w:space="0" w:color="auto"/>
                                    <w:left w:val="none" w:sz="0" w:space="0" w:color="auto"/>
                                    <w:bottom w:val="none" w:sz="0" w:space="0" w:color="auto"/>
                                    <w:right w:val="none" w:sz="0" w:space="0" w:color="auto"/>
                                  </w:divBdr>
                                  <w:divsChild>
                                    <w:div w:id="480314968">
                                      <w:marLeft w:val="0"/>
                                      <w:marRight w:val="0"/>
                                      <w:marTop w:val="0"/>
                                      <w:marBottom w:val="300"/>
                                      <w:divBdr>
                                        <w:top w:val="none" w:sz="0" w:space="0" w:color="auto"/>
                                        <w:left w:val="none" w:sz="0" w:space="0" w:color="auto"/>
                                        <w:bottom w:val="none" w:sz="0" w:space="0" w:color="auto"/>
                                        <w:right w:val="none" w:sz="0" w:space="0" w:color="auto"/>
                                      </w:divBdr>
                                      <w:divsChild>
                                        <w:div w:id="1080910168">
                                          <w:marLeft w:val="0"/>
                                          <w:marRight w:val="0"/>
                                          <w:marTop w:val="0"/>
                                          <w:marBottom w:val="0"/>
                                          <w:divBdr>
                                            <w:top w:val="none" w:sz="0" w:space="0" w:color="auto"/>
                                            <w:left w:val="none" w:sz="0" w:space="0" w:color="auto"/>
                                            <w:bottom w:val="none" w:sz="0" w:space="0" w:color="auto"/>
                                            <w:right w:val="none" w:sz="0" w:space="0" w:color="auto"/>
                                          </w:divBdr>
                                          <w:divsChild>
                                            <w:div w:id="1046293802">
                                              <w:marLeft w:val="0"/>
                                              <w:marRight w:val="0"/>
                                              <w:marTop w:val="0"/>
                                              <w:marBottom w:val="0"/>
                                              <w:divBdr>
                                                <w:top w:val="none" w:sz="0" w:space="0" w:color="auto"/>
                                                <w:left w:val="none" w:sz="0" w:space="0" w:color="auto"/>
                                                <w:bottom w:val="none" w:sz="0" w:space="0" w:color="auto"/>
                                                <w:right w:val="none" w:sz="0" w:space="0" w:color="auto"/>
                                              </w:divBdr>
                                              <w:divsChild>
                                                <w:div w:id="1856767542">
                                                  <w:marLeft w:val="0"/>
                                                  <w:marRight w:val="0"/>
                                                  <w:marTop w:val="0"/>
                                                  <w:marBottom w:val="0"/>
                                                  <w:divBdr>
                                                    <w:top w:val="none" w:sz="0" w:space="0" w:color="auto"/>
                                                    <w:left w:val="none" w:sz="0" w:space="0" w:color="auto"/>
                                                    <w:bottom w:val="none" w:sz="0" w:space="0" w:color="auto"/>
                                                    <w:right w:val="none" w:sz="0" w:space="0" w:color="auto"/>
                                                  </w:divBdr>
                                                  <w:divsChild>
                                                    <w:div w:id="776800049">
                                                      <w:marLeft w:val="0"/>
                                                      <w:marRight w:val="0"/>
                                                      <w:marTop w:val="0"/>
                                                      <w:marBottom w:val="0"/>
                                                      <w:divBdr>
                                                        <w:top w:val="none" w:sz="0" w:space="0" w:color="auto"/>
                                                        <w:left w:val="none" w:sz="0" w:space="0" w:color="auto"/>
                                                        <w:bottom w:val="none" w:sz="0" w:space="0" w:color="auto"/>
                                                        <w:right w:val="none" w:sz="0" w:space="0" w:color="auto"/>
                                                      </w:divBdr>
                                                      <w:divsChild>
                                                        <w:div w:id="1528523013">
                                                          <w:marLeft w:val="0"/>
                                                          <w:marRight w:val="0"/>
                                                          <w:marTop w:val="0"/>
                                                          <w:marBottom w:val="0"/>
                                                          <w:divBdr>
                                                            <w:top w:val="none" w:sz="0" w:space="0" w:color="auto"/>
                                                            <w:left w:val="none" w:sz="0" w:space="0" w:color="auto"/>
                                                            <w:bottom w:val="none" w:sz="0" w:space="0" w:color="auto"/>
                                                            <w:right w:val="none" w:sz="0" w:space="0" w:color="auto"/>
                                                          </w:divBdr>
                                                          <w:divsChild>
                                                            <w:div w:id="1685087108">
                                                              <w:marLeft w:val="0"/>
                                                              <w:marRight w:val="0"/>
                                                              <w:marTop w:val="0"/>
                                                              <w:marBottom w:val="0"/>
                                                              <w:divBdr>
                                                                <w:top w:val="none" w:sz="0" w:space="0" w:color="auto"/>
                                                                <w:left w:val="none" w:sz="0" w:space="0" w:color="auto"/>
                                                                <w:bottom w:val="none" w:sz="0" w:space="0" w:color="auto"/>
                                                                <w:right w:val="none" w:sz="0" w:space="0" w:color="auto"/>
                                                              </w:divBdr>
                                                            </w:div>
                                                          </w:divsChild>
                                                        </w:div>
                                                        <w:div w:id="129982024">
                                                          <w:marLeft w:val="0"/>
                                                          <w:marRight w:val="0"/>
                                                          <w:marTop w:val="0"/>
                                                          <w:marBottom w:val="0"/>
                                                          <w:divBdr>
                                                            <w:top w:val="none" w:sz="0" w:space="0" w:color="auto"/>
                                                            <w:left w:val="none" w:sz="0" w:space="0" w:color="auto"/>
                                                            <w:bottom w:val="none" w:sz="0" w:space="0" w:color="auto"/>
                                                            <w:right w:val="none" w:sz="0" w:space="0" w:color="auto"/>
                                                          </w:divBdr>
                                                        </w:div>
                                                        <w:div w:id="260726307">
                                                          <w:marLeft w:val="0"/>
                                                          <w:marRight w:val="0"/>
                                                          <w:marTop w:val="0"/>
                                                          <w:marBottom w:val="0"/>
                                                          <w:divBdr>
                                                            <w:top w:val="none" w:sz="0" w:space="0" w:color="auto"/>
                                                            <w:left w:val="none" w:sz="0" w:space="0" w:color="auto"/>
                                                            <w:bottom w:val="none" w:sz="0" w:space="0" w:color="auto"/>
                                                            <w:right w:val="none" w:sz="0" w:space="0" w:color="auto"/>
                                                          </w:divBdr>
                                                          <w:divsChild>
                                                            <w:div w:id="1427144001">
                                                              <w:marLeft w:val="0"/>
                                                              <w:marRight w:val="0"/>
                                                              <w:marTop w:val="0"/>
                                                              <w:marBottom w:val="0"/>
                                                              <w:divBdr>
                                                                <w:top w:val="none" w:sz="0" w:space="0" w:color="auto"/>
                                                                <w:left w:val="none" w:sz="0" w:space="0" w:color="auto"/>
                                                                <w:bottom w:val="none" w:sz="0" w:space="0" w:color="auto"/>
                                                                <w:right w:val="none" w:sz="0" w:space="0" w:color="auto"/>
                                                              </w:divBdr>
                                                              <w:divsChild>
                                                                <w:div w:id="533925116">
                                                                  <w:marLeft w:val="-225"/>
                                                                  <w:marRight w:val="-225"/>
                                                                  <w:marTop w:val="375"/>
                                                                  <w:marBottom w:val="375"/>
                                                                  <w:divBdr>
                                                                    <w:top w:val="none" w:sz="0" w:space="8" w:color="DCDCDC"/>
                                                                    <w:left w:val="none" w:sz="0" w:space="8" w:color="DCDCDC"/>
                                                                    <w:bottom w:val="single" w:sz="12" w:space="8" w:color="DCDCDC"/>
                                                                    <w:right w:val="none" w:sz="0" w:space="8" w:color="DCDCDC"/>
                                                                  </w:divBdr>
                                                                  <w:divsChild>
                                                                    <w:div w:id="1680278820">
                                                                      <w:marLeft w:val="0"/>
                                                                      <w:marRight w:val="0"/>
                                                                      <w:marTop w:val="0"/>
                                                                      <w:marBottom w:val="0"/>
                                                                      <w:divBdr>
                                                                        <w:top w:val="none" w:sz="0" w:space="0" w:color="auto"/>
                                                                        <w:left w:val="none" w:sz="0" w:space="0" w:color="auto"/>
                                                                        <w:bottom w:val="none" w:sz="0" w:space="0" w:color="auto"/>
                                                                        <w:right w:val="none" w:sz="0" w:space="0" w:color="auto"/>
                                                                      </w:divBdr>
                                                                      <w:divsChild>
                                                                        <w:div w:id="533929345">
                                                                          <w:marLeft w:val="0"/>
                                                                          <w:marRight w:val="0"/>
                                                                          <w:marTop w:val="0"/>
                                                                          <w:marBottom w:val="0"/>
                                                                          <w:divBdr>
                                                                            <w:top w:val="none" w:sz="0" w:space="0" w:color="auto"/>
                                                                            <w:left w:val="none" w:sz="0" w:space="0" w:color="auto"/>
                                                                            <w:bottom w:val="none" w:sz="0" w:space="0" w:color="auto"/>
                                                                            <w:right w:val="none" w:sz="0" w:space="0" w:color="auto"/>
                                                                          </w:divBdr>
                                                                        </w:div>
                                                                      </w:divsChild>
                                                                    </w:div>
                                                                    <w:div w:id="2047631711">
                                                                      <w:marLeft w:val="0"/>
                                                                      <w:marRight w:val="0"/>
                                                                      <w:marTop w:val="0"/>
                                                                      <w:marBottom w:val="0"/>
                                                                      <w:divBdr>
                                                                        <w:top w:val="none" w:sz="0" w:space="0" w:color="auto"/>
                                                                        <w:left w:val="none" w:sz="0" w:space="0" w:color="auto"/>
                                                                        <w:bottom w:val="none" w:sz="0" w:space="0" w:color="auto"/>
                                                                        <w:right w:val="none" w:sz="0" w:space="0" w:color="auto"/>
                                                                      </w:divBdr>
                                                                    </w:div>
                                                                  </w:divsChild>
                                                                </w:div>
                                                                <w:div w:id="716587032">
                                                                  <w:marLeft w:val="0"/>
                                                                  <w:marRight w:val="0"/>
                                                                  <w:marTop w:val="0"/>
                                                                  <w:marBottom w:val="0"/>
                                                                  <w:divBdr>
                                                                    <w:top w:val="none" w:sz="0" w:space="0" w:color="auto"/>
                                                                    <w:left w:val="none" w:sz="0" w:space="0" w:color="auto"/>
                                                                    <w:bottom w:val="none" w:sz="0" w:space="0" w:color="auto"/>
                                                                    <w:right w:val="none" w:sz="0" w:space="0" w:color="auto"/>
                                                                  </w:divBdr>
                                                                </w:div>
                                                                <w:div w:id="74330394">
                                                                  <w:marLeft w:val="0"/>
                                                                  <w:marRight w:val="0"/>
                                                                  <w:marTop w:val="0"/>
                                                                  <w:marBottom w:val="0"/>
                                                                  <w:divBdr>
                                                                    <w:top w:val="none" w:sz="0" w:space="0" w:color="auto"/>
                                                                    <w:left w:val="none" w:sz="0" w:space="0" w:color="auto"/>
                                                                    <w:bottom w:val="none" w:sz="0" w:space="0" w:color="auto"/>
                                                                    <w:right w:val="none" w:sz="0" w:space="0" w:color="auto"/>
                                                                  </w:divBdr>
                                                                </w:div>
                                                                <w:div w:id="1158032550">
                                                                  <w:marLeft w:val="0"/>
                                                                  <w:marRight w:val="0"/>
                                                                  <w:marTop w:val="0"/>
                                                                  <w:marBottom w:val="0"/>
                                                                  <w:divBdr>
                                                                    <w:top w:val="none" w:sz="0" w:space="0" w:color="auto"/>
                                                                    <w:left w:val="none" w:sz="0" w:space="0" w:color="auto"/>
                                                                    <w:bottom w:val="none" w:sz="0" w:space="0" w:color="auto"/>
                                                                    <w:right w:val="none" w:sz="0" w:space="0" w:color="auto"/>
                                                                  </w:divBdr>
                                                                </w:div>
                                                                <w:div w:id="2071995513">
                                                                  <w:marLeft w:val="0"/>
                                                                  <w:marRight w:val="0"/>
                                                                  <w:marTop w:val="0"/>
                                                                  <w:marBottom w:val="0"/>
                                                                  <w:divBdr>
                                                                    <w:top w:val="none" w:sz="0" w:space="0" w:color="auto"/>
                                                                    <w:left w:val="none" w:sz="0" w:space="0" w:color="auto"/>
                                                                    <w:bottom w:val="none" w:sz="0" w:space="0" w:color="auto"/>
                                                                    <w:right w:val="none" w:sz="0" w:space="0" w:color="auto"/>
                                                                  </w:divBdr>
                                                                </w:div>
                                                              </w:divsChild>
                                                            </w:div>
                                                            <w:div w:id="473913170">
                                                              <w:marLeft w:val="0"/>
                                                              <w:marRight w:val="0"/>
                                                              <w:marTop w:val="0"/>
                                                              <w:marBottom w:val="0"/>
                                                              <w:divBdr>
                                                                <w:top w:val="none" w:sz="0" w:space="0" w:color="auto"/>
                                                                <w:left w:val="none" w:sz="0" w:space="0" w:color="auto"/>
                                                                <w:bottom w:val="none" w:sz="0" w:space="0" w:color="auto"/>
                                                                <w:right w:val="none" w:sz="0" w:space="0" w:color="auto"/>
                                                              </w:divBdr>
                                                              <w:divsChild>
                                                                <w:div w:id="1292983172">
                                                                  <w:marLeft w:val="0"/>
                                                                  <w:marRight w:val="0"/>
                                                                  <w:marTop w:val="0"/>
                                                                  <w:marBottom w:val="0"/>
                                                                  <w:divBdr>
                                                                    <w:top w:val="none" w:sz="0" w:space="0" w:color="auto"/>
                                                                    <w:left w:val="none" w:sz="0" w:space="0" w:color="auto"/>
                                                                    <w:bottom w:val="none" w:sz="0" w:space="0" w:color="auto"/>
                                                                    <w:right w:val="none" w:sz="0" w:space="0" w:color="auto"/>
                                                                  </w:divBdr>
                                                                </w:div>
                                                                <w:div w:id="1922519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741256">
                                                          <w:marLeft w:val="0"/>
                                                          <w:marRight w:val="0"/>
                                                          <w:marTop w:val="0"/>
                                                          <w:marBottom w:val="0"/>
                                                          <w:divBdr>
                                                            <w:top w:val="none" w:sz="0" w:space="0" w:color="auto"/>
                                                            <w:left w:val="none" w:sz="0" w:space="0" w:color="auto"/>
                                                            <w:bottom w:val="none" w:sz="0" w:space="0" w:color="auto"/>
                                                            <w:right w:val="none" w:sz="0" w:space="0" w:color="auto"/>
                                                          </w:divBdr>
                                                        </w:div>
                                                        <w:div w:id="1004624137">
                                                          <w:marLeft w:val="0"/>
                                                          <w:marRight w:val="0"/>
                                                          <w:marTop w:val="0"/>
                                                          <w:marBottom w:val="0"/>
                                                          <w:divBdr>
                                                            <w:top w:val="none" w:sz="0" w:space="0" w:color="auto"/>
                                                            <w:left w:val="none" w:sz="0" w:space="0" w:color="auto"/>
                                                            <w:bottom w:val="none" w:sz="0" w:space="0" w:color="auto"/>
                                                            <w:right w:val="none" w:sz="0" w:space="0" w:color="auto"/>
                                                          </w:divBdr>
                                                          <w:divsChild>
                                                            <w:div w:id="1826509832">
                                                              <w:marLeft w:val="0"/>
                                                              <w:marRight w:val="0"/>
                                                              <w:marTop w:val="0"/>
                                                              <w:marBottom w:val="0"/>
                                                              <w:divBdr>
                                                                <w:top w:val="none" w:sz="0" w:space="0" w:color="auto"/>
                                                                <w:left w:val="none" w:sz="0" w:space="0" w:color="auto"/>
                                                                <w:bottom w:val="none" w:sz="0" w:space="0" w:color="auto"/>
                                                                <w:right w:val="none" w:sz="0" w:space="0" w:color="auto"/>
                                                              </w:divBdr>
                                                              <w:divsChild>
                                                                <w:div w:id="2085106137">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2042707845">
                                                                      <w:marLeft w:val="225"/>
                                                                      <w:marRight w:val="0"/>
                                                                      <w:marTop w:val="0"/>
                                                                      <w:marBottom w:val="0"/>
                                                                      <w:divBdr>
                                                                        <w:top w:val="none" w:sz="0" w:space="0" w:color="auto"/>
                                                                        <w:left w:val="none" w:sz="0" w:space="0" w:color="auto"/>
                                                                        <w:bottom w:val="none" w:sz="0" w:space="0" w:color="auto"/>
                                                                        <w:right w:val="none" w:sz="0" w:space="0" w:color="auto"/>
                                                                      </w:divBdr>
                                                                      <w:divsChild>
                                                                        <w:div w:id="765005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0405804">
                                                              <w:marLeft w:val="0"/>
                                                              <w:marRight w:val="0"/>
                                                              <w:marTop w:val="0"/>
                                                              <w:marBottom w:val="0"/>
                                                              <w:divBdr>
                                                                <w:top w:val="none" w:sz="0" w:space="0" w:color="auto"/>
                                                                <w:left w:val="none" w:sz="0" w:space="0" w:color="auto"/>
                                                                <w:bottom w:val="none" w:sz="0" w:space="0" w:color="auto"/>
                                                                <w:right w:val="none" w:sz="0" w:space="0" w:color="auto"/>
                                                              </w:divBdr>
                                                              <w:divsChild>
                                                                <w:div w:id="733771193">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49910384">
                                                                      <w:marLeft w:val="225"/>
                                                                      <w:marRight w:val="0"/>
                                                                      <w:marTop w:val="0"/>
                                                                      <w:marBottom w:val="0"/>
                                                                      <w:divBdr>
                                                                        <w:top w:val="none" w:sz="0" w:space="0" w:color="auto"/>
                                                                        <w:left w:val="none" w:sz="0" w:space="0" w:color="auto"/>
                                                                        <w:bottom w:val="none" w:sz="0" w:space="0" w:color="auto"/>
                                                                        <w:right w:val="none" w:sz="0" w:space="0" w:color="auto"/>
                                                                      </w:divBdr>
                                                                      <w:divsChild>
                                                                        <w:div w:id="1158033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7724046">
                                                              <w:marLeft w:val="0"/>
                                                              <w:marRight w:val="0"/>
                                                              <w:marTop w:val="0"/>
                                                              <w:marBottom w:val="0"/>
                                                              <w:divBdr>
                                                                <w:top w:val="none" w:sz="0" w:space="0" w:color="auto"/>
                                                                <w:left w:val="none" w:sz="0" w:space="0" w:color="auto"/>
                                                                <w:bottom w:val="none" w:sz="0" w:space="0" w:color="auto"/>
                                                                <w:right w:val="none" w:sz="0" w:space="0" w:color="auto"/>
                                                              </w:divBdr>
                                                              <w:divsChild>
                                                                <w:div w:id="1388412919">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639460218">
                                                                      <w:marLeft w:val="225"/>
                                                                      <w:marRight w:val="0"/>
                                                                      <w:marTop w:val="0"/>
                                                                      <w:marBottom w:val="0"/>
                                                                      <w:divBdr>
                                                                        <w:top w:val="none" w:sz="0" w:space="0" w:color="auto"/>
                                                                        <w:left w:val="none" w:sz="0" w:space="0" w:color="auto"/>
                                                                        <w:bottom w:val="none" w:sz="0" w:space="0" w:color="auto"/>
                                                                        <w:right w:val="none" w:sz="0" w:space="0" w:color="auto"/>
                                                                      </w:divBdr>
                                                                      <w:divsChild>
                                                                        <w:div w:id="838546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7484243">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228808165">
                                                                      <w:marLeft w:val="225"/>
                                                                      <w:marRight w:val="0"/>
                                                                      <w:marTop w:val="0"/>
                                                                      <w:marBottom w:val="0"/>
                                                                      <w:divBdr>
                                                                        <w:top w:val="none" w:sz="0" w:space="0" w:color="auto"/>
                                                                        <w:left w:val="none" w:sz="0" w:space="0" w:color="auto"/>
                                                                        <w:bottom w:val="none" w:sz="0" w:space="0" w:color="auto"/>
                                                                        <w:right w:val="none" w:sz="0" w:space="0" w:color="auto"/>
                                                                      </w:divBdr>
                                                                      <w:divsChild>
                                                                        <w:div w:id="484593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5889890">
                                                              <w:marLeft w:val="0"/>
                                                              <w:marRight w:val="0"/>
                                                              <w:marTop w:val="0"/>
                                                              <w:marBottom w:val="0"/>
                                                              <w:divBdr>
                                                                <w:top w:val="none" w:sz="0" w:space="0" w:color="auto"/>
                                                                <w:left w:val="none" w:sz="0" w:space="0" w:color="auto"/>
                                                                <w:bottom w:val="none" w:sz="0" w:space="0" w:color="auto"/>
                                                                <w:right w:val="none" w:sz="0" w:space="0" w:color="auto"/>
                                                              </w:divBdr>
                                                            </w:div>
                                                            <w:div w:id="254484247">
                                                              <w:marLeft w:val="0"/>
                                                              <w:marRight w:val="0"/>
                                                              <w:marTop w:val="0"/>
                                                              <w:marBottom w:val="0"/>
                                                              <w:divBdr>
                                                                <w:top w:val="none" w:sz="0" w:space="0" w:color="auto"/>
                                                                <w:left w:val="none" w:sz="0" w:space="0" w:color="auto"/>
                                                                <w:bottom w:val="none" w:sz="0" w:space="0" w:color="auto"/>
                                                                <w:right w:val="none" w:sz="0" w:space="0" w:color="auto"/>
                                                              </w:divBdr>
                                                              <w:divsChild>
                                                                <w:div w:id="1622690666">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723484785">
                                                                      <w:marLeft w:val="225"/>
                                                                      <w:marRight w:val="0"/>
                                                                      <w:marTop w:val="0"/>
                                                                      <w:marBottom w:val="0"/>
                                                                      <w:divBdr>
                                                                        <w:top w:val="none" w:sz="0" w:space="0" w:color="auto"/>
                                                                        <w:left w:val="none" w:sz="0" w:space="0" w:color="auto"/>
                                                                        <w:bottom w:val="none" w:sz="0" w:space="0" w:color="auto"/>
                                                                        <w:right w:val="none" w:sz="0" w:space="0" w:color="auto"/>
                                                                      </w:divBdr>
                                                                      <w:divsChild>
                                                                        <w:div w:id="386992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0150808">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040058351">
                                                                      <w:marLeft w:val="225"/>
                                                                      <w:marRight w:val="0"/>
                                                                      <w:marTop w:val="0"/>
                                                                      <w:marBottom w:val="0"/>
                                                                      <w:divBdr>
                                                                        <w:top w:val="none" w:sz="0" w:space="0" w:color="auto"/>
                                                                        <w:left w:val="none" w:sz="0" w:space="0" w:color="auto"/>
                                                                        <w:bottom w:val="none" w:sz="0" w:space="0" w:color="auto"/>
                                                                        <w:right w:val="none" w:sz="0" w:space="0" w:color="auto"/>
                                                                      </w:divBdr>
                                                                      <w:divsChild>
                                                                        <w:div w:id="1823110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6244751">
                                                                  <w:marLeft w:val="-225"/>
                                                                  <w:marRight w:val="-225"/>
                                                                  <w:marTop w:val="375"/>
                                                                  <w:marBottom w:val="375"/>
                                                                  <w:divBdr>
                                                                    <w:top w:val="none" w:sz="0" w:space="8" w:color="DCDCDC"/>
                                                                    <w:left w:val="none" w:sz="0" w:space="8" w:color="DCDCDC"/>
                                                                    <w:bottom w:val="single" w:sz="12" w:space="8" w:color="DCDCDC"/>
                                                                    <w:right w:val="none" w:sz="0" w:space="8" w:color="DCDCDC"/>
                                                                  </w:divBdr>
                                                                  <w:divsChild>
                                                                    <w:div w:id="872229003">
                                                                      <w:marLeft w:val="0"/>
                                                                      <w:marRight w:val="0"/>
                                                                      <w:marTop w:val="0"/>
                                                                      <w:marBottom w:val="0"/>
                                                                      <w:divBdr>
                                                                        <w:top w:val="none" w:sz="0" w:space="0" w:color="auto"/>
                                                                        <w:left w:val="none" w:sz="0" w:space="0" w:color="auto"/>
                                                                        <w:bottom w:val="none" w:sz="0" w:space="0" w:color="auto"/>
                                                                        <w:right w:val="none" w:sz="0" w:space="0" w:color="auto"/>
                                                                      </w:divBdr>
                                                                      <w:divsChild>
                                                                        <w:div w:id="506363804">
                                                                          <w:marLeft w:val="0"/>
                                                                          <w:marRight w:val="0"/>
                                                                          <w:marTop w:val="0"/>
                                                                          <w:marBottom w:val="0"/>
                                                                          <w:divBdr>
                                                                            <w:top w:val="none" w:sz="0" w:space="0" w:color="auto"/>
                                                                            <w:left w:val="none" w:sz="0" w:space="0" w:color="auto"/>
                                                                            <w:bottom w:val="none" w:sz="0" w:space="0" w:color="auto"/>
                                                                            <w:right w:val="none" w:sz="0" w:space="0" w:color="auto"/>
                                                                          </w:divBdr>
                                                                        </w:div>
                                                                      </w:divsChild>
                                                                    </w:div>
                                                                    <w:div w:id="1371565822">
                                                                      <w:marLeft w:val="0"/>
                                                                      <w:marRight w:val="0"/>
                                                                      <w:marTop w:val="0"/>
                                                                      <w:marBottom w:val="0"/>
                                                                      <w:divBdr>
                                                                        <w:top w:val="none" w:sz="0" w:space="0" w:color="auto"/>
                                                                        <w:left w:val="none" w:sz="0" w:space="0" w:color="auto"/>
                                                                        <w:bottom w:val="none" w:sz="0" w:space="0" w:color="auto"/>
                                                                        <w:right w:val="none" w:sz="0" w:space="0" w:color="auto"/>
                                                                      </w:divBdr>
                                                                    </w:div>
                                                                  </w:divsChild>
                                                                </w:div>
                                                                <w:div w:id="241111342">
                                                                  <w:marLeft w:val="-225"/>
                                                                  <w:marRight w:val="-225"/>
                                                                  <w:marTop w:val="375"/>
                                                                  <w:marBottom w:val="375"/>
                                                                  <w:divBdr>
                                                                    <w:top w:val="none" w:sz="0" w:space="8" w:color="DCDCDC"/>
                                                                    <w:left w:val="none" w:sz="0" w:space="8" w:color="DCDCDC"/>
                                                                    <w:bottom w:val="single" w:sz="12" w:space="8" w:color="DCDCDC"/>
                                                                    <w:right w:val="none" w:sz="0" w:space="8" w:color="DCDCDC"/>
                                                                  </w:divBdr>
                                                                  <w:divsChild>
                                                                    <w:div w:id="1079861954">
                                                                      <w:marLeft w:val="0"/>
                                                                      <w:marRight w:val="0"/>
                                                                      <w:marTop w:val="0"/>
                                                                      <w:marBottom w:val="0"/>
                                                                      <w:divBdr>
                                                                        <w:top w:val="none" w:sz="0" w:space="0" w:color="auto"/>
                                                                        <w:left w:val="none" w:sz="0" w:space="0" w:color="auto"/>
                                                                        <w:bottom w:val="none" w:sz="0" w:space="0" w:color="auto"/>
                                                                        <w:right w:val="none" w:sz="0" w:space="0" w:color="auto"/>
                                                                      </w:divBdr>
                                                                      <w:divsChild>
                                                                        <w:div w:id="843277968">
                                                                          <w:marLeft w:val="0"/>
                                                                          <w:marRight w:val="0"/>
                                                                          <w:marTop w:val="0"/>
                                                                          <w:marBottom w:val="0"/>
                                                                          <w:divBdr>
                                                                            <w:top w:val="none" w:sz="0" w:space="0" w:color="auto"/>
                                                                            <w:left w:val="none" w:sz="0" w:space="0" w:color="auto"/>
                                                                            <w:bottom w:val="none" w:sz="0" w:space="0" w:color="auto"/>
                                                                            <w:right w:val="none" w:sz="0" w:space="0" w:color="auto"/>
                                                                          </w:divBdr>
                                                                        </w:div>
                                                                      </w:divsChild>
                                                                    </w:div>
                                                                    <w:div w:id="840967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2329558">
                                                          <w:marLeft w:val="0"/>
                                                          <w:marRight w:val="0"/>
                                                          <w:marTop w:val="0"/>
                                                          <w:marBottom w:val="0"/>
                                                          <w:divBdr>
                                                            <w:top w:val="none" w:sz="0" w:space="0" w:color="auto"/>
                                                            <w:left w:val="none" w:sz="0" w:space="0" w:color="auto"/>
                                                            <w:bottom w:val="none" w:sz="0" w:space="0" w:color="auto"/>
                                                            <w:right w:val="none" w:sz="0" w:space="0" w:color="auto"/>
                                                          </w:divBdr>
                                                        </w:div>
                                                        <w:div w:id="697008072">
                                                          <w:marLeft w:val="0"/>
                                                          <w:marRight w:val="0"/>
                                                          <w:marTop w:val="0"/>
                                                          <w:marBottom w:val="0"/>
                                                          <w:divBdr>
                                                            <w:top w:val="none" w:sz="0" w:space="0" w:color="auto"/>
                                                            <w:left w:val="none" w:sz="0" w:space="0" w:color="auto"/>
                                                            <w:bottom w:val="none" w:sz="0" w:space="0" w:color="auto"/>
                                                            <w:right w:val="none" w:sz="0" w:space="0" w:color="auto"/>
                                                          </w:divBdr>
                                                        </w:div>
                                                        <w:div w:id="1510826626">
                                                          <w:marLeft w:val="0"/>
                                                          <w:marRight w:val="0"/>
                                                          <w:marTop w:val="0"/>
                                                          <w:marBottom w:val="0"/>
                                                          <w:divBdr>
                                                            <w:top w:val="none" w:sz="0" w:space="0" w:color="auto"/>
                                                            <w:left w:val="none" w:sz="0" w:space="0" w:color="auto"/>
                                                            <w:bottom w:val="none" w:sz="0" w:space="0" w:color="auto"/>
                                                            <w:right w:val="none" w:sz="0" w:space="0" w:color="auto"/>
                                                          </w:divBdr>
                                                          <w:divsChild>
                                                            <w:div w:id="1023164012">
                                                              <w:marLeft w:val="0"/>
                                                              <w:marRight w:val="0"/>
                                                              <w:marTop w:val="0"/>
                                                              <w:marBottom w:val="0"/>
                                                              <w:divBdr>
                                                                <w:top w:val="none" w:sz="0" w:space="0" w:color="auto"/>
                                                                <w:left w:val="none" w:sz="0" w:space="0" w:color="auto"/>
                                                                <w:bottom w:val="none" w:sz="0" w:space="0" w:color="auto"/>
                                                                <w:right w:val="none" w:sz="0" w:space="0" w:color="auto"/>
                                                              </w:divBdr>
                                                              <w:divsChild>
                                                                <w:div w:id="797144660">
                                                                  <w:marLeft w:val="0"/>
                                                                  <w:marRight w:val="120"/>
                                                                  <w:marTop w:val="0"/>
                                                                  <w:marBottom w:val="0"/>
                                                                  <w:divBdr>
                                                                    <w:top w:val="none" w:sz="0" w:space="0" w:color="auto"/>
                                                                    <w:left w:val="none" w:sz="0" w:space="0" w:color="auto"/>
                                                                    <w:bottom w:val="none" w:sz="0" w:space="0" w:color="auto"/>
                                                                    <w:right w:val="none" w:sz="0" w:space="0" w:color="auto"/>
                                                                  </w:divBdr>
                                                                </w:div>
                                                                <w:div w:id="332143229">
                                                                  <w:marLeft w:val="0"/>
                                                                  <w:marRight w:val="0"/>
                                                                  <w:marTop w:val="0"/>
                                                                  <w:marBottom w:val="0"/>
                                                                  <w:divBdr>
                                                                    <w:top w:val="none" w:sz="0" w:space="0" w:color="auto"/>
                                                                    <w:left w:val="none" w:sz="0" w:space="0" w:color="auto"/>
                                                                    <w:bottom w:val="none" w:sz="0" w:space="0" w:color="auto"/>
                                                                    <w:right w:val="none" w:sz="0" w:space="0" w:color="auto"/>
                                                                  </w:divBdr>
                                                                </w:div>
                                                              </w:divsChild>
                                                            </w:div>
                                                            <w:div w:id="504790028">
                                                              <w:marLeft w:val="0"/>
                                                              <w:marRight w:val="0"/>
                                                              <w:marTop w:val="0"/>
                                                              <w:marBottom w:val="0"/>
                                                              <w:divBdr>
                                                                <w:top w:val="none" w:sz="0" w:space="0" w:color="auto"/>
                                                                <w:left w:val="none" w:sz="0" w:space="0" w:color="auto"/>
                                                                <w:bottom w:val="none" w:sz="0" w:space="0" w:color="auto"/>
                                                                <w:right w:val="none" w:sz="0" w:space="0" w:color="auto"/>
                                                              </w:divBdr>
                                                              <w:divsChild>
                                                                <w:div w:id="1231229612">
                                                                  <w:marLeft w:val="0"/>
                                                                  <w:marRight w:val="120"/>
                                                                  <w:marTop w:val="0"/>
                                                                  <w:marBottom w:val="0"/>
                                                                  <w:divBdr>
                                                                    <w:top w:val="none" w:sz="0" w:space="0" w:color="auto"/>
                                                                    <w:left w:val="none" w:sz="0" w:space="0" w:color="auto"/>
                                                                    <w:bottom w:val="none" w:sz="0" w:space="0" w:color="auto"/>
                                                                    <w:right w:val="none" w:sz="0" w:space="0" w:color="auto"/>
                                                                  </w:divBdr>
                                                                </w:div>
                                                                <w:div w:id="1357730302">
                                                                  <w:marLeft w:val="0"/>
                                                                  <w:marRight w:val="0"/>
                                                                  <w:marTop w:val="0"/>
                                                                  <w:marBottom w:val="0"/>
                                                                  <w:divBdr>
                                                                    <w:top w:val="none" w:sz="0" w:space="0" w:color="auto"/>
                                                                    <w:left w:val="none" w:sz="0" w:space="0" w:color="auto"/>
                                                                    <w:bottom w:val="none" w:sz="0" w:space="0" w:color="auto"/>
                                                                    <w:right w:val="none" w:sz="0" w:space="0" w:color="auto"/>
                                                                  </w:divBdr>
                                                                </w:div>
                                                              </w:divsChild>
                                                            </w:div>
                                                            <w:div w:id="1273052942">
                                                              <w:marLeft w:val="0"/>
                                                              <w:marRight w:val="0"/>
                                                              <w:marTop w:val="0"/>
                                                              <w:marBottom w:val="0"/>
                                                              <w:divBdr>
                                                                <w:top w:val="none" w:sz="0" w:space="0" w:color="auto"/>
                                                                <w:left w:val="none" w:sz="0" w:space="0" w:color="auto"/>
                                                                <w:bottom w:val="none" w:sz="0" w:space="0" w:color="auto"/>
                                                                <w:right w:val="none" w:sz="0" w:space="0" w:color="auto"/>
                                                              </w:divBdr>
                                                              <w:divsChild>
                                                                <w:div w:id="1955551610">
                                                                  <w:marLeft w:val="0"/>
                                                                  <w:marRight w:val="120"/>
                                                                  <w:marTop w:val="0"/>
                                                                  <w:marBottom w:val="0"/>
                                                                  <w:divBdr>
                                                                    <w:top w:val="none" w:sz="0" w:space="0" w:color="auto"/>
                                                                    <w:left w:val="none" w:sz="0" w:space="0" w:color="auto"/>
                                                                    <w:bottom w:val="none" w:sz="0" w:space="0" w:color="auto"/>
                                                                    <w:right w:val="none" w:sz="0" w:space="0" w:color="auto"/>
                                                                  </w:divBdr>
                                                                </w:div>
                                                                <w:div w:id="1135411779">
                                                                  <w:marLeft w:val="0"/>
                                                                  <w:marRight w:val="0"/>
                                                                  <w:marTop w:val="0"/>
                                                                  <w:marBottom w:val="0"/>
                                                                  <w:divBdr>
                                                                    <w:top w:val="none" w:sz="0" w:space="0" w:color="auto"/>
                                                                    <w:left w:val="none" w:sz="0" w:space="0" w:color="auto"/>
                                                                    <w:bottom w:val="none" w:sz="0" w:space="0" w:color="auto"/>
                                                                    <w:right w:val="none" w:sz="0" w:space="0" w:color="auto"/>
                                                                  </w:divBdr>
                                                                </w:div>
                                                              </w:divsChild>
                                                            </w:div>
                                                            <w:div w:id="2051420228">
                                                              <w:marLeft w:val="0"/>
                                                              <w:marRight w:val="0"/>
                                                              <w:marTop w:val="0"/>
                                                              <w:marBottom w:val="0"/>
                                                              <w:divBdr>
                                                                <w:top w:val="none" w:sz="0" w:space="0" w:color="auto"/>
                                                                <w:left w:val="none" w:sz="0" w:space="0" w:color="auto"/>
                                                                <w:bottom w:val="none" w:sz="0" w:space="0" w:color="auto"/>
                                                                <w:right w:val="none" w:sz="0" w:space="0" w:color="auto"/>
                                                              </w:divBdr>
                                                              <w:divsChild>
                                                                <w:div w:id="499464886">
                                                                  <w:marLeft w:val="0"/>
                                                                  <w:marRight w:val="120"/>
                                                                  <w:marTop w:val="0"/>
                                                                  <w:marBottom w:val="0"/>
                                                                  <w:divBdr>
                                                                    <w:top w:val="none" w:sz="0" w:space="0" w:color="auto"/>
                                                                    <w:left w:val="none" w:sz="0" w:space="0" w:color="auto"/>
                                                                    <w:bottom w:val="none" w:sz="0" w:space="0" w:color="auto"/>
                                                                    <w:right w:val="none" w:sz="0" w:space="0" w:color="auto"/>
                                                                  </w:divBdr>
                                                                </w:div>
                                                                <w:div w:id="1757625722">
                                                                  <w:marLeft w:val="0"/>
                                                                  <w:marRight w:val="0"/>
                                                                  <w:marTop w:val="0"/>
                                                                  <w:marBottom w:val="0"/>
                                                                  <w:divBdr>
                                                                    <w:top w:val="none" w:sz="0" w:space="0" w:color="auto"/>
                                                                    <w:left w:val="none" w:sz="0" w:space="0" w:color="auto"/>
                                                                    <w:bottom w:val="none" w:sz="0" w:space="0" w:color="auto"/>
                                                                    <w:right w:val="none" w:sz="0" w:space="0" w:color="auto"/>
                                                                  </w:divBdr>
                                                                </w:div>
                                                              </w:divsChild>
                                                            </w:div>
                                                            <w:div w:id="447045912">
                                                              <w:marLeft w:val="0"/>
                                                              <w:marRight w:val="0"/>
                                                              <w:marTop w:val="0"/>
                                                              <w:marBottom w:val="0"/>
                                                              <w:divBdr>
                                                                <w:top w:val="none" w:sz="0" w:space="0" w:color="auto"/>
                                                                <w:left w:val="none" w:sz="0" w:space="0" w:color="auto"/>
                                                                <w:bottom w:val="none" w:sz="0" w:space="0" w:color="auto"/>
                                                                <w:right w:val="none" w:sz="0" w:space="0" w:color="auto"/>
                                                              </w:divBdr>
                                                              <w:divsChild>
                                                                <w:div w:id="1089036672">
                                                                  <w:marLeft w:val="0"/>
                                                                  <w:marRight w:val="120"/>
                                                                  <w:marTop w:val="0"/>
                                                                  <w:marBottom w:val="0"/>
                                                                  <w:divBdr>
                                                                    <w:top w:val="none" w:sz="0" w:space="0" w:color="auto"/>
                                                                    <w:left w:val="none" w:sz="0" w:space="0" w:color="auto"/>
                                                                    <w:bottom w:val="none" w:sz="0" w:space="0" w:color="auto"/>
                                                                    <w:right w:val="none" w:sz="0" w:space="0" w:color="auto"/>
                                                                  </w:divBdr>
                                                                </w:div>
                                                                <w:div w:id="2127387341">
                                                                  <w:marLeft w:val="0"/>
                                                                  <w:marRight w:val="0"/>
                                                                  <w:marTop w:val="0"/>
                                                                  <w:marBottom w:val="0"/>
                                                                  <w:divBdr>
                                                                    <w:top w:val="none" w:sz="0" w:space="0" w:color="auto"/>
                                                                    <w:left w:val="none" w:sz="0" w:space="0" w:color="auto"/>
                                                                    <w:bottom w:val="none" w:sz="0" w:space="0" w:color="auto"/>
                                                                    <w:right w:val="none" w:sz="0" w:space="0" w:color="auto"/>
                                                                  </w:divBdr>
                                                                </w:div>
                                                              </w:divsChild>
                                                            </w:div>
                                                            <w:div w:id="424691582">
                                                              <w:marLeft w:val="0"/>
                                                              <w:marRight w:val="0"/>
                                                              <w:marTop w:val="0"/>
                                                              <w:marBottom w:val="0"/>
                                                              <w:divBdr>
                                                                <w:top w:val="none" w:sz="0" w:space="0" w:color="auto"/>
                                                                <w:left w:val="none" w:sz="0" w:space="0" w:color="auto"/>
                                                                <w:bottom w:val="none" w:sz="0" w:space="0" w:color="auto"/>
                                                                <w:right w:val="none" w:sz="0" w:space="0" w:color="auto"/>
                                                              </w:divBdr>
                                                              <w:divsChild>
                                                                <w:div w:id="1880238698">
                                                                  <w:marLeft w:val="0"/>
                                                                  <w:marRight w:val="120"/>
                                                                  <w:marTop w:val="0"/>
                                                                  <w:marBottom w:val="0"/>
                                                                  <w:divBdr>
                                                                    <w:top w:val="none" w:sz="0" w:space="0" w:color="auto"/>
                                                                    <w:left w:val="none" w:sz="0" w:space="0" w:color="auto"/>
                                                                    <w:bottom w:val="none" w:sz="0" w:space="0" w:color="auto"/>
                                                                    <w:right w:val="none" w:sz="0" w:space="0" w:color="auto"/>
                                                                  </w:divBdr>
                                                                </w:div>
                                                                <w:div w:id="1258976148">
                                                                  <w:marLeft w:val="0"/>
                                                                  <w:marRight w:val="0"/>
                                                                  <w:marTop w:val="0"/>
                                                                  <w:marBottom w:val="0"/>
                                                                  <w:divBdr>
                                                                    <w:top w:val="none" w:sz="0" w:space="0" w:color="auto"/>
                                                                    <w:left w:val="none" w:sz="0" w:space="0" w:color="auto"/>
                                                                    <w:bottom w:val="none" w:sz="0" w:space="0" w:color="auto"/>
                                                                    <w:right w:val="none" w:sz="0" w:space="0" w:color="auto"/>
                                                                  </w:divBdr>
                                                                </w:div>
                                                              </w:divsChild>
                                                            </w:div>
                                                            <w:div w:id="1392575696">
                                                              <w:marLeft w:val="0"/>
                                                              <w:marRight w:val="0"/>
                                                              <w:marTop w:val="0"/>
                                                              <w:marBottom w:val="0"/>
                                                              <w:divBdr>
                                                                <w:top w:val="none" w:sz="0" w:space="0" w:color="auto"/>
                                                                <w:left w:val="none" w:sz="0" w:space="0" w:color="auto"/>
                                                                <w:bottom w:val="none" w:sz="0" w:space="0" w:color="auto"/>
                                                                <w:right w:val="none" w:sz="0" w:space="0" w:color="auto"/>
                                                              </w:divBdr>
                                                              <w:divsChild>
                                                                <w:div w:id="1064526787">
                                                                  <w:marLeft w:val="0"/>
                                                                  <w:marRight w:val="120"/>
                                                                  <w:marTop w:val="0"/>
                                                                  <w:marBottom w:val="0"/>
                                                                  <w:divBdr>
                                                                    <w:top w:val="none" w:sz="0" w:space="0" w:color="auto"/>
                                                                    <w:left w:val="none" w:sz="0" w:space="0" w:color="auto"/>
                                                                    <w:bottom w:val="none" w:sz="0" w:space="0" w:color="auto"/>
                                                                    <w:right w:val="none" w:sz="0" w:space="0" w:color="auto"/>
                                                                  </w:divBdr>
                                                                </w:div>
                                                                <w:div w:id="1665163570">
                                                                  <w:marLeft w:val="0"/>
                                                                  <w:marRight w:val="0"/>
                                                                  <w:marTop w:val="0"/>
                                                                  <w:marBottom w:val="0"/>
                                                                  <w:divBdr>
                                                                    <w:top w:val="none" w:sz="0" w:space="0" w:color="auto"/>
                                                                    <w:left w:val="none" w:sz="0" w:space="0" w:color="auto"/>
                                                                    <w:bottom w:val="none" w:sz="0" w:space="0" w:color="auto"/>
                                                                    <w:right w:val="none" w:sz="0" w:space="0" w:color="auto"/>
                                                                  </w:divBdr>
                                                                </w:div>
                                                              </w:divsChild>
                                                            </w:div>
                                                            <w:div w:id="2111773058">
                                                              <w:marLeft w:val="0"/>
                                                              <w:marRight w:val="0"/>
                                                              <w:marTop w:val="0"/>
                                                              <w:marBottom w:val="0"/>
                                                              <w:divBdr>
                                                                <w:top w:val="none" w:sz="0" w:space="0" w:color="auto"/>
                                                                <w:left w:val="none" w:sz="0" w:space="0" w:color="auto"/>
                                                                <w:bottom w:val="none" w:sz="0" w:space="0" w:color="auto"/>
                                                                <w:right w:val="none" w:sz="0" w:space="0" w:color="auto"/>
                                                              </w:divBdr>
                                                              <w:divsChild>
                                                                <w:div w:id="969433648">
                                                                  <w:marLeft w:val="0"/>
                                                                  <w:marRight w:val="120"/>
                                                                  <w:marTop w:val="0"/>
                                                                  <w:marBottom w:val="0"/>
                                                                  <w:divBdr>
                                                                    <w:top w:val="none" w:sz="0" w:space="0" w:color="auto"/>
                                                                    <w:left w:val="none" w:sz="0" w:space="0" w:color="auto"/>
                                                                    <w:bottom w:val="none" w:sz="0" w:space="0" w:color="auto"/>
                                                                    <w:right w:val="none" w:sz="0" w:space="0" w:color="auto"/>
                                                                  </w:divBdr>
                                                                </w:div>
                                                                <w:div w:id="40788435">
                                                                  <w:marLeft w:val="0"/>
                                                                  <w:marRight w:val="0"/>
                                                                  <w:marTop w:val="0"/>
                                                                  <w:marBottom w:val="0"/>
                                                                  <w:divBdr>
                                                                    <w:top w:val="none" w:sz="0" w:space="0" w:color="auto"/>
                                                                    <w:left w:val="none" w:sz="0" w:space="0" w:color="auto"/>
                                                                    <w:bottom w:val="none" w:sz="0" w:space="0" w:color="auto"/>
                                                                    <w:right w:val="none" w:sz="0" w:space="0" w:color="auto"/>
                                                                  </w:divBdr>
                                                                </w:div>
                                                              </w:divsChild>
                                                            </w:div>
                                                            <w:div w:id="2020354111">
                                                              <w:marLeft w:val="0"/>
                                                              <w:marRight w:val="0"/>
                                                              <w:marTop w:val="0"/>
                                                              <w:marBottom w:val="0"/>
                                                              <w:divBdr>
                                                                <w:top w:val="none" w:sz="0" w:space="0" w:color="auto"/>
                                                                <w:left w:val="none" w:sz="0" w:space="0" w:color="auto"/>
                                                                <w:bottom w:val="none" w:sz="0" w:space="0" w:color="auto"/>
                                                                <w:right w:val="none" w:sz="0" w:space="0" w:color="auto"/>
                                                              </w:divBdr>
                                                              <w:divsChild>
                                                                <w:div w:id="543752999">
                                                                  <w:marLeft w:val="0"/>
                                                                  <w:marRight w:val="120"/>
                                                                  <w:marTop w:val="0"/>
                                                                  <w:marBottom w:val="0"/>
                                                                  <w:divBdr>
                                                                    <w:top w:val="none" w:sz="0" w:space="0" w:color="auto"/>
                                                                    <w:left w:val="none" w:sz="0" w:space="0" w:color="auto"/>
                                                                    <w:bottom w:val="none" w:sz="0" w:space="0" w:color="auto"/>
                                                                    <w:right w:val="none" w:sz="0" w:space="0" w:color="auto"/>
                                                                  </w:divBdr>
                                                                </w:div>
                                                                <w:div w:id="38821494">
                                                                  <w:marLeft w:val="0"/>
                                                                  <w:marRight w:val="0"/>
                                                                  <w:marTop w:val="0"/>
                                                                  <w:marBottom w:val="0"/>
                                                                  <w:divBdr>
                                                                    <w:top w:val="none" w:sz="0" w:space="0" w:color="auto"/>
                                                                    <w:left w:val="none" w:sz="0" w:space="0" w:color="auto"/>
                                                                    <w:bottom w:val="none" w:sz="0" w:space="0" w:color="auto"/>
                                                                    <w:right w:val="none" w:sz="0" w:space="0" w:color="auto"/>
                                                                  </w:divBdr>
                                                                </w:div>
                                                              </w:divsChild>
                                                            </w:div>
                                                            <w:div w:id="494759098">
                                                              <w:marLeft w:val="0"/>
                                                              <w:marRight w:val="0"/>
                                                              <w:marTop w:val="0"/>
                                                              <w:marBottom w:val="0"/>
                                                              <w:divBdr>
                                                                <w:top w:val="none" w:sz="0" w:space="0" w:color="auto"/>
                                                                <w:left w:val="none" w:sz="0" w:space="0" w:color="auto"/>
                                                                <w:bottom w:val="none" w:sz="0" w:space="0" w:color="auto"/>
                                                                <w:right w:val="none" w:sz="0" w:space="0" w:color="auto"/>
                                                              </w:divBdr>
                                                              <w:divsChild>
                                                                <w:div w:id="282225188">
                                                                  <w:marLeft w:val="0"/>
                                                                  <w:marRight w:val="120"/>
                                                                  <w:marTop w:val="0"/>
                                                                  <w:marBottom w:val="0"/>
                                                                  <w:divBdr>
                                                                    <w:top w:val="none" w:sz="0" w:space="0" w:color="auto"/>
                                                                    <w:left w:val="none" w:sz="0" w:space="0" w:color="auto"/>
                                                                    <w:bottom w:val="none" w:sz="0" w:space="0" w:color="auto"/>
                                                                    <w:right w:val="none" w:sz="0" w:space="0" w:color="auto"/>
                                                                  </w:divBdr>
                                                                </w:div>
                                                                <w:div w:id="132988433">
                                                                  <w:marLeft w:val="0"/>
                                                                  <w:marRight w:val="0"/>
                                                                  <w:marTop w:val="0"/>
                                                                  <w:marBottom w:val="0"/>
                                                                  <w:divBdr>
                                                                    <w:top w:val="none" w:sz="0" w:space="0" w:color="auto"/>
                                                                    <w:left w:val="none" w:sz="0" w:space="0" w:color="auto"/>
                                                                    <w:bottom w:val="none" w:sz="0" w:space="0" w:color="auto"/>
                                                                    <w:right w:val="none" w:sz="0" w:space="0" w:color="auto"/>
                                                                  </w:divBdr>
                                                                </w:div>
                                                              </w:divsChild>
                                                            </w:div>
                                                            <w:div w:id="657077695">
                                                              <w:marLeft w:val="0"/>
                                                              <w:marRight w:val="0"/>
                                                              <w:marTop w:val="0"/>
                                                              <w:marBottom w:val="0"/>
                                                              <w:divBdr>
                                                                <w:top w:val="none" w:sz="0" w:space="0" w:color="auto"/>
                                                                <w:left w:val="none" w:sz="0" w:space="0" w:color="auto"/>
                                                                <w:bottom w:val="none" w:sz="0" w:space="0" w:color="auto"/>
                                                                <w:right w:val="none" w:sz="0" w:space="0" w:color="auto"/>
                                                              </w:divBdr>
                                                              <w:divsChild>
                                                                <w:div w:id="949313757">
                                                                  <w:marLeft w:val="0"/>
                                                                  <w:marRight w:val="120"/>
                                                                  <w:marTop w:val="0"/>
                                                                  <w:marBottom w:val="0"/>
                                                                  <w:divBdr>
                                                                    <w:top w:val="none" w:sz="0" w:space="0" w:color="auto"/>
                                                                    <w:left w:val="none" w:sz="0" w:space="0" w:color="auto"/>
                                                                    <w:bottom w:val="none" w:sz="0" w:space="0" w:color="auto"/>
                                                                    <w:right w:val="none" w:sz="0" w:space="0" w:color="auto"/>
                                                                  </w:divBdr>
                                                                </w:div>
                                                                <w:div w:id="269319888">
                                                                  <w:marLeft w:val="0"/>
                                                                  <w:marRight w:val="0"/>
                                                                  <w:marTop w:val="0"/>
                                                                  <w:marBottom w:val="0"/>
                                                                  <w:divBdr>
                                                                    <w:top w:val="none" w:sz="0" w:space="0" w:color="auto"/>
                                                                    <w:left w:val="none" w:sz="0" w:space="0" w:color="auto"/>
                                                                    <w:bottom w:val="none" w:sz="0" w:space="0" w:color="auto"/>
                                                                    <w:right w:val="none" w:sz="0" w:space="0" w:color="auto"/>
                                                                  </w:divBdr>
                                                                </w:div>
                                                              </w:divsChild>
                                                            </w:div>
                                                            <w:div w:id="523250991">
                                                              <w:marLeft w:val="0"/>
                                                              <w:marRight w:val="0"/>
                                                              <w:marTop w:val="0"/>
                                                              <w:marBottom w:val="0"/>
                                                              <w:divBdr>
                                                                <w:top w:val="none" w:sz="0" w:space="0" w:color="auto"/>
                                                                <w:left w:val="none" w:sz="0" w:space="0" w:color="auto"/>
                                                                <w:bottom w:val="none" w:sz="0" w:space="0" w:color="auto"/>
                                                                <w:right w:val="none" w:sz="0" w:space="0" w:color="auto"/>
                                                              </w:divBdr>
                                                              <w:divsChild>
                                                                <w:div w:id="2076656438">
                                                                  <w:marLeft w:val="0"/>
                                                                  <w:marRight w:val="120"/>
                                                                  <w:marTop w:val="0"/>
                                                                  <w:marBottom w:val="0"/>
                                                                  <w:divBdr>
                                                                    <w:top w:val="none" w:sz="0" w:space="0" w:color="auto"/>
                                                                    <w:left w:val="none" w:sz="0" w:space="0" w:color="auto"/>
                                                                    <w:bottom w:val="none" w:sz="0" w:space="0" w:color="auto"/>
                                                                    <w:right w:val="none" w:sz="0" w:space="0" w:color="auto"/>
                                                                  </w:divBdr>
                                                                </w:div>
                                                                <w:div w:id="51273368">
                                                                  <w:marLeft w:val="0"/>
                                                                  <w:marRight w:val="0"/>
                                                                  <w:marTop w:val="0"/>
                                                                  <w:marBottom w:val="0"/>
                                                                  <w:divBdr>
                                                                    <w:top w:val="none" w:sz="0" w:space="0" w:color="auto"/>
                                                                    <w:left w:val="none" w:sz="0" w:space="0" w:color="auto"/>
                                                                    <w:bottom w:val="none" w:sz="0" w:space="0" w:color="auto"/>
                                                                    <w:right w:val="none" w:sz="0" w:space="0" w:color="auto"/>
                                                                  </w:divBdr>
                                                                </w:div>
                                                              </w:divsChild>
                                                            </w:div>
                                                            <w:div w:id="1454639187">
                                                              <w:marLeft w:val="0"/>
                                                              <w:marRight w:val="0"/>
                                                              <w:marTop w:val="0"/>
                                                              <w:marBottom w:val="0"/>
                                                              <w:divBdr>
                                                                <w:top w:val="none" w:sz="0" w:space="0" w:color="auto"/>
                                                                <w:left w:val="none" w:sz="0" w:space="0" w:color="auto"/>
                                                                <w:bottom w:val="none" w:sz="0" w:space="0" w:color="auto"/>
                                                                <w:right w:val="none" w:sz="0" w:space="0" w:color="auto"/>
                                                              </w:divBdr>
                                                              <w:divsChild>
                                                                <w:div w:id="1780220104">
                                                                  <w:marLeft w:val="0"/>
                                                                  <w:marRight w:val="120"/>
                                                                  <w:marTop w:val="0"/>
                                                                  <w:marBottom w:val="0"/>
                                                                  <w:divBdr>
                                                                    <w:top w:val="none" w:sz="0" w:space="0" w:color="auto"/>
                                                                    <w:left w:val="none" w:sz="0" w:space="0" w:color="auto"/>
                                                                    <w:bottom w:val="none" w:sz="0" w:space="0" w:color="auto"/>
                                                                    <w:right w:val="none" w:sz="0" w:space="0" w:color="auto"/>
                                                                  </w:divBdr>
                                                                </w:div>
                                                                <w:div w:id="81604694">
                                                                  <w:marLeft w:val="0"/>
                                                                  <w:marRight w:val="0"/>
                                                                  <w:marTop w:val="0"/>
                                                                  <w:marBottom w:val="0"/>
                                                                  <w:divBdr>
                                                                    <w:top w:val="none" w:sz="0" w:space="0" w:color="auto"/>
                                                                    <w:left w:val="none" w:sz="0" w:space="0" w:color="auto"/>
                                                                    <w:bottom w:val="none" w:sz="0" w:space="0" w:color="auto"/>
                                                                    <w:right w:val="none" w:sz="0" w:space="0" w:color="auto"/>
                                                                  </w:divBdr>
                                                                </w:div>
                                                              </w:divsChild>
                                                            </w:div>
                                                            <w:div w:id="1154686196">
                                                              <w:marLeft w:val="0"/>
                                                              <w:marRight w:val="0"/>
                                                              <w:marTop w:val="0"/>
                                                              <w:marBottom w:val="0"/>
                                                              <w:divBdr>
                                                                <w:top w:val="none" w:sz="0" w:space="0" w:color="auto"/>
                                                                <w:left w:val="none" w:sz="0" w:space="0" w:color="auto"/>
                                                                <w:bottom w:val="none" w:sz="0" w:space="0" w:color="auto"/>
                                                                <w:right w:val="none" w:sz="0" w:space="0" w:color="auto"/>
                                                              </w:divBdr>
                                                              <w:divsChild>
                                                                <w:div w:id="1599481177">
                                                                  <w:marLeft w:val="0"/>
                                                                  <w:marRight w:val="120"/>
                                                                  <w:marTop w:val="0"/>
                                                                  <w:marBottom w:val="0"/>
                                                                  <w:divBdr>
                                                                    <w:top w:val="none" w:sz="0" w:space="0" w:color="auto"/>
                                                                    <w:left w:val="none" w:sz="0" w:space="0" w:color="auto"/>
                                                                    <w:bottom w:val="none" w:sz="0" w:space="0" w:color="auto"/>
                                                                    <w:right w:val="none" w:sz="0" w:space="0" w:color="auto"/>
                                                                  </w:divBdr>
                                                                </w:div>
                                                                <w:div w:id="1668481713">
                                                                  <w:marLeft w:val="0"/>
                                                                  <w:marRight w:val="0"/>
                                                                  <w:marTop w:val="0"/>
                                                                  <w:marBottom w:val="0"/>
                                                                  <w:divBdr>
                                                                    <w:top w:val="none" w:sz="0" w:space="0" w:color="auto"/>
                                                                    <w:left w:val="none" w:sz="0" w:space="0" w:color="auto"/>
                                                                    <w:bottom w:val="none" w:sz="0" w:space="0" w:color="auto"/>
                                                                    <w:right w:val="none" w:sz="0" w:space="0" w:color="auto"/>
                                                                  </w:divBdr>
                                                                </w:div>
                                                              </w:divsChild>
                                                            </w:div>
                                                            <w:div w:id="1498036190">
                                                              <w:marLeft w:val="0"/>
                                                              <w:marRight w:val="0"/>
                                                              <w:marTop w:val="0"/>
                                                              <w:marBottom w:val="0"/>
                                                              <w:divBdr>
                                                                <w:top w:val="none" w:sz="0" w:space="0" w:color="auto"/>
                                                                <w:left w:val="none" w:sz="0" w:space="0" w:color="auto"/>
                                                                <w:bottom w:val="none" w:sz="0" w:space="0" w:color="auto"/>
                                                                <w:right w:val="none" w:sz="0" w:space="0" w:color="auto"/>
                                                              </w:divBdr>
                                                              <w:divsChild>
                                                                <w:div w:id="1102458911">
                                                                  <w:marLeft w:val="0"/>
                                                                  <w:marRight w:val="120"/>
                                                                  <w:marTop w:val="0"/>
                                                                  <w:marBottom w:val="0"/>
                                                                  <w:divBdr>
                                                                    <w:top w:val="none" w:sz="0" w:space="0" w:color="auto"/>
                                                                    <w:left w:val="none" w:sz="0" w:space="0" w:color="auto"/>
                                                                    <w:bottom w:val="none" w:sz="0" w:space="0" w:color="auto"/>
                                                                    <w:right w:val="none" w:sz="0" w:space="0" w:color="auto"/>
                                                                  </w:divBdr>
                                                                </w:div>
                                                                <w:div w:id="836961543">
                                                                  <w:marLeft w:val="0"/>
                                                                  <w:marRight w:val="0"/>
                                                                  <w:marTop w:val="0"/>
                                                                  <w:marBottom w:val="0"/>
                                                                  <w:divBdr>
                                                                    <w:top w:val="none" w:sz="0" w:space="0" w:color="auto"/>
                                                                    <w:left w:val="none" w:sz="0" w:space="0" w:color="auto"/>
                                                                    <w:bottom w:val="none" w:sz="0" w:space="0" w:color="auto"/>
                                                                    <w:right w:val="none" w:sz="0" w:space="0" w:color="auto"/>
                                                                  </w:divBdr>
                                                                </w:div>
                                                              </w:divsChild>
                                                            </w:div>
                                                            <w:div w:id="1434547361">
                                                              <w:marLeft w:val="0"/>
                                                              <w:marRight w:val="0"/>
                                                              <w:marTop w:val="0"/>
                                                              <w:marBottom w:val="0"/>
                                                              <w:divBdr>
                                                                <w:top w:val="none" w:sz="0" w:space="0" w:color="auto"/>
                                                                <w:left w:val="none" w:sz="0" w:space="0" w:color="auto"/>
                                                                <w:bottom w:val="none" w:sz="0" w:space="0" w:color="auto"/>
                                                                <w:right w:val="none" w:sz="0" w:space="0" w:color="auto"/>
                                                              </w:divBdr>
                                                              <w:divsChild>
                                                                <w:div w:id="1224146951">
                                                                  <w:marLeft w:val="0"/>
                                                                  <w:marRight w:val="120"/>
                                                                  <w:marTop w:val="0"/>
                                                                  <w:marBottom w:val="0"/>
                                                                  <w:divBdr>
                                                                    <w:top w:val="none" w:sz="0" w:space="0" w:color="auto"/>
                                                                    <w:left w:val="none" w:sz="0" w:space="0" w:color="auto"/>
                                                                    <w:bottom w:val="none" w:sz="0" w:space="0" w:color="auto"/>
                                                                    <w:right w:val="none" w:sz="0" w:space="0" w:color="auto"/>
                                                                  </w:divBdr>
                                                                </w:div>
                                                                <w:div w:id="539440194">
                                                                  <w:marLeft w:val="0"/>
                                                                  <w:marRight w:val="0"/>
                                                                  <w:marTop w:val="0"/>
                                                                  <w:marBottom w:val="0"/>
                                                                  <w:divBdr>
                                                                    <w:top w:val="none" w:sz="0" w:space="0" w:color="auto"/>
                                                                    <w:left w:val="none" w:sz="0" w:space="0" w:color="auto"/>
                                                                    <w:bottom w:val="none" w:sz="0" w:space="0" w:color="auto"/>
                                                                    <w:right w:val="none" w:sz="0" w:space="0" w:color="auto"/>
                                                                  </w:divBdr>
                                                                </w:div>
                                                              </w:divsChild>
                                                            </w:div>
                                                            <w:div w:id="1114405761">
                                                              <w:marLeft w:val="0"/>
                                                              <w:marRight w:val="0"/>
                                                              <w:marTop w:val="0"/>
                                                              <w:marBottom w:val="0"/>
                                                              <w:divBdr>
                                                                <w:top w:val="none" w:sz="0" w:space="0" w:color="auto"/>
                                                                <w:left w:val="none" w:sz="0" w:space="0" w:color="auto"/>
                                                                <w:bottom w:val="none" w:sz="0" w:space="0" w:color="auto"/>
                                                                <w:right w:val="none" w:sz="0" w:space="0" w:color="auto"/>
                                                              </w:divBdr>
                                                              <w:divsChild>
                                                                <w:div w:id="35739297">
                                                                  <w:marLeft w:val="0"/>
                                                                  <w:marRight w:val="120"/>
                                                                  <w:marTop w:val="0"/>
                                                                  <w:marBottom w:val="0"/>
                                                                  <w:divBdr>
                                                                    <w:top w:val="none" w:sz="0" w:space="0" w:color="auto"/>
                                                                    <w:left w:val="none" w:sz="0" w:space="0" w:color="auto"/>
                                                                    <w:bottom w:val="none" w:sz="0" w:space="0" w:color="auto"/>
                                                                    <w:right w:val="none" w:sz="0" w:space="0" w:color="auto"/>
                                                                  </w:divBdr>
                                                                </w:div>
                                                                <w:div w:id="196158501">
                                                                  <w:marLeft w:val="0"/>
                                                                  <w:marRight w:val="0"/>
                                                                  <w:marTop w:val="0"/>
                                                                  <w:marBottom w:val="0"/>
                                                                  <w:divBdr>
                                                                    <w:top w:val="none" w:sz="0" w:space="0" w:color="auto"/>
                                                                    <w:left w:val="none" w:sz="0" w:space="0" w:color="auto"/>
                                                                    <w:bottom w:val="none" w:sz="0" w:space="0" w:color="auto"/>
                                                                    <w:right w:val="none" w:sz="0" w:space="0" w:color="auto"/>
                                                                  </w:divBdr>
                                                                </w:div>
                                                              </w:divsChild>
                                                            </w:div>
                                                            <w:div w:id="205724941">
                                                              <w:marLeft w:val="0"/>
                                                              <w:marRight w:val="0"/>
                                                              <w:marTop w:val="0"/>
                                                              <w:marBottom w:val="0"/>
                                                              <w:divBdr>
                                                                <w:top w:val="none" w:sz="0" w:space="0" w:color="auto"/>
                                                                <w:left w:val="none" w:sz="0" w:space="0" w:color="auto"/>
                                                                <w:bottom w:val="none" w:sz="0" w:space="0" w:color="auto"/>
                                                                <w:right w:val="none" w:sz="0" w:space="0" w:color="auto"/>
                                                              </w:divBdr>
                                                              <w:divsChild>
                                                                <w:div w:id="909923415">
                                                                  <w:marLeft w:val="0"/>
                                                                  <w:marRight w:val="120"/>
                                                                  <w:marTop w:val="0"/>
                                                                  <w:marBottom w:val="0"/>
                                                                  <w:divBdr>
                                                                    <w:top w:val="none" w:sz="0" w:space="0" w:color="auto"/>
                                                                    <w:left w:val="none" w:sz="0" w:space="0" w:color="auto"/>
                                                                    <w:bottom w:val="none" w:sz="0" w:space="0" w:color="auto"/>
                                                                    <w:right w:val="none" w:sz="0" w:space="0" w:color="auto"/>
                                                                  </w:divBdr>
                                                                </w:div>
                                                                <w:div w:id="742721643">
                                                                  <w:marLeft w:val="0"/>
                                                                  <w:marRight w:val="0"/>
                                                                  <w:marTop w:val="0"/>
                                                                  <w:marBottom w:val="0"/>
                                                                  <w:divBdr>
                                                                    <w:top w:val="none" w:sz="0" w:space="0" w:color="auto"/>
                                                                    <w:left w:val="none" w:sz="0" w:space="0" w:color="auto"/>
                                                                    <w:bottom w:val="none" w:sz="0" w:space="0" w:color="auto"/>
                                                                    <w:right w:val="none" w:sz="0" w:space="0" w:color="auto"/>
                                                                  </w:divBdr>
                                                                </w:div>
                                                              </w:divsChild>
                                                            </w:div>
                                                            <w:div w:id="1765832960">
                                                              <w:marLeft w:val="0"/>
                                                              <w:marRight w:val="0"/>
                                                              <w:marTop w:val="0"/>
                                                              <w:marBottom w:val="0"/>
                                                              <w:divBdr>
                                                                <w:top w:val="none" w:sz="0" w:space="0" w:color="auto"/>
                                                                <w:left w:val="none" w:sz="0" w:space="0" w:color="auto"/>
                                                                <w:bottom w:val="none" w:sz="0" w:space="0" w:color="auto"/>
                                                                <w:right w:val="none" w:sz="0" w:space="0" w:color="auto"/>
                                                              </w:divBdr>
                                                              <w:divsChild>
                                                                <w:div w:id="434713985">
                                                                  <w:marLeft w:val="0"/>
                                                                  <w:marRight w:val="120"/>
                                                                  <w:marTop w:val="0"/>
                                                                  <w:marBottom w:val="0"/>
                                                                  <w:divBdr>
                                                                    <w:top w:val="none" w:sz="0" w:space="0" w:color="auto"/>
                                                                    <w:left w:val="none" w:sz="0" w:space="0" w:color="auto"/>
                                                                    <w:bottom w:val="none" w:sz="0" w:space="0" w:color="auto"/>
                                                                    <w:right w:val="none" w:sz="0" w:space="0" w:color="auto"/>
                                                                  </w:divBdr>
                                                                </w:div>
                                                                <w:div w:id="857619973">
                                                                  <w:marLeft w:val="0"/>
                                                                  <w:marRight w:val="0"/>
                                                                  <w:marTop w:val="0"/>
                                                                  <w:marBottom w:val="0"/>
                                                                  <w:divBdr>
                                                                    <w:top w:val="none" w:sz="0" w:space="0" w:color="auto"/>
                                                                    <w:left w:val="none" w:sz="0" w:space="0" w:color="auto"/>
                                                                    <w:bottom w:val="none" w:sz="0" w:space="0" w:color="auto"/>
                                                                    <w:right w:val="none" w:sz="0" w:space="0" w:color="auto"/>
                                                                  </w:divBdr>
                                                                </w:div>
                                                              </w:divsChild>
                                                            </w:div>
                                                            <w:div w:id="1559705059">
                                                              <w:marLeft w:val="0"/>
                                                              <w:marRight w:val="0"/>
                                                              <w:marTop w:val="0"/>
                                                              <w:marBottom w:val="0"/>
                                                              <w:divBdr>
                                                                <w:top w:val="none" w:sz="0" w:space="0" w:color="auto"/>
                                                                <w:left w:val="none" w:sz="0" w:space="0" w:color="auto"/>
                                                                <w:bottom w:val="none" w:sz="0" w:space="0" w:color="auto"/>
                                                                <w:right w:val="none" w:sz="0" w:space="0" w:color="auto"/>
                                                              </w:divBdr>
                                                              <w:divsChild>
                                                                <w:div w:id="421024784">
                                                                  <w:marLeft w:val="0"/>
                                                                  <w:marRight w:val="120"/>
                                                                  <w:marTop w:val="0"/>
                                                                  <w:marBottom w:val="0"/>
                                                                  <w:divBdr>
                                                                    <w:top w:val="none" w:sz="0" w:space="0" w:color="auto"/>
                                                                    <w:left w:val="none" w:sz="0" w:space="0" w:color="auto"/>
                                                                    <w:bottom w:val="none" w:sz="0" w:space="0" w:color="auto"/>
                                                                    <w:right w:val="none" w:sz="0" w:space="0" w:color="auto"/>
                                                                  </w:divBdr>
                                                                </w:div>
                                                                <w:div w:id="275060483">
                                                                  <w:marLeft w:val="0"/>
                                                                  <w:marRight w:val="0"/>
                                                                  <w:marTop w:val="0"/>
                                                                  <w:marBottom w:val="0"/>
                                                                  <w:divBdr>
                                                                    <w:top w:val="none" w:sz="0" w:space="0" w:color="auto"/>
                                                                    <w:left w:val="none" w:sz="0" w:space="0" w:color="auto"/>
                                                                    <w:bottom w:val="none" w:sz="0" w:space="0" w:color="auto"/>
                                                                    <w:right w:val="none" w:sz="0" w:space="0" w:color="auto"/>
                                                                  </w:divBdr>
                                                                </w:div>
                                                              </w:divsChild>
                                                            </w:div>
                                                            <w:div w:id="1962489172">
                                                              <w:marLeft w:val="0"/>
                                                              <w:marRight w:val="0"/>
                                                              <w:marTop w:val="0"/>
                                                              <w:marBottom w:val="0"/>
                                                              <w:divBdr>
                                                                <w:top w:val="none" w:sz="0" w:space="0" w:color="auto"/>
                                                                <w:left w:val="none" w:sz="0" w:space="0" w:color="auto"/>
                                                                <w:bottom w:val="none" w:sz="0" w:space="0" w:color="auto"/>
                                                                <w:right w:val="none" w:sz="0" w:space="0" w:color="auto"/>
                                                              </w:divBdr>
                                                              <w:divsChild>
                                                                <w:div w:id="1603755378">
                                                                  <w:marLeft w:val="0"/>
                                                                  <w:marRight w:val="120"/>
                                                                  <w:marTop w:val="0"/>
                                                                  <w:marBottom w:val="0"/>
                                                                  <w:divBdr>
                                                                    <w:top w:val="none" w:sz="0" w:space="0" w:color="auto"/>
                                                                    <w:left w:val="none" w:sz="0" w:space="0" w:color="auto"/>
                                                                    <w:bottom w:val="none" w:sz="0" w:space="0" w:color="auto"/>
                                                                    <w:right w:val="none" w:sz="0" w:space="0" w:color="auto"/>
                                                                  </w:divBdr>
                                                                </w:div>
                                                                <w:div w:id="163741177">
                                                                  <w:marLeft w:val="0"/>
                                                                  <w:marRight w:val="0"/>
                                                                  <w:marTop w:val="0"/>
                                                                  <w:marBottom w:val="0"/>
                                                                  <w:divBdr>
                                                                    <w:top w:val="none" w:sz="0" w:space="0" w:color="auto"/>
                                                                    <w:left w:val="none" w:sz="0" w:space="0" w:color="auto"/>
                                                                    <w:bottom w:val="none" w:sz="0" w:space="0" w:color="auto"/>
                                                                    <w:right w:val="none" w:sz="0" w:space="0" w:color="auto"/>
                                                                  </w:divBdr>
                                                                </w:div>
                                                              </w:divsChild>
                                                            </w:div>
                                                            <w:div w:id="1431467751">
                                                              <w:marLeft w:val="0"/>
                                                              <w:marRight w:val="0"/>
                                                              <w:marTop w:val="0"/>
                                                              <w:marBottom w:val="0"/>
                                                              <w:divBdr>
                                                                <w:top w:val="none" w:sz="0" w:space="0" w:color="auto"/>
                                                                <w:left w:val="none" w:sz="0" w:space="0" w:color="auto"/>
                                                                <w:bottom w:val="none" w:sz="0" w:space="0" w:color="auto"/>
                                                                <w:right w:val="none" w:sz="0" w:space="0" w:color="auto"/>
                                                              </w:divBdr>
                                                              <w:divsChild>
                                                                <w:div w:id="1786773721">
                                                                  <w:marLeft w:val="0"/>
                                                                  <w:marRight w:val="120"/>
                                                                  <w:marTop w:val="0"/>
                                                                  <w:marBottom w:val="0"/>
                                                                  <w:divBdr>
                                                                    <w:top w:val="none" w:sz="0" w:space="0" w:color="auto"/>
                                                                    <w:left w:val="none" w:sz="0" w:space="0" w:color="auto"/>
                                                                    <w:bottom w:val="none" w:sz="0" w:space="0" w:color="auto"/>
                                                                    <w:right w:val="none" w:sz="0" w:space="0" w:color="auto"/>
                                                                  </w:divBdr>
                                                                </w:div>
                                                                <w:div w:id="145752506">
                                                                  <w:marLeft w:val="0"/>
                                                                  <w:marRight w:val="0"/>
                                                                  <w:marTop w:val="0"/>
                                                                  <w:marBottom w:val="0"/>
                                                                  <w:divBdr>
                                                                    <w:top w:val="none" w:sz="0" w:space="0" w:color="auto"/>
                                                                    <w:left w:val="none" w:sz="0" w:space="0" w:color="auto"/>
                                                                    <w:bottom w:val="none" w:sz="0" w:space="0" w:color="auto"/>
                                                                    <w:right w:val="none" w:sz="0" w:space="0" w:color="auto"/>
                                                                  </w:divBdr>
                                                                </w:div>
                                                              </w:divsChild>
                                                            </w:div>
                                                            <w:div w:id="1367367529">
                                                              <w:marLeft w:val="0"/>
                                                              <w:marRight w:val="0"/>
                                                              <w:marTop w:val="0"/>
                                                              <w:marBottom w:val="0"/>
                                                              <w:divBdr>
                                                                <w:top w:val="none" w:sz="0" w:space="0" w:color="auto"/>
                                                                <w:left w:val="none" w:sz="0" w:space="0" w:color="auto"/>
                                                                <w:bottom w:val="none" w:sz="0" w:space="0" w:color="auto"/>
                                                                <w:right w:val="none" w:sz="0" w:space="0" w:color="auto"/>
                                                              </w:divBdr>
                                                              <w:divsChild>
                                                                <w:div w:id="918948283">
                                                                  <w:marLeft w:val="0"/>
                                                                  <w:marRight w:val="120"/>
                                                                  <w:marTop w:val="0"/>
                                                                  <w:marBottom w:val="0"/>
                                                                  <w:divBdr>
                                                                    <w:top w:val="none" w:sz="0" w:space="0" w:color="auto"/>
                                                                    <w:left w:val="none" w:sz="0" w:space="0" w:color="auto"/>
                                                                    <w:bottom w:val="none" w:sz="0" w:space="0" w:color="auto"/>
                                                                    <w:right w:val="none" w:sz="0" w:space="0" w:color="auto"/>
                                                                  </w:divBdr>
                                                                </w:div>
                                                                <w:div w:id="1167818626">
                                                                  <w:marLeft w:val="0"/>
                                                                  <w:marRight w:val="0"/>
                                                                  <w:marTop w:val="0"/>
                                                                  <w:marBottom w:val="0"/>
                                                                  <w:divBdr>
                                                                    <w:top w:val="none" w:sz="0" w:space="0" w:color="auto"/>
                                                                    <w:left w:val="none" w:sz="0" w:space="0" w:color="auto"/>
                                                                    <w:bottom w:val="none" w:sz="0" w:space="0" w:color="auto"/>
                                                                    <w:right w:val="none" w:sz="0" w:space="0" w:color="auto"/>
                                                                  </w:divBdr>
                                                                </w:div>
                                                              </w:divsChild>
                                                            </w:div>
                                                            <w:div w:id="964312805">
                                                              <w:marLeft w:val="0"/>
                                                              <w:marRight w:val="0"/>
                                                              <w:marTop w:val="0"/>
                                                              <w:marBottom w:val="0"/>
                                                              <w:divBdr>
                                                                <w:top w:val="none" w:sz="0" w:space="0" w:color="auto"/>
                                                                <w:left w:val="none" w:sz="0" w:space="0" w:color="auto"/>
                                                                <w:bottom w:val="none" w:sz="0" w:space="0" w:color="auto"/>
                                                                <w:right w:val="none" w:sz="0" w:space="0" w:color="auto"/>
                                                              </w:divBdr>
                                                              <w:divsChild>
                                                                <w:div w:id="1515195185">
                                                                  <w:marLeft w:val="0"/>
                                                                  <w:marRight w:val="120"/>
                                                                  <w:marTop w:val="0"/>
                                                                  <w:marBottom w:val="0"/>
                                                                  <w:divBdr>
                                                                    <w:top w:val="none" w:sz="0" w:space="0" w:color="auto"/>
                                                                    <w:left w:val="none" w:sz="0" w:space="0" w:color="auto"/>
                                                                    <w:bottom w:val="none" w:sz="0" w:space="0" w:color="auto"/>
                                                                    <w:right w:val="none" w:sz="0" w:space="0" w:color="auto"/>
                                                                  </w:divBdr>
                                                                </w:div>
                                                                <w:div w:id="1607689878">
                                                                  <w:marLeft w:val="0"/>
                                                                  <w:marRight w:val="0"/>
                                                                  <w:marTop w:val="0"/>
                                                                  <w:marBottom w:val="0"/>
                                                                  <w:divBdr>
                                                                    <w:top w:val="none" w:sz="0" w:space="0" w:color="auto"/>
                                                                    <w:left w:val="none" w:sz="0" w:space="0" w:color="auto"/>
                                                                    <w:bottom w:val="none" w:sz="0" w:space="0" w:color="auto"/>
                                                                    <w:right w:val="none" w:sz="0" w:space="0" w:color="auto"/>
                                                                  </w:divBdr>
                                                                </w:div>
                                                              </w:divsChild>
                                                            </w:div>
                                                            <w:div w:id="1776364694">
                                                              <w:marLeft w:val="0"/>
                                                              <w:marRight w:val="0"/>
                                                              <w:marTop w:val="0"/>
                                                              <w:marBottom w:val="0"/>
                                                              <w:divBdr>
                                                                <w:top w:val="none" w:sz="0" w:space="0" w:color="auto"/>
                                                                <w:left w:val="none" w:sz="0" w:space="0" w:color="auto"/>
                                                                <w:bottom w:val="none" w:sz="0" w:space="0" w:color="auto"/>
                                                                <w:right w:val="none" w:sz="0" w:space="0" w:color="auto"/>
                                                              </w:divBdr>
                                                              <w:divsChild>
                                                                <w:div w:id="1621255171">
                                                                  <w:marLeft w:val="0"/>
                                                                  <w:marRight w:val="120"/>
                                                                  <w:marTop w:val="0"/>
                                                                  <w:marBottom w:val="0"/>
                                                                  <w:divBdr>
                                                                    <w:top w:val="none" w:sz="0" w:space="0" w:color="auto"/>
                                                                    <w:left w:val="none" w:sz="0" w:space="0" w:color="auto"/>
                                                                    <w:bottom w:val="none" w:sz="0" w:space="0" w:color="auto"/>
                                                                    <w:right w:val="none" w:sz="0" w:space="0" w:color="auto"/>
                                                                  </w:divBdr>
                                                                </w:div>
                                                                <w:div w:id="2122727508">
                                                                  <w:marLeft w:val="0"/>
                                                                  <w:marRight w:val="0"/>
                                                                  <w:marTop w:val="0"/>
                                                                  <w:marBottom w:val="0"/>
                                                                  <w:divBdr>
                                                                    <w:top w:val="none" w:sz="0" w:space="0" w:color="auto"/>
                                                                    <w:left w:val="none" w:sz="0" w:space="0" w:color="auto"/>
                                                                    <w:bottom w:val="none" w:sz="0" w:space="0" w:color="auto"/>
                                                                    <w:right w:val="none" w:sz="0" w:space="0" w:color="auto"/>
                                                                  </w:divBdr>
                                                                </w:div>
                                                              </w:divsChild>
                                                            </w:div>
                                                            <w:div w:id="1813601112">
                                                              <w:marLeft w:val="0"/>
                                                              <w:marRight w:val="0"/>
                                                              <w:marTop w:val="0"/>
                                                              <w:marBottom w:val="0"/>
                                                              <w:divBdr>
                                                                <w:top w:val="none" w:sz="0" w:space="0" w:color="auto"/>
                                                                <w:left w:val="none" w:sz="0" w:space="0" w:color="auto"/>
                                                                <w:bottom w:val="none" w:sz="0" w:space="0" w:color="auto"/>
                                                                <w:right w:val="none" w:sz="0" w:space="0" w:color="auto"/>
                                                              </w:divBdr>
                                                              <w:divsChild>
                                                                <w:div w:id="452790921">
                                                                  <w:marLeft w:val="0"/>
                                                                  <w:marRight w:val="120"/>
                                                                  <w:marTop w:val="0"/>
                                                                  <w:marBottom w:val="0"/>
                                                                  <w:divBdr>
                                                                    <w:top w:val="none" w:sz="0" w:space="0" w:color="auto"/>
                                                                    <w:left w:val="none" w:sz="0" w:space="0" w:color="auto"/>
                                                                    <w:bottom w:val="none" w:sz="0" w:space="0" w:color="auto"/>
                                                                    <w:right w:val="none" w:sz="0" w:space="0" w:color="auto"/>
                                                                  </w:divBdr>
                                                                </w:div>
                                                                <w:div w:id="688408350">
                                                                  <w:marLeft w:val="0"/>
                                                                  <w:marRight w:val="0"/>
                                                                  <w:marTop w:val="0"/>
                                                                  <w:marBottom w:val="0"/>
                                                                  <w:divBdr>
                                                                    <w:top w:val="none" w:sz="0" w:space="0" w:color="auto"/>
                                                                    <w:left w:val="none" w:sz="0" w:space="0" w:color="auto"/>
                                                                    <w:bottom w:val="none" w:sz="0" w:space="0" w:color="auto"/>
                                                                    <w:right w:val="none" w:sz="0" w:space="0" w:color="auto"/>
                                                                  </w:divBdr>
                                                                </w:div>
                                                              </w:divsChild>
                                                            </w:div>
                                                            <w:div w:id="381565652">
                                                              <w:marLeft w:val="0"/>
                                                              <w:marRight w:val="0"/>
                                                              <w:marTop w:val="0"/>
                                                              <w:marBottom w:val="0"/>
                                                              <w:divBdr>
                                                                <w:top w:val="none" w:sz="0" w:space="0" w:color="auto"/>
                                                                <w:left w:val="none" w:sz="0" w:space="0" w:color="auto"/>
                                                                <w:bottom w:val="none" w:sz="0" w:space="0" w:color="auto"/>
                                                                <w:right w:val="none" w:sz="0" w:space="0" w:color="auto"/>
                                                              </w:divBdr>
                                                              <w:divsChild>
                                                                <w:div w:id="1785349429">
                                                                  <w:marLeft w:val="0"/>
                                                                  <w:marRight w:val="120"/>
                                                                  <w:marTop w:val="0"/>
                                                                  <w:marBottom w:val="0"/>
                                                                  <w:divBdr>
                                                                    <w:top w:val="none" w:sz="0" w:space="0" w:color="auto"/>
                                                                    <w:left w:val="none" w:sz="0" w:space="0" w:color="auto"/>
                                                                    <w:bottom w:val="none" w:sz="0" w:space="0" w:color="auto"/>
                                                                    <w:right w:val="none" w:sz="0" w:space="0" w:color="auto"/>
                                                                  </w:divBdr>
                                                                </w:div>
                                                                <w:div w:id="798572252">
                                                                  <w:marLeft w:val="0"/>
                                                                  <w:marRight w:val="0"/>
                                                                  <w:marTop w:val="0"/>
                                                                  <w:marBottom w:val="0"/>
                                                                  <w:divBdr>
                                                                    <w:top w:val="none" w:sz="0" w:space="0" w:color="auto"/>
                                                                    <w:left w:val="none" w:sz="0" w:space="0" w:color="auto"/>
                                                                    <w:bottom w:val="none" w:sz="0" w:space="0" w:color="auto"/>
                                                                    <w:right w:val="none" w:sz="0" w:space="0" w:color="auto"/>
                                                                  </w:divBdr>
                                                                </w:div>
                                                              </w:divsChild>
                                                            </w:div>
                                                            <w:div w:id="752118947">
                                                              <w:marLeft w:val="0"/>
                                                              <w:marRight w:val="0"/>
                                                              <w:marTop w:val="0"/>
                                                              <w:marBottom w:val="0"/>
                                                              <w:divBdr>
                                                                <w:top w:val="none" w:sz="0" w:space="0" w:color="auto"/>
                                                                <w:left w:val="none" w:sz="0" w:space="0" w:color="auto"/>
                                                                <w:bottom w:val="none" w:sz="0" w:space="0" w:color="auto"/>
                                                                <w:right w:val="none" w:sz="0" w:space="0" w:color="auto"/>
                                                              </w:divBdr>
                                                              <w:divsChild>
                                                                <w:div w:id="1799495829">
                                                                  <w:marLeft w:val="0"/>
                                                                  <w:marRight w:val="120"/>
                                                                  <w:marTop w:val="0"/>
                                                                  <w:marBottom w:val="0"/>
                                                                  <w:divBdr>
                                                                    <w:top w:val="none" w:sz="0" w:space="0" w:color="auto"/>
                                                                    <w:left w:val="none" w:sz="0" w:space="0" w:color="auto"/>
                                                                    <w:bottom w:val="none" w:sz="0" w:space="0" w:color="auto"/>
                                                                    <w:right w:val="none" w:sz="0" w:space="0" w:color="auto"/>
                                                                  </w:divBdr>
                                                                </w:div>
                                                                <w:div w:id="1937709359">
                                                                  <w:marLeft w:val="0"/>
                                                                  <w:marRight w:val="0"/>
                                                                  <w:marTop w:val="0"/>
                                                                  <w:marBottom w:val="0"/>
                                                                  <w:divBdr>
                                                                    <w:top w:val="none" w:sz="0" w:space="0" w:color="auto"/>
                                                                    <w:left w:val="none" w:sz="0" w:space="0" w:color="auto"/>
                                                                    <w:bottom w:val="none" w:sz="0" w:space="0" w:color="auto"/>
                                                                    <w:right w:val="none" w:sz="0" w:space="0" w:color="auto"/>
                                                                  </w:divBdr>
                                                                </w:div>
                                                              </w:divsChild>
                                                            </w:div>
                                                            <w:div w:id="1563322070">
                                                              <w:marLeft w:val="0"/>
                                                              <w:marRight w:val="0"/>
                                                              <w:marTop w:val="0"/>
                                                              <w:marBottom w:val="0"/>
                                                              <w:divBdr>
                                                                <w:top w:val="none" w:sz="0" w:space="0" w:color="auto"/>
                                                                <w:left w:val="none" w:sz="0" w:space="0" w:color="auto"/>
                                                                <w:bottom w:val="none" w:sz="0" w:space="0" w:color="auto"/>
                                                                <w:right w:val="none" w:sz="0" w:space="0" w:color="auto"/>
                                                              </w:divBdr>
                                                              <w:divsChild>
                                                                <w:div w:id="1473597158">
                                                                  <w:marLeft w:val="0"/>
                                                                  <w:marRight w:val="120"/>
                                                                  <w:marTop w:val="0"/>
                                                                  <w:marBottom w:val="0"/>
                                                                  <w:divBdr>
                                                                    <w:top w:val="none" w:sz="0" w:space="0" w:color="auto"/>
                                                                    <w:left w:val="none" w:sz="0" w:space="0" w:color="auto"/>
                                                                    <w:bottom w:val="none" w:sz="0" w:space="0" w:color="auto"/>
                                                                    <w:right w:val="none" w:sz="0" w:space="0" w:color="auto"/>
                                                                  </w:divBdr>
                                                                </w:div>
                                                                <w:div w:id="1952469450">
                                                                  <w:marLeft w:val="0"/>
                                                                  <w:marRight w:val="0"/>
                                                                  <w:marTop w:val="0"/>
                                                                  <w:marBottom w:val="0"/>
                                                                  <w:divBdr>
                                                                    <w:top w:val="none" w:sz="0" w:space="0" w:color="auto"/>
                                                                    <w:left w:val="none" w:sz="0" w:space="0" w:color="auto"/>
                                                                    <w:bottom w:val="none" w:sz="0" w:space="0" w:color="auto"/>
                                                                    <w:right w:val="none" w:sz="0" w:space="0" w:color="auto"/>
                                                                  </w:divBdr>
                                                                </w:div>
                                                              </w:divsChild>
                                                            </w:div>
                                                            <w:div w:id="922379827">
                                                              <w:marLeft w:val="0"/>
                                                              <w:marRight w:val="0"/>
                                                              <w:marTop w:val="0"/>
                                                              <w:marBottom w:val="0"/>
                                                              <w:divBdr>
                                                                <w:top w:val="none" w:sz="0" w:space="0" w:color="auto"/>
                                                                <w:left w:val="none" w:sz="0" w:space="0" w:color="auto"/>
                                                                <w:bottom w:val="none" w:sz="0" w:space="0" w:color="auto"/>
                                                                <w:right w:val="none" w:sz="0" w:space="0" w:color="auto"/>
                                                              </w:divBdr>
                                                              <w:divsChild>
                                                                <w:div w:id="1483546857">
                                                                  <w:marLeft w:val="0"/>
                                                                  <w:marRight w:val="120"/>
                                                                  <w:marTop w:val="0"/>
                                                                  <w:marBottom w:val="0"/>
                                                                  <w:divBdr>
                                                                    <w:top w:val="none" w:sz="0" w:space="0" w:color="auto"/>
                                                                    <w:left w:val="none" w:sz="0" w:space="0" w:color="auto"/>
                                                                    <w:bottom w:val="none" w:sz="0" w:space="0" w:color="auto"/>
                                                                    <w:right w:val="none" w:sz="0" w:space="0" w:color="auto"/>
                                                                  </w:divBdr>
                                                                </w:div>
                                                                <w:div w:id="266350857">
                                                                  <w:marLeft w:val="0"/>
                                                                  <w:marRight w:val="0"/>
                                                                  <w:marTop w:val="0"/>
                                                                  <w:marBottom w:val="0"/>
                                                                  <w:divBdr>
                                                                    <w:top w:val="none" w:sz="0" w:space="0" w:color="auto"/>
                                                                    <w:left w:val="none" w:sz="0" w:space="0" w:color="auto"/>
                                                                    <w:bottom w:val="none" w:sz="0" w:space="0" w:color="auto"/>
                                                                    <w:right w:val="none" w:sz="0" w:space="0" w:color="auto"/>
                                                                  </w:divBdr>
                                                                </w:div>
                                                              </w:divsChild>
                                                            </w:div>
                                                            <w:div w:id="35543328">
                                                              <w:marLeft w:val="0"/>
                                                              <w:marRight w:val="0"/>
                                                              <w:marTop w:val="0"/>
                                                              <w:marBottom w:val="0"/>
                                                              <w:divBdr>
                                                                <w:top w:val="none" w:sz="0" w:space="0" w:color="auto"/>
                                                                <w:left w:val="none" w:sz="0" w:space="0" w:color="auto"/>
                                                                <w:bottom w:val="none" w:sz="0" w:space="0" w:color="auto"/>
                                                                <w:right w:val="none" w:sz="0" w:space="0" w:color="auto"/>
                                                              </w:divBdr>
                                                              <w:divsChild>
                                                                <w:div w:id="1207713916">
                                                                  <w:marLeft w:val="0"/>
                                                                  <w:marRight w:val="120"/>
                                                                  <w:marTop w:val="0"/>
                                                                  <w:marBottom w:val="0"/>
                                                                  <w:divBdr>
                                                                    <w:top w:val="none" w:sz="0" w:space="0" w:color="auto"/>
                                                                    <w:left w:val="none" w:sz="0" w:space="0" w:color="auto"/>
                                                                    <w:bottom w:val="none" w:sz="0" w:space="0" w:color="auto"/>
                                                                    <w:right w:val="none" w:sz="0" w:space="0" w:color="auto"/>
                                                                  </w:divBdr>
                                                                </w:div>
                                                                <w:div w:id="2014795312">
                                                                  <w:marLeft w:val="0"/>
                                                                  <w:marRight w:val="0"/>
                                                                  <w:marTop w:val="0"/>
                                                                  <w:marBottom w:val="0"/>
                                                                  <w:divBdr>
                                                                    <w:top w:val="none" w:sz="0" w:space="0" w:color="auto"/>
                                                                    <w:left w:val="none" w:sz="0" w:space="0" w:color="auto"/>
                                                                    <w:bottom w:val="none" w:sz="0" w:space="0" w:color="auto"/>
                                                                    <w:right w:val="none" w:sz="0" w:space="0" w:color="auto"/>
                                                                  </w:divBdr>
                                                                </w:div>
                                                              </w:divsChild>
                                                            </w:div>
                                                            <w:div w:id="293482695">
                                                              <w:marLeft w:val="0"/>
                                                              <w:marRight w:val="0"/>
                                                              <w:marTop w:val="0"/>
                                                              <w:marBottom w:val="0"/>
                                                              <w:divBdr>
                                                                <w:top w:val="none" w:sz="0" w:space="0" w:color="auto"/>
                                                                <w:left w:val="none" w:sz="0" w:space="0" w:color="auto"/>
                                                                <w:bottom w:val="none" w:sz="0" w:space="0" w:color="auto"/>
                                                                <w:right w:val="none" w:sz="0" w:space="0" w:color="auto"/>
                                                              </w:divBdr>
                                                              <w:divsChild>
                                                                <w:div w:id="1443845669">
                                                                  <w:marLeft w:val="0"/>
                                                                  <w:marRight w:val="120"/>
                                                                  <w:marTop w:val="0"/>
                                                                  <w:marBottom w:val="0"/>
                                                                  <w:divBdr>
                                                                    <w:top w:val="none" w:sz="0" w:space="0" w:color="auto"/>
                                                                    <w:left w:val="none" w:sz="0" w:space="0" w:color="auto"/>
                                                                    <w:bottom w:val="none" w:sz="0" w:space="0" w:color="auto"/>
                                                                    <w:right w:val="none" w:sz="0" w:space="0" w:color="auto"/>
                                                                  </w:divBdr>
                                                                </w:div>
                                                                <w:div w:id="1561674690">
                                                                  <w:marLeft w:val="0"/>
                                                                  <w:marRight w:val="0"/>
                                                                  <w:marTop w:val="0"/>
                                                                  <w:marBottom w:val="0"/>
                                                                  <w:divBdr>
                                                                    <w:top w:val="none" w:sz="0" w:space="0" w:color="auto"/>
                                                                    <w:left w:val="none" w:sz="0" w:space="0" w:color="auto"/>
                                                                    <w:bottom w:val="none" w:sz="0" w:space="0" w:color="auto"/>
                                                                    <w:right w:val="none" w:sz="0" w:space="0" w:color="auto"/>
                                                                  </w:divBdr>
                                                                </w:div>
                                                              </w:divsChild>
                                                            </w:div>
                                                            <w:div w:id="124853960">
                                                              <w:marLeft w:val="0"/>
                                                              <w:marRight w:val="0"/>
                                                              <w:marTop w:val="0"/>
                                                              <w:marBottom w:val="0"/>
                                                              <w:divBdr>
                                                                <w:top w:val="none" w:sz="0" w:space="0" w:color="auto"/>
                                                                <w:left w:val="none" w:sz="0" w:space="0" w:color="auto"/>
                                                                <w:bottom w:val="none" w:sz="0" w:space="0" w:color="auto"/>
                                                                <w:right w:val="none" w:sz="0" w:space="0" w:color="auto"/>
                                                              </w:divBdr>
                                                              <w:divsChild>
                                                                <w:div w:id="1306394751">
                                                                  <w:marLeft w:val="0"/>
                                                                  <w:marRight w:val="120"/>
                                                                  <w:marTop w:val="0"/>
                                                                  <w:marBottom w:val="0"/>
                                                                  <w:divBdr>
                                                                    <w:top w:val="none" w:sz="0" w:space="0" w:color="auto"/>
                                                                    <w:left w:val="none" w:sz="0" w:space="0" w:color="auto"/>
                                                                    <w:bottom w:val="none" w:sz="0" w:space="0" w:color="auto"/>
                                                                    <w:right w:val="none" w:sz="0" w:space="0" w:color="auto"/>
                                                                  </w:divBdr>
                                                                </w:div>
                                                                <w:div w:id="487870783">
                                                                  <w:marLeft w:val="0"/>
                                                                  <w:marRight w:val="0"/>
                                                                  <w:marTop w:val="0"/>
                                                                  <w:marBottom w:val="0"/>
                                                                  <w:divBdr>
                                                                    <w:top w:val="none" w:sz="0" w:space="0" w:color="auto"/>
                                                                    <w:left w:val="none" w:sz="0" w:space="0" w:color="auto"/>
                                                                    <w:bottom w:val="none" w:sz="0" w:space="0" w:color="auto"/>
                                                                    <w:right w:val="none" w:sz="0" w:space="0" w:color="auto"/>
                                                                  </w:divBdr>
                                                                </w:div>
                                                              </w:divsChild>
                                                            </w:div>
                                                            <w:div w:id="1852403314">
                                                              <w:marLeft w:val="0"/>
                                                              <w:marRight w:val="0"/>
                                                              <w:marTop w:val="0"/>
                                                              <w:marBottom w:val="0"/>
                                                              <w:divBdr>
                                                                <w:top w:val="none" w:sz="0" w:space="0" w:color="auto"/>
                                                                <w:left w:val="none" w:sz="0" w:space="0" w:color="auto"/>
                                                                <w:bottom w:val="none" w:sz="0" w:space="0" w:color="auto"/>
                                                                <w:right w:val="none" w:sz="0" w:space="0" w:color="auto"/>
                                                              </w:divBdr>
                                                              <w:divsChild>
                                                                <w:div w:id="2038042934">
                                                                  <w:marLeft w:val="0"/>
                                                                  <w:marRight w:val="120"/>
                                                                  <w:marTop w:val="0"/>
                                                                  <w:marBottom w:val="0"/>
                                                                  <w:divBdr>
                                                                    <w:top w:val="none" w:sz="0" w:space="0" w:color="auto"/>
                                                                    <w:left w:val="none" w:sz="0" w:space="0" w:color="auto"/>
                                                                    <w:bottom w:val="none" w:sz="0" w:space="0" w:color="auto"/>
                                                                    <w:right w:val="none" w:sz="0" w:space="0" w:color="auto"/>
                                                                  </w:divBdr>
                                                                </w:div>
                                                                <w:div w:id="1533766496">
                                                                  <w:marLeft w:val="0"/>
                                                                  <w:marRight w:val="0"/>
                                                                  <w:marTop w:val="0"/>
                                                                  <w:marBottom w:val="0"/>
                                                                  <w:divBdr>
                                                                    <w:top w:val="none" w:sz="0" w:space="0" w:color="auto"/>
                                                                    <w:left w:val="none" w:sz="0" w:space="0" w:color="auto"/>
                                                                    <w:bottom w:val="none" w:sz="0" w:space="0" w:color="auto"/>
                                                                    <w:right w:val="none" w:sz="0" w:space="0" w:color="auto"/>
                                                                  </w:divBdr>
                                                                </w:div>
                                                              </w:divsChild>
                                                            </w:div>
                                                            <w:div w:id="1403018198">
                                                              <w:marLeft w:val="0"/>
                                                              <w:marRight w:val="0"/>
                                                              <w:marTop w:val="0"/>
                                                              <w:marBottom w:val="0"/>
                                                              <w:divBdr>
                                                                <w:top w:val="none" w:sz="0" w:space="0" w:color="auto"/>
                                                                <w:left w:val="none" w:sz="0" w:space="0" w:color="auto"/>
                                                                <w:bottom w:val="none" w:sz="0" w:space="0" w:color="auto"/>
                                                                <w:right w:val="none" w:sz="0" w:space="0" w:color="auto"/>
                                                              </w:divBdr>
                                                              <w:divsChild>
                                                                <w:div w:id="1167942797">
                                                                  <w:marLeft w:val="0"/>
                                                                  <w:marRight w:val="120"/>
                                                                  <w:marTop w:val="0"/>
                                                                  <w:marBottom w:val="0"/>
                                                                  <w:divBdr>
                                                                    <w:top w:val="none" w:sz="0" w:space="0" w:color="auto"/>
                                                                    <w:left w:val="none" w:sz="0" w:space="0" w:color="auto"/>
                                                                    <w:bottom w:val="none" w:sz="0" w:space="0" w:color="auto"/>
                                                                    <w:right w:val="none" w:sz="0" w:space="0" w:color="auto"/>
                                                                  </w:divBdr>
                                                                </w:div>
                                                                <w:div w:id="627592526">
                                                                  <w:marLeft w:val="0"/>
                                                                  <w:marRight w:val="0"/>
                                                                  <w:marTop w:val="0"/>
                                                                  <w:marBottom w:val="0"/>
                                                                  <w:divBdr>
                                                                    <w:top w:val="none" w:sz="0" w:space="0" w:color="auto"/>
                                                                    <w:left w:val="none" w:sz="0" w:space="0" w:color="auto"/>
                                                                    <w:bottom w:val="none" w:sz="0" w:space="0" w:color="auto"/>
                                                                    <w:right w:val="none" w:sz="0" w:space="0" w:color="auto"/>
                                                                  </w:divBdr>
                                                                </w:div>
                                                              </w:divsChild>
                                                            </w:div>
                                                            <w:div w:id="857351430">
                                                              <w:marLeft w:val="0"/>
                                                              <w:marRight w:val="0"/>
                                                              <w:marTop w:val="0"/>
                                                              <w:marBottom w:val="0"/>
                                                              <w:divBdr>
                                                                <w:top w:val="none" w:sz="0" w:space="0" w:color="auto"/>
                                                                <w:left w:val="none" w:sz="0" w:space="0" w:color="auto"/>
                                                                <w:bottom w:val="none" w:sz="0" w:space="0" w:color="auto"/>
                                                                <w:right w:val="none" w:sz="0" w:space="0" w:color="auto"/>
                                                              </w:divBdr>
                                                              <w:divsChild>
                                                                <w:div w:id="1135491005">
                                                                  <w:marLeft w:val="0"/>
                                                                  <w:marRight w:val="120"/>
                                                                  <w:marTop w:val="0"/>
                                                                  <w:marBottom w:val="0"/>
                                                                  <w:divBdr>
                                                                    <w:top w:val="none" w:sz="0" w:space="0" w:color="auto"/>
                                                                    <w:left w:val="none" w:sz="0" w:space="0" w:color="auto"/>
                                                                    <w:bottom w:val="none" w:sz="0" w:space="0" w:color="auto"/>
                                                                    <w:right w:val="none" w:sz="0" w:space="0" w:color="auto"/>
                                                                  </w:divBdr>
                                                                </w:div>
                                                                <w:div w:id="2034918041">
                                                                  <w:marLeft w:val="0"/>
                                                                  <w:marRight w:val="0"/>
                                                                  <w:marTop w:val="0"/>
                                                                  <w:marBottom w:val="0"/>
                                                                  <w:divBdr>
                                                                    <w:top w:val="none" w:sz="0" w:space="0" w:color="auto"/>
                                                                    <w:left w:val="none" w:sz="0" w:space="0" w:color="auto"/>
                                                                    <w:bottom w:val="none" w:sz="0" w:space="0" w:color="auto"/>
                                                                    <w:right w:val="none" w:sz="0" w:space="0" w:color="auto"/>
                                                                  </w:divBdr>
                                                                </w:div>
                                                              </w:divsChild>
                                                            </w:div>
                                                            <w:div w:id="1758166674">
                                                              <w:marLeft w:val="0"/>
                                                              <w:marRight w:val="0"/>
                                                              <w:marTop w:val="0"/>
                                                              <w:marBottom w:val="0"/>
                                                              <w:divBdr>
                                                                <w:top w:val="none" w:sz="0" w:space="0" w:color="auto"/>
                                                                <w:left w:val="none" w:sz="0" w:space="0" w:color="auto"/>
                                                                <w:bottom w:val="none" w:sz="0" w:space="0" w:color="auto"/>
                                                                <w:right w:val="none" w:sz="0" w:space="0" w:color="auto"/>
                                                              </w:divBdr>
                                                              <w:divsChild>
                                                                <w:div w:id="1747917287">
                                                                  <w:marLeft w:val="0"/>
                                                                  <w:marRight w:val="120"/>
                                                                  <w:marTop w:val="0"/>
                                                                  <w:marBottom w:val="0"/>
                                                                  <w:divBdr>
                                                                    <w:top w:val="none" w:sz="0" w:space="0" w:color="auto"/>
                                                                    <w:left w:val="none" w:sz="0" w:space="0" w:color="auto"/>
                                                                    <w:bottom w:val="none" w:sz="0" w:space="0" w:color="auto"/>
                                                                    <w:right w:val="none" w:sz="0" w:space="0" w:color="auto"/>
                                                                  </w:divBdr>
                                                                </w:div>
                                                                <w:div w:id="1245800384">
                                                                  <w:marLeft w:val="0"/>
                                                                  <w:marRight w:val="0"/>
                                                                  <w:marTop w:val="0"/>
                                                                  <w:marBottom w:val="0"/>
                                                                  <w:divBdr>
                                                                    <w:top w:val="none" w:sz="0" w:space="0" w:color="auto"/>
                                                                    <w:left w:val="none" w:sz="0" w:space="0" w:color="auto"/>
                                                                    <w:bottom w:val="none" w:sz="0" w:space="0" w:color="auto"/>
                                                                    <w:right w:val="none" w:sz="0" w:space="0" w:color="auto"/>
                                                                  </w:divBdr>
                                                                </w:div>
                                                              </w:divsChild>
                                                            </w:div>
                                                            <w:div w:id="2066105384">
                                                              <w:marLeft w:val="0"/>
                                                              <w:marRight w:val="0"/>
                                                              <w:marTop w:val="0"/>
                                                              <w:marBottom w:val="0"/>
                                                              <w:divBdr>
                                                                <w:top w:val="none" w:sz="0" w:space="0" w:color="auto"/>
                                                                <w:left w:val="none" w:sz="0" w:space="0" w:color="auto"/>
                                                                <w:bottom w:val="none" w:sz="0" w:space="0" w:color="auto"/>
                                                                <w:right w:val="none" w:sz="0" w:space="0" w:color="auto"/>
                                                              </w:divBdr>
                                                              <w:divsChild>
                                                                <w:div w:id="1511791462">
                                                                  <w:marLeft w:val="0"/>
                                                                  <w:marRight w:val="120"/>
                                                                  <w:marTop w:val="0"/>
                                                                  <w:marBottom w:val="0"/>
                                                                  <w:divBdr>
                                                                    <w:top w:val="none" w:sz="0" w:space="0" w:color="auto"/>
                                                                    <w:left w:val="none" w:sz="0" w:space="0" w:color="auto"/>
                                                                    <w:bottom w:val="none" w:sz="0" w:space="0" w:color="auto"/>
                                                                    <w:right w:val="none" w:sz="0" w:space="0" w:color="auto"/>
                                                                  </w:divBdr>
                                                                </w:div>
                                                                <w:div w:id="503667711">
                                                                  <w:marLeft w:val="0"/>
                                                                  <w:marRight w:val="0"/>
                                                                  <w:marTop w:val="0"/>
                                                                  <w:marBottom w:val="0"/>
                                                                  <w:divBdr>
                                                                    <w:top w:val="none" w:sz="0" w:space="0" w:color="auto"/>
                                                                    <w:left w:val="none" w:sz="0" w:space="0" w:color="auto"/>
                                                                    <w:bottom w:val="none" w:sz="0" w:space="0" w:color="auto"/>
                                                                    <w:right w:val="none" w:sz="0" w:space="0" w:color="auto"/>
                                                                  </w:divBdr>
                                                                </w:div>
                                                              </w:divsChild>
                                                            </w:div>
                                                            <w:div w:id="1507746430">
                                                              <w:marLeft w:val="0"/>
                                                              <w:marRight w:val="0"/>
                                                              <w:marTop w:val="0"/>
                                                              <w:marBottom w:val="0"/>
                                                              <w:divBdr>
                                                                <w:top w:val="none" w:sz="0" w:space="0" w:color="auto"/>
                                                                <w:left w:val="none" w:sz="0" w:space="0" w:color="auto"/>
                                                                <w:bottom w:val="none" w:sz="0" w:space="0" w:color="auto"/>
                                                                <w:right w:val="none" w:sz="0" w:space="0" w:color="auto"/>
                                                              </w:divBdr>
                                                              <w:divsChild>
                                                                <w:div w:id="1039476217">
                                                                  <w:marLeft w:val="0"/>
                                                                  <w:marRight w:val="120"/>
                                                                  <w:marTop w:val="0"/>
                                                                  <w:marBottom w:val="0"/>
                                                                  <w:divBdr>
                                                                    <w:top w:val="none" w:sz="0" w:space="0" w:color="auto"/>
                                                                    <w:left w:val="none" w:sz="0" w:space="0" w:color="auto"/>
                                                                    <w:bottom w:val="none" w:sz="0" w:space="0" w:color="auto"/>
                                                                    <w:right w:val="none" w:sz="0" w:space="0" w:color="auto"/>
                                                                  </w:divBdr>
                                                                </w:div>
                                                                <w:div w:id="1174346713">
                                                                  <w:marLeft w:val="0"/>
                                                                  <w:marRight w:val="0"/>
                                                                  <w:marTop w:val="0"/>
                                                                  <w:marBottom w:val="0"/>
                                                                  <w:divBdr>
                                                                    <w:top w:val="none" w:sz="0" w:space="0" w:color="auto"/>
                                                                    <w:left w:val="none" w:sz="0" w:space="0" w:color="auto"/>
                                                                    <w:bottom w:val="none" w:sz="0" w:space="0" w:color="auto"/>
                                                                    <w:right w:val="none" w:sz="0" w:space="0" w:color="auto"/>
                                                                  </w:divBdr>
                                                                </w:div>
                                                              </w:divsChild>
                                                            </w:div>
                                                            <w:div w:id="1087190878">
                                                              <w:marLeft w:val="0"/>
                                                              <w:marRight w:val="0"/>
                                                              <w:marTop w:val="0"/>
                                                              <w:marBottom w:val="0"/>
                                                              <w:divBdr>
                                                                <w:top w:val="none" w:sz="0" w:space="0" w:color="auto"/>
                                                                <w:left w:val="none" w:sz="0" w:space="0" w:color="auto"/>
                                                                <w:bottom w:val="none" w:sz="0" w:space="0" w:color="auto"/>
                                                                <w:right w:val="none" w:sz="0" w:space="0" w:color="auto"/>
                                                              </w:divBdr>
                                                              <w:divsChild>
                                                                <w:div w:id="805969475">
                                                                  <w:marLeft w:val="0"/>
                                                                  <w:marRight w:val="120"/>
                                                                  <w:marTop w:val="0"/>
                                                                  <w:marBottom w:val="0"/>
                                                                  <w:divBdr>
                                                                    <w:top w:val="none" w:sz="0" w:space="0" w:color="auto"/>
                                                                    <w:left w:val="none" w:sz="0" w:space="0" w:color="auto"/>
                                                                    <w:bottom w:val="none" w:sz="0" w:space="0" w:color="auto"/>
                                                                    <w:right w:val="none" w:sz="0" w:space="0" w:color="auto"/>
                                                                  </w:divBdr>
                                                                </w:div>
                                                                <w:div w:id="1973172066">
                                                                  <w:marLeft w:val="0"/>
                                                                  <w:marRight w:val="0"/>
                                                                  <w:marTop w:val="0"/>
                                                                  <w:marBottom w:val="0"/>
                                                                  <w:divBdr>
                                                                    <w:top w:val="none" w:sz="0" w:space="0" w:color="auto"/>
                                                                    <w:left w:val="none" w:sz="0" w:space="0" w:color="auto"/>
                                                                    <w:bottom w:val="none" w:sz="0" w:space="0" w:color="auto"/>
                                                                    <w:right w:val="none" w:sz="0" w:space="0" w:color="auto"/>
                                                                  </w:divBdr>
                                                                </w:div>
                                                              </w:divsChild>
                                                            </w:div>
                                                            <w:div w:id="334890135">
                                                              <w:marLeft w:val="0"/>
                                                              <w:marRight w:val="0"/>
                                                              <w:marTop w:val="0"/>
                                                              <w:marBottom w:val="0"/>
                                                              <w:divBdr>
                                                                <w:top w:val="none" w:sz="0" w:space="0" w:color="auto"/>
                                                                <w:left w:val="none" w:sz="0" w:space="0" w:color="auto"/>
                                                                <w:bottom w:val="none" w:sz="0" w:space="0" w:color="auto"/>
                                                                <w:right w:val="none" w:sz="0" w:space="0" w:color="auto"/>
                                                              </w:divBdr>
                                                              <w:divsChild>
                                                                <w:div w:id="861475479">
                                                                  <w:marLeft w:val="0"/>
                                                                  <w:marRight w:val="120"/>
                                                                  <w:marTop w:val="0"/>
                                                                  <w:marBottom w:val="0"/>
                                                                  <w:divBdr>
                                                                    <w:top w:val="none" w:sz="0" w:space="0" w:color="auto"/>
                                                                    <w:left w:val="none" w:sz="0" w:space="0" w:color="auto"/>
                                                                    <w:bottom w:val="none" w:sz="0" w:space="0" w:color="auto"/>
                                                                    <w:right w:val="none" w:sz="0" w:space="0" w:color="auto"/>
                                                                  </w:divBdr>
                                                                </w:div>
                                                                <w:div w:id="1245139384">
                                                                  <w:marLeft w:val="0"/>
                                                                  <w:marRight w:val="0"/>
                                                                  <w:marTop w:val="0"/>
                                                                  <w:marBottom w:val="0"/>
                                                                  <w:divBdr>
                                                                    <w:top w:val="none" w:sz="0" w:space="0" w:color="auto"/>
                                                                    <w:left w:val="none" w:sz="0" w:space="0" w:color="auto"/>
                                                                    <w:bottom w:val="none" w:sz="0" w:space="0" w:color="auto"/>
                                                                    <w:right w:val="none" w:sz="0" w:space="0" w:color="auto"/>
                                                                  </w:divBdr>
                                                                </w:div>
                                                              </w:divsChild>
                                                            </w:div>
                                                            <w:div w:id="1104151259">
                                                              <w:marLeft w:val="0"/>
                                                              <w:marRight w:val="0"/>
                                                              <w:marTop w:val="0"/>
                                                              <w:marBottom w:val="0"/>
                                                              <w:divBdr>
                                                                <w:top w:val="none" w:sz="0" w:space="0" w:color="auto"/>
                                                                <w:left w:val="none" w:sz="0" w:space="0" w:color="auto"/>
                                                                <w:bottom w:val="none" w:sz="0" w:space="0" w:color="auto"/>
                                                                <w:right w:val="none" w:sz="0" w:space="0" w:color="auto"/>
                                                              </w:divBdr>
                                                              <w:divsChild>
                                                                <w:div w:id="373966274">
                                                                  <w:marLeft w:val="0"/>
                                                                  <w:marRight w:val="120"/>
                                                                  <w:marTop w:val="0"/>
                                                                  <w:marBottom w:val="0"/>
                                                                  <w:divBdr>
                                                                    <w:top w:val="none" w:sz="0" w:space="0" w:color="auto"/>
                                                                    <w:left w:val="none" w:sz="0" w:space="0" w:color="auto"/>
                                                                    <w:bottom w:val="none" w:sz="0" w:space="0" w:color="auto"/>
                                                                    <w:right w:val="none" w:sz="0" w:space="0" w:color="auto"/>
                                                                  </w:divBdr>
                                                                </w:div>
                                                                <w:div w:id="1183013456">
                                                                  <w:marLeft w:val="0"/>
                                                                  <w:marRight w:val="0"/>
                                                                  <w:marTop w:val="0"/>
                                                                  <w:marBottom w:val="0"/>
                                                                  <w:divBdr>
                                                                    <w:top w:val="none" w:sz="0" w:space="0" w:color="auto"/>
                                                                    <w:left w:val="none" w:sz="0" w:space="0" w:color="auto"/>
                                                                    <w:bottom w:val="none" w:sz="0" w:space="0" w:color="auto"/>
                                                                    <w:right w:val="none" w:sz="0" w:space="0" w:color="auto"/>
                                                                  </w:divBdr>
                                                                </w:div>
                                                              </w:divsChild>
                                                            </w:div>
                                                            <w:div w:id="1259950690">
                                                              <w:marLeft w:val="0"/>
                                                              <w:marRight w:val="0"/>
                                                              <w:marTop w:val="0"/>
                                                              <w:marBottom w:val="0"/>
                                                              <w:divBdr>
                                                                <w:top w:val="none" w:sz="0" w:space="0" w:color="auto"/>
                                                                <w:left w:val="none" w:sz="0" w:space="0" w:color="auto"/>
                                                                <w:bottom w:val="none" w:sz="0" w:space="0" w:color="auto"/>
                                                                <w:right w:val="none" w:sz="0" w:space="0" w:color="auto"/>
                                                              </w:divBdr>
                                                              <w:divsChild>
                                                                <w:div w:id="613828847">
                                                                  <w:marLeft w:val="0"/>
                                                                  <w:marRight w:val="120"/>
                                                                  <w:marTop w:val="0"/>
                                                                  <w:marBottom w:val="0"/>
                                                                  <w:divBdr>
                                                                    <w:top w:val="none" w:sz="0" w:space="0" w:color="auto"/>
                                                                    <w:left w:val="none" w:sz="0" w:space="0" w:color="auto"/>
                                                                    <w:bottom w:val="none" w:sz="0" w:space="0" w:color="auto"/>
                                                                    <w:right w:val="none" w:sz="0" w:space="0" w:color="auto"/>
                                                                  </w:divBdr>
                                                                </w:div>
                                                                <w:div w:id="343827795">
                                                                  <w:marLeft w:val="0"/>
                                                                  <w:marRight w:val="0"/>
                                                                  <w:marTop w:val="0"/>
                                                                  <w:marBottom w:val="0"/>
                                                                  <w:divBdr>
                                                                    <w:top w:val="none" w:sz="0" w:space="0" w:color="auto"/>
                                                                    <w:left w:val="none" w:sz="0" w:space="0" w:color="auto"/>
                                                                    <w:bottom w:val="none" w:sz="0" w:space="0" w:color="auto"/>
                                                                    <w:right w:val="none" w:sz="0" w:space="0" w:color="auto"/>
                                                                  </w:divBdr>
                                                                </w:div>
                                                              </w:divsChild>
                                                            </w:div>
                                                            <w:div w:id="42827654">
                                                              <w:marLeft w:val="0"/>
                                                              <w:marRight w:val="0"/>
                                                              <w:marTop w:val="0"/>
                                                              <w:marBottom w:val="0"/>
                                                              <w:divBdr>
                                                                <w:top w:val="none" w:sz="0" w:space="0" w:color="auto"/>
                                                                <w:left w:val="none" w:sz="0" w:space="0" w:color="auto"/>
                                                                <w:bottom w:val="none" w:sz="0" w:space="0" w:color="auto"/>
                                                                <w:right w:val="none" w:sz="0" w:space="0" w:color="auto"/>
                                                              </w:divBdr>
                                                              <w:divsChild>
                                                                <w:div w:id="148257154">
                                                                  <w:marLeft w:val="0"/>
                                                                  <w:marRight w:val="120"/>
                                                                  <w:marTop w:val="0"/>
                                                                  <w:marBottom w:val="0"/>
                                                                  <w:divBdr>
                                                                    <w:top w:val="none" w:sz="0" w:space="0" w:color="auto"/>
                                                                    <w:left w:val="none" w:sz="0" w:space="0" w:color="auto"/>
                                                                    <w:bottom w:val="none" w:sz="0" w:space="0" w:color="auto"/>
                                                                    <w:right w:val="none" w:sz="0" w:space="0" w:color="auto"/>
                                                                  </w:divBdr>
                                                                </w:div>
                                                                <w:div w:id="1083917283">
                                                                  <w:marLeft w:val="0"/>
                                                                  <w:marRight w:val="0"/>
                                                                  <w:marTop w:val="0"/>
                                                                  <w:marBottom w:val="0"/>
                                                                  <w:divBdr>
                                                                    <w:top w:val="none" w:sz="0" w:space="0" w:color="auto"/>
                                                                    <w:left w:val="none" w:sz="0" w:space="0" w:color="auto"/>
                                                                    <w:bottom w:val="none" w:sz="0" w:space="0" w:color="auto"/>
                                                                    <w:right w:val="none" w:sz="0" w:space="0" w:color="auto"/>
                                                                  </w:divBdr>
                                                                </w:div>
                                                              </w:divsChild>
                                                            </w:div>
                                                            <w:div w:id="603343547">
                                                              <w:marLeft w:val="0"/>
                                                              <w:marRight w:val="0"/>
                                                              <w:marTop w:val="0"/>
                                                              <w:marBottom w:val="0"/>
                                                              <w:divBdr>
                                                                <w:top w:val="none" w:sz="0" w:space="0" w:color="auto"/>
                                                                <w:left w:val="none" w:sz="0" w:space="0" w:color="auto"/>
                                                                <w:bottom w:val="none" w:sz="0" w:space="0" w:color="auto"/>
                                                                <w:right w:val="none" w:sz="0" w:space="0" w:color="auto"/>
                                                              </w:divBdr>
                                                              <w:divsChild>
                                                                <w:div w:id="1729038903">
                                                                  <w:marLeft w:val="0"/>
                                                                  <w:marRight w:val="120"/>
                                                                  <w:marTop w:val="0"/>
                                                                  <w:marBottom w:val="0"/>
                                                                  <w:divBdr>
                                                                    <w:top w:val="none" w:sz="0" w:space="0" w:color="auto"/>
                                                                    <w:left w:val="none" w:sz="0" w:space="0" w:color="auto"/>
                                                                    <w:bottom w:val="none" w:sz="0" w:space="0" w:color="auto"/>
                                                                    <w:right w:val="none" w:sz="0" w:space="0" w:color="auto"/>
                                                                  </w:divBdr>
                                                                </w:div>
                                                                <w:div w:id="1682390802">
                                                                  <w:marLeft w:val="0"/>
                                                                  <w:marRight w:val="0"/>
                                                                  <w:marTop w:val="0"/>
                                                                  <w:marBottom w:val="0"/>
                                                                  <w:divBdr>
                                                                    <w:top w:val="none" w:sz="0" w:space="0" w:color="auto"/>
                                                                    <w:left w:val="none" w:sz="0" w:space="0" w:color="auto"/>
                                                                    <w:bottom w:val="none" w:sz="0" w:space="0" w:color="auto"/>
                                                                    <w:right w:val="none" w:sz="0" w:space="0" w:color="auto"/>
                                                                  </w:divBdr>
                                                                </w:div>
                                                              </w:divsChild>
                                                            </w:div>
                                                            <w:div w:id="607740082">
                                                              <w:marLeft w:val="0"/>
                                                              <w:marRight w:val="0"/>
                                                              <w:marTop w:val="0"/>
                                                              <w:marBottom w:val="0"/>
                                                              <w:divBdr>
                                                                <w:top w:val="none" w:sz="0" w:space="0" w:color="auto"/>
                                                                <w:left w:val="none" w:sz="0" w:space="0" w:color="auto"/>
                                                                <w:bottom w:val="none" w:sz="0" w:space="0" w:color="auto"/>
                                                                <w:right w:val="none" w:sz="0" w:space="0" w:color="auto"/>
                                                              </w:divBdr>
                                                              <w:divsChild>
                                                                <w:div w:id="308677444">
                                                                  <w:marLeft w:val="0"/>
                                                                  <w:marRight w:val="120"/>
                                                                  <w:marTop w:val="0"/>
                                                                  <w:marBottom w:val="0"/>
                                                                  <w:divBdr>
                                                                    <w:top w:val="none" w:sz="0" w:space="0" w:color="auto"/>
                                                                    <w:left w:val="none" w:sz="0" w:space="0" w:color="auto"/>
                                                                    <w:bottom w:val="none" w:sz="0" w:space="0" w:color="auto"/>
                                                                    <w:right w:val="none" w:sz="0" w:space="0" w:color="auto"/>
                                                                  </w:divBdr>
                                                                </w:div>
                                                                <w:div w:id="706107916">
                                                                  <w:marLeft w:val="0"/>
                                                                  <w:marRight w:val="0"/>
                                                                  <w:marTop w:val="0"/>
                                                                  <w:marBottom w:val="0"/>
                                                                  <w:divBdr>
                                                                    <w:top w:val="none" w:sz="0" w:space="0" w:color="auto"/>
                                                                    <w:left w:val="none" w:sz="0" w:space="0" w:color="auto"/>
                                                                    <w:bottom w:val="none" w:sz="0" w:space="0" w:color="auto"/>
                                                                    <w:right w:val="none" w:sz="0" w:space="0" w:color="auto"/>
                                                                  </w:divBdr>
                                                                </w:div>
                                                              </w:divsChild>
                                                            </w:div>
                                                            <w:div w:id="1623461335">
                                                              <w:marLeft w:val="0"/>
                                                              <w:marRight w:val="0"/>
                                                              <w:marTop w:val="0"/>
                                                              <w:marBottom w:val="0"/>
                                                              <w:divBdr>
                                                                <w:top w:val="none" w:sz="0" w:space="0" w:color="auto"/>
                                                                <w:left w:val="none" w:sz="0" w:space="0" w:color="auto"/>
                                                                <w:bottom w:val="none" w:sz="0" w:space="0" w:color="auto"/>
                                                                <w:right w:val="none" w:sz="0" w:space="0" w:color="auto"/>
                                                              </w:divBdr>
                                                              <w:divsChild>
                                                                <w:div w:id="943616818">
                                                                  <w:marLeft w:val="0"/>
                                                                  <w:marRight w:val="120"/>
                                                                  <w:marTop w:val="0"/>
                                                                  <w:marBottom w:val="0"/>
                                                                  <w:divBdr>
                                                                    <w:top w:val="none" w:sz="0" w:space="0" w:color="auto"/>
                                                                    <w:left w:val="none" w:sz="0" w:space="0" w:color="auto"/>
                                                                    <w:bottom w:val="none" w:sz="0" w:space="0" w:color="auto"/>
                                                                    <w:right w:val="none" w:sz="0" w:space="0" w:color="auto"/>
                                                                  </w:divBdr>
                                                                </w:div>
                                                                <w:div w:id="1864630605">
                                                                  <w:marLeft w:val="0"/>
                                                                  <w:marRight w:val="0"/>
                                                                  <w:marTop w:val="0"/>
                                                                  <w:marBottom w:val="0"/>
                                                                  <w:divBdr>
                                                                    <w:top w:val="none" w:sz="0" w:space="0" w:color="auto"/>
                                                                    <w:left w:val="none" w:sz="0" w:space="0" w:color="auto"/>
                                                                    <w:bottom w:val="none" w:sz="0" w:space="0" w:color="auto"/>
                                                                    <w:right w:val="none" w:sz="0" w:space="0" w:color="auto"/>
                                                                  </w:divBdr>
                                                                </w:div>
                                                              </w:divsChild>
                                                            </w:div>
                                                            <w:div w:id="1392969283">
                                                              <w:marLeft w:val="0"/>
                                                              <w:marRight w:val="0"/>
                                                              <w:marTop w:val="0"/>
                                                              <w:marBottom w:val="0"/>
                                                              <w:divBdr>
                                                                <w:top w:val="none" w:sz="0" w:space="0" w:color="auto"/>
                                                                <w:left w:val="none" w:sz="0" w:space="0" w:color="auto"/>
                                                                <w:bottom w:val="none" w:sz="0" w:space="0" w:color="auto"/>
                                                                <w:right w:val="none" w:sz="0" w:space="0" w:color="auto"/>
                                                              </w:divBdr>
                                                              <w:divsChild>
                                                                <w:div w:id="1975602450">
                                                                  <w:marLeft w:val="0"/>
                                                                  <w:marRight w:val="120"/>
                                                                  <w:marTop w:val="0"/>
                                                                  <w:marBottom w:val="0"/>
                                                                  <w:divBdr>
                                                                    <w:top w:val="none" w:sz="0" w:space="0" w:color="auto"/>
                                                                    <w:left w:val="none" w:sz="0" w:space="0" w:color="auto"/>
                                                                    <w:bottom w:val="none" w:sz="0" w:space="0" w:color="auto"/>
                                                                    <w:right w:val="none" w:sz="0" w:space="0" w:color="auto"/>
                                                                  </w:divBdr>
                                                                </w:div>
                                                                <w:div w:id="1004630830">
                                                                  <w:marLeft w:val="0"/>
                                                                  <w:marRight w:val="0"/>
                                                                  <w:marTop w:val="0"/>
                                                                  <w:marBottom w:val="0"/>
                                                                  <w:divBdr>
                                                                    <w:top w:val="none" w:sz="0" w:space="0" w:color="auto"/>
                                                                    <w:left w:val="none" w:sz="0" w:space="0" w:color="auto"/>
                                                                    <w:bottom w:val="none" w:sz="0" w:space="0" w:color="auto"/>
                                                                    <w:right w:val="none" w:sz="0" w:space="0" w:color="auto"/>
                                                                  </w:divBdr>
                                                                </w:div>
                                                              </w:divsChild>
                                                            </w:div>
                                                            <w:div w:id="1211040195">
                                                              <w:marLeft w:val="0"/>
                                                              <w:marRight w:val="0"/>
                                                              <w:marTop w:val="0"/>
                                                              <w:marBottom w:val="0"/>
                                                              <w:divBdr>
                                                                <w:top w:val="none" w:sz="0" w:space="0" w:color="auto"/>
                                                                <w:left w:val="none" w:sz="0" w:space="0" w:color="auto"/>
                                                                <w:bottom w:val="none" w:sz="0" w:space="0" w:color="auto"/>
                                                                <w:right w:val="none" w:sz="0" w:space="0" w:color="auto"/>
                                                              </w:divBdr>
                                                              <w:divsChild>
                                                                <w:div w:id="1066565507">
                                                                  <w:marLeft w:val="0"/>
                                                                  <w:marRight w:val="120"/>
                                                                  <w:marTop w:val="0"/>
                                                                  <w:marBottom w:val="0"/>
                                                                  <w:divBdr>
                                                                    <w:top w:val="none" w:sz="0" w:space="0" w:color="auto"/>
                                                                    <w:left w:val="none" w:sz="0" w:space="0" w:color="auto"/>
                                                                    <w:bottom w:val="none" w:sz="0" w:space="0" w:color="auto"/>
                                                                    <w:right w:val="none" w:sz="0" w:space="0" w:color="auto"/>
                                                                  </w:divBdr>
                                                                </w:div>
                                                                <w:div w:id="87387416">
                                                                  <w:marLeft w:val="0"/>
                                                                  <w:marRight w:val="0"/>
                                                                  <w:marTop w:val="0"/>
                                                                  <w:marBottom w:val="0"/>
                                                                  <w:divBdr>
                                                                    <w:top w:val="none" w:sz="0" w:space="0" w:color="auto"/>
                                                                    <w:left w:val="none" w:sz="0" w:space="0" w:color="auto"/>
                                                                    <w:bottom w:val="none" w:sz="0" w:space="0" w:color="auto"/>
                                                                    <w:right w:val="none" w:sz="0" w:space="0" w:color="auto"/>
                                                                  </w:divBdr>
                                                                </w:div>
                                                              </w:divsChild>
                                                            </w:div>
                                                            <w:div w:id="1409301471">
                                                              <w:marLeft w:val="0"/>
                                                              <w:marRight w:val="0"/>
                                                              <w:marTop w:val="0"/>
                                                              <w:marBottom w:val="0"/>
                                                              <w:divBdr>
                                                                <w:top w:val="none" w:sz="0" w:space="0" w:color="auto"/>
                                                                <w:left w:val="none" w:sz="0" w:space="0" w:color="auto"/>
                                                                <w:bottom w:val="none" w:sz="0" w:space="0" w:color="auto"/>
                                                                <w:right w:val="none" w:sz="0" w:space="0" w:color="auto"/>
                                                              </w:divBdr>
                                                              <w:divsChild>
                                                                <w:div w:id="327173081">
                                                                  <w:marLeft w:val="0"/>
                                                                  <w:marRight w:val="120"/>
                                                                  <w:marTop w:val="0"/>
                                                                  <w:marBottom w:val="0"/>
                                                                  <w:divBdr>
                                                                    <w:top w:val="none" w:sz="0" w:space="0" w:color="auto"/>
                                                                    <w:left w:val="none" w:sz="0" w:space="0" w:color="auto"/>
                                                                    <w:bottom w:val="none" w:sz="0" w:space="0" w:color="auto"/>
                                                                    <w:right w:val="none" w:sz="0" w:space="0" w:color="auto"/>
                                                                  </w:divBdr>
                                                                </w:div>
                                                                <w:div w:id="13381788">
                                                                  <w:marLeft w:val="0"/>
                                                                  <w:marRight w:val="0"/>
                                                                  <w:marTop w:val="0"/>
                                                                  <w:marBottom w:val="0"/>
                                                                  <w:divBdr>
                                                                    <w:top w:val="none" w:sz="0" w:space="0" w:color="auto"/>
                                                                    <w:left w:val="none" w:sz="0" w:space="0" w:color="auto"/>
                                                                    <w:bottom w:val="none" w:sz="0" w:space="0" w:color="auto"/>
                                                                    <w:right w:val="none" w:sz="0" w:space="0" w:color="auto"/>
                                                                  </w:divBdr>
                                                                </w:div>
                                                              </w:divsChild>
                                                            </w:div>
                                                            <w:div w:id="505873944">
                                                              <w:marLeft w:val="0"/>
                                                              <w:marRight w:val="0"/>
                                                              <w:marTop w:val="0"/>
                                                              <w:marBottom w:val="0"/>
                                                              <w:divBdr>
                                                                <w:top w:val="none" w:sz="0" w:space="0" w:color="auto"/>
                                                                <w:left w:val="none" w:sz="0" w:space="0" w:color="auto"/>
                                                                <w:bottom w:val="none" w:sz="0" w:space="0" w:color="auto"/>
                                                                <w:right w:val="none" w:sz="0" w:space="0" w:color="auto"/>
                                                              </w:divBdr>
                                                              <w:divsChild>
                                                                <w:div w:id="1694110012">
                                                                  <w:marLeft w:val="0"/>
                                                                  <w:marRight w:val="120"/>
                                                                  <w:marTop w:val="0"/>
                                                                  <w:marBottom w:val="0"/>
                                                                  <w:divBdr>
                                                                    <w:top w:val="none" w:sz="0" w:space="0" w:color="auto"/>
                                                                    <w:left w:val="none" w:sz="0" w:space="0" w:color="auto"/>
                                                                    <w:bottom w:val="none" w:sz="0" w:space="0" w:color="auto"/>
                                                                    <w:right w:val="none" w:sz="0" w:space="0" w:color="auto"/>
                                                                  </w:divBdr>
                                                                </w:div>
                                                                <w:div w:id="1130365686">
                                                                  <w:marLeft w:val="0"/>
                                                                  <w:marRight w:val="0"/>
                                                                  <w:marTop w:val="0"/>
                                                                  <w:marBottom w:val="0"/>
                                                                  <w:divBdr>
                                                                    <w:top w:val="none" w:sz="0" w:space="0" w:color="auto"/>
                                                                    <w:left w:val="none" w:sz="0" w:space="0" w:color="auto"/>
                                                                    <w:bottom w:val="none" w:sz="0" w:space="0" w:color="auto"/>
                                                                    <w:right w:val="none" w:sz="0" w:space="0" w:color="auto"/>
                                                                  </w:divBdr>
                                                                </w:div>
                                                              </w:divsChild>
                                                            </w:div>
                                                            <w:div w:id="617179351">
                                                              <w:marLeft w:val="0"/>
                                                              <w:marRight w:val="0"/>
                                                              <w:marTop w:val="0"/>
                                                              <w:marBottom w:val="0"/>
                                                              <w:divBdr>
                                                                <w:top w:val="none" w:sz="0" w:space="0" w:color="auto"/>
                                                                <w:left w:val="none" w:sz="0" w:space="0" w:color="auto"/>
                                                                <w:bottom w:val="none" w:sz="0" w:space="0" w:color="auto"/>
                                                                <w:right w:val="none" w:sz="0" w:space="0" w:color="auto"/>
                                                              </w:divBdr>
                                                              <w:divsChild>
                                                                <w:div w:id="1114252000">
                                                                  <w:marLeft w:val="0"/>
                                                                  <w:marRight w:val="120"/>
                                                                  <w:marTop w:val="0"/>
                                                                  <w:marBottom w:val="0"/>
                                                                  <w:divBdr>
                                                                    <w:top w:val="none" w:sz="0" w:space="0" w:color="auto"/>
                                                                    <w:left w:val="none" w:sz="0" w:space="0" w:color="auto"/>
                                                                    <w:bottom w:val="none" w:sz="0" w:space="0" w:color="auto"/>
                                                                    <w:right w:val="none" w:sz="0" w:space="0" w:color="auto"/>
                                                                  </w:divBdr>
                                                                </w:div>
                                                                <w:div w:id="2080443520">
                                                                  <w:marLeft w:val="0"/>
                                                                  <w:marRight w:val="0"/>
                                                                  <w:marTop w:val="0"/>
                                                                  <w:marBottom w:val="0"/>
                                                                  <w:divBdr>
                                                                    <w:top w:val="none" w:sz="0" w:space="0" w:color="auto"/>
                                                                    <w:left w:val="none" w:sz="0" w:space="0" w:color="auto"/>
                                                                    <w:bottom w:val="none" w:sz="0" w:space="0" w:color="auto"/>
                                                                    <w:right w:val="none" w:sz="0" w:space="0" w:color="auto"/>
                                                                  </w:divBdr>
                                                                </w:div>
                                                              </w:divsChild>
                                                            </w:div>
                                                            <w:div w:id="1387097327">
                                                              <w:marLeft w:val="0"/>
                                                              <w:marRight w:val="0"/>
                                                              <w:marTop w:val="0"/>
                                                              <w:marBottom w:val="0"/>
                                                              <w:divBdr>
                                                                <w:top w:val="none" w:sz="0" w:space="0" w:color="auto"/>
                                                                <w:left w:val="none" w:sz="0" w:space="0" w:color="auto"/>
                                                                <w:bottom w:val="none" w:sz="0" w:space="0" w:color="auto"/>
                                                                <w:right w:val="none" w:sz="0" w:space="0" w:color="auto"/>
                                                              </w:divBdr>
                                                              <w:divsChild>
                                                                <w:div w:id="908344312">
                                                                  <w:marLeft w:val="0"/>
                                                                  <w:marRight w:val="120"/>
                                                                  <w:marTop w:val="0"/>
                                                                  <w:marBottom w:val="0"/>
                                                                  <w:divBdr>
                                                                    <w:top w:val="none" w:sz="0" w:space="0" w:color="auto"/>
                                                                    <w:left w:val="none" w:sz="0" w:space="0" w:color="auto"/>
                                                                    <w:bottom w:val="none" w:sz="0" w:space="0" w:color="auto"/>
                                                                    <w:right w:val="none" w:sz="0" w:space="0" w:color="auto"/>
                                                                  </w:divBdr>
                                                                </w:div>
                                                                <w:div w:id="774902010">
                                                                  <w:marLeft w:val="0"/>
                                                                  <w:marRight w:val="0"/>
                                                                  <w:marTop w:val="0"/>
                                                                  <w:marBottom w:val="0"/>
                                                                  <w:divBdr>
                                                                    <w:top w:val="none" w:sz="0" w:space="0" w:color="auto"/>
                                                                    <w:left w:val="none" w:sz="0" w:space="0" w:color="auto"/>
                                                                    <w:bottom w:val="none" w:sz="0" w:space="0" w:color="auto"/>
                                                                    <w:right w:val="none" w:sz="0" w:space="0" w:color="auto"/>
                                                                  </w:divBdr>
                                                                </w:div>
                                                              </w:divsChild>
                                                            </w:div>
                                                            <w:div w:id="525407139">
                                                              <w:marLeft w:val="0"/>
                                                              <w:marRight w:val="0"/>
                                                              <w:marTop w:val="0"/>
                                                              <w:marBottom w:val="0"/>
                                                              <w:divBdr>
                                                                <w:top w:val="none" w:sz="0" w:space="0" w:color="auto"/>
                                                                <w:left w:val="none" w:sz="0" w:space="0" w:color="auto"/>
                                                                <w:bottom w:val="none" w:sz="0" w:space="0" w:color="auto"/>
                                                                <w:right w:val="none" w:sz="0" w:space="0" w:color="auto"/>
                                                              </w:divBdr>
                                                              <w:divsChild>
                                                                <w:div w:id="1163424014">
                                                                  <w:marLeft w:val="0"/>
                                                                  <w:marRight w:val="120"/>
                                                                  <w:marTop w:val="0"/>
                                                                  <w:marBottom w:val="0"/>
                                                                  <w:divBdr>
                                                                    <w:top w:val="none" w:sz="0" w:space="0" w:color="auto"/>
                                                                    <w:left w:val="none" w:sz="0" w:space="0" w:color="auto"/>
                                                                    <w:bottom w:val="none" w:sz="0" w:space="0" w:color="auto"/>
                                                                    <w:right w:val="none" w:sz="0" w:space="0" w:color="auto"/>
                                                                  </w:divBdr>
                                                                </w:div>
                                                                <w:div w:id="1580600141">
                                                                  <w:marLeft w:val="0"/>
                                                                  <w:marRight w:val="0"/>
                                                                  <w:marTop w:val="0"/>
                                                                  <w:marBottom w:val="0"/>
                                                                  <w:divBdr>
                                                                    <w:top w:val="none" w:sz="0" w:space="0" w:color="auto"/>
                                                                    <w:left w:val="none" w:sz="0" w:space="0" w:color="auto"/>
                                                                    <w:bottom w:val="none" w:sz="0" w:space="0" w:color="auto"/>
                                                                    <w:right w:val="none" w:sz="0" w:space="0" w:color="auto"/>
                                                                  </w:divBdr>
                                                                </w:div>
                                                              </w:divsChild>
                                                            </w:div>
                                                            <w:div w:id="1062680862">
                                                              <w:marLeft w:val="0"/>
                                                              <w:marRight w:val="0"/>
                                                              <w:marTop w:val="0"/>
                                                              <w:marBottom w:val="0"/>
                                                              <w:divBdr>
                                                                <w:top w:val="none" w:sz="0" w:space="0" w:color="auto"/>
                                                                <w:left w:val="none" w:sz="0" w:space="0" w:color="auto"/>
                                                                <w:bottom w:val="none" w:sz="0" w:space="0" w:color="auto"/>
                                                                <w:right w:val="none" w:sz="0" w:space="0" w:color="auto"/>
                                                              </w:divBdr>
                                                              <w:divsChild>
                                                                <w:div w:id="1380939213">
                                                                  <w:marLeft w:val="0"/>
                                                                  <w:marRight w:val="120"/>
                                                                  <w:marTop w:val="0"/>
                                                                  <w:marBottom w:val="0"/>
                                                                  <w:divBdr>
                                                                    <w:top w:val="none" w:sz="0" w:space="0" w:color="auto"/>
                                                                    <w:left w:val="none" w:sz="0" w:space="0" w:color="auto"/>
                                                                    <w:bottom w:val="none" w:sz="0" w:space="0" w:color="auto"/>
                                                                    <w:right w:val="none" w:sz="0" w:space="0" w:color="auto"/>
                                                                  </w:divBdr>
                                                                </w:div>
                                                                <w:div w:id="1533491112">
                                                                  <w:marLeft w:val="0"/>
                                                                  <w:marRight w:val="0"/>
                                                                  <w:marTop w:val="0"/>
                                                                  <w:marBottom w:val="0"/>
                                                                  <w:divBdr>
                                                                    <w:top w:val="none" w:sz="0" w:space="0" w:color="auto"/>
                                                                    <w:left w:val="none" w:sz="0" w:space="0" w:color="auto"/>
                                                                    <w:bottom w:val="none" w:sz="0" w:space="0" w:color="auto"/>
                                                                    <w:right w:val="none" w:sz="0" w:space="0" w:color="auto"/>
                                                                  </w:divBdr>
                                                                </w:div>
                                                              </w:divsChild>
                                                            </w:div>
                                                            <w:div w:id="768618112">
                                                              <w:marLeft w:val="0"/>
                                                              <w:marRight w:val="0"/>
                                                              <w:marTop w:val="0"/>
                                                              <w:marBottom w:val="0"/>
                                                              <w:divBdr>
                                                                <w:top w:val="none" w:sz="0" w:space="0" w:color="auto"/>
                                                                <w:left w:val="none" w:sz="0" w:space="0" w:color="auto"/>
                                                                <w:bottom w:val="none" w:sz="0" w:space="0" w:color="auto"/>
                                                                <w:right w:val="none" w:sz="0" w:space="0" w:color="auto"/>
                                                              </w:divBdr>
                                                              <w:divsChild>
                                                                <w:div w:id="1013142981">
                                                                  <w:marLeft w:val="0"/>
                                                                  <w:marRight w:val="120"/>
                                                                  <w:marTop w:val="0"/>
                                                                  <w:marBottom w:val="0"/>
                                                                  <w:divBdr>
                                                                    <w:top w:val="none" w:sz="0" w:space="0" w:color="auto"/>
                                                                    <w:left w:val="none" w:sz="0" w:space="0" w:color="auto"/>
                                                                    <w:bottom w:val="none" w:sz="0" w:space="0" w:color="auto"/>
                                                                    <w:right w:val="none" w:sz="0" w:space="0" w:color="auto"/>
                                                                  </w:divBdr>
                                                                </w:div>
                                                                <w:div w:id="2048337200">
                                                                  <w:marLeft w:val="0"/>
                                                                  <w:marRight w:val="0"/>
                                                                  <w:marTop w:val="0"/>
                                                                  <w:marBottom w:val="0"/>
                                                                  <w:divBdr>
                                                                    <w:top w:val="none" w:sz="0" w:space="0" w:color="auto"/>
                                                                    <w:left w:val="none" w:sz="0" w:space="0" w:color="auto"/>
                                                                    <w:bottom w:val="none" w:sz="0" w:space="0" w:color="auto"/>
                                                                    <w:right w:val="none" w:sz="0" w:space="0" w:color="auto"/>
                                                                  </w:divBdr>
                                                                </w:div>
                                                              </w:divsChild>
                                                            </w:div>
                                                            <w:div w:id="52849602">
                                                              <w:marLeft w:val="0"/>
                                                              <w:marRight w:val="0"/>
                                                              <w:marTop w:val="0"/>
                                                              <w:marBottom w:val="0"/>
                                                              <w:divBdr>
                                                                <w:top w:val="none" w:sz="0" w:space="0" w:color="auto"/>
                                                                <w:left w:val="none" w:sz="0" w:space="0" w:color="auto"/>
                                                                <w:bottom w:val="none" w:sz="0" w:space="0" w:color="auto"/>
                                                                <w:right w:val="none" w:sz="0" w:space="0" w:color="auto"/>
                                                              </w:divBdr>
                                                              <w:divsChild>
                                                                <w:div w:id="64695031">
                                                                  <w:marLeft w:val="0"/>
                                                                  <w:marRight w:val="120"/>
                                                                  <w:marTop w:val="0"/>
                                                                  <w:marBottom w:val="0"/>
                                                                  <w:divBdr>
                                                                    <w:top w:val="none" w:sz="0" w:space="0" w:color="auto"/>
                                                                    <w:left w:val="none" w:sz="0" w:space="0" w:color="auto"/>
                                                                    <w:bottom w:val="none" w:sz="0" w:space="0" w:color="auto"/>
                                                                    <w:right w:val="none" w:sz="0" w:space="0" w:color="auto"/>
                                                                  </w:divBdr>
                                                                </w:div>
                                                                <w:div w:id="1813719266">
                                                                  <w:marLeft w:val="0"/>
                                                                  <w:marRight w:val="0"/>
                                                                  <w:marTop w:val="0"/>
                                                                  <w:marBottom w:val="0"/>
                                                                  <w:divBdr>
                                                                    <w:top w:val="none" w:sz="0" w:space="0" w:color="auto"/>
                                                                    <w:left w:val="none" w:sz="0" w:space="0" w:color="auto"/>
                                                                    <w:bottom w:val="none" w:sz="0" w:space="0" w:color="auto"/>
                                                                    <w:right w:val="none" w:sz="0" w:space="0" w:color="auto"/>
                                                                  </w:divBdr>
                                                                </w:div>
                                                              </w:divsChild>
                                                            </w:div>
                                                            <w:div w:id="88352646">
                                                              <w:marLeft w:val="0"/>
                                                              <w:marRight w:val="0"/>
                                                              <w:marTop w:val="0"/>
                                                              <w:marBottom w:val="0"/>
                                                              <w:divBdr>
                                                                <w:top w:val="none" w:sz="0" w:space="0" w:color="auto"/>
                                                                <w:left w:val="none" w:sz="0" w:space="0" w:color="auto"/>
                                                                <w:bottom w:val="none" w:sz="0" w:space="0" w:color="auto"/>
                                                                <w:right w:val="none" w:sz="0" w:space="0" w:color="auto"/>
                                                              </w:divBdr>
                                                              <w:divsChild>
                                                                <w:div w:id="386270604">
                                                                  <w:marLeft w:val="0"/>
                                                                  <w:marRight w:val="120"/>
                                                                  <w:marTop w:val="0"/>
                                                                  <w:marBottom w:val="0"/>
                                                                  <w:divBdr>
                                                                    <w:top w:val="none" w:sz="0" w:space="0" w:color="auto"/>
                                                                    <w:left w:val="none" w:sz="0" w:space="0" w:color="auto"/>
                                                                    <w:bottom w:val="none" w:sz="0" w:space="0" w:color="auto"/>
                                                                    <w:right w:val="none" w:sz="0" w:space="0" w:color="auto"/>
                                                                  </w:divBdr>
                                                                </w:div>
                                                                <w:div w:id="1626423314">
                                                                  <w:marLeft w:val="0"/>
                                                                  <w:marRight w:val="0"/>
                                                                  <w:marTop w:val="0"/>
                                                                  <w:marBottom w:val="0"/>
                                                                  <w:divBdr>
                                                                    <w:top w:val="none" w:sz="0" w:space="0" w:color="auto"/>
                                                                    <w:left w:val="none" w:sz="0" w:space="0" w:color="auto"/>
                                                                    <w:bottom w:val="none" w:sz="0" w:space="0" w:color="auto"/>
                                                                    <w:right w:val="none" w:sz="0" w:space="0" w:color="auto"/>
                                                                  </w:divBdr>
                                                                </w:div>
                                                              </w:divsChild>
                                                            </w:div>
                                                            <w:div w:id="824395004">
                                                              <w:marLeft w:val="0"/>
                                                              <w:marRight w:val="0"/>
                                                              <w:marTop w:val="0"/>
                                                              <w:marBottom w:val="0"/>
                                                              <w:divBdr>
                                                                <w:top w:val="none" w:sz="0" w:space="0" w:color="auto"/>
                                                                <w:left w:val="none" w:sz="0" w:space="0" w:color="auto"/>
                                                                <w:bottom w:val="none" w:sz="0" w:space="0" w:color="auto"/>
                                                                <w:right w:val="none" w:sz="0" w:space="0" w:color="auto"/>
                                                              </w:divBdr>
                                                              <w:divsChild>
                                                                <w:div w:id="1264341723">
                                                                  <w:marLeft w:val="0"/>
                                                                  <w:marRight w:val="120"/>
                                                                  <w:marTop w:val="0"/>
                                                                  <w:marBottom w:val="0"/>
                                                                  <w:divBdr>
                                                                    <w:top w:val="none" w:sz="0" w:space="0" w:color="auto"/>
                                                                    <w:left w:val="none" w:sz="0" w:space="0" w:color="auto"/>
                                                                    <w:bottom w:val="none" w:sz="0" w:space="0" w:color="auto"/>
                                                                    <w:right w:val="none" w:sz="0" w:space="0" w:color="auto"/>
                                                                  </w:divBdr>
                                                                </w:div>
                                                                <w:div w:id="1172063415">
                                                                  <w:marLeft w:val="0"/>
                                                                  <w:marRight w:val="0"/>
                                                                  <w:marTop w:val="0"/>
                                                                  <w:marBottom w:val="0"/>
                                                                  <w:divBdr>
                                                                    <w:top w:val="none" w:sz="0" w:space="0" w:color="auto"/>
                                                                    <w:left w:val="none" w:sz="0" w:space="0" w:color="auto"/>
                                                                    <w:bottom w:val="none" w:sz="0" w:space="0" w:color="auto"/>
                                                                    <w:right w:val="none" w:sz="0" w:space="0" w:color="auto"/>
                                                                  </w:divBdr>
                                                                </w:div>
                                                              </w:divsChild>
                                                            </w:div>
                                                            <w:div w:id="36127218">
                                                              <w:marLeft w:val="0"/>
                                                              <w:marRight w:val="0"/>
                                                              <w:marTop w:val="0"/>
                                                              <w:marBottom w:val="0"/>
                                                              <w:divBdr>
                                                                <w:top w:val="none" w:sz="0" w:space="0" w:color="auto"/>
                                                                <w:left w:val="none" w:sz="0" w:space="0" w:color="auto"/>
                                                                <w:bottom w:val="none" w:sz="0" w:space="0" w:color="auto"/>
                                                                <w:right w:val="none" w:sz="0" w:space="0" w:color="auto"/>
                                                              </w:divBdr>
                                                              <w:divsChild>
                                                                <w:div w:id="152334890">
                                                                  <w:marLeft w:val="0"/>
                                                                  <w:marRight w:val="120"/>
                                                                  <w:marTop w:val="0"/>
                                                                  <w:marBottom w:val="0"/>
                                                                  <w:divBdr>
                                                                    <w:top w:val="none" w:sz="0" w:space="0" w:color="auto"/>
                                                                    <w:left w:val="none" w:sz="0" w:space="0" w:color="auto"/>
                                                                    <w:bottom w:val="none" w:sz="0" w:space="0" w:color="auto"/>
                                                                    <w:right w:val="none" w:sz="0" w:space="0" w:color="auto"/>
                                                                  </w:divBdr>
                                                                </w:div>
                                                                <w:div w:id="1598562867">
                                                                  <w:marLeft w:val="0"/>
                                                                  <w:marRight w:val="0"/>
                                                                  <w:marTop w:val="0"/>
                                                                  <w:marBottom w:val="0"/>
                                                                  <w:divBdr>
                                                                    <w:top w:val="none" w:sz="0" w:space="0" w:color="auto"/>
                                                                    <w:left w:val="none" w:sz="0" w:space="0" w:color="auto"/>
                                                                    <w:bottom w:val="none" w:sz="0" w:space="0" w:color="auto"/>
                                                                    <w:right w:val="none" w:sz="0" w:space="0" w:color="auto"/>
                                                                  </w:divBdr>
                                                                </w:div>
                                                              </w:divsChild>
                                                            </w:div>
                                                            <w:div w:id="2140875682">
                                                              <w:marLeft w:val="0"/>
                                                              <w:marRight w:val="0"/>
                                                              <w:marTop w:val="0"/>
                                                              <w:marBottom w:val="0"/>
                                                              <w:divBdr>
                                                                <w:top w:val="none" w:sz="0" w:space="0" w:color="auto"/>
                                                                <w:left w:val="none" w:sz="0" w:space="0" w:color="auto"/>
                                                                <w:bottom w:val="none" w:sz="0" w:space="0" w:color="auto"/>
                                                                <w:right w:val="none" w:sz="0" w:space="0" w:color="auto"/>
                                                              </w:divBdr>
                                                              <w:divsChild>
                                                                <w:div w:id="2143644748">
                                                                  <w:marLeft w:val="0"/>
                                                                  <w:marRight w:val="120"/>
                                                                  <w:marTop w:val="0"/>
                                                                  <w:marBottom w:val="0"/>
                                                                  <w:divBdr>
                                                                    <w:top w:val="none" w:sz="0" w:space="0" w:color="auto"/>
                                                                    <w:left w:val="none" w:sz="0" w:space="0" w:color="auto"/>
                                                                    <w:bottom w:val="none" w:sz="0" w:space="0" w:color="auto"/>
                                                                    <w:right w:val="none" w:sz="0" w:space="0" w:color="auto"/>
                                                                  </w:divBdr>
                                                                </w:div>
                                                                <w:div w:id="1066534282">
                                                                  <w:marLeft w:val="0"/>
                                                                  <w:marRight w:val="0"/>
                                                                  <w:marTop w:val="0"/>
                                                                  <w:marBottom w:val="0"/>
                                                                  <w:divBdr>
                                                                    <w:top w:val="none" w:sz="0" w:space="0" w:color="auto"/>
                                                                    <w:left w:val="none" w:sz="0" w:space="0" w:color="auto"/>
                                                                    <w:bottom w:val="none" w:sz="0" w:space="0" w:color="auto"/>
                                                                    <w:right w:val="none" w:sz="0" w:space="0" w:color="auto"/>
                                                                  </w:divBdr>
                                                                </w:div>
                                                              </w:divsChild>
                                                            </w:div>
                                                            <w:div w:id="1788621558">
                                                              <w:marLeft w:val="0"/>
                                                              <w:marRight w:val="0"/>
                                                              <w:marTop w:val="0"/>
                                                              <w:marBottom w:val="0"/>
                                                              <w:divBdr>
                                                                <w:top w:val="none" w:sz="0" w:space="0" w:color="auto"/>
                                                                <w:left w:val="none" w:sz="0" w:space="0" w:color="auto"/>
                                                                <w:bottom w:val="none" w:sz="0" w:space="0" w:color="auto"/>
                                                                <w:right w:val="none" w:sz="0" w:space="0" w:color="auto"/>
                                                              </w:divBdr>
                                                              <w:divsChild>
                                                                <w:div w:id="81531227">
                                                                  <w:marLeft w:val="0"/>
                                                                  <w:marRight w:val="120"/>
                                                                  <w:marTop w:val="0"/>
                                                                  <w:marBottom w:val="0"/>
                                                                  <w:divBdr>
                                                                    <w:top w:val="none" w:sz="0" w:space="0" w:color="auto"/>
                                                                    <w:left w:val="none" w:sz="0" w:space="0" w:color="auto"/>
                                                                    <w:bottom w:val="none" w:sz="0" w:space="0" w:color="auto"/>
                                                                    <w:right w:val="none" w:sz="0" w:space="0" w:color="auto"/>
                                                                  </w:divBdr>
                                                                </w:div>
                                                                <w:div w:id="1451049795">
                                                                  <w:marLeft w:val="0"/>
                                                                  <w:marRight w:val="0"/>
                                                                  <w:marTop w:val="0"/>
                                                                  <w:marBottom w:val="0"/>
                                                                  <w:divBdr>
                                                                    <w:top w:val="none" w:sz="0" w:space="0" w:color="auto"/>
                                                                    <w:left w:val="none" w:sz="0" w:space="0" w:color="auto"/>
                                                                    <w:bottom w:val="none" w:sz="0" w:space="0" w:color="auto"/>
                                                                    <w:right w:val="none" w:sz="0" w:space="0" w:color="auto"/>
                                                                  </w:divBdr>
                                                                </w:div>
                                                              </w:divsChild>
                                                            </w:div>
                                                            <w:div w:id="1512601746">
                                                              <w:marLeft w:val="0"/>
                                                              <w:marRight w:val="0"/>
                                                              <w:marTop w:val="0"/>
                                                              <w:marBottom w:val="0"/>
                                                              <w:divBdr>
                                                                <w:top w:val="none" w:sz="0" w:space="0" w:color="auto"/>
                                                                <w:left w:val="none" w:sz="0" w:space="0" w:color="auto"/>
                                                                <w:bottom w:val="none" w:sz="0" w:space="0" w:color="auto"/>
                                                                <w:right w:val="none" w:sz="0" w:space="0" w:color="auto"/>
                                                              </w:divBdr>
                                                              <w:divsChild>
                                                                <w:div w:id="705058954">
                                                                  <w:marLeft w:val="0"/>
                                                                  <w:marRight w:val="120"/>
                                                                  <w:marTop w:val="0"/>
                                                                  <w:marBottom w:val="0"/>
                                                                  <w:divBdr>
                                                                    <w:top w:val="none" w:sz="0" w:space="0" w:color="auto"/>
                                                                    <w:left w:val="none" w:sz="0" w:space="0" w:color="auto"/>
                                                                    <w:bottom w:val="none" w:sz="0" w:space="0" w:color="auto"/>
                                                                    <w:right w:val="none" w:sz="0" w:space="0" w:color="auto"/>
                                                                  </w:divBdr>
                                                                </w:div>
                                                                <w:div w:id="1184511859">
                                                                  <w:marLeft w:val="0"/>
                                                                  <w:marRight w:val="0"/>
                                                                  <w:marTop w:val="0"/>
                                                                  <w:marBottom w:val="0"/>
                                                                  <w:divBdr>
                                                                    <w:top w:val="none" w:sz="0" w:space="0" w:color="auto"/>
                                                                    <w:left w:val="none" w:sz="0" w:space="0" w:color="auto"/>
                                                                    <w:bottom w:val="none" w:sz="0" w:space="0" w:color="auto"/>
                                                                    <w:right w:val="none" w:sz="0" w:space="0" w:color="auto"/>
                                                                  </w:divBdr>
                                                                </w:div>
                                                              </w:divsChild>
                                                            </w:div>
                                                            <w:div w:id="195124830">
                                                              <w:marLeft w:val="0"/>
                                                              <w:marRight w:val="0"/>
                                                              <w:marTop w:val="0"/>
                                                              <w:marBottom w:val="0"/>
                                                              <w:divBdr>
                                                                <w:top w:val="none" w:sz="0" w:space="0" w:color="auto"/>
                                                                <w:left w:val="none" w:sz="0" w:space="0" w:color="auto"/>
                                                                <w:bottom w:val="none" w:sz="0" w:space="0" w:color="auto"/>
                                                                <w:right w:val="none" w:sz="0" w:space="0" w:color="auto"/>
                                                              </w:divBdr>
                                                              <w:divsChild>
                                                                <w:div w:id="508719307">
                                                                  <w:marLeft w:val="0"/>
                                                                  <w:marRight w:val="120"/>
                                                                  <w:marTop w:val="0"/>
                                                                  <w:marBottom w:val="0"/>
                                                                  <w:divBdr>
                                                                    <w:top w:val="none" w:sz="0" w:space="0" w:color="auto"/>
                                                                    <w:left w:val="none" w:sz="0" w:space="0" w:color="auto"/>
                                                                    <w:bottom w:val="none" w:sz="0" w:space="0" w:color="auto"/>
                                                                    <w:right w:val="none" w:sz="0" w:space="0" w:color="auto"/>
                                                                  </w:divBdr>
                                                                </w:div>
                                                                <w:div w:id="1417287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511943985">
      <w:bodyDiv w:val="1"/>
      <w:marLeft w:val="0"/>
      <w:marRight w:val="0"/>
      <w:marTop w:val="0"/>
      <w:marBottom w:val="0"/>
      <w:divBdr>
        <w:top w:val="none" w:sz="0" w:space="0" w:color="auto"/>
        <w:left w:val="none" w:sz="0" w:space="0" w:color="auto"/>
        <w:bottom w:val="none" w:sz="0" w:space="0" w:color="auto"/>
        <w:right w:val="none" w:sz="0" w:space="0" w:color="auto"/>
      </w:divBdr>
      <w:divsChild>
        <w:div w:id="1322614117">
          <w:marLeft w:val="0"/>
          <w:marRight w:val="0"/>
          <w:marTop w:val="0"/>
          <w:marBottom w:val="166"/>
          <w:divBdr>
            <w:top w:val="none" w:sz="0" w:space="0" w:color="auto"/>
            <w:left w:val="none" w:sz="0" w:space="0" w:color="auto"/>
            <w:bottom w:val="none" w:sz="0" w:space="0" w:color="auto"/>
            <w:right w:val="none" w:sz="0" w:space="0" w:color="auto"/>
          </w:divBdr>
          <w:divsChild>
            <w:div w:id="1551766799">
              <w:marLeft w:val="0"/>
              <w:marRight w:val="0"/>
              <w:marTop w:val="166"/>
              <w:marBottom w:val="166"/>
              <w:divBdr>
                <w:top w:val="none" w:sz="0" w:space="0" w:color="auto"/>
                <w:left w:val="none" w:sz="0" w:space="0" w:color="auto"/>
                <w:bottom w:val="none" w:sz="0" w:space="0" w:color="auto"/>
                <w:right w:val="none" w:sz="0" w:space="0" w:color="auto"/>
              </w:divBdr>
              <w:divsChild>
                <w:div w:id="1397899237">
                  <w:marLeft w:val="0"/>
                  <w:marRight w:val="0"/>
                  <w:marTop w:val="0"/>
                  <w:marBottom w:val="0"/>
                  <w:divBdr>
                    <w:top w:val="none" w:sz="0" w:space="0" w:color="auto"/>
                    <w:left w:val="none" w:sz="0" w:space="0" w:color="auto"/>
                    <w:bottom w:val="none" w:sz="0" w:space="0" w:color="auto"/>
                    <w:right w:val="none" w:sz="0" w:space="0" w:color="auto"/>
                  </w:divBdr>
                </w:div>
              </w:divsChild>
            </w:div>
            <w:div w:id="1770462359">
              <w:marLeft w:val="0"/>
              <w:marRight w:val="0"/>
              <w:marTop w:val="166"/>
              <w:marBottom w:val="166"/>
              <w:divBdr>
                <w:top w:val="none" w:sz="0" w:space="0" w:color="auto"/>
                <w:left w:val="none" w:sz="0" w:space="0" w:color="auto"/>
                <w:bottom w:val="none" w:sz="0" w:space="0" w:color="auto"/>
                <w:right w:val="none" w:sz="0" w:space="0" w:color="auto"/>
              </w:divBdr>
              <w:divsChild>
                <w:div w:id="1699769644">
                  <w:marLeft w:val="0"/>
                  <w:marRight w:val="0"/>
                  <w:marTop w:val="0"/>
                  <w:marBottom w:val="0"/>
                  <w:divBdr>
                    <w:top w:val="none" w:sz="0" w:space="0" w:color="auto"/>
                    <w:left w:val="none" w:sz="0" w:space="0" w:color="auto"/>
                    <w:bottom w:val="none" w:sz="0" w:space="0" w:color="auto"/>
                    <w:right w:val="none" w:sz="0" w:space="0" w:color="auto"/>
                  </w:divBdr>
                </w:div>
              </w:divsChild>
            </w:div>
            <w:div w:id="635599359">
              <w:marLeft w:val="0"/>
              <w:marRight w:val="0"/>
              <w:marTop w:val="332"/>
              <w:marBottom w:val="332"/>
              <w:divBdr>
                <w:top w:val="single" w:sz="6" w:space="5" w:color="EAC3AF"/>
                <w:left w:val="single" w:sz="6" w:space="8" w:color="EAC3AF"/>
                <w:bottom w:val="single" w:sz="6" w:space="5" w:color="EAC3AF"/>
                <w:right w:val="single" w:sz="6" w:space="8" w:color="EAC3AF"/>
              </w:divBdr>
              <w:divsChild>
                <w:div w:id="521864784">
                  <w:marLeft w:val="0"/>
                  <w:marRight w:val="0"/>
                  <w:marTop w:val="0"/>
                  <w:marBottom w:val="0"/>
                  <w:divBdr>
                    <w:top w:val="none" w:sz="0" w:space="0" w:color="auto"/>
                    <w:left w:val="none" w:sz="0" w:space="0" w:color="auto"/>
                    <w:bottom w:val="none" w:sz="0" w:space="0" w:color="auto"/>
                    <w:right w:val="none" w:sz="0" w:space="0" w:color="auto"/>
                  </w:divBdr>
                  <w:divsChild>
                    <w:div w:id="1560559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5939744">
          <w:marLeft w:val="0"/>
          <w:marRight w:val="0"/>
          <w:marTop w:val="0"/>
          <w:marBottom w:val="0"/>
          <w:divBdr>
            <w:top w:val="none" w:sz="0" w:space="0" w:color="auto"/>
            <w:left w:val="none" w:sz="0" w:space="0" w:color="auto"/>
            <w:bottom w:val="none" w:sz="0" w:space="0" w:color="auto"/>
            <w:right w:val="none" w:sz="0" w:space="0" w:color="auto"/>
          </w:divBdr>
        </w:div>
        <w:div w:id="1392390319">
          <w:marLeft w:val="0"/>
          <w:marRight w:val="0"/>
          <w:marTop w:val="0"/>
          <w:marBottom w:val="0"/>
          <w:divBdr>
            <w:top w:val="none" w:sz="0" w:space="0" w:color="auto"/>
            <w:left w:val="none" w:sz="0" w:space="0" w:color="auto"/>
            <w:bottom w:val="none" w:sz="0" w:space="0" w:color="auto"/>
            <w:right w:val="none" w:sz="0" w:space="0" w:color="auto"/>
          </w:divBdr>
        </w:div>
        <w:div w:id="1215628230">
          <w:marLeft w:val="0"/>
          <w:marRight w:val="0"/>
          <w:marTop w:val="0"/>
          <w:marBottom w:val="0"/>
          <w:divBdr>
            <w:top w:val="none" w:sz="0" w:space="0" w:color="auto"/>
            <w:left w:val="none" w:sz="0" w:space="0" w:color="auto"/>
            <w:bottom w:val="none" w:sz="0" w:space="0" w:color="auto"/>
            <w:right w:val="none" w:sz="0" w:space="0" w:color="auto"/>
          </w:divBdr>
        </w:div>
        <w:div w:id="1420373062">
          <w:marLeft w:val="0"/>
          <w:marRight w:val="0"/>
          <w:marTop w:val="0"/>
          <w:marBottom w:val="0"/>
          <w:divBdr>
            <w:top w:val="none" w:sz="0" w:space="0" w:color="auto"/>
            <w:left w:val="none" w:sz="0" w:space="0" w:color="auto"/>
            <w:bottom w:val="none" w:sz="0" w:space="0" w:color="auto"/>
            <w:right w:val="none" w:sz="0" w:space="0" w:color="auto"/>
          </w:divBdr>
        </w:div>
        <w:div w:id="254099106">
          <w:marLeft w:val="0"/>
          <w:marRight w:val="0"/>
          <w:marTop w:val="0"/>
          <w:marBottom w:val="0"/>
          <w:divBdr>
            <w:top w:val="none" w:sz="0" w:space="0" w:color="auto"/>
            <w:left w:val="none" w:sz="0" w:space="0" w:color="auto"/>
            <w:bottom w:val="none" w:sz="0" w:space="0" w:color="auto"/>
            <w:right w:val="none" w:sz="0" w:space="0" w:color="auto"/>
          </w:divBdr>
        </w:div>
        <w:div w:id="258952765">
          <w:marLeft w:val="0"/>
          <w:marRight w:val="0"/>
          <w:marTop w:val="0"/>
          <w:marBottom w:val="0"/>
          <w:divBdr>
            <w:top w:val="none" w:sz="0" w:space="0" w:color="auto"/>
            <w:left w:val="none" w:sz="0" w:space="0" w:color="auto"/>
            <w:bottom w:val="none" w:sz="0" w:space="0" w:color="auto"/>
            <w:right w:val="none" w:sz="0" w:space="0" w:color="auto"/>
          </w:divBdr>
          <w:divsChild>
            <w:div w:id="168848191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760175635">
                  <w:marLeft w:val="0"/>
                  <w:marRight w:val="0"/>
                  <w:marTop w:val="0"/>
                  <w:marBottom w:val="0"/>
                  <w:divBdr>
                    <w:top w:val="none" w:sz="0" w:space="0" w:color="auto"/>
                    <w:left w:val="none" w:sz="0" w:space="0" w:color="auto"/>
                    <w:bottom w:val="none" w:sz="0" w:space="0" w:color="auto"/>
                    <w:right w:val="none" w:sz="0" w:space="0" w:color="auto"/>
                  </w:divBdr>
                </w:div>
                <w:div w:id="91249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0789496">
          <w:marLeft w:val="0"/>
          <w:marRight w:val="0"/>
          <w:marTop w:val="0"/>
          <w:marBottom w:val="0"/>
          <w:divBdr>
            <w:top w:val="none" w:sz="0" w:space="0" w:color="auto"/>
            <w:left w:val="none" w:sz="0" w:space="0" w:color="auto"/>
            <w:bottom w:val="none" w:sz="0" w:space="0" w:color="auto"/>
            <w:right w:val="none" w:sz="0" w:space="0" w:color="auto"/>
          </w:divBdr>
          <w:divsChild>
            <w:div w:id="1437410770">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590965523">
                  <w:marLeft w:val="0"/>
                  <w:marRight w:val="0"/>
                  <w:marTop w:val="0"/>
                  <w:marBottom w:val="0"/>
                  <w:divBdr>
                    <w:top w:val="none" w:sz="0" w:space="0" w:color="auto"/>
                    <w:left w:val="none" w:sz="0" w:space="0" w:color="auto"/>
                    <w:bottom w:val="none" w:sz="0" w:space="0" w:color="auto"/>
                    <w:right w:val="none" w:sz="0" w:space="0" w:color="auto"/>
                  </w:divBdr>
                </w:div>
                <w:div w:id="446463784">
                  <w:marLeft w:val="0"/>
                  <w:marRight w:val="0"/>
                  <w:marTop w:val="0"/>
                  <w:marBottom w:val="0"/>
                  <w:divBdr>
                    <w:top w:val="none" w:sz="0" w:space="0" w:color="auto"/>
                    <w:left w:val="none" w:sz="0" w:space="0" w:color="auto"/>
                    <w:bottom w:val="none" w:sz="0" w:space="0" w:color="auto"/>
                    <w:right w:val="none" w:sz="0" w:space="0" w:color="auto"/>
                  </w:divBdr>
                </w:div>
                <w:div w:id="1397124726">
                  <w:marLeft w:val="0"/>
                  <w:marRight w:val="0"/>
                  <w:marTop w:val="166"/>
                  <w:marBottom w:val="0"/>
                  <w:divBdr>
                    <w:top w:val="none" w:sz="0" w:space="0" w:color="auto"/>
                    <w:left w:val="none" w:sz="0" w:space="0" w:color="auto"/>
                    <w:bottom w:val="none" w:sz="0" w:space="0" w:color="auto"/>
                    <w:right w:val="none" w:sz="0" w:space="0" w:color="auto"/>
                  </w:divBdr>
                </w:div>
              </w:divsChild>
            </w:div>
            <w:div w:id="203833690">
              <w:marLeft w:val="0"/>
              <w:marRight w:val="0"/>
              <w:marTop w:val="0"/>
              <w:marBottom w:val="0"/>
              <w:divBdr>
                <w:top w:val="none" w:sz="0" w:space="0" w:color="auto"/>
                <w:left w:val="none" w:sz="0" w:space="0" w:color="auto"/>
                <w:bottom w:val="none" w:sz="0" w:space="0" w:color="auto"/>
                <w:right w:val="none" w:sz="0" w:space="0" w:color="auto"/>
              </w:divBdr>
            </w:div>
            <w:div w:id="1759598067">
              <w:marLeft w:val="0"/>
              <w:marRight w:val="0"/>
              <w:marTop w:val="0"/>
              <w:marBottom w:val="0"/>
              <w:divBdr>
                <w:top w:val="none" w:sz="0" w:space="0" w:color="auto"/>
                <w:left w:val="none" w:sz="0" w:space="0" w:color="auto"/>
                <w:bottom w:val="none" w:sz="0" w:space="0" w:color="auto"/>
                <w:right w:val="none" w:sz="0" w:space="0" w:color="auto"/>
              </w:divBdr>
              <w:divsChild>
                <w:div w:id="1357003145">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31603326">
                      <w:marLeft w:val="0"/>
                      <w:marRight w:val="0"/>
                      <w:marTop w:val="0"/>
                      <w:marBottom w:val="332"/>
                      <w:divBdr>
                        <w:top w:val="none" w:sz="0" w:space="0" w:color="auto"/>
                        <w:left w:val="none" w:sz="0" w:space="0" w:color="auto"/>
                        <w:bottom w:val="none" w:sz="0" w:space="0" w:color="auto"/>
                        <w:right w:val="none" w:sz="0" w:space="0" w:color="auto"/>
                      </w:divBdr>
                    </w:div>
                    <w:div w:id="846872379">
                      <w:marLeft w:val="0"/>
                      <w:marRight w:val="0"/>
                      <w:marTop w:val="166"/>
                      <w:marBottom w:val="0"/>
                      <w:divBdr>
                        <w:top w:val="none" w:sz="0" w:space="0" w:color="auto"/>
                        <w:left w:val="none" w:sz="0" w:space="0" w:color="auto"/>
                        <w:bottom w:val="none" w:sz="0" w:space="0" w:color="auto"/>
                        <w:right w:val="none" w:sz="0" w:space="0" w:color="auto"/>
                      </w:divBdr>
                    </w:div>
                    <w:div w:id="330959444">
                      <w:marLeft w:val="0"/>
                      <w:marRight w:val="0"/>
                      <w:marTop w:val="0"/>
                      <w:marBottom w:val="0"/>
                      <w:divBdr>
                        <w:top w:val="none" w:sz="0" w:space="0" w:color="auto"/>
                        <w:left w:val="none" w:sz="0" w:space="0" w:color="auto"/>
                        <w:bottom w:val="none" w:sz="0" w:space="0" w:color="auto"/>
                        <w:right w:val="none" w:sz="0" w:space="0" w:color="auto"/>
                      </w:divBdr>
                      <w:divsChild>
                        <w:div w:id="1178881934">
                          <w:marLeft w:val="0"/>
                          <w:marRight w:val="0"/>
                          <w:marTop w:val="0"/>
                          <w:marBottom w:val="0"/>
                          <w:divBdr>
                            <w:top w:val="none" w:sz="0" w:space="0" w:color="auto"/>
                            <w:left w:val="none" w:sz="0" w:space="0" w:color="auto"/>
                            <w:bottom w:val="none" w:sz="0" w:space="0" w:color="auto"/>
                            <w:right w:val="none" w:sz="0" w:space="0" w:color="auto"/>
                          </w:divBdr>
                        </w:div>
                        <w:div w:id="433667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7579463">
              <w:marLeft w:val="0"/>
              <w:marRight w:val="0"/>
              <w:marTop w:val="0"/>
              <w:marBottom w:val="0"/>
              <w:divBdr>
                <w:top w:val="none" w:sz="0" w:space="0" w:color="auto"/>
                <w:left w:val="none" w:sz="0" w:space="0" w:color="auto"/>
                <w:bottom w:val="none" w:sz="0" w:space="0" w:color="auto"/>
                <w:right w:val="none" w:sz="0" w:space="0" w:color="auto"/>
              </w:divBdr>
            </w:div>
            <w:div w:id="1633905113">
              <w:marLeft w:val="0"/>
              <w:marRight w:val="0"/>
              <w:marTop w:val="0"/>
              <w:marBottom w:val="0"/>
              <w:divBdr>
                <w:top w:val="none" w:sz="0" w:space="0" w:color="auto"/>
                <w:left w:val="none" w:sz="0" w:space="0" w:color="auto"/>
                <w:bottom w:val="none" w:sz="0" w:space="0" w:color="auto"/>
                <w:right w:val="none" w:sz="0" w:space="0" w:color="auto"/>
              </w:divBdr>
              <w:divsChild>
                <w:div w:id="2014602470">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81710410">
                      <w:marLeft w:val="0"/>
                      <w:marRight w:val="0"/>
                      <w:marTop w:val="0"/>
                      <w:marBottom w:val="332"/>
                      <w:divBdr>
                        <w:top w:val="none" w:sz="0" w:space="0" w:color="auto"/>
                        <w:left w:val="none" w:sz="0" w:space="0" w:color="auto"/>
                        <w:bottom w:val="none" w:sz="0" w:space="0" w:color="auto"/>
                        <w:right w:val="none" w:sz="0" w:space="0" w:color="auto"/>
                      </w:divBdr>
                    </w:div>
                    <w:div w:id="2034960389">
                      <w:marLeft w:val="0"/>
                      <w:marRight w:val="0"/>
                      <w:marTop w:val="166"/>
                      <w:marBottom w:val="0"/>
                      <w:divBdr>
                        <w:top w:val="none" w:sz="0" w:space="0" w:color="auto"/>
                        <w:left w:val="none" w:sz="0" w:space="0" w:color="auto"/>
                        <w:bottom w:val="none" w:sz="0" w:space="0" w:color="auto"/>
                        <w:right w:val="none" w:sz="0" w:space="0" w:color="auto"/>
                      </w:divBdr>
                    </w:div>
                    <w:div w:id="1929577392">
                      <w:marLeft w:val="0"/>
                      <w:marRight w:val="0"/>
                      <w:marTop w:val="0"/>
                      <w:marBottom w:val="0"/>
                      <w:divBdr>
                        <w:top w:val="none" w:sz="0" w:space="0" w:color="auto"/>
                        <w:left w:val="none" w:sz="0" w:space="0" w:color="auto"/>
                        <w:bottom w:val="none" w:sz="0" w:space="0" w:color="auto"/>
                        <w:right w:val="none" w:sz="0" w:space="0" w:color="auto"/>
                      </w:divBdr>
                      <w:divsChild>
                        <w:div w:id="731776268">
                          <w:marLeft w:val="0"/>
                          <w:marRight w:val="0"/>
                          <w:marTop w:val="0"/>
                          <w:marBottom w:val="0"/>
                          <w:divBdr>
                            <w:top w:val="none" w:sz="0" w:space="0" w:color="auto"/>
                            <w:left w:val="none" w:sz="0" w:space="0" w:color="auto"/>
                            <w:bottom w:val="none" w:sz="0" w:space="0" w:color="auto"/>
                            <w:right w:val="none" w:sz="0" w:space="0" w:color="auto"/>
                          </w:divBdr>
                        </w:div>
                        <w:div w:id="885487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1321391">
              <w:marLeft w:val="0"/>
              <w:marRight w:val="0"/>
              <w:marTop w:val="0"/>
              <w:marBottom w:val="0"/>
              <w:divBdr>
                <w:top w:val="none" w:sz="0" w:space="0" w:color="auto"/>
                <w:left w:val="none" w:sz="0" w:space="0" w:color="auto"/>
                <w:bottom w:val="none" w:sz="0" w:space="0" w:color="auto"/>
                <w:right w:val="none" w:sz="0" w:space="0" w:color="auto"/>
              </w:divBdr>
            </w:div>
            <w:div w:id="1191458506">
              <w:marLeft w:val="0"/>
              <w:marRight w:val="0"/>
              <w:marTop w:val="0"/>
              <w:marBottom w:val="0"/>
              <w:divBdr>
                <w:top w:val="none" w:sz="0" w:space="0" w:color="auto"/>
                <w:left w:val="none" w:sz="0" w:space="0" w:color="auto"/>
                <w:bottom w:val="none" w:sz="0" w:space="0" w:color="auto"/>
                <w:right w:val="none" w:sz="0" w:space="0" w:color="auto"/>
              </w:divBdr>
            </w:div>
            <w:div w:id="2024089092">
              <w:marLeft w:val="0"/>
              <w:marRight w:val="0"/>
              <w:marTop w:val="0"/>
              <w:marBottom w:val="0"/>
              <w:divBdr>
                <w:top w:val="none" w:sz="0" w:space="0" w:color="auto"/>
                <w:left w:val="none" w:sz="0" w:space="0" w:color="auto"/>
                <w:bottom w:val="none" w:sz="0" w:space="0" w:color="auto"/>
                <w:right w:val="none" w:sz="0" w:space="0" w:color="auto"/>
              </w:divBdr>
            </w:div>
          </w:divsChild>
        </w:div>
        <w:div w:id="566306501">
          <w:marLeft w:val="0"/>
          <w:marRight w:val="0"/>
          <w:marTop w:val="0"/>
          <w:marBottom w:val="0"/>
          <w:divBdr>
            <w:top w:val="none" w:sz="0" w:space="0" w:color="auto"/>
            <w:left w:val="none" w:sz="0" w:space="0" w:color="auto"/>
            <w:bottom w:val="none" w:sz="0" w:space="0" w:color="auto"/>
            <w:right w:val="none" w:sz="0" w:space="0" w:color="auto"/>
          </w:divBdr>
        </w:div>
        <w:div w:id="399251176">
          <w:marLeft w:val="0"/>
          <w:marRight w:val="0"/>
          <w:marTop w:val="0"/>
          <w:marBottom w:val="0"/>
          <w:divBdr>
            <w:top w:val="none" w:sz="0" w:space="0" w:color="auto"/>
            <w:left w:val="none" w:sz="0" w:space="0" w:color="auto"/>
            <w:bottom w:val="none" w:sz="0" w:space="0" w:color="auto"/>
            <w:right w:val="none" w:sz="0" w:space="0" w:color="auto"/>
          </w:divBdr>
          <w:divsChild>
            <w:div w:id="1835997064">
              <w:marLeft w:val="0"/>
              <w:marRight w:val="0"/>
              <w:marTop w:val="0"/>
              <w:marBottom w:val="0"/>
              <w:divBdr>
                <w:top w:val="none" w:sz="0" w:space="0" w:color="auto"/>
                <w:left w:val="none" w:sz="0" w:space="0" w:color="auto"/>
                <w:bottom w:val="none" w:sz="0" w:space="0" w:color="auto"/>
                <w:right w:val="none" w:sz="0" w:space="0" w:color="auto"/>
              </w:divBdr>
            </w:div>
            <w:div w:id="1086271600">
              <w:marLeft w:val="0"/>
              <w:marRight w:val="0"/>
              <w:marTop w:val="0"/>
              <w:marBottom w:val="0"/>
              <w:divBdr>
                <w:top w:val="none" w:sz="0" w:space="0" w:color="auto"/>
                <w:left w:val="none" w:sz="0" w:space="0" w:color="auto"/>
                <w:bottom w:val="none" w:sz="0" w:space="0" w:color="auto"/>
                <w:right w:val="none" w:sz="0" w:space="0" w:color="auto"/>
              </w:divBdr>
            </w:div>
            <w:div w:id="1160390312">
              <w:marLeft w:val="0"/>
              <w:marRight w:val="0"/>
              <w:marTop w:val="0"/>
              <w:marBottom w:val="0"/>
              <w:divBdr>
                <w:top w:val="none" w:sz="0" w:space="0" w:color="auto"/>
                <w:left w:val="none" w:sz="0" w:space="0" w:color="auto"/>
                <w:bottom w:val="none" w:sz="0" w:space="0" w:color="auto"/>
                <w:right w:val="none" w:sz="0" w:space="0" w:color="auto"/>
              </w:divBdr>
            </w:div>
            <w:div w:id="2145390732">
              <w:marLeft w:val="0"/>
              <w:marRight w:val="0"/>
              <w:marTop w:val="0"/>
              <w:marBottom w:val="0"/>
              <w:divBdr>
                <w:top w:val="none" w:sz="0" w:space="0" w:color="auto"/>
                <w:left w:val="none" w:sz="0" w:space="0" w:color="auto"/>
                <w:bottom w:val="none" w:sz="0" w:space="0" w:color="auto"/>
                <w:right w:val="none" w:sz="0" w:space="0" w:color="auto"/>
              </w:divBdr>
            </w:div>
            <w:div w:id="1688095636">
              <w:marLeft w:val="0"/>
              <w:marRight w:val="0"/>
              <w:marTop w:val="0"/>
              <w:marBottom w:val="0"/>
              <w:divBdr>
                <w:top w:val="none" w:sz="0" w:space="0" w:color="auto"/>
                <w:left w:val="none" w:sz="0" w:space="0" w:color="auto"/>
                <w:bottom w:val="none" w:sz="0" w:space="0" w:color="auto"/>
                <w:right w:val="none" w:sz="0" w:space="0" w:color="auto"/>
              </w:divBdr>
            </w:div>
            <w:div w:id="322205396">
              <w:marLeft w:val="0"/>
              <w:marRight w:val="0"/>
              <w:marTop w:val="0"/>
              <w:marBottom w:val="0"/>
              <w:divBdr>
                <w:top w:val="none" w:sz="0" w:space="0" w:color="auto"/>
                <w:left w:val="none" w:sz="0" w:space="0" w:color="auto"/>
                <w:bottom w:val="none" w:sz="0" w:space="0" w:color="auto"/>
                <w:right w:val="none" w:sz="0" w:space="0" w:color="auto"/>
              </w:divBdr>
            </w:div>
            <w:div w:id="1492988869">
              <w:marLeft w:val="0"/>
              <w:marRight w:val="0"/>
              <w:marTop w:val="0"/>
              <w:marBottom w:val="0"/>
              <w:divBdr>
                <w:top w:val="none" w:sz="0" w:space="0" w:color="auto"/>
                <w:left w:val="none" w:sz="0" w:space="0" w:color="auto"/>
                <w:bottom w:val="none" w:sz="0" w:space="0" w:color="auto"/>
                <w:right w:val="none" w:sz="0" w:space="0" w:color="auto"/>
              </w:divBdr>
            </w:div>
          </w:divsChild>
        </w:div>
        <w:div w:id="1151024352">
          <w:marLeft w:val="0"/>
          <w:marRight w:val="0"/>
          <w:marTop w:val="0"/>
          <w:marBottom w:val="0"/>
          <w:divBdr>
            <w:top w:val="none" w:sz="0" w:space="0" w:color="auto"/>
            <w:left w:val="none" w:sz="0" w:space="0" w:color="auto"/>
            <w:bottom w:val="none" w:sz="0" w:space="0" w:color="auto"/>
            <w:right w:val="none" w:sz="0" w:space="0" w:color="auto"/>
          </w:divBdr>
        </w:div>
        <w:div w:id="1840465691">
          <w:marLeft w:val="0"/>
          <w:marRight w:val="0"/>
          <w:marTop w:val="0"/>
          <w:marBottom w:val="0"/>
          <w:divBdr>
            <w:top w:val="none" w:sz="0" w:space="0" w:color="auto"/>
            <w:left w:val="none" w:sz="0" w:space="0" w:color="auto"/>
            <w:bottom w:val="none" w:sz="0" w:space="0" w:color="auto"/>
            <w:right w:val="none" w:sz="0" w:space="0" w:color="auto"/>
          </w:divBdr>
        </w:div>
        <w:div w:id="1871800590">
          <w:marLeft w:val="0"/>
          <w:marRight w:val="0"/>
          <w:marTop w:val="0"/>
          <w:marBottom w:val="0"/>
          <w:divBdr>
            <w:top w:val="none" w:sz="0" w:space="0" w:color="auto"/>
            <w:left w:val="none" w:sz="0" w:space="0" w:color="auto"/>
            <w:bottom w:val="none" w:sz="0" w:space="0" w:color="auto"/>
            <w:right w:val="none" w:sz="0" w:space="0" w:color="auto"/>
          </w:divBdr>
        </w:div>
        <w:div w:id="1412001221">
          <w:marLeft w:val="0"/>
          <w:marRight w:val="0"/>
          <w:marTop w:val="0"/>
          <w:marBottom w:val="0"/>
          <w:divBdr>
            <w:top w:val="none" w:sz="0" w:space="0" w:color="auto"/>
            <w:left w:val="none" w:sz="0" w:space="0" w:color="auto"/>
            <w:bottom w:val="none" w:sz="0" w:space="0" w:color="auto"/>
            <w:right w:val="none" w:sz="0" w:space="0" w:color="auto"/>
          </w:divBdr>
        </w:div>
      </w:divsChild>
    </w:div>
    <w:div w:id="1522745773">
      <w:bodyDiv w:val="1"/>
      <w:marLeft w:val="0"/>
      <w:marRight w:val="0"/>
      <w:marTop w:val="0"/>
      <w:marBottom w:val="0"/>
      <w:divBdr>
        <w:top w:val="none" w:sz="0" w:space="0" w:color="auto"/>
        <w:left w:val="none" w:sz="0" w:space="0" w:color="auto"/>
        <w:bottom w:val="none" w:sz="0" w:space="0" w:color="auto"/>
        <w:right w:val="none" w:sz="0" w:space="0" w:color="auto"/>
      </w:divBdr>
      <w:divsChild>
        <w:div w:id="1458375431">
          <w:marLeft w:val="0"/>
          <w:marRight w:val="180"/>
          <w:marTop w:val="0"/>
          <w:marBottom w:val="0"/>
          <w:divBdr>
            <w:top w:val="none" w:sz="0" w:space="0" w:color="auto"/>
            <w:left w:val="none" w:sz="0" w:space="0" w:color="auto"/>
            <w:bottom w:val="none" w:sz="0" w:space="0" w:color="auto"/>
            <w:right w:val="none" w:sz="0" w:space="0" w:color="auto"/>
          </w:divBdr>
          <w:divsChild>
            <w:div w:id="431977482">
              <w:marLeft w:val="0"/>
              <w:marRight w:val="0"/>
              <w:marTop w:val="0"/>
              <w:marBottom w:val="0"/>
              <w:divBdr>
                <w:top w:val="none" w:sz="0" w:space="0" w:color="auto"/>
                <w:left w:val="none" w:sz="0" w:space="0" w:color="auto"/>
                <w:bottom w:val="none" w:sz="0" w:space="0" w:color="auto"/>
                <w:right w:val="none" w:sz="0" w:space="0" w:color="auto"/>
              </w:divBdr>
              <w:divsChild>
                <w:div w:id="2069069104">
                  <w:marLeft w:val="0"/>
                  <w:marRight w:val="0"/>
                  <w:marTop w:val="0"/>
                  <w:marBottom w:val="225"/>
                  <w:divBdr>
                    <w:top w:val="none" w:sz="0" w:space="0" w:color="auto"/>
                    <w:left w:val="none" w:sz="0" w:space="0" w:color="auto"/>
                    <w:bottom w:val="none" w:sz="0" w:space="0" w:color="auto"/>
                    <w:right w:val="none" w:sz="0" w:space="0" w:color="auto"/>
                  </w:divBdr>
                  <w:divsChild>
                    <w:div w:id="954367028">
                      <w:marLeft w:val="0"/>
                      <w:marRight w:val="0"/>
                      <w:marTop w:val="0"/>
                      <w:marBottom w:val="0"/>
                      <w:divBdr>
                        <w:top w:val="none" w:sz="0" w:space="0" w:color="auto"/>
                        <w:left w:val="none" w:sz="0" w:space="0" w:color="auto"/>
                        <w:bottom w:val="none" w:sz="0" w:space="0" w:color="auto"/>
                        <w:right w:val="none" w:sz="0" w:space="0" w:color="auto"/>
                      </w:divBdr>
                    </w:div>
                  </w:divsChild>
                </w:div>
                <w:div w:id="151332216">
                  <w:marLeft w:val="0"/>
                  <w:marRight w:val="0"/>
                  <w:marTop w:val="0"/>
                  <w:marBottom w:val="225"/>
                  <w:divBdr>
                    <w:top w:val="none" w:sz="0" w:space="0" w:color="auto"/>
                    <w:left w:val="none" w:sz="0" w:space="0" w:color="auto"/>
                    <w:bottom w:val="none" w:sz="0" w:space="0" w:color="auto"/>
                    <w:right w:val="none" w:sz="0" w:space="0" w:color="auto"/>
                  </w:divBdr>
                  <w:divsChild>
                    <w:div w:id="983268127">
                      <w:marLeft w:val="0"/>
                      <w:marRight w:val="0"/>
                      <w:marTop w:val="0"/>
                      <w:marBottom w:val="0"/>
                      <w:divBdr>
                        <w:top w:val="none" w:sz="0" w:space="0" w:color="auto"/>
                        <w:left w:val="none" w:sz="0" w:space="0" w:color="auto"/>
                        <w:bottom w:val="none" w:sz="0" w:space="0" w:color="auto"/>
                        <w:right w:val="none" w:sz="0" w:space="0" w:color="auto"/>
                      </w:divBdr>
                    </w:div>
                  </w:divsChild>
                </w:div>
                <w:div w:id="1148354222">
                  <w:marLeft w:val="0"/>
                  <w:marRight w:val="0"/>
                  <w:marTop w:val="0"/>
                  <w:marBottom w:val="225"/>
                  <w:divBdr>
                    <w:top w:val="none" w:sz="0" w:space="0" w:color="auto"/>
                    <w:left w:val="none" w:sz="0" w:space="0" w:color="auto"/>
                    <w:bottom w:val="none" w:sz="0" w:space="0" w:color="auto"/>
                    <w:right w:val="none" w:sz="0" w:space="0" w:color="auto"/>
                  </w:divBdr>
                  <w:divsChild>
                    <w:div w:id="2089879908">
                      <w:marLeft w:val="0"/>
                      <w:marRight w:val="0"/>
                      <w:marTop w:val="0"/>
                      <w:marBottom w:val="0"/>
                      <w:divBdr>
                        <w:top w:val="none" w:sz="0" w:space="0" w:color="auto"/>
                        <w:left w:val="none" w:sz="0" w:space="0" w:color="auto"/>
                        <w:bottom w:val="none" w:sz="0" w:space="0" w:color="auto"/>
                        <w:right w:val="none" w:sz="0" w:space="0" w:color="auto"/>
                      </w:divBdr>
                    </w:div>
                  </w:divsChild>
                </w:div>
                <w:div w:id="1666934225">
                  <w:marLeft w:val="0"/>
                  <w:marRight w:val="0"/>
                  <w:marTop w:val="0"/>
                  <w:marBottom w:val="225"/>
                  <w:divBdr>
                    <w:top w:val="none" w:sz="0" w:space="0" w:color="auto"/>
                    <w:left w:val="none" w:sz="0" w:space="0" w:color="auto"/>
                    <w:bottom w:val="none" w:sz="0" w:space="0" w:color="auto"/>
                    <w:right w:val="none" w:sz="0" w:space="0" w:color="auto"/>
                  </w:divBdr>
                  <w:divsChild>
                    <w:div w:id="354353692">
                      <w:marLeft w:val="0"/>
                      <w:marRight w:val="0"/>
                      <w:marTop w:val="0"/>
                      <w:marBottom w:val="0"/>
                      <w:divBdr>
                        <w:top w:val="none" w:sz="0" w:space="0" w:color="auto"/>
                        <w:left w:val="none" w:sz="0" w:space="0" w:color="auto"/>
                        <w:bottom w:val="none" w:sz="0" w:space="0" w:color="auto"/>
                        <w:right w:val="none" w:sz="0" w:space="0" w:color="auto"/>
                      </w:divBdr>
                    </w:div>
                  </w:divsChild>
                </w:div>
                <w:div w:id="1144079742">
                  <w:marLeft w:val="0"/>
                  <w:marRight w:val="0"/>
                  <w:marTop w:val="0"/>
                  <w:marBottom w:val="225"/>
                  <w:divBdr>
                    <w:top w:val="none" w:sz="0" w:space="0" w:color="auto"/>
                    <w:left w:val="none" w:sz="0" w:space="0" w:color="auto"/>
                    <w:bottom w:val="none" w:sz="0" w:space="0" w:color="auto"/>
                    <w:right w:val="none" w:sz="0" w:space="0" w:color="auto"/>
                  </w:divBdr>
                  <w:divsChild>
                    <w:div w:id="911820256">
                      <w:marLeft w:val="0"/>
                      <w:marRight w:val="0"/>
                      <w:marTop w:val="0"/>
                      <w:marBottom w:val="0"/>
                      <w:divBdr>
                        <w:top w:val="none" w:sz="0" w:space="0" w:color="auto"/>
                        <w:left w:val="none" w:sz="0" w:space="0" w:color="auto"/>
                        <w:bottom w:val="none" w:sz="0" w:space="0" w:color="auto"/>
                        <w:right w:val="none" w:sz="0" w:space="0" w:color="auto"/>
                      </w:divBdr>
                    </w:div>
                  </w:divsChild>
                </w:div>
                <w:div w:id="1934047131">
                  <w:marLeft w:val="0"/>
                  <w:marRight w:val="0"/>
                  <w:marTop w:val="0"/>
                  <w:marBottom w:val="225"/>
                  <w:divBdr>
                    <w:top w:val="none" w:sz="0" w:space="0" w:color="auto"/>
                    <w:left w:val="none" w:sz="0" w:space="0" w:color="auto"/>
                    <w:bottom w:val="none" w:sz="0" w:space="0" w:color="auto"/>
                    <w:right w:val="none" w:sz="0" w:space="0" w:color="auto"/>
                  </w:divBdr>
                  <w:divsChild>
                    <w:div w:id="270821907">
                      <w:marLeft w:val="0"/>
                      <w:marRight w:val="0"/>
                      <w:marTop w:val="0"/>
                      <w:marBottom w:val="0"/>
                      <w:divBdr>
                        <w:top w:val="none" w:sz="0" w:space="0" w:color="auto"/>
                        <w:left w:val="none" w:sz="0" w:space="0" w:color="auto"/>
                        <w:bottom w:val="none" w:sz="0" w:space="0" w:color="auto"/>
                        <w:right w:val="none" w:sz="0" w:space="0" w:color="auto"/>
                      </w:divBdr>
                    </w:div>
                  </w:divsChild>
                </w:div>
                <w:div w:id="2094231568">
                  <w:marLeft w:val="0"/>
                  <w:marRight w:val="0"/>
                  <w:marTop w:val="0"/>
                  <w:marBottom w:val="225"/>
                  <w:divBdr>
                    <w:top w:val="none" w:sz="0" w:space="0" w:color="auto"/>
                    <w:left w:val="none" w:sz="0" w:space="0" w:color="auto"/>
                    <w:bottom w:val="none" w:sz="0" w:space="0" w:color="auto"/>
                    <w:right w:val="none" w:sz="0" w:space="0" w:color="auto"/>
                  </w:divBdr>
                  <w:divsChild>
                    <w:div w:id="1625454453">
                      <w:marLeft w:val="0"/>
                      <w:marRight w:val="0"/>
                      <w:marTop w:val="0"/>
                      <w:marBottom w:val="0"/>
                      <w:divBdr>
                        <w:top w:val="none" w:sz="0" w:space="0" w:color="auto"/>
                        <w:left w:val="none" w:sz="0" w:space="0" w:color="auto"/>
                        <w:bottom w:val="none" w:sz="0" w:space="0" w:color="auto"/>
                        <w:right w:val="none" w:sz="0" w:space="0" w:color="auto"/>
                      </w:divBdr>
                    </w:div>
                  </w:divsChild>
                </w:div>
                <w:div w:id="106388527">
                  <w:marLeft w:val="0"/>
                  <w:marRight w:val="0"/>
                  <w:marTop w:val="0"/>
                  <w:marBottom w:val="225"/>
                  <w:divBdr>
                    <w:top w:val="none" w:sz="0" w:space="0" w:color="auto"/>
                    <w:left w:val="none" w:sz="0" w:space="0" w:color="auto"/>
                    <w:bottom w:val="none" w:sz="0" w:space="0" w:color="auto"/>
                    <w:right w:val="none" w:sz="0" w:space="0" w:color="auto"/>
                  </w:divBdr>
                  <w:divsChild>
                    <w:div w:id="961114647">
                      <w:marLeft w:val="0"/>
                      <w:marRight w:val="0"/>
                      <w:marTop w:val="0"/>
                      <w:marBottom w:val="0"/>
                      <w:divBdr>
                        <w:top w:val="none" w:sz="0" w:space="0" w:color="auto"/>
                        <w:left w:val="none" w:sz="0" w:space="0" w:color="auto"/>
                        <w:bottom w:val="none" w:sz="0" w:space="0" w:color="auto"/>
                        <w:right w:val="none" w:sz="0" w:space="0" w:color="auto"/>
                      </w:divBdr>
                    </w:div>
                  </w:divsChild>
                </w:div>
                <w:div w:id="366956858">
                  <w:marLeft w:val="0"/>
                  <w:marRight w:val="0"/>
                  <w:marTop w:val="0"/>
                  <w:marBottom w:val="225"/>
                  <w:divBdr>
                    <w:top w:val="none" w:sz="0" w:space="0" w:color="auto"/>
                    <w:left w:val="none" w:sz="0" w:space="0" w:color="auto"/>
                    <w:bottom w:val="none" w:sz="0" w:space="0" w:color="auto"/>
                    <w:right w:val="none" w:sz="0" w:space="0" w:color="auto"/>
                  </w:divBdr>
                  <w:divsChild>
                    <w:div w:id="355036018">
                      <w:marLeft w:val="0"/>
                      <w:marRight w:val="0"/>
                      <w:marTop w:val="0"/>
                      <w:marBottom w:val="0"/>
                      <w:divBdr>
                        <w:top w:val="none" w:sz="0" w:space="0" w:color="auto"/>
                        <w:left w:val="none" w:sz="0" w:space="0" w:color="auto"/>
                        <w:bottom w:val="none" w:sz="0" w:space="0" w:color="auto"/>
                        <w:right w:val="none" w:sz="0" w:space="0" w:color="auto"/>
                      </w:divBdr>
                    </w:div>
                  </w:divsChild>
                </w:div>
                <w:div w:id="179977253">
                  <w:marLeft w:val="0"/>
                  <w:marRight w:val="0"/>
                  <w:marTop w:val="0"/>
                  <w:marBottom w:val="225"/>
                  <w:divBdr>
                    <w:top w:val="none" w:sz="0" w:space="0" w:color="auto"/>
                    <w:left w:val="none" w:sz="0" w:space="0" w:color="auto"/>
                    <w:bottom w:val="none" w:sz="0" w:space="0" w:color="auto"/>
                    <w:right w:val="none" w:sz="0" w:space="0" w:color="auto"/>
                  </w:divBdr>
                  <w:divsChild>
                    <w:div w:id="931594911">
                      <w:marLeft w:val="0"/>
                      <w:marRight w:val="0"/>
                      <w:marTop w:val="0"/>
                      <w:marBottom w:val="0"/>
                      <w:divBdr>
                        <w:top w:val="none" w:sz="0" w:space="0" w:color="auto"/>
                        <w:left w:val="none" w:sz="0" w:space="0" w:color="auto"/>
                        <w:bottom w:val="none" w:sz="0" w:space="0" w:color="auto"/>
                        <w:right w:val="none" w:sz="0" w:space="0" w:color="auto"/>
                      </w:divBdr>
                    </w:div>
                  </w:divsChild>
                </w:div>
                <w:div w:id="581305848">
                  <w:marLeft w:val="0"/>
                  <w:marRight w:val="0"/>
                  <w:marTop w:val="0"/>
                  <w:marBottom w:val="225"/>
                  <w:divBdr>
                    <w:top w:val="none" w:sz="0" w:space="0" w:color="auto"/>
                    <w:left w:val="none" w:sz="0" w:space="0" w:color="auto"/>
                    <w:bottom w:val="none" w:sz="0" w:space="0" w:color="auto"/>
                    <w:right w:val="none" w:sz="0" w:space="0" w:color="auto"/>
                  </w:divBdr>
                  <w:divsChild>
                    <w:div w:id="2040231058">
                      <w:marLeft w:val="0"/>
                      <w:marRight w:val="0"/>
                      <w:marTop w:val="0"/>
                      <w:marBottom w:val="0"/>
                      <w:divBdr>
                        <w:top w:val="none" w:sz="0" w:space="0" w:color="auto"/>
                        <w:left w:val="none" w:sz="0" w:space="0" w:color="auto"/>
                        <w:bottom w:val="none" w:sz="0" w:space="0" w:color="auto"/>
                        <w:right w:val="none" w:sz="0" w:space="0" w:color="auto"/>
                      </w:divBdr>
                    </w:div>
                  </w:divsChild>
                </w:div>
                <w:div w:id="259409516">
                  <w:marLeft w:val="0"/>
                  <w:marRight w:val="0"/>
                  <w:marTop w:val="0"/>
                  <w:marBottom w:val="225"/>
                  <w:divBdr>
                    <w:top w:val="none" w:sz="0" w:space="0" w:color="auto"/>
                    <w:left w:val="none" w:sz="0" w:space="0" w:color="auto"/>
                    <w:bottom w:val="none" w:sz="0" w:space="0" w:color="auto"/>
                    <w:right w:val="none" w:sz="0" w:space="0" w:color="auto"/>
                  </w:divBdr>
                  <w:divsChild>
                    <w:div w:id="306588939">
                      <w:marLeft w:val="0"/>
                      <w:marRight w:val="0"/>
                      <w:marTop w:val="0"/>
                      <w:marBottom w:val="0"/>
                      <w:divBdr>
                        <w:top w:val="none" w:sz="0" w:space="0" w:color="auto"/>
                        <w:left w:val="none" w:sz="0" w:space="0" w:color="auto"/>
                        <w:bottom w:val="none" w:sz="0" w:space="0" w:color="auto"/>
                        <w:right w:val="none" w:sz="0" w:space="0" w:color="auto"/>
                      </w:divBdr>
                    </w:div>
                  </w:divsChild>
                </w:div>
                <w:div w:id="1116874462">
                  <w:marLeft w:val="0"/>
                  <w:marRight w:val="0"/>
                  <w:marTop w:val="0"/>
                  <w:marBottom w:val="225"/>
                  <w:divBdr>
                    <w:top w:val="none" w:sz="0" w:space="0" w:color="auto"/>
                    <w:left w:val="none" w:sz="0" w:space="0" w:color="auto"/>
                    <w:bottom w:val="none" w:sz="0" w:space="0" w:color="auto"/>
                    <w:right w:val="none" w:sz="0" w:space="0" w:color="auto"/>
                  </w:divBdr>
                  <w:divsChild>
                    <w:div w:id="1270895907">
                      <w:marLeft w:val="0"/>
                      <w:marRight w:val="0"/>
                      <w:marTop w:val="0"/>
                      <w:marBottom w:val="0"/>
                      <w:divBdr>
                        <w:top w:val="none" w:sz="0" w:space="0" w:color="auto"/>
                        <w:left w:val="none" w:sz="0" w:space="0" w:color="auto"/>
                        <w:bottom w:val="none" w:sz="0" w:space="0" w:color="auto"/>
                        <w:right w:val="none" w:sz="0" w:space="0" w:color="auto"/>
                      </w:divBdr>
                    </w:div>
                  </w:divsChild>
                </w:div>
                <w:div w:id="1838840952">
                  <w:marLeft w:val="0"/>
                  <w:marRight w:val="0"/>
                  <w:marTop w:val="0"/>
                  <w:marBottom w:val="225"/>
                  <w:divBdr>
                    <w:top w:val="none" w:sz="0" w:space="0" w:color="auto"/>
                    <w:left w:val="none" w:sz="0" w:space="0" w:color="auto"/>
                    <w:bottom w:val="none" w:sz="0" w:space="0" w:color="auto"/>
                    <w:right w:val="none" w:sz="0" w:space="0" w:color="auto"/>
                  </w:divBdr>
                  <w:divsChild>
                    <w:div w:id="930551849">
                      <w:marLeft w:val="0"/>
                      <w:marRight w:val="0"/>
                      <w:marTop w:val="0"/>
                      <w:marBottom w:val="0"/>
                      <w:divBdr>
                        <w:top w:val="none" w:sz="0" w:space="0" w:color="auto"/>
                        <w:left w:val="none" w:sz="0" w:space="0" w:color="auto"/>
                        <w:bottom w:val="none" w:sz="0" w:space="0" w:color="auto"/>
                        <w:right w:val="none" w:sz="0" w:space="0" w:color="auto"/>
                      </w:divBdr>
                    </w:div>
                  </w:divsChild>
                </w:div>
                <w:div w:id="425078778">
                  <w:marLeft w:val="0"/>
                  <w:marRight w:val="0"/>
                  <w:marTop w:val="0"/>
                  <w:marBottom w:val="225"/>
                  <w:divBdr>
                    <w:top w:val="none" w:sz="0" w:space="0" w:color="auto"/>
                    <w:left w:val="none" w:sz="0" w:space="0" w:color="auto"/>
                    <w:bottom w:val="none" w:sz="0" w:space="0" w:color="auto"/>
                    <w:right w:val="none" w:sz="0" w:space="0" w:color="auto"/>
                  </w:divBdr>
                  <w:divsChild>
                    <w:div w:id="943272304">
                      <w:marLeft w:val="0"/>
                      <w:marRight w:val="0"/>
                      <w:marTop w:val="0"/>
                      <w:marBottom w:val="0"/>
                      <w:divBdr>
                        <w:top w:val="none" w:sz="0" w:space="0" w:color="auto"/>
                        <w:left w:val="none" w:sz="0" w:space="0" w:color="auto"/>
                        <w:bottom w:val="none" w:sz="0" w:space="0" w:color="auto"/>
                        <w:right w:val="none" w:sz="0" w:space="0" w:color="auto"/>
                      </w:divBdr>
                    </w:div>
                  </w:divsChild>
                </w:div>
                <w:div w:id="1078668223">
                  <w:marLeft w:val="0"/>
                  <w:marRight w:val="0"/>
                  <w:marTop w:val="0"/>
                  <w:marBottom w:val="225"/>
                  <w:divBdr>
                    <w:top w:val="none" w:sz="0" w:space="0" w:color="auto"/>
                    <w:left w:val="none" w:sz="0" w:space="0" w:color="auto"/>
                    <w:bottom w:val="none" w:sz="0" w:space="0" w:color="auto"/>
                    <w:right w:val="none" w:sz="0" w:space="0" w:color="auto"/>
                  </w:divBdr>
                  <w:divsChild>
                    <w:div w:id="223027758">
                      <w:marLeft w:val="0"/>
                      <w:marRight w:val="0"/>
                      <w:marTop w:val="0"/>
                      <w:marBottom w:val="0"/>
                      <w:divBdr>
                        <w:top w:val="none" w:sz="0" w:space="0" w:color="auto"/>
                        <w:left w:val="none" w:sz="0" w:space="0" w:color="auto"/>
                        <w:bottom w:val="none" w:sz="0" w:space="0" w:color="auto"/>
                        <w:right w:val="none" w:sz="0" w:space="0" w:color="auto"/>
                      </w:divBdr>
                    </w:div>
                  </w:divsChild>
                </w:div>
                <w:div w:id="443691008">
                  <w:marLeft w:val="0"/>
                  <w:marRight w:val="0"/>
                  <w:marTop w:val="0"/>
                  <w:marBottom w:val="225"/>
                  <w:divBdr>
                    <w:top w:val="none" w:sz="0" w:space="0" w:color="auto"/>
                    <w:left w:val="none" w:sz="0" w:space="0" w:color="auto"/>
                    <w:bottom w:val="none" w:sz="0" w:space="0" w:color="auto"/>
                    <w:right w:val="none" w:sz="0" w:space="0" w:color="auto"/>
                  </w:divBdr>
                  <w:divsChild>
                    <w:div w:id="1083648988">
                      <w:marLeft w:val="0"/>
                      <w:marRight w:val="0"/>
                      <w:marTop w:val="0"/>
                      <w:marBottom w:val="0"/>
                      <w:divBdr>
                        <w:top w:val="none" w:sz="0" w:space="0" w:color="auto"/>
                        <w:left w:val="none" w:sz="0" w:space="0" w:color="auto"/>
                        <w:bottom w:val="none" w:sz="0" w:space="0" w:color="auto"/>
                        <w:right w:val="none" w:sz="0" w:space="0" w:color="auto"/>
                      </w:divBdr>
                    </w:div>
                  </w:divsChild>
                </w:div>
                <w:div w:id="864906299">
                  <w:marLeft w:val="0"/>
                  <w:marRight w:val="0"/>
                  <w:marTop w:val="0"/>
                  <w:marBottom w:val="225"/>
                  <w:divBdr>
                    <w:top w:val="none" w:sz="0" w:space="0" w:color="auto"/>
                    <w:left w:val="none" w:sz="0" w:space="0" w:color="auto"/>
                    <w:bottom w:val="none" w:sz="0" w:space="0" w:color="auto"/>
                    <w:right w:val="none" w:sz="0" w:space="0" w:color="auto"/>
                  </w:divBdr>
                  <w:divsChild>
                    <w:div w:id="377626310">
                      <w:marLeft w:val="0"/>
                      <w:marRight w:val="0"/>
                      <w:marTop w:val="0"/>
                      <w:marBottom w:val="0"/>
                      <w:divBdr>
                        <w:top w:val="none" w:sz="0" w:space="0" w:color="auto"/>
                        <w:left w:val="none" w:sz="0" w:space="0" w:color="auto"/>
                        <w:bottom w:val="none" w:sz="0" w:space="0" w:color="auto"/>
                        <w:right w:val="none" w:sz="0" w:space="0" w:color="auto"/>
                      </w:divBdr>
                    </w:div>
                  </w:divsChild>
                </w:div>
                <w:div w:id="1567960497">
                  <w:marLeft w:val="0"/>
                  <w:marRight w:val="0"/>
                  <w:marTop w:val="0"/>
                  <w:marBottom w:val="225"/>
                  <w:divBdr>
                    <w:top w:val="none" w:sz="0" w:space="0" w:color="auto"/>
                    <w:left w:val="none" w:sz="0" w:space="0" w:color="auto"/>
                    <w:bottom w:val="none" w:sz="0" w:space="0" w:color="auto"/>
                    <w:right w:val="none" w:sz="0" w:space="0" w:color="auto"/>
                  </w:divBdr>
                  <w:divsChild>
                    <w:div w:id="1275988118">
                      <w:marLeft w:val="0"/>
                      <w:marRight w:val="0"/>
                      <w:marTop w:val="0"/>
                      <w:marBottom w:val="0"/>
                      <w:divBdr>
                        <w:top w:val="none" w:sz="0" w:space="0" w:color="auto"/>
                        <w:left w:val="none" w:sz="0" w:space="0" w:color="auto"/>
                        <w:bottom w:val="none" w:sz="0" w:space="0" w:color="auto"/>
                        <w:right w:val="none" w:sz="0" w:space="0" w:color="auto"/>
                      </w:divBdr>
                    </w:div>
                  </w:divsChild>
                </w:div>
                <w:div w:id="1939101627">
                  <w:marLeft w:val="0"/>
                  <w:marRight w:val="0"/>
                  <w:marTop w:val="0"/>
                  <w:marBottom w:val="225"/>
                  <w:divBdr>
                    <w:top w:val="none" w:sz="0" w:space="0" w:color="auto"/>
                    <w:left w:val="none" w:sz="0" w:space="0" w:color="auto"/>
                    <w:bottom w:val="none" w:sz="0" w:space="0" w:color="auto"/>
                    <w:right w:val="none" w:sz="0" w:space="0" w:color="auto"/>
                  </w:divBdr>
                  <w:divsChild>
                    <w:div w:id="1816407823">
                      <w:marLeft w:val="0"/>
                      <w:marRight w:val="0"/>
                      <w:marTop w:val="0"/>
                      <w:marBottom w:val="0"/>
                      <w:divBdr>
                        <w:top w:val="none" w:sz="0" w:space="0" w:color="auto"/>
                        <w:left w:val="none" w:sz="0" w:space="0" w:color="auto"/>
                        <w:bottom w:val="none" w:sz="0" w:space="0" w:color="auto"/>
                        <w:right w:val="none" w:sz="0" w:space="0" w:color="auto"/>
                      </w:divBdr>
                    </w:div>
                  </w:divsChild>
                </w:div>
                <w:div w:id="462501138">
                  <w:marLeft w:val="0"/>
                  <w:marRight w:val="0"/>
                  <w:marTop w:val="0"/>
                  <w:marBottom w:val="225"/>
                  <w:divBdr>
                    <w:top w:val="none" w:sz="0" w:space="0" w:color="auto"/>
                    <w:left w:val="none" w:sz="0" w:space="0" w:color="auto"/>
                    <w:bottom w:val="none" w:sz="0" w:space="0" w:color="auto"/>
                    <w:right w:val="none" w:sz="0" w:space="0" w:color="auto"/>
                  </w:divBdr>
                  <w:divsChild>
                    <w:div w:id="831724266">
                      <w:marLeft w:val="0"/>
                      <w:marRight w:val="0"/>
                      <w:marTop w:val="0"/>
                      <w:marBottom w:val="0"/>
                      <w:divBdr>
                        <w:top w:val="none" w:sz="0" w:space="0" w:color="auto"/>
                        <w:left w:val="none" w:sz="0" w:space="0" w:color="auto"/>
                        <w:bottom w:val="none" w:sz="0" w:space="0" w:color="auto"/>
                        <w:right w:val="none" w:sz="0" w:space="0" w:color="auto"/>
                      </w:divBdr>
                    </w:div>
                  </w:divsChild>
                </w:div>
                <w:div w:id="1011642701">
                  <w:marLeft w:val="0"/>
                  <w:marRight w:val="0"/>
                  <w:marTop w:val="0"/>
                  <w:marBottom w:val="225"/>
                  <w:divBdr>
                    <w:top w:val="none" w:sz="0" w:space="0" w:color="auto"/>
                    <w:left w:val="none" w:sz="0" w:space="0" w:color="auto"/>
                    <w:bottom w:val="none" w:sz="0" w:space="0" w:color="auto"/>
                    <w:right w:val="none" w:sz="0" w:space="0" w:color="auto"/>
                  </w:divBdr>
                  <w:divsChild>
                    <w:div w:id="445925773">
                      <w:marLeft w:val="0"/>
                      <w:marRight w:val="0"/>
                      <w:marTop w:val="0"/>
                      <w:marBottom w:val="0"/>
                      <w:divBdr>
                        <w:top w:val="none" w:sz="0" w:space="0" w:color="auto"/>
                        <w:left w:val="none" w:sz="0" w:space="0" w:color="auto"/>
                        <w:bottom w:val="none" w:sz="0" w:space="0" w:color="auto"/>
                        <w:right w:val="none" w:sz="0" w:space="0" w:color="auto"/>
                      </w:divBdr>
                    </w:div>
                  </w:divsChild>
                </w:div>
                <w:div w:id="1565487224">
                  <w:marLeft w:val="0"/>
                  <w:marRight w:val="0"/>
                  <w:marTop w:val="0"/>
                  <w:marBottom w:val="225"/>
                  <w:divBdr>
                    <w:top w:val="none" w:sz="0" w:space="0" w:color="auto"/>
                    <w:left w:val="none" w:sz="0" w:space="0" w:color="auto"/>
                    <w:bottom w:val="none" w:sz="0" w:space="0" w:color="auto"/>
                    <w:right w:val="none" w:sz="0" w:space="0" w:color="auto"/>
                  </w:divBdr>
                  <w:divsChild>
                    <w:div w:id="1188258171">
                      <w:marLeft w:val="0"/>
                      <w:marRight w:val="0"/>
                      <w:marTop w:val="0"/>
                      <w:marBottom w:val="0"/>
                      <w:divBdr>
                        <w:top w:val="none" w:sz="0" w:space="0" w:color="auto"/>
                        <w:left w:val="none" w:sz="0" w:space="0" w:color="auto"/>
                        <w:bottom w:val="none" w:sz="0" w:space="0" w:color="auto"/>
                        <w:right w:val="none" w:sz="0" w:space="0" w:color="auto"/>
                      </w:divBdr>
                    </w:div>
                  </w:divsChild>
                </w:div>
                <w:div w:id="903487205">
                  <w:marLeft w:val="0"/>
                  <w:marRight w:val="0"/>
                  <w:marTop w:val="0"/>
                  <w:marBottom w:val="225"/>
                  <w:divBdr>
                    <w:top w:val="none" w:sz="0" w:space="0" w:color="auto"/>
                    <w:left w:val="none" w:sz="0" w:space="0" w:color="auto"/>
                    <w:bottom w:val="none" w:sz="0" w:space="0" w:color="auto"/>
                    <w:right w:val="none" w:sz="0" w:space="0" w:color="auto"/>
                  </w:divBdr>
                  <w:divsChild>
                    <w:div w:id="1374423786">
                      <w:marLeft w:val="0"/>
                      <w:marRight w:val="0"/>
                      <w:marTop w:val="0"/>
                      <w:marBottom w:val="0"/>
                      <w:divBdr>
                        <w:top w:val="none" w:sz="0" w:space="0" w:color="auto"/>
                        <w:left w:val="none" w:sz="0" w:space="0" w:color="auto"/>
                        <w:bottom w:val="none" w:sz="0" w:space="0" w:color="auto"/>
                        <w:right w:val="none" w:sz="0" w:space="0" w:color="auto"/>
                      </w:divBdr>
                    </w:div>
                  </w:divsChild>
                </w:div>
                <w:div w:id="1951546082">
                  <w:marLeft w:val="0"/>
                  <w:marRight w:val="0"/>
                  <w:marTop w:val="0"/>
                  <w:marBottom w:val="225"/>
                  <w:divBdr>
                    <w:top w:val="none" w:sz="0" w:space="0" w:color="auto"/>
                    <w:left w:val="none" w:sz="0" w:space="0" w:color="auto"/>
                    <w:bottom w:val="none" w:sz="0" w:space="0" w:color="auto"/>
                    <w:right w:val="none" w:sz="0" w:space="0" w:color="auto"/>
                  </w:divBdr>
                  <w:divsChild>
                    <w:div w:id="1165364054">
                      <w:marLeft w:val="0"/>
                      <w:marRight w:val="0"/>
                      <w:marTop w:val="0"/>
                      <w:marBottom w:val="0"/>
                      <w:divBdr>
                        <w:top w:val="none" w:sz="0" w:space="0" w:color="auto"/>
                        <w:left w:val="none" w:sz="0" w:space="0" w:color="auto"/>
                        <w:bottom w:val="none" w:sz="0" w:space="0" w:color="auto"/>
                        <w:right w:val="none" w:sz="0" w:space="0" w:color="auto"/>
                      </w:divBdr>
                    </w:div>
                  </w:divsChild>
                </w:div>
                <w:div w:id="998312890">
                  <w:marLeft w:val="0"/>
                  <w:marRight w:val="0"/>
                  <w:marTop w:val="0"/>
                  <w:marBottom w:val="225"/>
                  <w:divBdr>
                    <w:top w:val="none" w:sz="0" w:space="0" w:color="auto"/>
                    <w:left w:val="none" w:sz="0" w:space="0" w:color="auto"/>
                    <w:bottom w:val="none" w:sz="0" w:space="0" w:color="auto"/>
                    <w:right w:val="none" w:sz="0" w:space="0" w:color="auto"/>
                  </w:divBdr>
                  <w:divsChild>
                    <w:div w:id="2075617692">
                      <w:marLeft w:val="0"/>
                      <w:marRight w:val="0"/>
                      <w:marTop w:val="0"/>
                      <w:marBottom w:val="0"/>
                      <w:divBdr>
                        <w:top w:val="none" w:sz="0" w:space="0" w:color="auto"/>
                        <w:left w:val="none" w:sz="0" w:space="0" w:color="auto"/>
                        <w:bottom w:val="none" w:sz="0" w:space="0" w:color="auto"/>
                        <w:right w:val="none" w:sz="0" w:space="0" w:color="auto"/>
                      </w:divBdr>
                    </w:div>
                  </w:divsChild>
                </w:div>
                <w:div w:id="928390061">
                  <w:marLeft w:val="0"/>
                  <w:marRight w:val="0"/>
                  <w:marTop w:val="0"/>
                  <w:marBottom w:val="225"/>
                  <w:divBdr>
                    <w:top w:val="none" w:sz="0" w:space="0" w:color="auto"/>
                    <w:left w:val="none" w:sz="0" w:space="0" w:color="auto"/>
                    <w:bottom w:val="none" w:sz="0" w:space="0" w:color="auto"/>
                    <w:right w:val="none" w:sz="0" w:space="0" w:color="auto"/>
                  </w:divBdr>
                  <w:divsChild>
                    <w:div w:id="1508131596">
                      <w:marLeft w:val="0"/>
                      <w:marRight w:val="0"/>
                      <w:marTop w:val="0"/>
                      <w:marBottom w:val="0"/>
                      <w:divBdr>
                        <w:top w:val="none" w:sz="0" w:space="0" w:color="auto"/>
                        <w:left w:val="none" w:sz="0" w:space="0" w:color="auto"/>
                        <w:bottom w:val="none" w:sz="0" w:space="0" w:color="auto"/>
                        <w:right w:val="none" w:sz="0" w:space="0" w:color="auto"/>
                      </w:divBdr>
                    </w:div>
                  </w:divsChild>
                </w:div>
                <w:div w:id="1401056221">
                  <w:marLeft w:val="0"/>
                  <w:marRight w:val="0"/>
                  <w:marTop w:val="0"/>
                  <w:marBottom w:val="225"/>
                  <w:divBdr>
                    <w:top w:val="none" w:sz="0" w:space="0" w:color="auto"/>
                    <w:left w:val="none" w:sz="0" w:space="0" w:color="auto"/>
                    <w:bottom w:val="none" w:sz="0" w:space="0" w:color="auto"/>
                    <w:right w:val="none" w:sz="0" w:space="0" w:color="auto"/>
                  </w:divBdr>
                  <w:divsChild>
                    <w:div w:id="1035422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23862411">
      <w:bodyDiv w:val="1"/>
      <w:marLeft w:val="0"/>
      <w:marRight w:val="0"/>
      <w:marTop w:val="0"/>
      <w:marBottom w:val="0"/>
      <w:divBdr>
        <w:top w:val="none" w:sz="0" w:space="0" w:color="auto"/>
        <w:left w:val="none" w:sz="0" w:space="0" w:color="auto"/>
        <w:bottom w:val="none" w:sz="0" w:space="0" w:color="auto"/>
        <w:right w:val="none" w:sz="0" w:space="0" w:color="auto"/>
      </w:divBdr>
      <w:divsChild>
        <w:div w:id="654996826">
          <w:marLeft w:val="0"/>
          <w:marRight w:val="0"/>
          <w:marTop w:val="0"/>
          <w:marBottom w:val="0"/>
          <w:divBdr>
            <w:top w:val="none" w:sz="0" w:space="0" w:color="auto"/>
            <w:left w:val="none" w:sz="0" w:space="0" w:color="auto"/>
            <w:bottom w:val="none" w:sz="0" w:space="0" w:color="auto"/>
            <w:right w:val="none" w:sz="0" w:space="0" w:color="auto"/>
          </w:divBdr>
          <w:divsChild>
            <w:div w:id="1394499048">
              <w:marLeft w:val="0"/>
              <w:marRight w:val="0"/>
              <w:marTop w:val="0"/>
              <w:marBottom w:val="0"/>
              <w:divBdr>
                <w:top w:val="none" w:sz="0" w:space="0" w:color="auto"/>
                <w:left w:val="none" w:sz="0" w:space="0" w:color="auto"/>
                <w:bottom w:val="none" w:sz="0" w:space="0" w:color="auto"/>
                <w:right w:val="none" w:sz="0" w:space="0" w:color="auto"/>
              </w:divBdr>
              <w:divsChild>
                <w:div w:id="1079593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0627136">
          <w:marLeft w:val="0"/>
          <w:marRight w:val="0"/>
          <w:marTop w:val="0"/>
          <w:marBottom w:val="0"/>
          <w:divBdr>
            <w:top w:val="none" w:sz="0" w:space="0" w:color="auto"/>
            <w:left w:val="none" w:sz="0" w:space="0" w:color="auto"/>
            <w:bottom w:val="none" w:sz="0" w:space="0" w:color="auto"/>
            <w:right w:val="none" w:sz="0" w:space="0" w:color="auto"/>
          </w:divBdr>
        </w:div>
        <w:div w:id="1163199284">
          <w:marLeft w:val="0"/>
          <w:marRight w:val="0"/>
          <w:marTop w:val="0"/>
          <w:marBottom w:val="0"/>
          <w:divBdr>
            <w:top w:val="none" w:sz="0" w:space="0" w:color="auto"/>
            <w:left w:val="none" w:sz="0" w:space="0" w:color="auto"/>
            <w:bottom w:val="none" w:sz="0" w:space="0" w:color="auto"/>
            <w:right w:val="none" w:sz="0" w:space="0" w:color="auto"/>
          </w:divBdr>
        </w:div>
        <w:div w:id="1803880719">
          <w:marLeft w:val="0"/>
          <w:marRight w:val="0"/>
          <w:marTop w:val="0"/>
          <w:marBottom w:val="0"/>
          <w:divBdr>
            <w:top w:val="none" w:sz="0" w:space="0" w:color="auto"/>
            <w:left w:val="none" w:sz="0" w:space="0" w:color="auto"/>
            <w:bottom w:val="none" w:sz="0" w:space="0" w:color="auto"/>
            <w:right w:val="none" w:sz="0" w:space="0" w:color="auto"/>
          </w:divBdr>
        </w:div>
        <w:div w:id="1253777423">
          <w:marLeft w:val="0"/>
          <w:marRight w:val="0"/>
          <w:marTop w:val="0"/>
          <w:marBottom w:val="0"/>
          <w:divBdr>
            <w:top w:val="none" w:sz="0" w:space="0" w:color="auto"/>
            <w:left w:val="none" w:sz="0" w:space="0" w:color="auto"/>
            <w:bottom w:val="none" w:sz="0" w:space="0" w:color="auto"/>
            <w:right w:val="none" w:sz="0" w:space="0" w:color="auto"/>
          </w:divBdr>
          <w:divsChild>
            <w:div w:id="17661112">
              <w:marLeft w:val="0"/>
              <w:marRight w:val="0"/>
              <w:marTop w:val="0"/>
              <w:marBottom w:val="0"/>
              <w:divBdr>
                <w:top w:val="none" w:sz="0" w:space="0" w:color="auto"/>
                <w:left w:val="none" w:sz="0" w:space="0" w:color="auto"/>
                <w:bottom w:val="none" w:sz="0" w:space="0" w:color="auto"/>
                <w:right w:val="none" w:sz="0" w:space="0" w:color="auto"/>
              </w:divBdr>
            </w:div>
          </w:divsChild>
        </w:div>
        <w:div w:id="1772238932">
          <w:marLeft w:val="0"/>
          <w:marRight w:val="0"/>
          <w:marTop w:val="0"/>
          <w:marBottom w:val="0"/>
          <w:divBdr>
            <w:top w:val="none" w:sz="0" w:space="0" w:color="auto"/>
            <w:left w:val="none" w:sz="0" w:space="0" w:color="auto"/>
            <w:bottom w:val="none" w:sz="0" w:space="0" w:color="auto"/>
            <w:right w:val="none" w:sz="0" w:space="0" w:color="auto"/>
          </w:divBdr>
        </w:div>
        <w:div w:id="393427520">
          <w:marLeft w:val="0"/>
          <w:marRight w:val="0"/>
          <w:marTop w:val="0"/>
          <w:marBottom w:val="0"/>
          <w:divBdr>
            <w:top w:val="none" w:sz="0" w:space="0" w:color="auto"/>
            <w:left w:val="none" w:sz="0" w:space="0" w:color="auto"/>
            <w:bottom w:val="none" w:sz="0" w:space="0" w:color="auto"/>
            <w:right w:val="none" w:sz="0" w:space="0" w:color="auto"/>
          </w:divBdr>
        </w:div>
        <w:div w:id="1095370897">
          <w:marLeft w:val="0"/>
          <w:marRight w:val="0"/>
          <w:marTop w:val="0"/>
          <w:marBottom w:val="0"/>
          <w:divBdr>
            <w:top w:val="none" w:sz="0" w:space="0" w:color="auto"/>
            <w:left w:val="none" w:sz="0" w:space="0" w:color="auto"/>
            <w:bottom w:val="none" w:sz="0" w:space="0" w:color="auto"/>
            <w:right w:val="none" w:sz="0" w:space="0" w:color="auto"/>
          </w:divBdr>
        </w:div>
        <w:div w:id="641277285">
          <w:marLeft w:val="0"/>
          <w:marRight w:val="0"/>
          <w:marTop w:val="0"/>
          <w:marBottom w:val="0"/>
          <w:divBdr>
            <w:top w:val="none" w:sz="0" w:space="0" w:color="auto"/>
            <w:left w:val="none" w:sz="0" w:space="0" w:color="auto"/>
            <w:bottom w:val="none" w:sz="0" w:space="0" w:color="auto"/>
            <w:right w:val="none" w:sz="0" w:space="0" w:color="auto"/>
          </w:divBdr>
        </w:div>
        <w:div w:id="819034217">
          <w:marLeft w:val="0"/>
          <w:marRight w:val="0"/>
          <w:marTop w:val="0"/>
          <w:marBottom w:val="0"/>
          <w:divBdr>
            <w:top w:val="none" w:sz="0" w:space="0" w:color="auto"/>
            <w:left w:val="none" w:sz="0" w:space="0" w:color="auto"/>
            <w:bottom w:val="none" w:sz="0" w:space="0" w:color="auto"/>
            <w:right w:val="none" w:sz="0" w:space="0" w:color="auto"/>
          </w:divBdr>
        </w:div>
        <w:div w:id="49692224">
          <w:marLeft w:val="0"/>
          <w:marRight w:val="0"/>
          <w:marTop w:val="0"/>
          <w:marBottom w:val="0"/>
          <w:divBdr>
            <w:top w:val="none" w:sz="0" w:space="0" w:color="auto"/>
            <w:left w:val="none" w:sz="0" w:space="0" w:color="auto"/>
            <w:bottom w:val="none" w:sz="0" w:space="0" w:color="auto"/>
            <w:right w:val="none" w:sz="0" w:space="0" w:color="auto"/>
          </w:divBdr>
        </w:div>
        <w:div w:id="1214344417">
          <w:marLeft w:val="0"/>
          <w:marRight w:val="0"/>
          <w:marTop w:val="0"/>
          <w:marBottom w:val="0"/>
          <w:divBdr>
            <w:top w:val="none" w:sz="0" w:space="0" w:color="auto"/>
            <w:left w:val="none" w:sz="0" w:space="0" w:color="auto"/>
            <w:bottom w:val="none" w:sz="0" w:space="0" w:color="auto"/>
            <w:right w:val="none" w:sz="0" w:space="0" w:color="auto"/>
          </w:divBdr>
        </w:div>
        <w:div w:id="564142672">
          <w:marLeft w:val="0"/>
          <w:marRight w:val="0"/>
          <w:marTop w:val="0"/>
          <w:marBottom w:val="0"/>
          <w:divBdr>
            <w:top w:val="none" w:sz="0" w:space="0" w:color="auto"/>
            <w:left w:val="none" w:sz="0" w:space="0" w:color="auto"/>
            <w:bottom w:val="none" w:sz="0" w:space="0" w:color="auto"/>
            <w:right w:val="none" w:sz="0" w:space="0" w:color="auto"/>
          </w:divBdr>
          <w:divsChild>
            <w:div w:id="675886241">
              <w:marLeft w:val="0"/>
              <w:marRight w:val="0"/>
              <w:marTop w:val="0"/>
              <w:marBottom w:val="0"/>
              <w:divBdr>
                <w:top w:val="none" w:sz="0" w:space="0" w:color="auto"/>
                <w:left w:val="none" w:sz="0" w:space="0" w:color="auto"/>
                <w:bottom w:val="none" w:sz="0" w:space="0" w:color="auto"/>
                <w:right w:val="none" w:sz="0" w:space="0" w:color="auto"/>
              </w:divBdr>
            </w:div>
          </w:divsChild>
        </w:div>
        <w:div w:id="1805273647">
          <w:marLeft w:val="0"/>
          <w:marRight w:val="0"/>
          <w:marTop w:val="0"/>
          <w:marBottom w:val="0"/>
          <w:divBdr>
            <w:top w:val="none" w:sz="0" w:space="0" w:color="auto"/>
            <w:left w:val="none" w:sz="0" w:space="0" w:color="auto"/>
            <w:bottom w:val="none" w:sz="0" w:space="0" w:color="auto"/>
            <w:right w:val="none" w:sz="0" w:space="0" w:color="auto"/>
          </w:divBdr>
        </w:div>
        <w:div w:id="467169878">
          <w:marLeft w:val="0"/>
          <w:marRight w:val="0"/>
          <w:marTop w:val="0"/>
          <w:marBottom w:val="0"/>
          <w:divBdr>
            <w:top w:val="none" w:sz="0" w:space="0" w:color="auto"/>
            <w:left w:val="none" w:sz="0" w:space="0" w:color="auto"/>
            <w:bottom w:val="none" w:sz="0" w:space="0" w:color="auto"/>
            <w:right w:val="none" w:sz="0" w:space="0" w:color="auto"/>
          </w:divBdr>
        </w:div>
        <w:div w:id="1502702069">
          <w:marLeft w:val="0"/>
          <w:marRight w:val="0"/>
          <w:marTop w:val="0"/>
          <w:marBottom w:val="0"/>
          <w:divBdr>
            <w:top w:val="none" w:sz="0" w:space="0" w:color="auto"/>
            <w:left w:val="none" w:sz="0" w:space="0" w:color="auto"/>
            <w:bottom w:val="none" w:sz="0" w:space="0" w:color="auto"/>
            <w:right w:val="none" w:sz="0" w:space="0" w:color="auto"/>
          </w:divBdr>
          <w:divsChild>
            <w:div w:id="1689914548">
              <w:marLeft w:val="0"/>
              <w:marRight w:val="0"/>
              <w:marTop w:val="0"/>
              <w:marBottom w:val="0"/>
              <w:divBdr>
                <w:top w:val="none" w:sz="0" w:space="0" w:color="auto"/>
                <w:left w:val="none" w:sz="0" w:space="0" w:color="auto"/>
                <w:bottom w:val="none" w:sz="0" w:space="0" w:color="auto"/>
                <w:right w:val="none" w:sz="0" w:space="0" w:color="auto"/>
              </w:divBdr>
            </w:div>
          </w:divsChild>
        </w:div>
        <w:div w:id="2043438932">
          <w:marLeft w:val="0"/>
          <w:marRight w:val="0"/>
          <w:marTop w:val="0"/>
          <w:marBottom w:val="0"/>
          <w:divBdr>
            <w:top w:val="none" w:sz="0" w:space="0" w:color="auto"/>
            <w:left w:val="none" w:sz="0" w:space="0" w:color="auto"/>
            <w:bottom w:val="none" w:sz="0" w:space="0" w:color="auto"/>
            <w:right w:val="none" w:sz="0" w:space="0" w:color="auto"/>
          </w:divBdr>
        </w:div>
        <w:div w:id="786319648">
          <w:marLeft w:val="0"/>
          <w:marRight w:val="0"/>
          <w:marTop w:val="0"/>
          <w:marBottom w:val="0"/>
          <w:divBdr>
            <w:top w:val="none" w:sz="0" w:space="0" w:color="auto"/>
            <w:left w:val="none" w:sz="0" w:space="0" w:color="auto"/>
            <w:bottom w:val="none" w:sz="0" w:space="0" w:color="auto"/>
            <w:right w:val="none" w:sz="0" w:space="0" w:color="auto"/>
          </w:divBdr>
        </w:div>
        <w:div w:id="1974480436">
          <w:marLeft w:val="0"/>
          <w:marRight w:val="0"/>
          <w:marTop w:val="0"/>
          <w:marBottom w:val="0"/>
          <w:divBdr>
            <w:top w:val="none" w:sz="0" w:space="0" w:color="auto"/>
            <w:left w:val="none" w:sz="0" w:space="0" w:color="auto"/>
            <w:bottom w:val="none" w:sz="0" w:space="0" w:color="auto"/>
            <w:right w:val="none" w:sz="0" w:space="0" w:color="auto"/>
          </w:divBdr>
        </w:div>
        <w:div w:id="229191564">
          <w:marLeft w:val="0"/>
          <w:marRight w:val="0"/>
          <w:marTop w:val="0"/>
          <w:marBottom w:val="0"/>
          <w:divBdr>
            <w:top w:val="none" w:sz="0" w:space="0" w:color="auto"/>
            <w:left w:val="none" w:sz="0" w:space="0" w:color="auto"/>
            <w:bottom w:val="none" w:sz="0" w:space="0" w:color="auto"/>
            <w:right w:val="none" w:sz="0" w:space="0" w:color="auto"/>
          </w:divBdr>
        </w:div>
        <w:div w:id="678122504">
          <w:marLeft w:val="0"/>
          <w:marRight w:val="0"/>
          <w:marTop w:val="0"/>
          <w:marBottom w:val="0"/>
          <w:divBdr>
            <w:top w:val="none" w:sz="0" w:space="0" w:color="auto"/>
            <w:left w:val="none" w:sz="0" w:space="0" w:color="auto"/>
            <w:bottom w:val="none" w:sz="0" w:space="0" w:color="auto"/>
            <w:right w:val="none" w:sz="0" w:space="0" w:color="auto"/>
          </w:divBdr>
        </w:div>
        <w:div w:id="1718429392">
          <w:marLeft w:val="0"/>
          <w:marRight w:val="0"/>
          <w:marTop w:val="0"/>
          <w:marBottom w:val="0"/>
          <w:divBdr>
            <w:top w:val="none" w:sz="0" w:space="0" w:color="auto"/>
            <w:left w:val="none" w:sz="0" w:space="0" w:color="auto"/>
            <w:bottom w:val="none" w:sz="0" w:space="0" w:color="auto"/>
            <w:right w:val="none" w:sz="0" w:space="0" w:color="auto"/>
          </w:divBdr>
        </w:div>
        <w:div w:id="82261754">
          <w:marLeft w:val="0"/>
          <w:marRight w:val="0"/>
          <w:marTop w:val="0"/>
          <w:marBottom w:val="0"/>
          <w:divBdr>
            <w:top w:val="none" w:sz="0" w:space="0" w:color="auto"/>
            <w:left w:val="none" w:sz="0" w:space="0" w:color="auto"/>
            <w:bottom w:val="none" w:sz="0" w:space="0" w:color="auto"/>
            <w:right w:val="none" w:sz="0" w:space="0" w:color="auto"/>
          </w:divBdr>
        </w:div>
        <w:div w:id="716709550">
          <w:marLeft w:val="0"/>
          <w:marRight w:val="0"/>
          <w:marTop w:val="0"/>
          <w:marBottom w:val="0"/>
          <w:divBdr>
            <w:top w:val="none" w:sz="0" w:space="0" w:color="auto"/>
            <w:left w:val="none" w:sz="0" w:space="0" w:color="auto"/>
            <w:bottom w:val="none" w:sz="0" w:space="0" w:color="auto"/>
            <w:right w:val="none" w:sz="0" w:space="0" w:color="auto"/>
          </w:divBdr>
        </w:div>
        <w:div w:id="79833292">
          <w:marLeft w:val="0"/>
          <w:marRight w:val="0"/>
          <w:marTop w:val="0"/>
          <w:marBottom w:val="0"/>
          <w:divBdr>
            <w:top w:val="none" w:sz="0" w:space="0" w:color="auto"/>
            <w:left w:val="none" w:sz="0" w:space="0" w:color="auto"/>
            <w:bottom w:val="none" w:sz="0" w:space="0" w:color="auto"/>
            <w:right w:val="none" w:sz="0" w:space="0" w:color="auto"/>
          </w:divBdr>
        </w:div>
        <w:div w:id="899025898">
          <w:marLeft w:val="0"/>
          <w:marRight w:val="0"/>
          <w:marTop w:val="0"/>
          <w:marBottom w:val="0"/>
          <w:divBdr>
            <w:top w:val="none" w:sz="0" w:space="0" w:color="auto"/>
            <w:left w:val="none" w:sz="0" w:space="0" w:color="auto"/>
            <w:bottom w:val="none" w:sz="0" w:space="0" w:color="auto"/>
            <w:right w:val="none" w:sz="0" w:space="0" w:color="auto"/>
          </w:divBdr>
        </w:div>
        <w:div w:id="772671985">
          <w:marLeft w:val="0"/>
          <w:marRight w:val="0"/>
          <w:marTop w:val="0"/>
          <w:marBottom w:val="0"/>
          <w:divBdr>
            <w:top w:val="none" w:sz="0" w:space="0" w:color="auto"/>
            <w:left w:val="none" w:sz="0" w:space="0" w:color="auto"/>
            <w:bottom w:val="none" w:sz="0" w:space="0" w:color="auto"/>
            <w:right w:val="none" w:sz="0" w:space="0" w:color="auto"/>
          </w:divBdr>
        </w:div>
      </w:divsChild>
    </w:div>
    <w:div w:id="1561942551">
      <w:bodyDiv w:val="1"/>
      <w:marLeft w:val="0"/>
      <w:marRight w:val="0"/>
      <w:marTop w:val="0"/>
      <w:marBottom w:val="0"/>
      <w:divBdr>
        <w:top w:val="none" w:sz="0" w:space="0" w:color="auto"/>
        <w:left w:val="none" w:sz="0" w:space="0" w:color="auto"/>
        <w:bottom w:val="none" w:sz="0" w:space="0" w:color="auto"/>
        <w:right w:val="none" w:sz="0" w:space="0" w:color="auto"/>
      </w:divBdr>
      <w:divsChild>
        <w:div w:id="1521696344">
          <w:marLeft w:val="0"/>
          <w:marRight w:val="0"/>
          <w:marTop w:val="0"/>
          <w:marBottom w:val="0"/>
          <w:divBdr>
            <w:top w:val="none" w:sz="0" w:space="0" w:color="auto"/>
            <w:left w:val="none" w:sz="0" w:space="0" w:color="auto"/>
            <w:bottom w:val="none" w:sz="0" w:space="0" w:color="auto"/>
            <w:right w:val="none" w:sz="0" w:space="0" w:color="auto"/>
          </w:divBdr>
          <w:divsChild>
            <w:div w:id="1723020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0138619">
      <w:bodyDiv w:val="1"/>
      <w:marLeft w:val="0"/>
      <w:marRight w:val="0"/>
      <w:marTop w:val="0"/>
      <w:marBottom w:val="0"/>
      <w:divBdr>
        <w:top w:val="none" w:sz="0" w:space="0" w:color="auto"/>
        <w:left w:val="none" w:sz="0" w:space="0" w:color="auto"/>
        <w:bottom w:val="none" w:sz="0" w:space="0" w:color="auto"/>
        <w:right w:val="none" w:sz="0" w:space="0" w:color="auto"/>
      </w:divBdr>
    </w:div>
    <w:div w:id="1585412181">
      <w:bodyDiv w:val="1"/>
      <w:marLeft w:val="0"/>
      <w:marRight w:val="0"/>
      <w:marTop w:val="0"/>
      <w:marBottom w:val="0"/>
      <w:divBdr>
        <w:top w:val="none" w:sz="0" w:space="0" w:color="auto"/>
        <w:left w:val="none" w:sz="0" w:space="0" w:color="auto"/>
        <w:bottom w:val="none" w:sz="0" w:space="0" w:color="auto"/>
        <w:right w:val="none" w:sz="0" w:space="0" w:color="auto"/>
      </w:divBdr>
      <w:divsChild>
        <w:div w:id="1859197930">
          <w:marLeft w:val="0"/>
          <w:marRight w:val="0"/>
          <w:marTop w:val="0"/>
          <w:marBottom w:val="0"/>
          <w:divBdr>
            <w:top w:val="none" w:sz="0" w:space="0" w:color="auto"/>
            <w:left w:val="none" w:sz="0" w:space="0" w:color="auto"/>
            <w:bottom w:val="none" w:sz="0" w:space="0" w:color="auto"/>
            <w:right w:val="none" w:sz="0" w:space="0" w:color="auto"/>
          </w:divBdr>
        </w:div>
        <w:div w:id="1562255467">
          <w:marLeft w:val="0"/>
          <w:marRight w:val="0"/>
          <w:marTop w:val="0"/>
          <w:marBottom w:val="0"/>
          <w:divBdr>
            <w:top w:val="none" w:sz="0" w:space="0" w:color="auto"/>
            <w:left w:val="none" w:sz="0" w:space="0" w:color="auto"/>
            <w:bottom w:val="none" w:sz="0" w:space="0" w:color="auto"/>
            <w:right w:val="none" w:sz="0" w:space="0" w:color="auto"/>
          </w:divBdr>
        </w:div>
        <w:div w:id="2021078482">
          <w:marLeft w:val="0"/>
          <w:marRight w:val="0"/>
          <w:marTop w:val="0"/>
          <w:marBottom w:val="0"/>
          <w:divBdr>
            <w:top w:val="none" w:sz="0" w:space="0" w:color="auto"/>
            <w:left w:val="none" w:sz="0" w:space="0" w:color="auto"/>
            <w:bottom w:val="none" w:sz="0" w:space="0" w:color="auto"/>
            <w:right w:val="none" w:sz="0" w:space="0" w:color="auto"/>
          </w:divBdr>
          <w:divsChild>
            <w:div w:id="305475457">
              <w:marLeft w:val="0"/>
              <w:marRight w:val="0"/>
              <w:marTop w:val="0"/>
              <w:marBottom w:val="0"/>
              <w:divBdr>
                <w:top w:val="none" w:sz="0" w:space="0" w:color="auto"/>
                <w:left w:val="none" w:sz="0" w:space="0" w:color="auto"/>
                <w:bottom w:val="none" w:sz="0" w:space="0" w:color="auto"/>
                <w:right w:val="none" w:sz="0" w:space="0" w:color="auto"/>
              </w:divBdr>
              <w:divsChild>
                <w:div w:id="1871145682">
                  <w:marLeft w:val="0"/>
                  <w:marRight w:val="0"/>
                  <w:marTop w:val="0"/>
                  <w:marBottom w:val="0"/>
                  <w:divBdr>
                    <w:top w:val="none" w:sz="0" w:space="0" w:color="auto"/>
                    <w:left w:val="none" w:sz="0" w:space="0" w:color="auto"/>
                    <w:bottom w:val="none" w:sz="0" w:space="0" w:color="auto"/>
                    <w:right w:val="none" w:sz="0" w:space="0" w:color="auto"/>
                  </w:divBdr>
                  <w:divsChild>
                    <w:div w:id="306210312">
                      <w:marLeft w:val="0"/>
                      <w:marRight w:val="0"/>
                      <w:marTop w:val="0"/>
                      <w:marBottom w:val="0"/>
                      <w:divBdr>
                        <w:top w:val="none" w:sz="0" w:space="0" w:color="auto"/>
                        <w:left w:val="none" w:sz="0" w:space="0" w:color="auto"/>
                        <w:bottom w:val="none" w:sz="0" w:space="0" w:color="auto"/>
                        <w:right w:val="none" w:sz="0" w:space="0" w:color="auto"/>
                      </w:divBdr>
                      <w:divsChild>
                        <w:div w:id="1043873343">
                          <w:marLeft w:val="0"/>
                          <w:marRight w:val="0"/>
                          <w:marTop w:val="0"/>
                          <w:marBottom w:val="0"/>
                          <w:divBdr>
                            <w:top w:val="none" w:sz="0" w:space="0" w:color="auto"/>
                            <w:left w:val="none" w:sz="0" w:space="0" w:color="auto"/>
                            <w:bottom w:val="none" w:sz="0" w:space="0" w:color="auto"/>
                            <w:right w:val="none" w:sz="0" w:space="0" w:color="auto"/>
                          </w:divBdr>
                        </w:div>
                      </w:divsChild>
                    </w:div>
                    <w:div w:id="1803844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8974217">
          <w:marLeft w:val="0"/>
          <w:marRight w:val="0"/>
          <w:marTop w:val="0"/>
          <w:marBottom w:val="0"/>
          <w:divBdr>
            <w:top w:val="none" w:sz="0" w:space="0" w:color="auto"/>
            <w:left w:val="none" w:sz="0" w:space="0" w:color="auto"/>
            <w:bottom w:val="none" w:sz="0" w:space="0" w:color="auto"/>
            <w:right w:val="none" w:sz="0" w:space="0" w:color="auto"/>
          </w:divBdr>
        </w:div>
        <w:div w:id="1599869233">
          <w:marLeft w:val="0"/>
          <w:marRight w:val="0"/>
          <w:marTop w:val="0"/>
          <w:marBottom w:val="0"/>
          <w:divBdr>
            <w:top w:val="none" w:sz="0" w:space="0" w:color="auto"/>
            <w:left w:val="none" w:sz="0" w:space="0" w:color="auto"/>
            <w:bottom w:val="none" w:sz="0" w:space="0" w:color="auto"/>
            <w:right w:val="none" w:sz="0" w:space="0" w:color="auto"/>
          </w:divBdr>
        </w:div>
        <w:div w:id="2126806397">
          <w:marLeft w:val="0"/>
          <w:marRight w:val="0"/>
          <w:marTop w:val="0"/>
          <w:marBottom w:val="0"/>
          <w:divBdr>
            <w:top w:val="none" w:sz="0" w:space="0" w:color="auto"/>
            <w:left w:val="none" w:sz="0" w:space="0" w:color="auto"/>
            <w:bottom w:val="none" w:sz="0" w:space="0" w:color="auto"/>
            <w:right w:val="none" w:sz="0" w:space="0" w:color="auto"/>
          </w:divBdr>
        </w:div>
        <w:div w:id="212156053">
          <w:marLeft w:val="0"/>
          <w:marRight w:val="0"/>
          <w:marTop w:val="0"/>
          <w:marBottom w:val="0"/>
          <w:divBdr>
            <w:top w:val="none" w:sz="0" w:space="0" w:color="auto"/>
            <w:left w:val="none" w:sz="0" w:space="0" w:color="auto"/>
            <w:bottom w:val="none" w:sz="0" w:space="0" w:color="auto"/>
            <w:right w:val="none" w:sz="0" w:space="0" w:color="auto"/>
          </w:divBdr>
          <w:divsChild>
            <w:div w:id="1250119692">
              <w:marLeft w:val="0"/>
              <w:marRight w:val="0"/>
              <w:marTop w:val="0"/>
              <w:marBottom w:val="0"/>
              <w:divBdr>
                <w:top w:val="none" w:sz="0" w:space="0" w:color="auto"/>
                <w:left w:val="none" w:sz="0" w:space="0" w:color="auto"/>
                <w:bottom w:val="none" w:sz="0" w:space="0" w:color="auto"/>
                <w:right w:val="none" w:sz="0" w:space="0" w:color="auto"/>
              </w:divBdr>
            </w:div>
            <w:div w:id="209539128">
              <w:marLeft w:val="0"/>
              <w:marRight w:val="0"/>
              <w:marTop w:val="0"/>
              <w:marBottom w:val="0"/>
              <w:divBdr>
                <w:top w:val="none" w:sz="0" w:space="0" w:color="auto"/>
                <w:left w:val="none" w:sz="0" w:space="0" w:color="auto"/>
                <w:bottom w:val="none" w:sz="0" w:space="0" w:color="auto"/>
                <w:right w:val="none" w:sz="0" w:space="0" w:color="auto"/>
              </w:divBdr>
            </w:div>
          </w:divsChild>
        </w:div>
        <w:div w:id="765270902">
          <w:marLeft w:val="0"/>
          <w:marRight w:val="0"/>
          <w:marTop w:val="0"/>
          <w:marBottom w:val="0"/>
          <w:divBdr>
            <w:top w:val="none" w:sz="0" w:space="0" w:color="auto"/>
            <w:left w:val="none" w:sz="0" w:space="0" w:color="auto"/>
            <w:bottom w:val="none" w:sz="0" w:space="0" w:color="auto"/>
            <w:right w:val="none" w:sz="0" w:space="0" w:color="auto"/>
          </w:divBdr>
        </w:div>
        <w:div w:id="357387818">
          <w:marLeft w:val="0"/>
          <w:marRight w:val="0"/>
          <w:marTop w:val="0"/>
          <w:marBottom w:val="0"/>
          <w:divBdr>
            <w:top w:val="none" w:sz="0" w:space="0" w:color="auto"/>
            <w:left w:val="none" w:sz="0" w:space="0" w:color="auto"/>
            <w:bottom w:val="none" w:sz="0" w:space="0" w:color="auto"/>
            <w:right w:val="none" w:sz="0" w:space="0" w:color="auto"/>
          </w:divBdr>
          <w:divsChild>
            <w:div w:id="912665238">
              <w:marLeft w:val="0"/>
              <w:marRight w:val="0"/>
              <w:marTop w:val="0"/>
              <w:marBottom w:val="0"/>
              <w:divBdr>
                <w:top w:val="none" w:sz="0" w:space="0" w:color="auto"/>
                <w:left w:val="none" w:sz="0" w:space="0" w:color="auto"/>
                <w:bottom w:val="none" w:sz="0" w:space="0" w:color="auto"/>
                <w:right w:val="none" w:sz="0" w:space="0" w:color="auto"/>
              </w:divBdr>
              <w:divsChild>
                <w:div w:id="125704192">
                  <w:marLeft w:val="0"/>
                  <w:marRight w:val="0"/>
                  <w:marTop w:val="0"/>
                  <w:marBottom w:val="0"/>
                  <w:divBdr>
                    <w:top w:val="single" w:sz="6" w:space="0" w:color="CCCCCC"/>
                    <w:left w:val="single" w:sz="6" w:space="0" w:color="CCCCCC"/>
                    <w:bottom w:val="single" w:sz="6" w:space="0" w:color="CCCCCC"/>
                    <w:right w:val="single" w:sz="6" w:space="0" w:color="CCCCCC"/>
                  </w:divBdr>
                  <w:divsChild>
                    <w:div w:id="385109845">
                      <w:marLeft w:val="0"/>
                      <w:marRight w:val="0"/>
                      <w:marTop w:val="0"/>
                      <w:marBottom w:val="0"/>
                      <w:divBdr>
                        <w:top w:val="none" w:sz="0" w:space="0" w:color="auto"/>
                        <w:left w:val="none" w:sz="0" w:space="0" w:color="auto"/>
                        <w:bottom w:val="none" w:sz="0" w:space="0" w:color="auto"/>
                        <w:right w:val="none" w:sz="0" w:space="0" w:color="auto"/>
                      </w:divBdr>
                      <w:divsChild>
                        <w:div w:id="152573574">
                          <w:marLeft w:val="0"/>
                          <w:marRight w:val="0"/>
                          <w:marTop w:val="0"/>
                          <w:marBottom w:val="0"/>
                          <w:divBdr>
                            <w:top w:val="none" w:sz="0" w:space="0" w:color="auto"/>
                            <w:left w:val="none" w:sz="0" w:space="0" w:color="auto"/>
                            <w:bottom w:val="none" w:sz="0" w:space="0" w:color="auto"/>
                            <w:right w:val="none" w:sz="0" w:space="0" w:color="auto"/>
                          </w:divBdr>
                        </w:div>
                      </w:divsChild>
                    </w:div>
                    <w:div w:id="230389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8059877">
              <w:marLeft w:val="0"/>
              <w:marRight w:val="0"/>
              <w:marTop w:val="0"/>
              <w:marBottom w:val="0"/>
              <w:divBdr>
                <w:top w:val="none" w:sz="0" w:space="0" w:color="auto"/>
                <w:left w:val="none" w:sz="0" w:space="0" w:color="auto"/>
                <w:bottom w:val="none" w:sz="0" w:space="0" w:color="auto"/>
                <w:right w:val="none" w:sz="0" w:space="0" w:color="auto"/>
              </w:divBdr>
            </w:div>
          </w:divsChild>
        </w:div>
        <w:div w:id="420181110">
          <w:marLeft w:val="0"/>
          <w:marRight w:val="0"/>
          <w:marTop w:val="0"/>
          <w:marBottom w:val="0"/>
          <w:divBdr>
            <w:top w:val="none" w:sz="0" w:space="0" w:color="auto"/>
            <w:left w:val="none" w:sz="0" w:space="0" w:color="auto"/>
            <w:bottom w:val="none" w:sz="0" w:space="0" w:color="auto"/>
            <w:right w:val="none" w:sz="0" w:space="0" w:color="auto"/>
          </w:divBdr>
          <w:divsChild>
            <w:div w:id="1239749891">
              <w:marLeft w:val="0"/>
              <w:marRight w:val="0"/>
              <w:marTop w:val="0"/>
              <w:marBottom w:val="0"/>
              <w:divBdr>
                <w:top w:val="single" w:sz="6" w:space="0" w:color="CCCCCC"/>
                <w:left w:val="single" w:sz="6" w:space="0" w:color="CCCCCC"/>
                <w:bottom w:val="single" w:sz="6" w:space="0" w:color="CCCCCC"/>
                <w:right w:val="single" w:sz="6" w:space="0" w:color="CCCCCC"/>
              </w:divBdr>
              <w:divsChild>
                <w:div w:id="2095198233">
                  <w:marLeft w:val="0"/>
                  <w:marRight w:val="0"/>
                  <w:marTop w:val="0"/>
                  <w:marBottom w:val="0"/>
                  <w:divBdr>
                    <w:top w:val="none" w:sz="0" w:space="0" w:color="auto"/>
                    <w:left w:val="none" w:sz="0" w:space="0" w:color="auto"/>
                    <w:bottom w:val="none" w:sz="0" w:space="0" w:color="auto"/>
                    <w:right w:val="none" w:sz="0" w:space="0" w:color="auto"/>
                  </w:divBdr>
                  <w:divsChild>
                    <w:div w:id="1021055818">
                      <w:marLeft w:val="0"/>
                      <w:marRight w:val="0"/>
                      <w:marTop w:val="0"/>
                      <w:marBottom w:val="0"/>
                      <w:divBdr>
                        <w:top w:val="none" w:sz="0" w:space="0" w:color="auto"/>
                        <w:left w:val="none" w:sz="0" w:space="0" w:color="auto"/>
                        <w:bottom w:val="none" w:sz="0" w:space="0" w:color="auto"/>
                        <w:right w:val="none" w:sz="0" w:space="0" w:color="auto"/>
                      </w:divBdr>
                    </w:div>
                  </w:divsChild>
                </w:div>
                <w:div w:id="1358310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3665548">
          <w:marLeft w:val="0"/>
          <w:marRight w:val="0"/>
          <w:marTop w:val="0"/>
          <w:marBottom w:val="0"/>
          <w:divBdr>
            <w:top w:val="none" w:sz="0" w:space="0" w:color="auto"/>
            <w:left w:val="none" w:sz="0" w:space="0" w:color="auto"/>
            <w:bottom w:val="none" w:sz="0" w:space="0" w:color="auto"/>
            <w:right w:val="none" w:sz="0" w:space="0" w:color="auto"/>
          </w:divBdr>
        </w:div>
        <w:div w:id="467892446">
          <w:marLeft w:val="0"/>
          <w:marRight w:val="0"/>
          <w:marTop w:val="0"/>
          <w:marBottom w:val="0"/>
          <w:divBdr>
            <w:top w:val="none" w:sz="0" w:space="0" w:color="auto"/>
            <w:left w:val="none" w:sz="0" w:space="0" w:color="auto"/>
            <w:bottom w:val="none" w:sz="0" w:space="0" w:color="auto"/>
            <w:right w:val="none" w:sz="0" w:space="0" w:color="auto"/>
          </w:divBdr>
        </w:div>
        <w:div w:id="198010677">
          <w:marLeft w:val="0"/>
          <w:marRight w:val="0"/>
          <w:marTop w:val="0"/>
          <w:marBottom w:val="0"/>
          <w:divBdr>
            <w:top w:val="none" w:sz="0" w:space="0" w:color="auto"/>
            <w:left w:val="none" w:sz="0" w:space="0" w:color="auto"/>
            <w:bottom w:val="none" w:sz="0" w:space="0" w:color="auto"/>
            <w:right w:val="none" w:sz="0" w:space="0" w:color="auto"/>
          </w:divBdr>
          <w:divsChild>
            <w:div w:id="2019649387">
              <w:marLeft w:val="0"/>
              <w:marRight w:val="0"/>
              <w:marTop w:val="0"/>
              <w:marBottom w:val="0"/>
              <w:divBdr>
                <w:top w:val="none" w:sz="0" w:space="0" w:color="auto"/>
                <w:left w:val="none" w:sz="0" w:space="0" w:color="auto"/>
                <w:bottom w:val="none" w:sz="0" w:space="0" w:color="auto"/>
                <w:right w:val="none" w:sz="0" w:space="0" w:color="auto"/>
              </w:divBdr>
              <w:divsChild>
                <w:div w:id="1685814677">
                  <w:marLeft w:val="0"/>
                  <w:marRight w:val="0"/>
                  <w:marTop w:val="0"/>
                  <w:marBottom w:val="0"/>
                  <w:divBdr>
                    <w:top w:val="none" w:sz="0" w:space="0" w:color="auto"/>
                    <w:left w:val="none" w:sz="0" w:space="0" w:color="auto"/>
                    <w:bottom w:val="none" w:sz="0" w:space="0" w:color="auto"/>
                    <w:right w:val="none" w:sz="0" w:space="0" w:color="auto"/>
                  </w:divBdr>
                  <w:divsChild>
                    <w:div w:id="428624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7303852">
      <w:bodyDiv w:val="1"/>
      <w:marLeft w:val="0"/>
      <w:marRight w:val="0"/>
      <w:marTop w:val="0"/>
      <w:marBottom w:val="0"/>
      <w:divBdr>
        <w:top w:val="none" w:sz="0" w:space="0" w:color="auto"/>
        <w:left w:val="none" w:sz="0" w:space="0" w:color="auto"/>
        <w:bottom w:val="none" w:sz="0" w:space="0" w:color="auto"/>
        <w:right w:val="none" w:sz="0" w:space="0" w:color="auto"/>
      </w:divBdr>
      <w:divsChild>
        <w:div w:id="643629400">
          <w:marLeft w:val="0"/>
          <w:marRight w:val="0"/>
          <w:marTop w:val="0"/>
          <w:marBottom w:val="0"/>
          <w:divBdr>
            <w:top w:val="none" w:sz="0" w:space="0" w:color="auto"/>
            <w:left w:val="none" w:sz="0" w:space="0" w:color="auto"/>
            <w:bottom w:val="none" w:sz="0" w:space="0" w:color="auto"/>
            <w:right w:val="none" w:sz="0" w:space="0" w:color="auto"/>
          </w:divBdr>
          <w:divsChild>
            <w:div w:id="1129517620">
              <w:marLeft w:val="0"/>
              <w:marRight w:val="0"/>
              <w:marTop w:val="0"/>
              <w:marBottom w:val="0"/>
              <w:divBdr>
                <w:top w:val="none" w:sz="0" w:space="0" w:color="auto"/>
                <w:left w:val="none" w:sz="0" w:space="0" w:color="auto"/>
                <w:bottom w:val="none" w:sz="0" w:space="0" w:color="auto"/>
                <w:right w:val="none" w:sz="0" w:space="0" w:color="auto"/>
              </w:divBdr>
              <w:divsChild>
                <w:div w:id="1569266538">
                  <w:marLeft w:val="0"/>
                  <w:marRight w:val="0"/>
                  <w:marTop w:val="0"/>
                  <w:marBottom w:val="225"/>
                  <w:divBdr>
                    <w:top w:val="none" w:sz="0" w:space="0" w:color="auto"/>
                    <w:left w:val="none" w:sz="0" w:space="0" w:color="auto"/>
                    <w:bottom w:val="none" w:sz="0" w:space="0" w:color="auto"/>
                    <w:right w:val="none" w:sz="0" w:space="0" w:color="auto"/>
                  </w:divBdr>
                  <w:divsChild>
                    <w:div w:id="722867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3311276">
              <w:marLeft w:val="0"/>
              <w:marRight w:val="0"/>
              <w:marTop w:val="0"/>
              <w:marBottom w:val="225"/>
              <w:divBdr>
                <w:top w:val="none" w:sz="0" w:space="0" w:color="auto"/>
                <w:left w:val="none" w:sz="0" w:space="0" w:color="auto"/>
                <w:bottom w:val="none" w:sz="0" w:space="0" w:color="auto"/>
                <w:right w:val="none" w:sz="0" w:space="0" w:color="auto"/>
              </w:divBdr>
              <w:divsChild>
                <w:div w:id="863980687">
                  <w:marLeft w:val="0"/>
                  <w:marRight w:val="0"/>
                  <w:marTop w:val="0"/>
                  <w:marBottom w:val="0"/>
                  <w:divBdr>
                    <w:top w:val="none" w:sz="0" w:space="0" w:color="auto"/>
                    <w:left w:val="none" w:sz="0" w:space="0" w:color="auto"/>
                    <w:bottom w:val="single" w:sz="6" w:space="0" w:color="EEEEEE"/>
                    <w:right w:val="none" w:sz="0" w:space="0" w:color="auto"/>
                  </w:divBdr>
                </w:div>
              </w:divsChild>
            </w:div>
          </w:divsChild>
        </w:div>
        <w:div w:id="477692997">
          <w:marLeft w:val="0"/>
          <w:marRight w:val="0"/>
          <w:marTop w:val="0"/>
          <w:marBottom w:val="225"/>
          <w:divBdr>
            <w:top w:val="none" w:sz="0" w:space="0" w:color="auto"/>
            <w:left w:val="none" w:sz="0" w:space="0" w:color="auto"/>
            <w:bottom w:val="none" w:sz="0" w:space="0" w:color="auto"/>
            <w:right w:val="none" w:sz="0" w:space="0" w:color="auto"/>
          </w:divBdr>
          <w:divsChild>
            <w:div w:id="1842046277">
              <w:marLeft w:val="0"/>
              <w:marRight w:val="0"/>
              <w:marTop w:val="0"/>
              <w:marBottom w:val="0"/>
              <w:divBdr>
                <w:top w:val="none" w:sz="0" w:space="0" w:color="auto"/>
                <w:left w:val="none" w:sz="0" w:space="0" w:color="auto"/>
                <w:bottom w:val="none" w:sz="0" w:space="0" w:color="auto"/>
                <w:right w:val="none" w:sz="0" w:space="0" w:color="auto"/>
              </w:divBdr>
              <w:divsChild>
                <w:div w:id="3367956">
                  <w:marLeft w:val="0"/>
                  <w:marRight w:val="0"/>
                  <w:marTop w:val="0"/>
                  <w:marBottom w:val="0"/>
                  <w:divBdr>
                    <w:top w:val="none" w:sz="0" w:space="0" w:color="auto"/>
                    <w:left w:val="none" w:sz="0" w:space="0" w:color="auto"/>
                    <w:bottom w:val="none" w:sz="0" w:space="0" w:color="auto"/>
                    <w:right w:val="none" w:sz="0" w:space="0" w:color="auto"/>
                  </w:divBdr>
                  <w:divsChild>
                    <w:div w:id="1182860855">
                      <w:marLeft w:val="0"/>
                      <w:marRight w:val="0"/>
                      <w:marTop w:val="0"/>
                      <w:marBottom w:val="0"/>
                      <w:divBdr>
                        <w:top w:val="none" w:sz="0" w:space="0" w:color="auto"/>
                        <w:left w:val="none" w:sz="0" w:space="0" w:color="auto"/>
                        <w:bottom w:val="none" w:sz="0" w:space="0" w:color="auto"/>
                        <w:right w:val="none" w:sz="0" w:space="0" w:color="auto"/>
                      </w:divBdr>
                      <w:divsChild>
                        <w:div w:id="537089441">
                          <w:marLeft w:val="0"/>
                          <w:marRight w:val="0"/>
                          <w:marTop w:val="0"/>
                          <w:marBottom w:val="0"/>
                          <w:divBdr>
                            <w:top w:val="none" w:sz="0" w:space="0" w:color="auto"/>
                            <w:left w:val="none" w:sz="0" w:space="0" w:color="auto"/>
                            <w:bottom w:val="none" w:sz="0" w:space="0" w:color="auto"/>
                            <w:right w:val="none" w:sz="0" w:space="0" w:color="auto"/>
                          </w:divBdr>
                          <w:divsChild>
                            <w:div w:id="1452748113">
                              <w:marLeft w:val="0"/>
                              <w:marRight w:val="0"/>
                              <w:marTop w:val="0"/>
                              <w:marBottom w:val="0"/>
                              <w:divBdr>
                                <w:top w:val="none" w:sz="0" w:space="0" w:color="auto"/>
                                <w:left w:val="none" w:sz="0" w:space="0" w:color="auto"/>
                                <w:bottom w:val="none" w:sz="0" w:space="0" w:color="auto"/>
                                <w:right w:val="none" w:sz="0" w:space="0" w:color="auto"/>
                              </w:divBdr>
                              <w:divsChild>
                                <w:div w:id="1975943103">
                                  <w:marLeft w:val="0"/>
                                  <w:marRight w:val="0"/>
                                  <w:marTop w:val="0"/>
                                  <w:marBottom w:val="0"/>
                                  <w:divBdr>
                                    <w:top w:val="none" w:sz="0" w:space="0" w:color="auto"/>
                                    <w:left w:val="none" w:sz="0" w:space="0" w:color="auto"/>
                                    <w:bottom w:val="none" w:sz="0" w:space="0" w:color="auto"/>
                                    <w:right w:val="none" w:sz="0" w:space="0" w:color="auto"/>
                                  </w:divBdr>
                                  <w:divsChild>
                                    <w:div w:id="1422483219">
                                      <w:marLeft w:val="-3150"/>
                                      <w:marRight w:val="0"/>
                                      <w:marTop w:val="0"/>
                                      <w:marBottom w:val="0"/>
                                      <w:divBdr>
                                        <w:top w:val="none" w:sz="0" w:space="0" w:color="auto"/>
                                        <w:left w:val="none" w:sz="0" w:space="0" w:color="auto"/>
                                        <w:bottom w:val="none" w:sz="0" w:space="0" w:color="auto"/>
                                        <w:right w:val="none" w:sz="0" w:space="0" w:color="auto"/>
                                      </w:divBdr>
                                      <w:divsChild>
                                        <w:div w:id="911428088">
                                          <w:marLeft w:val="0"/>
                                          <w:marRight w:val="0"/>
                                          <w:marTop w:val="0"/>
                                          <w:marBottom w:val="240"/>
                                          <w:divBdr>
                                            <w:top w:val="none" w:sz="0" w:space="0" w:color="auto"/>
                                            <w:left w:val="none" w:sz="0" w:space="0" w:color="auto"/>
                                            <w:bottom w:val="none" w:sz="0" w:space="0" w:color="auto"/>
                                            <w:right w:val="none" w:sz="0" w:space="0" w:color="auto"/>
                                          </w:divBdr>
                                          <w:divsChild>
                                            <w:div w:id="803231373">
                                              <w:marLeft w:val="0"/>
                                              <w:marRight w:val="0"/>
                                              <w:marTop w:val="0"/>
                                              <w:marBottom w:val="0"/>
                                              <w:divBdr>
                                                <w:top w:val="none" w:sz="0" w:space="0" w:color="auto"/>
                                                <w:left w:val="none" w:sz="0" w:space="0" w:color="auto"/>
                                                <w:bottom w:val="none" w:sz="0" w:space="0" w:color="auto"/>
                                                <w:right w:val="none" w:sz="0" w:space="0" w:color="auto"/>
                                              </w:divBdr>
                                              <w:divsChild>
                                                <w:div w:id="1755123961">
                                                  <w:marLeft w:val="0"/>
                                                  <w:marRight w:val="0"/>
                                                  <w:marTop w:val="0"/>
                                                  <w:marBottom w:val="0"/>
                                                  <w:divBdr>
                                                    <w:top w:val="none" w:sz="0" w:space="0" w:color="auto"/>
                                                    <w:left w:val="none" w:sz="0" w:space="0" w:color="auto"/>
                                                    <w:bottom w:val="none" w:sz="0" w:space="0" w:color="auto"/>
                                                    <w:right w:val="none" w:sz="0" w:space="0" w:color="auto"/>
                                                  </w:divBdr>
                                                  <w:divsChild>
                                                    <w:div w:id="1463957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6590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9738361">
                                      <w:marLeft w:val="0"/>
                                      <w:marRight w:val="0"/>
                                      <w:marTop w:val="0"/>
                                      <w:marBottom w:val="0"/>
                                      <w:divBdr>
                                        <w:top w:val="none" w:sz="0" w:space="0" w:color="auto"/>
                                        <w:left w:val="none" w:sz="0" w:space="0" w:color="auto"/>
                                        <w:bottom w:val="none" w:sz="0" w:space="0" w:color="auto"/>
                                        <w:right w:val="none" w:sz="0" w:space="0" w:color="auto"/>
                                      </w:divBdr>
                                      <w:divsChild>
                                        <w:div w:id="229080810">
                                          <w:marLeft w:val="0"/>
                                          <w:marRight w:val="0"/>
                                          <w:marTop w:val="0"/>
                                          <w:marBottom w:val="336"/>
                                          <w:divBdr>
                                            <w:top w:val="none" w:sz="0" w:space="0" w:color="auto"/>
                                            <w:left w:val="none" w:sz="0" w:space="0" w:color="auto"/>
                                            <w:bottom w:val="none" w:sz="0" w:space="0" w:color="auto"/>
                                            <w:right w:val="none" w:sz="0" w:space="0" w:color="auto"/>
                                          </w:divBdr>
                                          <w:divsChild>
                                            <w:div w:id="2006399740">
                                              <w:marLeft w:val="0"/>
                                              <w:marRight w:val="0"/>
                                              <w:marTop w:val="0"/>
                                              <w:marBottom w:val="0"/>
                                              <w:divBdr>
                                                <w:top w:val="none" w:sz="0" w:space="0" w:color="auto"/>
                                                <w:left w:val="none" w:sz="0" w:space="0" w:color="auto"/>
                                                <w:bottom w:val="none" w:sz="0" w:space="0" w:color="auto"/>
                                                <w:right w:val="none" w:sz="0" w:space="0" w:color="auto"/>
                                              </w:divBdr>
                                            </w:div>
                                            <w:div w:id="1731227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5360055">
                                      <w:marLeft w:val="0"/>
                                      <w:marRight w:val="0"/>
                                      <w:marTop w:val="0"/>
                                      <w:marBottom w:val="0"/>
                                      <w:divBdr>
                                        <w:top w:val="none" w:sz="0" w:space="0" w:color="auto"/>
                                        <w:left w:val="none" w:sz="0" w:space="0" w:color="auto"/>
                                        <w:bottom w:val="none" w:sz="0" w:space="0" w:color="auto"/>
                                        <w:right w:val="none" w:sz="0" w:space="0" w:color="auto"/>
                                      </w:divBdr>
                                      <w:divsChild>
                                        <w:div w:id="1577396352">
                                          <w:marLeft w:val="0"/>
                                          <w:marRight w:val="0"/>
                                          <w:marTop w:val="0"/>
                                          <w:marBottom w:val="240"/>
                                          <w:divBdr>
                                            <w:top w:val="none" w:sz="0" w:space="0" w:color="auto"/>
                                            <w:left w:val="none" w:sz="0" w:space="0" w:color="auto"/>
                                            <w:bottom w:val="single" w:sz="6" w:space="0" w:color="EEEEEE"/>
                                            <w:right w:val="none" w:sz="0" w:space="0" w:color="auto"/>
                                          </w:divBdr>
                                          <w:divsChild>
                                            <w:div w:id="2045249632">
                                              <w:marLeft w:val="0"/>
                                              <w:marRight w:val="0"/>
                                              <w:marTop w:val="0"/>
                                              <w:marBottom w:val="0"/>
                                              <w:divBdr>
                                                <w:top w:val="none" w:sz="0" w:space="0" w:color="auto"/>
                                                <w:left w:val="none" w:sz="0" w:space="0" w:color="auto"/>
                                                <w:bottom w:val="none" w:sz="0" w:space="0" w:color="auto"/>
                                                <w:right w:val="none" w:sz="0" w:space="0" w:color="auto"/>
                                              </w:divBdr>
                                              <w:divsChild>
                                                <w:div w:id="754058760">
                                                  <w:marLeft w:val="0"/>
                                                  <w:marRight w:val="0"/>
                                                  <w:marTop w:val="0"/>
                                                  <w:marBottom w:val="0"/>
                                                  <w:divBdr>
                                                    <w:top w:val="none" w:sz="0" w:space="0" w:color="auto"/>
                                                    <w:left w:val="none" w:sz="0" w:space="0" w:color="auto"/>
                                                    <w:bottom w:val="none" w:sz="0" w:space="0" w:color="auto"/>
                                                    <w:right w:val="none" w:sz="0" w:space="0" w:color="auto"/>
                                                  </w:divBdr>
                                                  <w:divsChild>
                                                    <w:div w:id="2005015108">
                                                      <w:marLeft w:val="0"/>
                                                      <w:marRight w:val="0"/>
                                                      <w:marTop w:val="0"/>
                                                      <w:marBottom w:val="0"/>
                                                      <w:divBdr>
                                                        <w:top w:val="none" w:sz="0" w:space="0" w:color="auto"/>
                                                        <w:left w:val="none" w:sz="0" w:space="0" w:color="auto"/>
                                                        <w:bottom w:val="none" w:sz="0" w:space="0" w:color="auto"/>
                                                        <w:right w:val="none" w:sz="0" w:space="0" w:color="auto"/>
                                                      </w:divBdr>
                                                    </w:div>
                                                    <w:div w:id="744452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72968401">
                                  <w:marLeft w:val="450"/>
                                  <w:marRight w:val="0"/>
                                  <w:marTop w:val="0"/>
                                  <w:marBottom w:val="0"/>
                                  <w:divBdr>
                                    <w:top w:val="none" w:sz="0" w:space="0" w:color="auto"/>
                                    <w:left w:val="none" w:sz="0" w:space="0" w:color="auto"/>
                                    <w:bottom w:val="none" w:sz="0" w:space="0" w:color="auto"/>
                                    <w:right w:val="none" w:sz="0" w:space="0" w:color="auto"/>
                                  </w:divBdr>
                                  <w:divsChild>
                                    <w:div w:id="1687946430">
                                      <w:marLeft w:val="0"/>
                                      <w:marRight w:val="0"/>
                                      <w:marTop w:val="0"/>
                                      <w:marBottom w:val="0"/>
                                      <w:divBdr>
                                        <w:top w:val="none" w:sz="0" w:space="0" w:color="auto"/>
                                        <w:left w:val="none" w:sz="0" w:space="0" w:color="auto"/>
                                        <w:bottom w:val="none" w:sz="0" w:space="0" w:color="auto"/>
                                        <w:right w:val="none" w:sz="0" w:space="0" w:color="auto"/>
                                      </w:divBdr>
                                      <w:divsChild>
                                        <w:div w:id="1218665154">
                                          <w:marLeft w:val="0"/>
                                          <w:marRight w:val="0"/>
                                          <w:marTop w:val="0"/>
                                          <w:marBottom w:val="360"/>
                                          <w:divBdr>
                                            <w:top w:val="none" w:sz="0" w:space="0" w:color="auto"/>
                                            <w:left w:val="none" w:sz="0" w:space="0" w:color="auto"/>
                                            <w:bottom w:val="none" w:sz="0" w:space="0" w:color="auto"/>
                                            <w:right w:val="none" w:sz="0" w:space="0" w:color="auto"/>
                                          </w:divBdr>
                                          <w:divsChild>
                                            <w:div w:id="628123883">
                                              <w:marLeft w:val="0"/>
                                              <w:marRight w:val="0"/>
                                              <w:marTop w:val="0"/>
                                              <w:marBottom w:val="0"/>
                                              <w:divBdr>
                                                <w:top w:val="none" w:sz="0" w:space="0" w:color="auto"/>
                                                <w:left w:val="none" w:sz="0" w:space="0" w:color="auto"/>
                                                <w:bottom w:val="none" w:sz="0" w:space="0" w:color="auto"/>
                                                <w:right w:val="none" w:sz="0" w:space="0" w:color="auto"/>
                                              </w:divBdr>
                                              <w:divsChild>
                                                <w:div w:id="1668361617">
                                                  <w:marLeft w:val="0"/>
                                                  <w:marRight w:val="360"/>
                                                  <w:marTop w:val="0"/>
                                                  <w:marBottom w:val="0"/>
                                                  <w:divBdr>
                                                    <w:top w:val="none" w:sz="0" w:space="0" w:color="auto"/>
                                                    <w:left w:val="none" w:sz="0" w:space="0" w:color="auto"/>
                                                    <w:bottom w:val="none" w:sz="0" w:space="0" w:color="auto"/>
                                                    <w:right w:val="none" w:sz="0" w:space="0" w:color="auto"/>
                                                  </w:divBdr>
                                                </w:div>
                                              </w:divsChild>
                                            </w:div>
                                            <w:div w:id="1970671739">
                                              <w:marLeft w:val="0"/>
                                              <w:marRight w:val="0"/>
                                              <w:marTop w:val="0"/>
                                              <w:marBottom w:val="0"/>
                                              <w:divBdr>
                                                <w:top w:val="none" w:sz="0" w:space="0" w:color="auto"/>
                                                <w:left w:val="none" w:sz="0" w:space="0" w:color="auto"/>
                                                <w:bottom w:val="none" w:sz="0" w:space="0" w:color="auto"/>
                                                <w:right w:val="none" w:sz="0" w:space="0" w:color="auto"/>
                                              </w:divBdr>
                                              <w:divsChild>
                                                <w:div w:id="1264993268">
                                                  <w:marLeft w:val="0"/>
                                                  <w:marRight w:val="0"/>
                                                  <w:marTop w:val="0"/>
                                                  <w:marBottom w:val="0"/>
                                                  <w:divBdr>
                                                    <w:top w:val="none" w:sz="0" w:space="0" w:color="auto"/>
                                                    <w:left w:val="none" w:sz="0" w:space="0" w:color="auto"/>
                                                    <w:bottom w:val="none" w:sz="0" w:space="0" w:color="auto"/>
                                                    <w:right w:val="none" w:sz="0" w:space="0" w:color="auto"/>
                                                  </w:divBdr>
                                                  <w:divsChild>
                                                    <w:div w:id="711229411">
                                                      <w:marLeft w:val="0"/>
                                                      <w:marRight w:val="0"/>
                                                      <w:marTop w:val="0"/>
                                                      <w:marBottom w:val="0"/>
                                                      <w:divBdr>
                                                        <w:top w:val="none" w:sz="0" w:space="0" w:color="auto"/>
                                                        <w:left w:val="none" w:sz="0" w:space="0" w:color="auto"/>
                                                        <w:bottom w:val="none" w:sz="0" w:space="0" w:color="auto"/>
                                                        <w:right w:val="none" w:sz="0" w:space="0" w:color="auto"/>
                                                      </w:divBdr>
                                                      <w:divsChild>
                                                        <w:div w:id="2071342525">
                                                          <w:marLeft w:val="0"/>
                                                          <w:marRight w:val="0"/>
                                                          <w:marTop w:val="0"/>
                                                          <w:marBottom w:val="0"/>
                                                          <w:divBdr>
                                                            <w:top w:val="none" w:sz="0" w:space="0" w:color="auto"/>
                                                            <w:left w:val="none" w:sz="0" w:space="0" w:color="auto"/>
                                                            <w:bottom w:val="none" w:sz="0" w:space="0" w:color="auto"/>
                                                            <w:right w:val="none" w:sz="0" w:space="0" w:color="auto"/>
                                                          </w:divBdr>
                                                          <w:divsChild>
                                                            <w:div w:id="271087080">
                                                              <w:marLeft w:val="0"/>
                                                              <w:marRight w:val="0"/>
                                                              <w:marTop w:val="0"/>
                                                              <w:marBottom w:val="0"/>
                                                              <w:divBdr>
                                                                <w:top w:val="none" w:sz="0" w:space="0" w:color="auto"/>
                                                                <w:left w:val="none" w:sz="0" w:space="0" w:color="auto"/>
                                                                <w:bottom w:val="none" w:sz="0" w:space="0" w:color="auto"/>
                                                                <w:right w:val="none" w:sz="0" w:space="0" w:color="auto"/>
                                                              </w:divBdr>
                                                            </w:div>
                                                          </w:divsChild>
                                                        </w:div>
                                                        <w:div w:id="1507358352">
                                                          <w:marLeft w:val="0"/>
                                                          <w:marRight w:val="0"/>
                                                          <w:marTop w:val="0"/>
                                                          <w:marBottom w:val="0"/>
                                                          <w:divBdr>
                                                            <w:top w:val="none" w:sz="0" w:space="0" w:color="auto"/>
                                                            <w:left w:val="none" w:sz="0" w:space="0" w:color="auto"/>
                                                            <w:bottom w:val="none" w:sz="0" w:space="0" w:color="auto"/>
                                                            <w:right w:val="none" w:sz="0" w:space="0" w:color="auto"/>
                                                          </w:divBdr>
                                                          <w:divsChild>
                                                            <w:div w:id="1888562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0509750">
                                                      <w:marLeft w:val="0"/>
                                                      <w:marRight w:val="0"/>
                                                      <w:marTop w:val="0"/>
                                                      <w:marBottom w:val="0"/>
                                                      <w:divBdr>
                                                        <w:top w:val="single" w:sz="6" w:space="12" w:color="EEEEEE"/>
                                                        <w:left w:val="none" w:sz="0" w:space="0" w:color="auto"/>
                                                        <w:bottom w:val="none" w:sz="0" w:space="0" w:color="auto"/>
                                                        <w:right w:val="none" w:sz="0" w:space="0" w:color="auto"/>
                                                      </w:divBdr>
                                                      <w:divsChild>
                                                        <w:div w:id="863439615">
                                                          <w:marLeft w:val="0"/>
                                                          <w:marRight w:val="0"/>
                                                          <w:marTop w:val="0"/>
                                                          <w:marBottom w:val="0"/>
                                                          <w:divBdr>
                                                            <w:top w:val="none" w:sz="0" w:space="0" w:color="auto"/>
                                                            <w:left w:val="none" w:sz="0" w:space="0" w:color="auto"/>
                                                            <w:bottom w:val="none" w:sz="0" w:space="0" w:color="auto"/>
                                                            <w:right w:val="none" w:sz="0" w:space="0" w:color="auto"/>
                                                          </w:divBdr>
                                                          <w:divsChild>
                                                            <w:div w:id="1622807708">
                                                              <w:marLeft w:val="0"/>
                                                              <w:marRight w:val="0"/>
                                                              <w:marTop w:val="0"/>
                                                              <w:marBottom w:val="0"/>
                                                              <w:divBdr>
                                                                <w:top w:val="none" w:sz="0" w:space="0" w:color="auto"/>
                                                                <w:left w:val="none" w:sz="0" w:space="0" w:color="auto"/>
                                                                <w:bottom w:val="none" w:sz="0" w:space="0" w:color="auto"/>
                                                                <w:right w:val="none" w:sz="0" w:space="0" w:color="auto"/>
                                                              </w:divBdr>
                                                            </w:div>
                                                          </w:divsChild>
                                                        </w:div>
                                                        <w:div w:id="552348069">
                                                          <w:marLeft w:val="0"/>
                                                          <w:marRight w:val="0"/>
                                                          <w:marTop w:val="0"/>
                                                          <w:marBottom w:val="0"/>
                                                          <w:divBdr>
                                                            <w:top w:val="none" w:sz="0" w:space="0" w:color="auto"/>
                                                            <w:left w:val="none" w:sz="0" w:space="0" w:color="auto"/>
                                                            <w:bottom w:val="none" w:sz="0" w:space="0" w:color="auto"/>
                                                            <w:right w:val="none" w:sz="0" w:space="0" w:color="auto"/>
                                                          </w:divBdr>
                                                          <w:divsChild>
                                                            <w:div w:id="147135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1616011">
                                                      <w:marLeft w:val="0"/>
                                                      <w:marRight w:val="0"/>
                                                      <w:marTop w:val="0"/>
                                                      <w:marBottom w:val="0"/>
                                                      <w:divBdr>
                                                        <w:top w:val="single" w:sz="6" w:space="12" w:color="EEEEEE"/>
                                                        <w:left w:val="none" w:sz="0" w:space="0" w:color="auto"/>
                                                        <w:bottom w:val="none" w:sz="0" w:space="0" w:color="auto"/>
                                                        <w:right w:val="none" w:sz="0" w:space="0" w:color="auto"/>
                                                      </w:divBdr>
                                                      <w:divsChild>
                                                        <w:div w:id="446463641">
                                                          <w:marLeft w:val="0"/>
                                                          <w:marRight w:val="0"/>
                                                          <w:marTop w:val="0"/>
                                                          <w:marBottom w:val="0"/>
                                                          <w:divBdr>
                                                            <w:top w:val="none" w:sz="0" w:space="0" w:color="auto"/>
                                                            <w:left w:val="none" w:sz="0" w:space="0" w:color="auto"/>
                                                            <w:bottom w:val="none" w:sz="0" w:space="0" w:color="auto"/>
                                                            <w:right w:val="none" w:sz="0" w:space="0" w:color="auto"/>
                                                          </w:divBdr>
                                                          <w:divsChild>
                                                            <w:div w:id="1698197586">
                                                              <w:marLeft w:val="0"/>
                                                              <w:marRight w:val="0"/>
                                                              <w:marTop w:val="0"/>
                                                              <w:marBottom w:val="0"/>
                                                              <w:divBdr>
                                                                <w:top w:val="none" w:sz="0" w:space="0" w:color="auto"/>
                                                                <w:left w:val="none" w:sz="0" w:space="0" w:color="auto"/>
                                                                <w:bottom w:val="none" w:sz="0" w:space="0" w:color="auto"/>
                                                                <w:right w:val="none" w:sz="0" w:space="0" w:color="auto"/>
                                                              </w:divBdr>
                                                            </w:div>
                                                          </w:divsChild>
                                                        </w:div>
                                                        <w:div w:id="430929116">
                                                          <w:marLeft w:val="0"/>
                                                          <w:marRight w:val="0"/>
                                                          <w:marTop w:val="0"/>
                                                          <w:marBottom w:val="0"/>
                                                          <w:divBdr>
                                                            <w:top w:val="none" w:sz="0" w:space="0" w:color="auto"/>
                                                            <w:left w:val="none" w:sz="0" w:space="0" w:color="auto"/>
                                                            <w:bottom w:val="none" w:sz="0" w:space="0" w:color="auto"/>
                                                            <w:right w:val="none" w:sz="0" w:space="0" w:color="auto"/>
                                                          </w:divBdr>
                                                          <w:divsChild>
                                                            <w:div w:id="23949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03433992">
                          <w:marLeft w:val="0"/>
                          <w:marRight w:val="0"/>
                          <w:marTop w:val="0"/>
                          <w:marBottom w:val="0"/>
                          <w:divBdr>
                            <w:top w:val="none" w:sz="0" w:space="0" w:color="auto"/>
                            <w:left w:val="none" w:sz="0" w:space="0" w:color="auto"/>
                            <w:bottom w:val="none" w:sz="0" w:space="0" w:color="auto"/>
                            <w:right w:val="none" w:sz="0" w:space="0" w:color="auto"/>
                          </w:divBdr>
                          <w:divsChild>
                            <w:div w:id="1034040398">
                              <w:marLeft w:val="0"/>
                              <w:marRight w:val="0"/>
                              <w:marTop w:val="0"/>
                              <w:marBottom w:val="0"/>
                              <w:divBdr>
                                <w:top w:val="none" w:sz="0" w:space="0" w:color="auto"/>
                                <w:left w:val="none" w:sz="0" w:space="0" w:color="auto"/>
                                <w:bottom w:val="none" w:sz="0" w:space="0" w:color="auto"/>
                                <w:right w:val="none" w:sz="0" w:space="0" w:color="auto"/>
                              </w:divBdr>
                              <w:divsChild>
                                <w:div w:id="1161119280">
                                  <w:marLeft w:val="0"/>
                                  <w:marRight w:val="0"/>
                                  <w:marTop w:val="0"/>
                                  <w:marBottom w:val="0"/>
                                  <w:divBdr>
                                    <w:top w:val="none" w:sz="0" w:space="0" w:color="auto"/>
                                    <w:left w:val="none" w:sz="0" w:space="0" w:color="auto"/>
                                    <w:bottom w:val="none" w:sz="0" w:space="0" w:color="auto"/>
                                    <w:right w:val="none" w:sz="0" w:space="0" w:color="auto"/>
                                  </w:divBdr>
                                  <w:divsChild>
                                    <w:div w:id="663163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89077396">
      <w:bodyDiv w:val="1"/>
      <w:marLeft w:val="0"/>
      <w:marRight w:val="0"/>
      <w:marTop w:val="0"/>
      <w:marBottom w:val="0"/>
      <w:divBdr>
        <w:top w:val="none" w:sz="0" w:space="0" w:color="auto"/>
        <w:left w:val="none" w:sz="0" w:space="0" w:color="auto"/>
        <w:bottom w:val="none" w:sz="0" w:space="0" w:color="auto"/>
        <w:right w:val="none" w:sz="0" w:space="0" w:color="auto"/>
      </w:divBdr>
      <w:divsChild>
        <w:div w:id="1980646032">
          <w:marLeft w:val="0"/>
          <w:marRight w:val="0"/>
          <w:marTop w:val="0"/>
          <w:marBottom w:val="0"/>
          <w:divBdr>
            <w:top w:val="none" w:sz="0" w:space="0" w:color="auto"/>
            <w:left w:val="none" w:sz="0" w:space="0" w:color="auto"/>
            <w:bottom w:val="none" w:sz="0" w:space="0" w:color="auto"/>
            <w:right w:val="none" w:sz="0" w:space="0" w:color="auto"/>
          </w:divBdr>
        </w:div>
        <w:div w:id="1109200331">
          <w:marLeft w:val="0"/>
          <w:marRight w:val="0"/>
          <w:marTop w:val="0"/>
          <w:marBottom w:val="0"/>
          <w:divBdr>
            <w:top w:val="none" w:sz="0" w:space="0" w:color="auto"/>
            <w:left w:val="none" w:sz="0" w:space="0" w:color="auto"/>
            <w:bottom w:val="none" w:sz="0" w:space="0" w:color="auto"/>
            <w:right w:val="none" w:sz="0" w:space="0" w:color="auto"/>
          </w:divBdr>
          <w:divsChild>
            <w:div w:id="1634292940">
              <w:marLeft w:val="0"/>
              <w:marRight w:val="0"/>
              <w:marTop w:val="0"/>
              <w:marBottom w:val="0"/>
              <w:divBdr>
                <w:top w:val="none" w:sz="0" w:space="0" w:color="auto"/>
                <w:left w:val="none" w:sz="0" w:space="0" w:color="auto"/>
                <w:bottom w:val="none" w:sz="0" w:space="0" w:color="auto"/>
                <w:right w:val="none" w:sz="0" w:space="0" w:color="auto"/>
              </w:divBdr>
            </w:div>
          </w:divsChild>
        </w:div>
        <w:div w:id="1914118005">
          <w:marLeft w:val="0"/>
          <w:marRight w:val="0"/>
          <w:marTop w:val="0"/>
          <w:marBottom w:val="0"/>
          <w:divBdr>
            <w:top w:val="none" w:sz="0" w:space="0" w:color="auto"/>
            <w:left w:val="none" w:sz="0" w:space="0" w:color="auto"/>
            <w:bottom w:val="none" w:sz="0" w:space="0" w:color="auto"/>
            <w:right w:val="none" w:sz="0" w:space="0" w:color="auto"/>
          </w:divBdr>
          <w:divsChild>
            <w:div w:id="728694970">
              <w:marLeft w:val="0"/>
              <w:marRight w:val="0"/>
              <w:marTop w:val="0"/>
              <w:marBottom w:val="0"/>
              <w:divBdr>
                <w:top w:val="none" w:sz="0" w:space="0" w:color="auto"/>
                <w:left w:val="none" w:sz="0" w:space="0" w:color="auto"/>
                <w:bottom w:val="none" w:sz="0" w:space="0" w:color="auto"/>
                <w:right w:val="none" w:sz="0" w:space="0" w:color="auto"/>
              </w:divBdr>
            </w:div>
            <w:div w:id="1713534964">
              <w:marLeft w:val="0"/>
              <w:marRight w:val="0"/>
              <w:marTop w:val="0"/>
              <w:marBottom w:val="0"/>
              <w:divBdr>
                <w:top w:val="none" w:sz="0" w:space="0" w:color="auto"/>
                <w:left w:val="none" w:sz="0" w:space="0" w:color="auto"/>
                <w:bottom w:val="none" w:sz="0" w:space="0" w:color="auto"/>
                <w:right w:val="none" w:sz="0" w:space="0" w:color="auto"/>
              </w:divBdr>
            </w:div>
            <w:div w:id="2127581587">
              <w:marLeft w:val="0"/>
              <w:marRight w:val="0"/>
              <w:marTop w:val="0"/>
              <w:marBottom w:val="0"/>
              <w:divBdr>
                <w:top w:val="none" w:sz="0" w:space="0" w:color="auto"/>
                <w:left w:val="none" w:sz="0" w:space="0" w:color="auto"/>
                <w:bottom w:val="none" w:sz="0" w:space="0" w:color="auto"/>
                <w:right w:val="none" w:sz="0" w:space="0" w:color="auto"/>
              </w:divBdr>
            </w:div>
            <w:div w:id="91627117">
              <w:marLeft w:val="0"/>
              <w:marRight w:val="0"/>
              <w:marTop w:val="0"/>
              <w:marBottom w:val="0"/>
              <w:divBdr>
                <w:top w:val="none" w:sz="0" w:space="0" w:color="auto"/>
                <w:left w:val="none" w:sz="0" w:space="0" w:color="auto"/>
                <w:bottom w:val="none" w:sz="0" w:space="0" w:color="auto"/>
                <w:right w:val="none" w:sz="0" w:space="0" w:color="auto"/>
              </w:divBdr>
            </w:div>
            <w:div w:id="1325664652">
              <w:marLeft w:val="0"/>
              <w:marRight w:val="0"/>
              <w:marTop w:val="0"/>
              <w:marBottom w:val="0"/>
              <w:divBdr>
                <w:top w:val="none" w:sz="0" w:space="0" w:color="auto"/>
                <w:left w:val="none" w:sz="0" w:space="0" w:color="auto"/>
                <w:bottom w:val="none" w:sz="0" w:space="0" w:color="auto"/>
                <w:right w:val="none" w:sz="0" w:space="0" w:color="auto"/>
              </w:divBdr>
            </w:div>
            <w:div w:id="1408573598">
              <w:marLeft w:val="0"/>
              <w:marRight w:val="0"/>
              <w:marTop w:val="0"/>
              <w:marBottom w:val="0"/>
              <w:divBdr>
                <w:top w:val="none" w:sz="0" w:space="0" w:color="auto"/>
                <w:left w:val="none" w:sz="0" w:space="0" w:color="auto"/>
                <w:bottom w:val="none" w:sz="0" w:space="0" w:color="auto"/>
                <w:right w:val="none" w:sz="0" w:space="0" w:color="auto"/>
              </w:divBdr>
              <w:divsChild>
                <w:div w:id="1592275373">
                  <w:marLeft w:val="0"/>
                  <w:marRight w:val="0"/>
                  <w:marTop w:val="0"/>
                  <w:marBottom w:val="0"/>
                  <w:divBdr>
                    <w:top w:val="none" w:sz="0" w:space="0" w:color="auto"/>
                    <w:left w:val="none" w:sz="0" w:space="0" w:color="auto"/>
                    <w:bottom w:val="none" w:sz="0" w:space="0" w:color="auto"/>
                    <w:right w:val="none" w:sz="0" w:space="0" w:color="auto"/>
                  </w:divBdr>
                </w:div>
              </w:divsChild>
            </w:div>
            <w:div w:id="1370764287">
              <w:marLeft w:val="0"/>
              <w:marRight w:val="0"/>
              <w:marTop w:val="0"/>
              <w:marBottom w:val="0"/>
              <w:divBdr>
                <w:top w:val="none" w:sz="0" w:space="0" w:color="auto"/>
                <w:left w:val="none" w:sz="0" w:space="0" w:color="auto"/>
                <w:bottom w:val="none" w:sz="0" w:space="0" w:color="auto"/>
                <w:right w:val="none" w:sz="0" w:space="0" w:color="auto"/>
              </w:divBdr>
              <w:divsChild>
                <w:div w:id="275408305">
                  <w:marLeft w:val="0"/>
                  <w:marRight w:val="0"/>
                  <w:marTop w:val="0"/>
                  <w:marBottom w:val="0"/>
                  <w:divBdr>
                    <w:top w:val="none" w:sz="0" w:space="0" w:color="auto"/>
                    <w:left w:val="none" w:sz="0" w:space="0" w:color="auto"/>
                    <w:bottom w:val="none" w:sz="0" w:space="0" w:color="auto"/>
                    <w:right w:val="none" w:sz="0" w:space="0" w:color="auto"/>
                  </w:divBdr>
                </w:div>
              </w:divsChild>
            </w:div>
            <w:div w:id="1834488961">
              <w:marLeft w:val="0"/>
              <w:marRight w:val="0"/>
              <w:marTop w:val="0"/>
              <w:marBottom w:val="0"/>
              <w:divBdr>
                <w:top w:val="none" w:sz="0" w:space="0" w:color="auto"/>
                <w:left w:val="none" w:sz="0" w:space="0" w:color="auto"/>
                <w:bottom w:val="none" w:sz="0" w:space="0" w:color="auto"/>
                <w:right w:val="none" w:sz="0" w:space="0" w:color="auto"/>
              </w:divBdr>
              <w:divsChild>
                <w:div w:id="1393692129">
                  <w:marLeft w:val="0"/>
                  <w:marRight w:val="0"/>
                  <w:marTop w:val="0"/>
                  <w:marBottom w:val="0"/>
                  <w:divBdr>
                    <w:top w:val="none" w:sz="0" w:space="0" w:color="auto"/>
                    <w:left w:val="none" w:sz="0" w:space="0" w:color="auto"/>
                    <w:bottom w:val="none" w:sz="0" w:space="0" w:color="auto"/>
                    <w:right w:val="none" w:sz="0" w:space="0" w:color="auto"/>
                  </w:divBdr>
                </w:div>
              </w:divsChild>
            </w:div>
            <w:div w:id="445586089">
              <w:marLeft w:val="0"/>
              <w:marRight w:val="0"/>
              <w:marTop w:val="0"/>
              <w:marBottom w:val="0"/>
              <w:divBdr>
                <w:top w:val="none" w:sz="0" w:space="0" w:color="auto"/>
                <w:left w:val="none" w:sz="0" w:space="0" w:color="auto"/>
                <w:bottom w:val="none" w:sz="0" w:space="0" w:color="auto"/>
                <w:right w:val="none" w:sz="0" w:space="0" w:color="auto"/>
              </w:divBdr>
            </w:div>
            <w:div w:id="1376151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9190647">
      <w:bodyDiv w:val="1"/>
      <w:marLeft w:val="0"/>
      <w:marRight w:val="0"/>
      <w:marTop w:val="0"/>
      <w:marBottom w:val="0"/>
      <w:divBdr>
        <w:top w:val="none" w:sz="0" w:space="0" w:color="auto"/>
        <w:left w:val="none" w:sz="0" w:space="0" w:color="auto"/>
        <w:bottom w:val="none" w:sz="0" w:space="0" w:color="auto"/>
        <w:right w:val="none" w:sz="0" w:space="0" w:color="auto"/>
      </w:divBdr>
      <w:divsChild>
        <w:div w:id="1134326764">
          <w:blockQuote w:val="1"/>
          <w:marLeft w:val="0"/>
          <w:marRight w:val="0"/>
          <w:marTop w:val="0"/>
          <w:marBottom w:val="0"/>
          <w:divBdr>
            <w:top w:val="none" w:sz="0" w:space="0" w:color="auto"/>
            <w:left w:val="none" w:sz="0" w:space="0" w:color="auto"/>
            <w:bottom w:val="none" w:sz="0" w:space="0" w:color="auto"/>
            <w:right w:val="none" w:sz="0" w:space="0" w:color="auto"/>
          </w:divBdr>
        </w:div>
        <w:div w:id="1130979742">
          <w:blockQuote w:val="1"/>
          <w:marLeft w:val="0"/>
          <w:marRight w:val="0"/>
          <w:marTop w:val="0"/>
          <w:marBottom w:val="0"/>
          <w:divBdr>
            <w:top w:val="none" w:sz="0" w:space="0" w:color="auto"/>
            <w:left w:val="none" w:sz="0" w:space="0" w:color="auto"/>
            <w:bottom w:val="none" w:sz="0" w:space="0" w:color="auto"/>
            <w:right w:val="none" w:sz="0" w:space="0" w:color="auto"/>
          </w:divBdr>
        </w:div>
        <w:div w:id="2126849621">
          <w:blockQuote w:val="1"/>
          <w:marLeft w:val="0"/>
          <w:marRight w:val="0"/>
          <w:marTop w:val="0"/>
          <w:marBottom w:val="0"/>
          <w:divBdr>
            <w:top w:val="none" w:sz="0" w:space="0" w:color="auto"/>
            <w:left w:val="none" w:sz="0" w:space="0" w:color="auto"/>
            <w:bottom w:val="none" w:sz="0" w:space="0" w:color="auto"/>
            <w:right w:val="none" w:sz="0" w:space="0" w:color="auto"/>
          </w:divBdr>
        </w:div>
        <w:div w:id="361715131">
          <w:blockQuote w:val="1"/>
          <w:marLeft w:val="0"/>
          <w:marRight w:val="0"/>
          <w:marTop w:val="0"/>
          <w:marBottom w:val="0"/>
          <w:divBdr>
            <w:top w:val="none" w:sz="0" w:space="0" w:color="auto"/>
            <w:left w:val="none" w:sz="0" w:space="0" w:color="auto"/>
            <w:bottom w:val="none" w:sz="0" w:space="0" w:color="auto"/>
            <w:right w:val="none" w:sz="0" w:space="0" w:color="auto"/>
          </w:divBdr>
        </w:div>
        <w:div w:id="221059767">
          <w:blockQuote w:val="1"/>
          <w:marLeft w:val="0"/>
          <w:marRight w:val="0"/>
          <w:marTop w:val="0"/>
          <w:marBottom w:val="0"/>
          <w:divBdr>
            <w:top w:val="none" w:sz="0" w:space="0" w:color="auto"/>
            <w:left w:val="none" w:sz="0" w:space="0" w:color="auto"/>
            <w:bottom w:val="none" w:sz="0" w:space="0" w:color="auto"/>
            <w:right w:val="none" w:sz="0" w:space="0" w:color="auto"/>
          </w:divBdr>
        </w:div>
        <w:div w:id="2046710547">
          <w:blockQuote w:val="1"/>
          <w:marLeft w:val="0"/>
          <w:marRight w:val="0"/>
          <w:marTop w:val="0"/>
          <w:marBottom w:val="0"/>
          <w:divBdr>
            <w:top w:val="none" w:sz="0" w:space="0" w:color="auto"/>
            <w:left w:val="none" w:sz="0" w:space="0" w:color="auto"/>
            <w:bottom w:val="none" w:sz="0" w:space="0" w:color="auto"/>
            <w:right w:val="none" w:sz="0" w:space="0" w:color="auto"/>
          </w:divBdr>
        </w:div>
        <w:div w:id="556547225">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594048628">
      <w:bodyDiv w:val="1"/>
      <w:marLeft w:val="0"/>
      <w:marRight w:val="0"/>
      <w:marTop w:val="0"/>
      <w:marBottom w:val="0"/>
      <w:divBdr>
        <w:top w:val="none" w:sz="0" w:space="0" w:color="auto"/>
        <w:left w:val="none" w:sz="0" w:space="0" w:color="auto"/>
        <w:bottom w:val="none" w:sz="0" w:space="0" w:color="auto"/>
        <w:right w:val="none" w:sz="0" w:space="0" w:color="auto"/>
      </w:divBdr>
    </w:div>
    <w:div w:id="1599824436">
      <w:bodyDiv w:val="1"/>
      <w:marLeft w:val="0"/>
      <w:marRight w:val="0"/>
      <w:marTop w:val="0"/>
      <w:marBottom w:val="0"/>
      <w:divBdr>
        <w:top w:val="none" w:sz="0" w:space="0" w:color="auto"/>
        <w:left w:val="none" w:sz="0" w:space="0" w:color="auto"/>
        <w:bottom w:val="none" w:sz="0" w:space="0" w:color="auto"/>
        <w:right w:val="none" w:sz="0" w:space="0" w:color="auto"/>
      </w:divBdr>
      <w:divsChild>
        <w:div w:id="973368832">
          <w:marLeft w:val="0"/>
          <w:marRight w:val="0"/>
          <w:marTop w:val="0"/>
          <w:marBottom w:val="0"/>
          <w:divBdr>
            <w:top w:val="none" w:sz="0" w:space="0" w:color="auto"/>
            <w:left w:val="none" w:sz="0" w:space="0" w:color="auto"/>
            <w:bottom w:val="single" w:sz="6" w:space="0" w:color="333333"/>
            <w:right w:val="none" w:sz="0" w:space="0" w:color="auto"/>
          </w:divBdr>
          <w:divsChild>
            <w:div w:id="1904021015">
              <w:marLeft w:val="0"/>
              <w:marRight w:val="0"/>
              <w:marTop w:val="0"/>
              <w:marBottom w:val="0"/>
              <w:divBdr>
                <w:top w:val="none" w:sz="0" w:space="0" w:color="auto"/>
                <w:left w:val="none" w:sz="0" w:space="0" w:color="auto"/>
                <w:bottom w:val="none" w:sz="0" w:space="0" w:color="auto"/>
                <w:right w:val="none" w:sz="0" w:space="0" w:color="auto"/>
              </w:divBdr>
              <w:divsChild>
                <w:div w:id="1187596526">
                  <w:marLeft w:val="0"/>
                  <w:marRight w:val="0"/>
                  <w:marTop w:val="0"/>
                  <w:marBottom w:val="0"/>
                  <w:divBdr>
                    <w:top w:val="none" w:sz="0" w:space="0" w:color="auto"/>
                    <w:left w:val="none" w:sz="0" w:space="0" w:color="auto"/>
                    <w:bottom w:val="none" w:sz="0" w:space="0" w:color="auto"/>
                    <w:right w:val="none" w:sz="0" w:space="0" w:color="auto"/>
                  </w:divBdr>
                  <w:divsChild>
                    <w:div w:id="206184165">
                      <w:marLeft w:val="0"/>
                      <w:marRight w:val="0"/>
                      <w:marTop w:val="0"/>
                      <w:marBottom w:val="0"/>
                      <w:divBdr>
                        <w:top w:val="none" w:sz="0" w:space="0" w:color="auto"/>
                        <w:left w:val="none" w:sz="0" w:space="0" w:color="auto"/>
                        <w:bottom w:val="none" w:sz="0" w:space="0" w:color="auto"/>
                        <w:right w:val="none" w:sz="0" w:space="0" w:color="auto"/>
                      </w:divBdr>
                      <w:divsChild>
                        <w:div w:id="99764349">
                          <w:marLeft w:val="0"/>
                          <w:marRight w:val="0"/>
                          <w:marTop w:val="0"/>
                          <w:marBottom w:val="0"/>
                          <w:divBdr>
                            <w:top w:val="none" w:sz="0" w:space="0" w:color="auto"/>
                            <w:left w:val="none" w:sz="0" w:space="0" w:color="auto"/>
                            <w:bottom w:val="dotted" w:sz="6" w:space="0" w:color="FEA957"/>
                            <w:right w:val="none" w:sz="0" w:space="0" w:color="auto"/>
                          </w:divBdr>
                          <w:divsChild>
                            <w:div w:id="491678474">
                              <w:marLeft w:val="0"/>
                              <w:marRight w:val="0"/>
                              <w:marTop w:val="0"/>
                              <w:marBottom w:val="0"/>
                              <w:divBdr>
                                <w:top w:val="none" w:sz="0" w:space="0" w:color="auto"/>
                                <w:left w:val="none" w:sz="0" w:space="0" w:color="auto"/>
                                <w:bottom w:val="none" w:sz="0" w:space="0" w:color="auto"/>
                                <w:right w:val="none" w:sz="0" w:space="0" w:color="auto"/>
                              </w:divBdr>
                              <w:divsChild>
                                <w:div w:id="1435709209">
                                  <w:marLeft w:val="0"/>
                                  <w:marRight w:val="0"/>
                                  <w:marTop w:val="0"/>
                                  <w:marBottom w:val="450"/>
                                  <w:divBdr>
                                    <w:top w:val="none" w:sz="0" w:space="0" w:color="auto"/>
                                    <w:left w:val="none" w:sz="0" w:space="0" w:color="auto"/>
                                    <w:bottom w:val="none" w:sz="0" w:space="0" w:color="auto"/>
                                    <w:right w:val="none" w:sz="0" w:space="0" w:color="auto"/>
                                  </w:divBdr>
                                  <w:divsChild>
                                    <w:div w:id="565380768">
                                      <w:marLeft w:val="0"/>
                                      <w:marRight w:val="0"/>
                                      <w:marTop w:val="0"/>
                                      <w:marBottom w:val="375"/>
                                      <w:divBdr>
                                        <w:top w:val="none" w:sz="0" w:space="0" w:color="auto"/>
                                        <w:left w:val="none" w:sz="0" w:space="0" w:color="auto"/>
                                        <w:bottom w:val="none" w:sz="0" w:space="0" w:color="auto"/>
                                        <w:right w:val="none" w:sz="0" w:space="0" w:color="auto"/>
                                      </w:divBdr>
                                      <w:divsChild>
                                        <w:div w:id="1096631582">
                                          <w:marLeft w:val="0"/>
                                          <w:marRight w:val="0"/>
                                          <w:marTop w:val="0"/>
                                          <w:marBottom w:val="0"/>
                                          <w:divBdr>
                                            <w:top w:val="none" w:sz="0" w:space="0" w:color="auto"/>
                                            <w:left w:val="none" w:sz="0" w:space="0" w:color="auto"/>
                                            <w:bottom w:val="none" w:sz="0" w:space="0" w:color="auto"/>
                                            <w:right w:val="none" w:sz="0" w:space="0" w:color="auto"/>
                                          </w:divBdr>
                                        </w:div>
                                      </w:divsChild>
                                    </w:div>
                                    <w:div w:id="1066143305">
                                      <w:marLeft w:val="0"/>
                                      <w:marRight w:val="0"/>
                                      <w:marTop w:val="0"/>
                                      <w:marBottom w:val="0"/>
                                      <w:divBdr>
                                        <w:top w:val="none" w:sz="0" w:space="0" w:color="auto"/>
                                        <w:left w:val="none" w:sz="0" w:space="0" w:color="auto"/>
                                        <w:bottom w:val="none" w:sz="0" w:space="0" w:color="auto"/>
                                        <w:right w:val="none" w:sz="0" w:space="0" w:color="auto"/>
                                      </w:divBdr>
                                    </w:div>
                                    <w:div w:id="65034398">
                                      <w:marLeft w:val="0"/>
                                      <w:marRight w:val="0"/>
                                      <w:marTop w:val="0"/>
                                      <w:marBottom w:val="0"/>
                                      <w:divBdr>
                                        <w:top w:val="none" w:sz="0" w:space="0" w:color="auto"/>
                                        <w:left w:val="none" w:sz="0" w:space="0" w:color="auto"/>
                                        <w:bottom w:val="none" w:sz="0" w:space="0" w:color="auto"/>
                                        <w:right w:val="none" w:sz="0" w:space="0" w:color="auto"/>
                                      </w:divBdr>
                                    </w:div>
                                  </w:divsChild>
                                </w:div>
                                <w:div w:id="1154638092">
                                  <w:marLeft w:val="0"/>
                                  <w:marRight w:val="0"/>
                                  <w:marTop w:val="0"/>
                                  <w:marBottom w:val="450"/>
                                  <w:divBdr>
                                    <w:top w:val="none" w:sz="0" w:space="0" w:color="auto"/>
                                    <w:left w:val="none" w:sz="0" w:space="0" w:color="auto"/>
                                    <w:bottom w:val="none" w:sz="0" w:space="0" w:color="auto"/>
                                    <w:right w:val="none" w:sz="0" w:space="0" w:color="auto"/>
                                  </w:divBdr>
                                  <w:divsChild>
                                    <w:div w:id="734276072">
                                      <w:marLeft w:val="0"/>
                                      <w:marRight w:val="0"/>
                                      <w:marTop w:val="0"/>
                                      <w:marBottom w:val="375"/>
                                      <w:divBdr>
                                        <w:top w:val="none" w:sz="0" w:space="0" w:color="auto"/>
                                        <w:left w:val="none" w:sz="0" w:space="0" w:color="auto"/>
                                        <w:bottom w:val="none" w:sz="0" w:space="0" w:color="auto"/>
                                        <w:right w:val="none" w:sz="0" w:space="0" w:color="auto"/>
                                      </w:divBdr>
                                      <w:divsChild>
                                        <w:div w:id="1889803847">
                                          <w:marLeft w:val="0"/>
                                          <w:marRight w:val="0"/>
                                          <w:marTop w:val="0"/>
                                          <w:marBottom w:val="0"/>
                                          <w:divBdr>
                                            <w:top w:val="none" w:sz="0" w:space="0" w:color="auto"/>
                                            <w:left w:val="none" w:sz="0" w:space="0" w:color="auto"/>
                                            <w:bottom w:val="none" w:sz="0" w:space="0" w:color="auto"/>
                                            <w:right w:val="none" w:sz="0" w:space="0" w:color="auto"/>
                                          </w:divBdr>
                                        </w:div>
                                      </w:divsChild>
                                    </w:div>
                                    <w:div w:id="1666936781">
                                      <w:marLeft w:val="0"/>
                                      <w:marRight w:val="0"/>
                                      <w:marTop w:val="240"/>
                                      <w:marBottom w:val="480"/>
                                      <w:divBdr>
                                        <w:top w:val="none" w:sz="0" w:space="0" w:color="auto"/>
                                        <w:left w:val="none" w:sz="0" w:space="0" w:color="auto"/>
                                        <w:bottom w:val="none" w:sz="0" w:space="0" w:color="auto"/>
                                        <w:right w:val="none" w:sz="0" w:space="0" w:color="auto"/>
                                      </w:divBdr>
                                      <w:divsChild>
                                        <w:div w:id="439497677">
                                          <w:marLeft w:val="0"/>
                                          <w:marRight w:val="0"/>
                                          <w:marTop w:val="0"/>
                                          <w:marBottom w:val="0"/>
                                          <w:divBdr>
                                            <w:top w:val="single" w:sz="6" w:space="0" w:color="C6C6C6"/>
                                            <w:left w:val="single" w:sz="6" w:space="0" w:color="C6C6C6"/>
                                            <w:bottom w:val="single" w:sz="6" w:space="0" w:color="C6C6C6"/>
                                            <w:right w:val="single" w:sz="6" w:space="0" w:color="C6C6C6"/>
                                          </w:divBdr>
                                        </w:div>
                                        <w:div w:id="137044912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88682473">
                                  <w:marLeft w:val="0"/>
                                  <w:marRight w:val="0"/>
                                  <w:marTop w:val="0"/>
                                  <w:marBottom w:val="450"/>
                                  <w:divBdr>
                                    <w:top w:val="none" w:sz="0" w:space="0" w:color="auto"/>
                                    <w:left w:val="none" w:sz="0" w:space="0" w:color="auto"/>
                                    <w:bottom w:val="none" w:sz="0" w:space="0" w:color="auto"/>
                                    <w:right w:val="none" w:sz="0" w:space="0" w:color="auto"/>
                                  </w:divBdr>
                                  <w:divsChild>
                                    <w:div w:id="2032761570">
                                      <w:marLeft w:val="0"/>
                                      <w:marRight w:val="0"/>
                                      <w:marTop w:val="0"/>
                                      <w:marBottom w:val="375"/>
                                      <w:divBdr>
                                        <w:top w:val="none" w:sz="0" w:space="0" w:color="auto"/>
                                        <w:left w:val="none" w:sz="0" w:space="0" w:color="auto"/>
                                        <w:bottom w:val="none" w:sz="0" w:space="0" w:color="auto"/>
                                        <w:right w:val="none" w:sz="0" w:space="0" w:color="auto"/>
                                      </w:divBdr>
                                      <w:divsChild>
                                        <w:div w:id="457837171">
                                          <w:marLeft w:val="0"/>
                                          <w:marRight w:val="0"/>
                                          <w:marTop w:val="0"/>
                                          <w:marBottom w:val="0"/>
                                          <w:divBdr>
                                            <w:top w:val="none" w:sz="0" w:space="0" w:color="auto"/>
                                            <w:left w:val="none" w:sz="0" w:space="0" w:color="auto"/>
                                            <w:bottom w:val="none" w:sz="0" w:space="0" w:color="auto"/>
                                            <w:right w:val="none" w:sz="0" w:space="0" w:color="auto"/>
                                          </w:divBdr>
                                        </w:div>
                                      </w:divsChild>
                                    </w:div>
                                    <w:div w:id="1285624380">
                                      <w:marLeft w:val="0"/>
                                      <w:marRight w:val="0"/>
                                      <w:marTop w:val="0"/>
                                      <w:marBottom w:val="0"/>
                                      <w:divBdr>
                                        <w:top w:val="none" w:sz="0" w:space="0" w:color="auto"/>
                                        <w:left w:val="none" w:sz="0" w:space="0" w:color="auto"/>
                                        <w:bottom w:val="none" w:sz="0" w:space="0" w:color="auto"/>
                                        <w:right w:val="none" w:sz="0" w:space="0" w:color="auto"/>
                                      </w:divBdr>
                                      <w:divsChild>
                                        <w:div w:id="1060441968">
                                          <w:marLeft w:val="0"/>
                                          <w:marRight w:val="0"/>
                                          <w:marTop w:val="240"/>
                                          <w:marBottom w:val="480"/>
                                          <w:divBdr>
                                            <w:top w:val="none" w:sz="0" w:space="0" w:color="auto"/>
                                            <w:left w:val="none" w:sz="0" w:space="0" w:color="auto"/>
                                            <w:bottom w:val="none" w:sz="0" w:space="0" w:color="auto"/>
                                            <w:right w:val="none" w:sz="0" w:space="0" w:color="auto"/>
                                          </w:divBdr>
                                          <w:divsChild>
                                            <w:div w:id="259683131">
                                              <w:marLeft w:val="0"/>
                                              <w:marRight w:val="0"/>
                                              <w:marTop w:val="0"/>
                                              <w:marBottom w:val="0"/>
                                              <w:divBdr>
                                                <w:top w:val="single" w:sz="6" w:space="0" w:color="C6C6C6"/>
                                                <w:left w:val="single" w:sz="6" w:space="0" w:color="C6C6C6"/>
                                                <w:bottom w:val="single" w:sz="6" w:space="0" w:color="C6C6C6"/>
                                                <w:right w:val="single" w:sz="6" w:space="0" w:color="C6C6C6"/>
                                              </w:divBdr>
                                            </w:div>
                                            <w:div w:id="95348560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585305782">
                                      <w:marLeft w:val="0"/>
                                      <w:marRight w:val="0"/>
                                      <w:marTop w:val="0"/>
                                      <w:marBottom w:val="0"/>
                                      <w:divBdr>
                                        <w:top w:val="none" w:sz="0" w:space="0" w:color="auto"/>
                                        <w:left w:val="none" w:sz="0" w:space="0" w:color="auto"/>
                                        <w:bottom w:val="none" w:sz="0" w:space="0" w:color="auto"/>
                                        <w:right w:val="none" w:sz="0" w:space="0" w:color="auto"/>
                                      </w:divBdr>
                                      <w:divsChild>
                                        <w:div w:id="589041859">
                                          <w:marLeft w:val="0"/>
                                          <w:marRight w:val="0"/>
                                          <w:marTop w:val="240"/>
                                          <w:marBottom w:val="480"/>
                                          <w:divBdr>
                                            <w:top w:val="none" w:sz="0" w:space="0" w:color="auto"/>
                                            <w:left w:val="none" w:sz="0" w:space="0" w:color="auto"/>
                                            <w:bottom w:val="none" w:sz="0" w:space="0" w:color="auto"/>
                                            <w:right w:val="none" w:sz="0" w:space="0" w:color="auto"/>
                                          </w:divBdr>
                                          <w:divsChild>
                                            <w:div w:id="1201162247">
                                              <w:marLeft w:val="0"/>
                                              <w:marRight w:val="0"/>
                                              <w:marTop w:val="0"/>
                                              <w:marBottom w:val="0"/>
                                              <w:divBdr>
                                                <w:top w:val="single" w:sz="6" w:space="0" w:color="C6C6C6"/>
                                                <w:left w:val="single" w:sz="6" w:space="0" w:color="C6C6C6"/>
                                                <w:bottom w:val="single" w:sz="6" w:space="0" w:color="C6C6C6"/>
                                                <w:right w:val="single" w:sz="6" w:space="0" w:color="C6C6C6"/>
                                              </w:divBdr>
                                            </w:div>
                                            <w:div w:id="1090659448">
                                              <w:marLeft w:val="0"/>
                                              <w:marRight w:val="0"/>
                                              <w:marTop w:val="0"/>
                                              <w:marBottom w:val="0"/>
                                              <w:divBdr>
                                                <w:top w:val="none" w:sz="0" w:space="0" w:color="auto"/>
                                                <w:left w:val="none" w:sz="0" w:space="0" w:color="auto"/>
                                                <w:bottom w:val="dotted" w:sz="6" w:space="6" w:color="999999"/>
                                                <w:right w:val="none" w:sz="0" w:space="0" w:color="auto"/>
                                              </w:divBdr>
                                            </w:div>
                                          </w:divsChild>
                                        </w:div>
                                        <w:div w:id="595863676">
                                          <w:marLeft w:val="0"/>
                                          <w:marRight w:val="0"/>
                                          <w:marTop w:val="240"/>
                                          <w:marBottom w:val="480"/>
                                          <w:divBdr>
                                            <w:top w:val="none" w:sz="0" w:space="0" w:color="auto"/>
                                            <w:left w:val="none" w:sz="0" w:space="0" w:color="auto"/>
                                            <w:bottom w:val="none" w:sz="0" w:space="0" w:color="auto"/>
                                            <w:right w:val="none" w:sz="0" w:space="0" w:color="auto"/>
                                          </w:divBdr>
                                          <w:divsChild>
                                            <w:div w:id="1040284471">
                                              <w:marLeft w:val="0"/>
                                              <w:marRight w:val="0"/>
                                              <w:marTop w:val="0"/>
                                              <w:marBottom w:val="0"/>
                                              <w:divBdr>
                                                <w:top w:val="single" w:sz="6" w:space="0" w:color="C6C6C6"/>
                                                <w:left w:val="single" w:sz="6" w:space="0" w:color="C6C6C6"/>
                                                <w:bottom w:val="single" w:sz="6" w:space="0" w:color="C6C6C6"/>
                                                <w:right w:val="single" w:sz="6" w:space="0" w:color="C6C6C6"/>
                                              </w:divBdr>
                                            </w:div>
                                            <w:div w:id="28870837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799058427">
                                      <w:marLeft w:val="0"/>
                                      <w:marRight w:val="0"/>
                                      <w:marTop w:val="0"/>
                                      <w:marBottom w:val="0"/>
                                      <w:divBdr>
                                        <w:top w:val="none" w:sz="0" w:space="0" w:color="auto"/>
                                        <w:left w:val="none" w:sz="0" w:space="0" w:color="auto"/>
                                        <w:bottom w:val="none" w:sz="0" w:space="0" w:color="auto"/>
                                        <w:right w:val="none" w:sz="0" w:space="0" w:color="auto"/>
                                      </w:divBdr>
                                    </w:div>
                                    <w:div w:id="1943101066">
                                      <w:marLeft w:val="0"/>
                                      <w:marRight w:val="0"/>
                                      <w:marTop w:val="0"/>
                                      <w:marBottom w:val="0"/>
                                      <w:divBdr>
                                        <w:top w:val="none" w:sz="0" w:space="0" w:color="auto"/>
                                        <w:left w:val="none" w:sz="0" w:space="0" w:color="auto"/>
                                        <w:bottom w:val="none" w:sz="0" w:space="0" w:color="auto"/>
                                        <w:right w:val="none" w:sz="0" w:space="0" w:color="auto"/>
                                      </w:divBdr>
                                      <w:divsChild>
                                        <w:div w:id="1217662783">
                                          <w:marLeft w:val="0"/>
                                          <w:marRight w:val="0"/>
                                          <w:marTop w:val="240"/>
                                          <w:marBottom w:val="480"/>
                                          <w:divBdr>
                                            <w:top w:val="none" w:sz="0" w:space="0" w:color="auto"/>
                                            <w:left w:val="none" w:sz="0" w:space="0" w:color="auto"/>
                                            <w:bottom w:val="none" w:sz="0" w:space="0" w:color="auto"/>
                                            <w:right w:val="none" w:sz="0" w:space="0" w:color="auto"/>
                                          </w:divBdr>
                                          <w:divsChild>
                                            <w:div w:id="1084034532">
                                              <w:marLeft w:val="0"/>
                                              <w:marRight w:val="0"/>
                                              <w:marTop w:val="0"/>
                                              <w:marBottom w:val="0"/>
                                              <w:divBdr>
                                                <w:top w:val="single" w:sz="6" w:space="0" w:color="C6C6C6"/>
                                                <w:left w:val="single" w:sz="6" w:space="0" w:color="C6C6C6"/>
                                                <w:bottom w:val="single" w:sz="6" w:space="0" w:color="C6C6C6"/>
                                                <w:right w:val="single" w:sz="6" w:space="0" w:color="C6C6C6"/>
                                              </w:divBdr>
                                            </w:div>
                                            <w:div w:id="3304416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906987778">
                                  <w:marLeft w:val="0"/>
                                  <w:marRight w:val="0"/>
                                  <w:marTop w:val="0"/>
                                  <w:marBottom w:val="450"/>
                                  <w:divBdr>
                                    <w:top w:val="none" w:sz="0" w:space="0" w:color="auto"/>
                                    <w:left w:val="none" w:sz="0" w:space="0" w:color="auto"/>
                                    <w:bottom w:val="none" w:sz="0" w:space="0" w:color="auto"/>
                                    <w:right w:val="none" w:sz="0" w:space="0" w:color="auto"/>
                                  </w:divBdr>
                                  <w:divsChild>
                                    <w:div w:id="608973891">
                                      <w:marLeft w:val="0"/>
                                      <w:marRight w:val="0"/>
                                      <w:marTop w:val="0"/>
                                      <w:marBottom w:val="375"/>
                                      <w:divBdr>
                                        <w:top w:val="none" w:sz="0" w:space="0" w:color="auto"/>
                                        <w:left w:val="none" w:sz="0" w:space="0" w:color="auto"/>
                                        <w:bottom w:val="none" w:sz="0" w:space="0" w:color="auto"/>
                                        <w:right w:val="none" w:sz="0" w:space="0" w:color="auto"/>
                                      </w:divBdr>
                                      <w:divsChild>
                                        <w:div w:id="1144154407">
                                          <w:marLeft w:val="0"/>
                                          <w:marRight w:val="0"/>
                                          <w:marTop w:val="0"/>
                                          <w:marBottom w:val="0"/>
                                          <w:divBdr>
                                            <w:top w:val="none" w:sz="0" w:space="0" w:color="auto"/>
                                            <w:left w:val="none" w:sz="0" w:space="0" w:color="auto"/>
                                            <w:bottom w:val="none" w:sz="0" w:space="0" w:color="auto"/>
                                            <w:right w:val="none" w:sz="0" w:space="0" w:color="auto"/>
                                          </w:divBdr>
                                        </w:div>
                                      </w:divsChild>
                                    </w:div>
                                    <w:div w:id="1173177689">
                                      <w:marLeft w:val="0"/>
                                      <w:marRight w:val="0"/>
                                      <w:marTop w:val="0"/>
                                      <w:marBottom w:val="0"/>
                                      <w:divBdr>
                                        <w:top w:val="none" w:sz="0" w:space="0" w:color="auto"/>
                                        <w:left w:val="none" w:sz="0" w:space="0" w:color="auto"/>
                                        <w:bottom w:val="none" w:sz="0" w:space="0" w:color="auto"/>
                                        <w:right w:val="none" w:sz="0" w:space="0" w:color="auto"/>
                                      </w:divBdr>
                                      <w:divsChild>
                                        <w:div w:id="1692801805">
                                          <w:marLeft w:val="0"/>
                                          <w:marRight w:val="0"/>
                                          <w:marTop w:val="240"/>
                                          <w:marBottom w:val="480"/>
                                          <w:divBdr>
                                            <w:top w:val="none" w:sz="0" w:space="0" w:color="auto"/>
                                            <w:left w:val="none" w:sz="0" w:space="0" w:color="auto"/>
                                            <w:bottom w:val="none" w:sz="0" w:space="0" w:color="auto"/>
                                            <w:right w:val="none" w:sz="0" w:space="0" w:color="auto"/>
                                          </w:divBdr>
                                          <w:divsChild>
                                            <w:div w:id="1903364553">
                                              <w:marLeft w:val="0"/>
                                              <w:marRight w:val="0"/>
                                              <w:marTop w:val="0"/>
                                              <w:marBottom w:val="0"/>
                                              <w:divBdr>
                                                <w:top w:val="single" w:sz="6" w:space="0" w:color="C6C6C6"/>
                                                <w:left w:val="single" w:sz="6" w:space="0" w:color="C6C6C6"/>
                                                <w:bottom w:val="single" w:sz="6" w:space="0" w:color="C6C6C6"/>
                                                <w:right w:val="single" w:sz="6" w:space="0" w:color="C6C6C6"/>
                                              </w:divBdr>
                                            </w:div>
                                            <w:div w:id="196098621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32860446">
                                      <w:marLeft w:val="0"/>
                                      <w:marRight w:val="0"/>
                                      <w:marTop w:val="0"/>
                                      <w:marBottom w:val="0"/>
                                      <w:divBdr>
                                        <w:top w:val="none" w:sz="0" w:space="0" w:color="auto"/>
                                        <w:left w:val="none" w:sz="0" w:space="0" w:color="auto"/>
                                        <w:bottom w:val="none" w:sz="0" w:space="0" w:color="auto"/>
                                        <w:right w:val="none" w:sz="0" w:space="0" w:color="auto"/>
                                      </w:divBdr>
                                    </w:div>
                                    <w:div w:id="1562138028">
                                      <w:marLeft w:val="0"/>
                                      <w:marRight w:val="0"/>
                                      <w:marTop w:val="0"/>
                                      <w:marBottom w:val="0"/>
                                      <w:divBdr>
                                        <w:top w:val="none" w:sz="0" w:space="0" w:color="auto"/>
                                        <w:left w:val="none" w:sz="0" w:space="0" w:color="auto"/>
                                        <w:bottom w:val="none" w:sz="0" w:space="0" w:color="auto"/>
                                        <w:right w:val="none" w:sz="0" w:space="0" w:color="auto"/>
                                      </w:divBdr>
                                    </w:div>
                                    <w:div w:id="933513278">
                                      <w:marLeft w:val="0"/>
                                      <w:marRight w:val="0"/>
                                      <w:marTop w:val="0"/>
                                      <w:marBottom w:val="0"/>
                                      <w:divBdr>
                                        <w:top w:val="none" w:sz="0" w:space="0" w:color="auto"/>
                                        <w:left w:val="none" w:sz="0" w:space="0" w:color="auto"/>
                                        <w:bottom w:val="none" w:sz="0" w:space="0" w:color="auto"/>
                                        <w:right w:val="none" w:sz="0" w:space="0" w:color="auto"/>
                                      </w:divBdr>
                                      <w:divsChild>
                                        <w:div w:id="602997418">
                                          <w:marLeft w:val="0"/>
                                          <w:marRight w:val="0"/>
                                          <w:marTop w:val="240"/>
                                          <w:marBottom w:val="480"/>
                                          <w:divBdr>
                                            <w:top w:val="none" w:sz="0" w:space="0" w:color="auto"/>
                                            <w:left w:val="none" w:sz="0" w:space="0" w:color="auto"/>
                                            <w:bottom w:val="none" w:sz="0" w:space="0" w:color="auto"/>
                                            <w:right w:val="none" w:sz="0" w:space="0" w:color="auto"/>
                                          </w:divBdr>
                                          <w:divsChild>
                                            <w:div w:id="1446388350">
                                              <w:marLeft w:val="0"/>
                                              <w:marRight w:val="0"/>
                                              <w:marTop w:val="0"/>
                                              <w:marBottom w:val="0"/>
                                              <w:divBdr>
                                                <w:top w:val="single" w:sz="6" w:space="0" w:color="C6C6C6"/>
                                                <w:left w:val="single" w:sz="6" w:space="0" w:color="C6C6C6"/>
                                                <w:bottom w:val="single" w:sz="6" w:space="0" w:color="C6C6C6"/>
                                                <w:right w:val="single" w:sz="6" w:space="0" w:color="C6C6C6"/>
                                              </w:divBdr>
                                            </w:div>
                                            <w:div w:id="123608402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59638864">
                                      <w:marLeft w:val="0"/>
                                      <w:marRight w:val="0"/>
                                      <w:marTop w:val="0"/>
                                      <w:marBottom w:val="0"/>
                                      <w:divBdr>
                                        <w:top w:val="none" w:sz="0" w:space="0" w:color="auto"/>
                                        <w:left w:val="none" w:sz="0" w:space="0" w:color="auto"/>
                                        <w:bottom w:val="none" w:sz="0" w:space="0" w:color="auto"/>
                                        <w:right w:val="none" w:sz="0" w:space="0" w:color="auto"/>
                                      </w:divBdr>
                                    </w:div>
                                  </w:divsChild>
                                </w:div>
                                <w:div w:id="155194005">
                                  <w:marLeft w:val="0"/>
                                  <w:marRight w:val="0"/>
                                  <w:marTop w:val="0"/>
                                  <w:marBottom w:val="450"/>
                                  <w:divBdr>
                                    <w:top w:val="none" w:sz="0" w:space="0" w:color="auto"/>
                                    <w:left w:val="none" w:sz="0" w:space="0" w:color="auto"/>
                                    <w:bottom w:val="none" w:sz="0" w:space="0" w:color="auto"/>
                                    <w:right w:val="none" w:sz="0" w:space="0" w:color="auto"/>
                                  </w:divBdr>
                                  <w:divsChild>
                                    <w:div w:id="558857608">
                                      <w:marLeft w:val="0"/>
                                      <w:marRight w:val="0"/>
                                      <w:marTop w:val="0"/>
                                      <w:marBottom w:val="375"/>
                                      <w:divBdr>
                                        <w:top w:val="none" w:sz="0" w:space="0" w:color="auto"/>
                                        <w:left w:val="none" w:sz="0" w:space="0" w:color="auto"/>
                                        <w:bottom w:val="none" w:sz="0" w:space="0" w:color="auto"/>
                                        <w:right w:val="none" w:sz="0" w:space="0" w:color="auto"/>
                                      </w:divBdr>
                                      <w:divsChild>
                                        <w:div w:id="160196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0051877">
                                  <w:marLeft w:val="0"/>
                                  <w:marRight w:val="0"/>
                                  <w:marTop w:val="0"/>
                                  <w:marBottom w:val="450"/>
                                  <w:divBdr>
                                    <w:top w:val="none" w:sz="0" w:space="0" w:color="auto"/>
                                    <w:left w:val="none" w:sz="0" w:space="0" w:color="auto"/>
                                    <w:bottom w:val="none" w:sz="0" w:space="0" w:color="auto"/>
                                    <w:right w:val="none" w:sz="0" w:space="0" w:color="auto"/>
                                  </w:divBdr>
                                  <w:divsChild>
                                    <w:div w:id="1286618816">
                                      <w:marLeft w:val="0"/>
                                      <w:marRight w:val="0"/>
                                      <w:marTop w:val="0"/>
                                      <w:marBottom w:val="375"/>
                                      <w:divBdr>
                                        <w:top w:val="none" w:sz="0" w:space="0" w:color="auto"/>
                                        <w:left w:val="none" w:sz="0" w:space="0" w:color="auto"/>
                                        <w:bottom w:val="none" w:sz="0" w:space="0" w:color="auto"/>
                                        <w:right w:val="none" w:sz="0" w:space="0" w:color="auto"/>
                                      </w:divBdr>
                                      <w:divsChild>
                                        <w:div w:id="2091346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2174312">
                                  <w:marLeft w:val="0"/>
                                  <w:marRight w:val="0"/>
                                  <w:marTop w:val="0"/>
                                  <w:marBottom w:val="450"/>
                                  <w:divBdr>
                                    <w:top w:val="none" w:sz="0" w:space="0" w:color="auto"/>
                                    <w:left w:val="none" w:sz="0" w:space="0" w:color="auto"/>
                                    <w:bottom w:val="none" w:sz="0" w:space="0" w:color="auto"/>
                                    <w:right w:val="none" w:sz="0" w:space="0" w:color="auto"/>
                                  </w:divBdr>
                                  <w:divsChild>
                                    <w:div w:id="2071729553">
                                      <w:marLeft w:val="0"/>
                                      <w:marRight w:val="0"/>
                                      <w:marTop w:val="0"/>
                                      <w:marBottom w:val="375"/>
                                      <w:divBdr>
                                        <w:top w:val="none" w:sz="0" w:space="0" w:color="auto"/>
                                        <w:left w:val="none" w:sz="0" w:space="0" w:color="auto"/>
                                        <w:bottom w:val="none" w:sz="0" w:space="0" w:color="auto"/>
                                        <w:right w:val="none" w:sz="0" w:space="0" w:color="auto"/>
                                      </w:divBdr>
                                      <w:divsChild>
                                        <w:div w:id="1995720442">
                                          <w:marLeft w:val="0"/>
                                          <w:marRight w:val="0"/>
                                          <w:marTop w:val="0"/>
                                          <w:marBottom w:val="0"/>
                                          <w:divBdr>
                                            <w:top w:val="none" w:sz="0" w:space="0" w:color="auto"/>
                                            <w:left w:val="none" w:sz="0" w:space="0" w:color="auto"/>
                                            <w:bottom w:val="none" w:sz="0" w:space="0" w:color="auto"/>
                                            <w:right w:val="none" w:sz="0" w:space="0" w:color="auto"/>
                                          </w:divBdr>
                                        </w:div>
                                      </w:divsChild>
                                    </w:div>
                                    <w:div w:id="1801998783">
                                      <w:marLeft w:val="0"/>
                                      <w:marRight w:val="0"/>
                                      <w:marTop w:val="0"/>
                                      <w:marBottom w:val="0"/>
                                      <w:divBdr>
                                        <w:top w:val="none" w:sz="0" w:space="0" w:color="auto"/>
                                        <w:left w:val="none" w:sz="0" w:space="0" w:color="auto"/>
                                        <w:bottom w:val="none" w:sz="0" w:space="0" w:color="auto"/>
                                        <w:right w:val="none" w:sz="0" w:space="0" w:color="auto"/>
                                      </w:divBdr>
                                    </w:div>
                                    <w:div w:id="1036003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92047058">
              <w:marLeft w:val="0"/>
              <w:marRight w:val="0"/>
              <w:marTop w:val="0"/>
              <w:marBottom w:val="0"/>
              <w:divBdr>
                <w:top w:val="none" w:sz="0" w:space="0" w:color="auto"/>
                <w:left w:val="none" w:sz="0" w:space="0" w:color="auto"/>
                <w:bottom w:val="single" w:sz="6" w:space="0" w:color="333333"/>
                <w:right w:val="none" w:sz="0" w:space="0" w:color="auto"/>
              </w:divBdr>
              <w:divsChild>
                <w:div w:id="509682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5550600">
          <w:marLeft w:val="0"/>
          <w:marRight w:val="0"/>
          <w:marTop w:val="0"/>
          <w:marBottom w:val="0"/>
          <w:divBdr>
            <w:top w:val="none" w:sz="0" w:space="0" w:color="auto"/>
            <w:left w:val="none" w:sz="0" w:space="0" w:color="auto"/>
            <w:bottom w:val="single" w:sz="6" w:space="0" w:color="333333"/>
            <w:right w:val="none" w:sz="0" w:space="0" w:color="auto"/>
          </w:divBdr>
          <w:divsChild>
            <w:div w:id="564727798">
              <w:marLeft w:val="0"/>
              <w:marRight w:val="0"/>
              <w:marTop w:val="0"/>
              <w:marBottom w:val="0"/>
              <w:divBdr>
                <w:top w:val="none" w:sz="0" w:space="0" w:color="auto"/>
                <w:left w:val="none" w:sz="0" w:space="0" w:color="auto"/>
                <w:bottom w:val="none" w:sz="0" w:space="0" w:color="auto"/>
                <w:right w:val="none" w:sz="0" w:space="0" w:color="auto"/>
              </w:divBdr>
            </w:div>
            <w:div w:id="1665820477">
              <w:marLeft w:val="0"/>
              <w:marRight w:val="0"/>
              <w:marTop w:val="0"/>
              <w:marBottom w:val="0"/>
              <w:divBdr>
                <w:top w:val="single" w:sz="6" w:space="0" w:color="333333"/>
                <w:left w:val="none" w:sz="0" w:space="0" w:color="auto"/>
                <w:bottom w:val="none" w:sz="0" w:space="0" w:color="auto"/>
                <w:right w:val="none" w:sz="0" w:space="0" w:color="auto"/>
              </w:divBdr>
            </w:div>
            <w:div w:id="2061897583">
              <w:marLeft w:val="0"/>
              <w:marRight w:val="0"/>
              <w:marTop w:val="0"/>
              <w:marBottom w:val="0"/>
              <w:divBdr>
                <w:top w:val="single" w:sz="6" w:space="0" w:color="333333"/>
                <w:left w:val="none" w:sz="0" w:space="0" w:color="auto"/>
                <w:bottom w:val="none" w:sz="0" w:space="0" w:color="auto"/>
                <w:right w:val="none" w:sz="0" w:space="0" w:color="auto"/>
              </w:divBdr>
              <w:divsChild>
                <w:div w:id="383258992">
                  <w:marLeft w:val="0"/>
                  <w:marRight w:val="0"/>
                  <w:marTop w:val="0"/>
                  <w:marBottom w:val="0"/>
                  <w:divBdr>
                    <w:top w:val="none" w:sz="0" w:space="0" w:color="auto"/>
                    <w:left w:val="none" w:sz="0" w:space="0" w:color="auto"/>
                    <w:bottom w:val="none" w:sz="0" w:space="0" w:color="auto"/>
                    <w:right w:val="none" w:sz="0" w:space="0" w:color="auto"/>
                  </w:divBdr>
                  <w:divsChild>
                    <w:div w:id="1017659517">
                      <w:marLeft w:val="0"/>
                      <w:marRight w:val="0"/>
                      <w:marTop w:val="0"/>
                      <w:marBottom w:val="0"/>
                      <w:divBdr>
                        <w:top w:val="none" w:sz="0" w:space="0" w:color="auto"/>
                        <w:left w:val="none" w:sz="0" w:space="0" w:color="auto"/>
                        <w:bottom w:val="none" w:sz="0" w:space="0" w:color="auto"/>
                        <w:right w:val="none" w:sz="0" w:space="0" w:color="auto"/>
                      </w:divBdr>
                    </w:div>
                    <w:div w:id="1259407584">
                      <w:marLeft w:val="0"/>
                      <w:marRight w:val="0"/>
                      <w:marTop w:val="0"/>
                      <w:marBottom w:val="0"/>
                      <w:divBdr>
                        <w:top w:val="none" w:sz="0" w:space="0" w:color="auto"/>
                        <w:left w:val="none" w:sz="0" w:space="0" w:color="auto"/>
                        <w:bottom w:val="none" w:sz="0" w:space="0" w:color="auto"/>
                        <w:right w:val="none" w:sz="0" w:space="0" w:color="auto"/>
                      </w:divBdr>
                      <w:divsChild>
                        <w:div w:id="1748532124">
                          <w:marLeft w:val="0"/>
                          <w:marRight w:val="0"/>
                          <w:marTop w:val="0"/>
                          <w:marBottom w:val="0"/>
                          <w:divBdr>
                            <w:top w:val="none" w:sz="0" w:space="0" w:color="auto"/>
                            <w:left w:val="none" w:sz="0" w:space="0" w:color="auto"/>
                            <w:bottom w:val="none" w:sz="0" w:space="0" w:color="auto"/>
                            <w:right w:val="none" w:sz="0" w:space="0" w:color="auto"/>
                          </w:divBdr>
                          <w:divsChild>
                            <w:div w:id="558976623">
                              <w:marLeft w:val="0"/>
                              <w:marRight w:val="0"/>
                              <w:marTop w:val="0"/>
                              <w:marBottom w:val="0"/>
                              <w:divBdr>
                                <w:top w:val="none" w:sz="0" w:space="0" w:color="auto"/>
                                <w:left w:val="none" w:sz="0" w:space="0" w:color="auto"/>
                                <w:bottom w:val="single" w:sz="6" w:space="12" w:color="DDDDDD"/>
                                <w:right w:val="none" w:sz="0" w:space="0" w:color="auto"/>
                              </w:divBdr>
                              <w:divsChild>
                                <w:div w:id="873924836">
                                  <w:marLeft w:val="0"/>
                                  <w:marRight w:val="0"/>
                                  <w:marTop w:val="0"/>
                                  <w:marBottom w:val="0"/>
                                  <w:divBdr>
                                    <w:top w:val="none" w:sz="0" w:space="0" w:color="auto"/>
                                    <w:left w:val="none" w:sz="0" w:space="0" w:color="auto"/>
                                    <w:bottom w:val="none" w:sz="0" w:space="0" w:color="auto"/>
                                    <w:right w:val="none" w:sz="0" w:space="0" w:color="auto"/>
                                  </w:divBdr>
                                  <w:divsChild>
                                    <w:div w:id="2044554432">
                                      <w:marLeft w:val="0"/>
                                      <w:marRight w:val="0"/>
                                      <w:marTop w:val="0"/>
                                      <w:marBottom w:val="0"/>
                                      <w:divBdr>
                                        <w:top w:val="none" w:sz="0" w:space="0" w:color="auto"/>
                                        <w:left w:val="none" w:sz="0" w:space="0" w:color="auto"/>
                                        <w:bottom w:val="none" w:sz="0" w:space="0" w:color="auto"/>
                                        <w:right w:val="none" w:sz="0" w:space="0" w:color="auto"/>
                                      </w:divBdr>
                                      <w:divsChild>
                                        <w:div w:id="434793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1231590">
                              <w:marLeft w:val="0"/>
                              <w:marRight w:val="0"/>
                              <w:marTop w:val="0"/>
                              <w:marBottom w:val="0"/>
                              <w:divBdr>
                                <w:top w:val="none" w:sz="0" w:space="0" w:color="auto"/>
                                <w:left w:val="none" w:sz="0" w:space="0" w:color="auto"/>
                                <w:bottom w:val="single" w:sz="6" w:space="12" w:color="DDDDDD"/>
                                <w:right w:val="none" w:sz="0" w:space="0" w:color="auto"/>
                              </w:divBdr>
                              <w:divsChild>
                                <w:div w:id="1176073408">
                                  <w:marLeft w:val="0"/>
                                  <w:marRight w:val="0"/>
                                  <w:marTop w:val="0"/>
                                  <w:marBottom w:val="0"/>
                                  <w:divBdr>
                                    <w:top w:val="none" w:sz="0" w:space="0" w:color="auto"/>
                                    <w:left w:val="none" w:sz="0" w:space="0" w:color="auto"/>
                                    <w:bottom w:val="none" w:sz="0" w:space="0" w:color="auto"/>
                                    <w:right w:val="none" w:sz="0" w:space="0" w:color="auto"/>
                                  </w:divBdr>
                                  <w:divsChild>
                                    <w:div w:id="1311668147">
                                      <w:marLeft w:val="0"/>
                                      <w:marRight w:val="0"/>
                                      <w:marTop w:val="0"/>
                                      <w:marBottom w:val="0"/>
                                      <w:divBdr>
                                        <w:top w:val="none" w:sz="0" w:space="0" w:color="auto"/>
                                        <w:left w:val="none" w:sz="0" w:space="0" w:color="auto"/>
                                        <w:bottom w:val="none" w:sz="0" w:space="0" w:color="auto"/>
                                        <w:right w:val="none" w:sz="0" w:space="0" w:color="auto"/>
                                      </w:divBdr>
                                      <w:divsChild>
                                        <w:div w:id="444661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4184101">
                              <w:marLeft w:val="0"/>
                              <w:marRight w:val="0"/>
                              <w:marTop w:val="0"/>
                              <w:marBottom w:val="0"/>
                              <w:divBdr>
                                <w:top w:val="none" w:sz="0" w:space="0" w:color="auto"/>
                                <w:left w:val="none" w:sz="0" w:space="0" w:color="auto"/>
                                <w:bottom w:val="single" w:sz="6" w:space="12" w:color="DDDDDD"/>
                                <w:right w:val="none" w:sz="0" w:space="0" w:color="auto"/>
                              </w:divBdr>
                              <w:divsChild>
                                <w:div w:id="1993679662">
                                  <w:marLeft w:val="0"/>
                                  <w:marRight w:val="0"/>
                                  <w:marTop w:val="0"/>
                                  <w:marBottom w:val="0"/>
                                  <w:divBdr>
                                    <w:top w:val="none" w:sz="0" w:space="0" w:color="auto"/>
                                    <w:left w:val="none" w:sz="0" w:space="0" w:color="auto"/>
                                    <w:bottom w:val="none" w:sz="0" w:space="0" w:color="auto"/>
                                    <w:right w:val="none" w:sz="0" w:space="0" w:color="auto"/>
                                  </w:divBdr>
                                  <w:divsChild>
                                    <w:div w:id="938952959">
                                      <w:marLeft w:val="0"/>
                                      <w:marRight w:val="0"/>
                                      <w:marTop w:val="0"/>
                                      <w:marBottom w:val="0"/>
                                      <w:divBdr>
                                        <w:top w:val="none" w:sz="0" w:space="0" w:color="auto"/>
                                        <w:left w:val="none" w:sz="0" w:space="0" w:color="auto"/>
                                        <w:bottom w:val="none" w:sz="0" w:space="0" w:color="auto"/>
                                        <w:right w:val="none" w:sz="0" w:space="0" w:color="auto"/>
                                      </w:divBdr>
                                      <w:divsChild>
                                        <w:div w:id="1344474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3593223">
                              <w:marLeft w:val="0"/>
                              <w:marRight w:val="0"/>
                              <w:marTop w:val="0"/>
                              <w:marBottom w:val="0"/>
                              <w:divBdr>
                                <w:top w:val="none" w:sz="0" w:space="0" w:color="auto"/>
                                <w:left w:val="none" w:sz="0" w:space="0" w:color="auto"/>
                                <w:bottom w:val="single" w:sz="6" w:space="12" w:color="DDDDDD"/>
                                <w:right w:val="none" w:sz="0" w:space="0" w:color="auto"/>
                              </w:divBdr>
                              <w:divsChild>
                                <w:div w:id="1023824634">
                                  <w:marLeft w:val="0"/>
                                  <w:marRight w:val="0"/>
                                  <w:marTop w:val="0"/>
                                  <w:marBottom w:val="0"/>
                                  <w:divBdr>
                                    <w:top w:val="none" w:sz="0" w:space="0" w:color="auto"/>
                                    <w:left w:val="none" w:sz="0" w:space="0" w:color="auto"/>
                                    <w:bottom w:val="none" w:sz="0" w:space="0" w:color="auto"/>
                                    <w:right w:val="none" w:sz="0" w:space="0" w:color="auto"/>
                                  </w:divBdr>
                                  <w:divsChild>
                                    <w:div w:id="2060132596">
                                      <w:marLeft w:val="0"/>
                                      <w:marRight w:val="0"/>
                                      <w:marTop w:val="0"/>
                                      <w:marBottom w:val="0"/>
                                      <w:divBdr>
                                        <w:top w:val="none" w:sz="0" w:space="0" w:color="auto"/>
                                        <w:left w:val="none" w:sz="0" w:space="0" w:color="auto"/>
                                        <w:bottom w:val="none" w:sz="0" w:space="0" w:color="auto"/>
                                        <w:right w:val="none" w:sz="0" w:space="0" w:color="auto"/>
                                      </w:divBdr>
                                      <w:divsChild>
                                        <w:div w:id="1351029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1994292">
                              <w:marLeft w:val="0"/>
                              <w:marRight w:val="0"/>
                              <w:marTop w:val="0"/>
                              <w:marBottom w:val="0"/>
                              <w:divBdr>
                                <w:top w:val="none" w:sz="0" w:space="0" w:color="auto"/>
                                <w:left w:val="none" w:sz="0" w:space="0" w:color="auto"/>
                                <w:bottom w:val="single" w:sz="6" w:space="12" w:color="DDDDDD"/>
                                <w:right w:val="none" w:sz="0" w:space="0" w:color="auto"/>
                              </w:divBdr>
                              <w:divsChild>
                                <w:div w:id="457378738">
                                  <w:marLeft w:val="0"/>
                                  <w:marRight w:val="0"/>
                                  <w:marTop w:val="0"/>
                                  <w:marBottom w:val="0"/>
                                  <w:divBdr>
                                    <w:top w:val="none" w:sz="0" w:space="0" w:color="auto"/>
                                    <w:left w:val="none" w:sz="0" w:space="0" w:color="auto"/>
                                    <w:bottom w:val="none" w:sz="0" w:space="0" w:color="auto"/>
                                    <w:right w:val="none" w:sz="0" w:space="0" w:color="auto"/>
                                  </w:divBdr>
                                  <w:divsChild>
                                    <w:div w:id="156120145">
                                      <w:marLeft w:val="0"/>
                                      <w:marRight w:val="0"/>
                                      <w:marTop w:val="0"/>
                                      <w:marBottom w:val="0"/>
                                      <w:divBdr>
                                        <w:top w:val="none" w:sz="0" w:space="0" w:color="auto"/>
                                        <w:left w:val="none" w:sz="0" w:space="0" w:color="auto"/>
                                        <w:bottom w:val="none" w:sz="0" w:space="0" w:color="auto"/>
                                        <w:right w:val="none" w:sz="0" w:space="0" w:color="auto"/>
                                      </w:divBdr>
                                      <w:divsChild>
                                        <w:div w:id="858544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9721649">
                              <w:marLeft w:val="0"/>
                              <w:marRight w:val="0"/>
                              <w:marTop w:val="0"/>
                              <w:marBottom w:val="0"/>
                              <w:divBdr>
                                <w:top w:val="none" w:sz="0" w:space="0" w:color="auto"/>
                                <w:left w:val="none" w:sz="0" w:space="0" w:color="auto"/>
                                <w:bottom w:val="single" w:sz="6" w:space="12" w:color="DDDDDD"/>
                                <w:right w:val="none" w:sz="0" w:space="0" w:color="auto"/>
                              </w:divBdr>
                              <w:divsChild>
                                <w:div w:id="1578978759">
                                  <w:marLeft w:val="0"/>
                                  <w:marRight w:val="0"/>
                                  <w:marTop w:val="0"/>
                                  <w:marBottom w:val="0"/>
                                  <w:divBdr>
                                    <w:top w:val="none" w:sz="0" w:space="0" w:color="auto"/>
                                    <w:left w:val="none" w:sz="0" w:space="0" w:color="auto"/>
                                    <w:bottom w:val="none" w:sz="0" w:space="0" w:color="auto"/>
                                    <w:right w:val="none" w:sz="0" w:space="0" w:color="auto"/>
                                  </w:divBdr>
                                  <w:divsChild>
                                    <w:div w:id="2107723931">
                                      <w:marLeft w:val="0"/>
                                      <w:marRight w:val="0"/>
                                      <w:marTop w:val="0"/>
                                      <w:marBottom w:val="0"/>
                                      <w:divBdr>
                                        <w:top w:val="none" w:sz="0" w:space="0" w:color="auto"/>
                                        <w:left w:val="none" w:sz="0" w:space="0" w:color="auto"/>
                                        <w:bottom w:val="none" w:sz="0" w:space="0" w:color="auto"/>
                                        <w:right w:val="none" w:sz="0" w:space="0" w:color="auto"/>
                                      </w:divBdr>
                                      <w:divsChild>
                                        <w:div w:id="854660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7330460">
                              <w:marLeft w:val="0"/>
                              <w:marRight w:val="0"/>
                              <w:marTop w:val="0"/>
                              <w:marBottom w:val="0"/>
                              <w:divBdr>
                                <w:top w:val="none" w:sz="0" w:space="0" w:color="auto"/>
                                <w:left w:val="none" w:sz="0" w:space="0" w:color="auto"/>
                                <w:bottom w:val="single" w:sz="6" w:space="12" w:color="DDDDDD"/>
                                <w:right w:val="none" w:sz="0" w:space="0" w:color="auto"/>
                              </w:divBdr>
                              <w:divsChild>
                                <w:div w:id="1162769272">
                                  <w:marLeft w:val="0"/>
                                  <w:marRight w:val="0"/>
                                  <w:marTop w:val="0"/>
                                  <w:marBottom w:val="0"/>
                                  <w:divBdr>
                                    <w:top w:val="none" w:sz="0" w:space="0" w:color="auto"/>
                                    <w:left w:val="none" w:sz="0" w:space="0" w:color="auto"/>
                                    <w:bottom w:val="none" w:sz="0" w:space="0" w:color="auto"/>
                                    <w:right w:val="none" w:sz="0" w:space="0" w:color="auto"/>
                                  </w:divBdr>
                                  <w:divsChild>
                                    <w:div w:id="1723479816">
                                      <w:marLeft w:val="0"/>
                                      <w:marRight w:val="0"/>
                                      <w:marTop w:val="0"/>
                                      <w:marBottom w:val="0"/>
                                      <w:divBdr>
                                        <w:top w:val="none" w:sz="0" w:space="0" w:color="auto"/>
                                        <w:left w:val="none" w:sz="0" w:space="0" w:color="auto"/>
                                        <w:bottom w:val="none" w:sz="0" w:space="0" w:color="auto"/>
                                        <w:right w:val="none" w:sz="0" w:space="0" w:color="auto"/>
                                      </w:divBdr>
                                      <w:divsChild>
                                        <w:div w:id="65569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1903496">
                              <w:marLeft w:val="0"/>
                              <w:marRight w:val="0"/>
                              <w:marTop w:val="0"/>
                              <w:marBottom w:val="0"/>
                              <w:divBdr>
                                <w:top w:val="none" w:sz="0" w:space="0" w:color="auto"/>
                                <w:left w:val="none" w:sz="0" w:space="0" w:color="auto"/>
                                <w:bottom w:val="single" w:sz="6" w:space="12" w:color="DDDDDD"/>
                                <w:right w:val="none" w:sz="0" w:space="0" w:color="auto"/>
                              </w:divBdr>
                              <w:divsChild>
                                <w:div w:id="2114477977">
                                  <w:marLeft w:val="0"/>
                                  <w:marRight w:val="0"/>
                                  <w:marTop w:val="0"/>
                                  <w:marBottom w:val="0"/>
                                  <w:divBdr>
                                    <w:top w:val="none" w:sz="0" w:space="0" w:color="auto"/>
                                    <w:left w:val="none" w:sz="0" w:space="0" w:color="auto"/>
                                    <w:bottom w:val="none" w:sz="0" w:space="0" w:color="auto"/>
                                    <w:right w:val="none" w:sz="0" w:space="0" w:color="auto"/>
                                  </w:divBdr>
                                  <w:divsChild>
                                    <w:div w:id="1752920759">
                                      <w:marLeft w:val="0"/>
                                      <w:marRight w:val="0"/>
                                      <w:marTop w:val="0"/>
                                      <w:marBottom w:val="0"/>
                                      <w:divBdr>
                                        <w:top w:val="none" w:sz="0" w:space="0" w:color="auto"/>
                                        <w:left w:val="none" w:sz="0" w:space="0" w:color="auto"/>
                                        <w:bottom w:val="none" w:sz="0" w:space="0" w:color="auto"/>
                                        <w:right w:val="none" w:sz="0" w:space="0" w:color="auto"/>
                                      </w:divBdr>
                                      <w:divsChild>
                                        <w:div w:id="874545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5673065">
                              <w:marLeft w:val="0"/>
                              <w:marRight w:val="0"/>
                              <w:marTop w:val="0"/>
                              <w:marBottom w:val="0"/>
                              <w:divBdr>
                                <w:top w:val="none" w:sz="0" w:space="0" w:color="auto"/>
                                <w:left w:val="none" w:sz="0" w:space="0" w:color="auto"/>
                                <w:bottom w:val="single" w:sz="6" w:space="12" w:color="DDDDDD"/>
                                <w:right w:val="none" w:sz="0" w:space="0" w:color="auto"/>
                              </w:divBdr>
                              <w:divsChild>
                                <w:div w:id="978462877">
                                  <w:marLeft w:val="0"/>
                                  <w:marRight w:val="0"/>
                                  <w:marTop w:val="0"/>
                                  <w:marBottom w:val="0"/>
                                  <w:divBdr>
                                    <w:top w:val="none" w:sz="0" w:space="0" w:color="auto"/>
                                    <w:left w:val="none" w:sz="0" w:space="0" w:color="auto"/>
                                    <w:bottom w:val="none" w:sz="0" w:space="0" w:color="auto"/>
                                    <w:right w:val="none" w:sz="0" w:space="0" w:color="auto"/>
                                  </w:divBdr>
                                  <w:divsChild>
                                    <w:div w:id="973481144">
                                      <w:marLeft w:val="0"/>
                                      <w:marRight w:val="0"/>
                                      <w:marTop w:val="0"/>
                                      <w:marBottom w:val="0"/>
                                      <w:divBdr>
                                        <w:top w:val="none" w:sz="0" w:space="0" w:color="auto"/>
                                        <w:left w:val="none" w:sz="0" w:space="0" w:color="auto"/>
                                        <w:bottom w:val="none" w:sz="0" w:space="0" w:color="auto"/>
                                        <w:right w:val="none" w:sz="0" w:space="0" w:color="auto"/>
                                      </w:divBdr>
                                      <w:divsChild>
                                        <w:div w:id="1753307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7345293">
                              <w:marLeft w:val="0"/>
                              <w:marRight w:val="0"/>
                              <w:marTop w:val="0"/>
                              <w:marBottom w:val="0"/>
                              <w:divBdr>
                                <w:top w:val="none" w:sz="0" w:space="0" w:color="auto"/>
                                <w:left w:val="none" w:sz="0" w:space="0" w:color="auto"/>
                                <w:bottom w:val="single" w:sz="6" w:space="12" w:color="DDDDDD"/>
                                <w:right w:val="none" w:sz="0" w:space="0" w:color="auto"/>
                              </w:divBdr>
                              <w:divsChild>
                                <w:div w:id="4864276">
                                  <w:marLeft w:val="0"/>
                                  <w:marRight w:val="0"/>
                                  <w:marTop w:val="0"/>
                                  <w:marBottom w:val="0"/>
                                  <w:divBdr>
                                    <w:top w:val="none" w:sz="0" w:space="0" w:color="auto"/>
                                    <w:left w:val="none" w:sz="0" w:space="0" w:color="auto"/>
                                    <w:bottom w:val="none" w:sz="0" w:space="0" w:color="auto"/>
                                    <w:right w:val="none" w:sz="0" w:space="0" w:color="auto"/>
                                  </w:divBdr>
                                  <w:divsChild>
                                    <w:div w:id="1639339194">
                                      <w:marLeft w:val="0"/>
                                      <w:marRight w:val="0"/>
                                      <w:marTop w:val="0"/>
                                      <w:marBottom w:val="0"/>
                                      <w:divBdr>
                                        <w:top w:val="none" w:sz="0" w:space="0" w:color="auto"/>
                                        <w:left w:val="none" w:sz="0" w:space="0" w:color="auto"/>
                                        <w:bottom w:val="none" w:sz="0" w:space="0" w:color="auto"/>
                                        <w:right w:val="none" w:sz="0" w:space="0" w:color="auto"/>
                                      </w:divBdr>
                                      <w:divsChild>
                                        <w:div w:id="1943299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2674215">
                              <w:marLeft w:val="0"/>
                              <w:marRight w:val="0"/>
                              <w:marTop w:val="0"/>
                              <w:marBottom w:val="0"/>
                              <w:divBdr>
                                <w:top w:val="none" w:sz="0" w:space="0" w:color="auto"/>
                                <w:left w:val="none" w:sz="0" w:space="0" w:color="auto"/>
                                <w:bottom w:val="single" w:sz="6" w:space="12" w:color="DDDDDD"/>
                                <w:right w:val="none" w:sz="0" w:space="0" w:color="auto"/>
                              </w:divBdr>
                              <w:divsChild>
                                <w:div w:id="2008485003">
                                  <w:marLeft w:val="0"/>
                                  <w:marRight w:val="0"/>
                                  <w:marTop w:val="0"/>
                                  <w:marBottom w:val="0"/>
                                  <w:divBdr>
                                    <w:top w:val="none" w:sz="0" w:space="0" w:color="auto"/>
                                    <w:left w:val="none" w:sz="0" w:space="0" w:color="auto"/>
                                    <w:bottom w:val="none" w:sz="0" w:space="0" w:color="auto"/>
                                    <w:right w:val="none" w:sz="0" w:space="0" w:color="auto"/>
                                  </w:divBdr>
                                  <w:divsChild>
                                    <w:div w:id="340857577">
                                      <w:marLeft w:val="0"/>
                                      <w:marRight w:val="0"/>
                                      <w:marTop w:val="0"/>
                                      <w:marBottom w:val="0"/>
                                      <w:divBdr>
                                        <w:top w:val="none" w:sz="0" w:space="0" w:color="auto"/>
                                        <w:left w:val="none" w:sz="0" w:space="0" w:color="auto"/>
                                        <w:bottom w:val="none" w:sz="0" w:space="0" w:color="auto"/>
                                        <w:right w:val="none" w:sz="0" w:space="0" w:color="auto"/>
                                      </w:divBdr>
                                      <w:divsChild>
                                        <w:div w:id="226648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8821276">
                              <w:marLeft w:val="0"/>
                              <w:marRight w:val="0"/>
                              <w:marTop w:val="0"/>
                              <w:marBottom w:val="0"/>
                              <w:divBdr>
                                <w:top w:val="none" w:sz="0" w:space="0" w:color="auto"/>
                                <w:left w:val="none" w:sz="0" w:space="0" w:color="auto"/>
                                <w:bottom w:val="single" w:sz="6" w:space="12" w:color="DDDDDD"/>
                                <w:right w:val="none" w:sz="0" w:space="0" w:color="auto"/>
                              </w:divBdr>
                              <w:divsChild>
                                <w:div w:id="177742158">
                                  <w:marLeft w:val="0"/>
                                  <w:marRight w:val="0"/>
                                  <w:marTop w:val="0"/>
                                  <w:marBottom w:val="0"/>
                                  <w:divBdr>
                                    <w:top w:val="none" w:sz="0" w:space="0" w:color="auto"/>
                                    <w:left w:val="none" w:sz="0" w:space="0" w:color="auto"/>
                                    <w:bottom w:val="none" w:sz="0" w:space="0" w:color="auto"/>
                                    <w:right w:val="none" w:sz="0" w:space="0" w:color="auto"/>
                                  </w:divBdr>
                                  <w:divsChild>
                                    <w:div w:id="223563845">
                                      <w:marLeft w:val="0"/>
                                      <w:marRight w:val="0"/>
                                      <w:marTop w:val="0"/>
                                      <w:marBottom w:val="0"/>
                                      <w:divBdr>
                                        <w:top w:val="none" w:sz="0" w:space="0" w:color="auto"/>
                                        <w:left w:val="none" w:sz="0" w:space="0" w:color="auto"/>
                                        <w:bottom w:val="none" w:sz="0" w:space="0" w:color="auto"/>
                                        <w:right w:val="none" w:sz="0" w:space="0" w:color="auto"/>
                                      </w:divBdr>
                                      <w:divsChild>
                                        <w:div w:id="1990208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192890">
                              <w:marLeft w:val="0"/>
                              <w:marRight w:val="0"/>
                              <w:marTop w:val="0"/>
                              <w:marBottom w:val="0"/>
                              <w:divBdr>
                                <w:top w:val="none" w:sz="0" w:space="0" w:color="auto"/>
                                <w:left w:val="none" w:sz="0" w:space="0" w:color="auto"/>
                                <w:bottom w:val="single" w:sz="6" w:space="12" w:color="DDDDDD"/>
                                <w:right w:val="none" w:sz="0" w:space="0" w:color="auto"/>
                              </w:divBdr>
                              <w:divsChild>
                                <w:div w:id="1439376627">
                                  <w:marLeft w:val="0"/>
                                  <w:marRight w:val="0"/>
                                  <w:marTop w:val="0"/>
                                  <w:marBottom w:val="0"/>
                                  <w:divBdr>
                                    <w:top w:val="none" w:sz="0" w:space="0" w:color="auto"/>
                                    <w:left w:val="none" w:sz="0" w:space="0" w:color="auto"/>
                                    <w:bottom w:val="none" w:sz="0" w:space="0" w:color="auto"/>
                                    <w:right w:val="none" w:sz="0" w:space="0" w:color="auto"/>
                                  </w:divBdr>
                                  <w:divsChild>
                                    <w:div w:id="102267047">
                                      <w:marLeft w:val="0"/>
                                      <w:marRight w:val="0"/>
                                      <w:marTop w:val="0"/>
                                      <w:marBottom w:val="0"/>
                                      <w:divBdr>
                                        <w:top w:val="none" w:sz="0" w:space="0" w:color="auto"/>
                                        <w:left w:val="none" w:sz="0" w:space="0" w:color="auto"/>
                                        <w:bottom w:val="none" w:sz="0" w:space="0" w:color="auto"/>
                                        <w:right w:val="none" w:sz="0" w:space="0" w:color="auto"/>
                                      </w:divBdr>
                                      <w:divsChild>
                                        <w:div w:id="1226794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3955951">
                              <w:marLeft w:val="0"/>
                              <w:marRight w:val="0"/>
                              <w:marTop w:val="0"/>
                              <w:marBottom w:val="0"/>
                              <w:divBdr>
                                <w:top w:val="none" w:sz="0" w:space="0" w:color="auto"/>
                                <w:left w:val="none" w:sz="0" w:space="0" w:color="auto"/>
                                <w:bottom w:val="single" w:sz="6" w:space="12" w:color="DDDDDD"/>
                                <w:right w:val="none" w:sz="0" w:space="0" w:color="auto"/>
                              </w:divBdr>
                              <w:divsChild>
                                <w:div w:id="1614826667">
                                  <w:marLeft w:val="0"/>
                                  <w:marRight w:val="0"/>
                                  <w:marTop w:val="0"/>
                                  <w:marBottom w:val="0"/>
                                  <w:divBdr>
                                    <w:top w:val="none" w:sz="0" w:space="0" w:color="auto"/>
                                    <w:left w:val="none" w:sz="0" w:space="0" w:color="auto"/>
                                    <w:bottom w:val="none" w:sz="0" w:space="0" w:color="auto"/>
                                    <w:right w:val="none" w:sz="0" w:space="0" w:color="auto"/>
                                  </w:divBdr>
                                  <w:divsChild>
                                    <w:div w:id="2103985086">
                                      <w:marLeft w:val="0"/>
                                      <w:marRight w:val="0"/>
                                      <w:marTop w:val="0"/>
                                      <w:marBottom w:val="0"/>
                                      <w:divBdr>
                                        <w:top w:val="none" w:sz="0" w:space="0" w:color="auto"/>
                                        <w:left w:val="none" w:sz="0" w:space="0" w:color="auto"/>
                                        <w:bottom w:val="none" w:sz="0" w:space="0" w:color="auto"/>
                                        <w:right w:val="none" w:sz="0" w:space="0" w:color="auto"/>
                                      </w:divBdr>
                                      <w:divsChild>
                                        <w:div w:id="1069965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5253121">
                              <w:marLeft w:val="0"/>
                              <w:marRight w:val="0"/>
                              <w:marTop w:val="0"/>
                              <w:marBottom w:val="0"/>
                              <w:divBdr>
                                <w:top w:val="none" w:sz="0" w:space="0" w:color="auto"/>
                                <w:left w:val="none" w:sz="0" w:space="0" w:color="auto"/>
                                <w:bottom w:val="single" w:sz="6" w:space="12" w:color="DDDDDD"/>
                                <w:right w:val="none" w:sz="0" w:space="0" w:color="auto"/>
                              </w:divBdr>
                              <w:divsChild>
                                <w:div w:id="1415274503">
                                  <w:marLeft w:val="0"/>
                                  <w:marRight w:val="0"/>
                                  <w:marTop w:val="0"/>
                                  <w:marBottom w:val="0"/>
                                  <w:divBdr>
                                    <w:top w:val="none" w:sz="0" w:space="0" w:color="auto"/>
                                    <w:left w:val="none" w:sz="0" w:space="0" w:color="auto"/>
                                    <w:bottom w:val="none" w:sz="0" w:space="0" w:color="auto"/>
                                    <w:right w:val="none" w:sz="0" w:space="0" w:color="auto"/>
                                  </w:divBdr>
                                  <w:divsChild>
                                    <w:div w:id="1167328992">
                                      <w:marLeft w:val="0"/>
                                      <w:marRight w:val="0"/>
                                      <w:marTop w:val="0"/>
                                      <w:marBottom w:val="0"/>
                                      <w:divBdr>
                                        <w:top w:val="none" w:sz="0" w:space="0" w:color="auto"/>
                                        <w:left w:val="none" w:sz="0" w:space="0" w:color="auto"/>
                                        <w:bottom w:val="none" w:sz="0" w:space="0" w:color="auto"/>
                                        <w:right w:val="none" w:sz="0" w:space="0" w:color="auto"/>
                                      </w:divBdr>
                                      <w:divsChild>
                                        <w:div w:id="999308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5351021">
                              <w:marLeft w:val="0"/>
                              <w:marRight w:val="0"/>
                              <w:marTop w:val="0"/>
                              <w:marBottom w:val="0"/>
                              <w:divBdr>
                                <w:top w:val="none" w:sz="0" w:space="0" w:color="auto"/>
                                <w:left w:val="none" w:sz="0" w:space="0" w:color="auto"/>
                                <w:bottom w:val="single" w:sz="6" w:space="12" w:color="DDDDDD"/>
                                <w:right w:val="none" w:sz="0" w:space="0" w:color="auto"/>
                              </w:divBdr>
                              <w:divsChild>
                                <w:div w:id="1731726970">
                                  <w:marLeft w:val="0"/>
                                  <w:marRight w:val="0"/>
                                  <w:marTop w:val="0"/>
                                  <w:marBottom w:val="0"/>
                                  <w:divBdr>
                                    <w:top w:val="none" w:sz="0" w:space="0" w:color="auto"/>
                                    <w:left w:val="none" w:sz="0" w:space="0" w:color="auto"/>
                                    <w:bottom w:val="none" w:sz="0" w:space="0" w:color="auto"/>
                                    <w:right w:val="none" w:sz="0" w:space="0" w:color="auto"/>
                                  </w:divBdr>
                                  <w:divsChild>
                                    <w:div w:id="40173851">
                                      <w:marLeft w:val="0"/>
                                      <w:marRight w:val="0"/>
                                      <w:marTop w:val="0"/>
                                      <w:marBottom w:val="0"/>
                                      <w:divBdr>
                                        <w:top w:val="none" w:sz="0" w:space="0" w:color="auto"/>
                                        <w:left w:val="none" w:sz="0" w:space="0" w:color="auto"/>
                                        <w:bottom w:val="none" w:sz="0" w:space="0" w:color="auto"/>
                                        <w:right w:val="none" w:sz="0" w:space="0" w:color="auto"/>
                                      </w:divBdr>
                                      <w:divsChild>
                                        <w:div w:id="807941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7814520">
                              <w:marLeft w:val="0"/>
                              <w:marRight w:val="0"/>
                              <w:marTop w:val="0"/>
                              <w:marBottom w:val="0"/>
                              <w:divBdr>
                                <w:top w:val="none" w:sz="0" w:space="0" w:color="auto"/>
                                <w:left w:val="none" w:sz="0" w:space="0" w:color="auto"/>
                                <w:bottom w:val="single" w:sz="6" w:space="12" w:color="DDDDDD"/>
                                <w:right w:val="none" w:sz="0" w:space="0" w:color="auto"/>
                              </w:divBdr>
                              <w:divsChild>
                                <w:div w:id="1201430267">
                                  <w:marLeft w:val="0"/>
                                  <w:marRight w:val="0"/>
                                  <w:marTop w:val="0"/>
                                  <w:marBottom w:val="0"/>
                                  <w:divBdr>
                                    <w:top w:val="none" w:sz="0" w:space="0" w:color="auto"/>
                                    <w:left w:val="none" w:sz="0" w:space="0" w:color="auto"/>
                                    <w:bottom w:val="none" w:sz="0" w:space="0" w:color="auto"/>
                                    <w:right w:val="none" w:sz="0" w:space="0" w:color="auto"/>
                                  </w:divBdr>
                                  <w:divsChild>
                                    <w:div w:id="723917234">
                                      <w:marLeft w:val="0"/>
                                      <w:marRight w:val="0"/>
                                      <w:marTop w:val="0"/>
                                      <w:marBottom w:val="0"/>
                                      <w:divBdr>
                                        <w:top w:val="none" w:sz="0" w:space="0" w:color="auto"/>
                                        <w:left w:val="none" w:sz="0" w:space="0" w:color="auto"/>
                                        <w:bottom w:val="none" w:sz="0" w:space="0" w:color="auto"/>
                                        <w:right w:val="none" w:sz="0" w:space="0" w:color="auto"/>
                                      </w:divBdr>
                                      <w:divsChild>
                                        <w:div w:id="75367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3498589">
                              <w:marLeft w:val="0"/>
                              <w:marRight w:val="0"/>
                              <w:marTop w:val="0"/>
                              <w:marBottom w:val="0"/>
                              <w:divBdr>
                                <w:top w:val="none" w:sz="0" w:space="0" w:color="auto"/>
                                <w:left w:val="none" w:sz="0" w:space="0" w:color="auto"/>
                                <w:bottom w:val="single" w:sz="6" w:space="12" w:color="DDDDDD"/>
                                <w:right w:val="none" w:sz="0" w:space="0" w:color="auto"/>
                              </w:divBdr>
                              <w:divsChild>
                                <w:div w:id="39473970">
                                  <w:marLeft w:val="0"/>
                                  <w:marRight w:val="0"/>
                                  <w:marTop w:val="0"/>
                                  <w:marBottom w:val="0"/>
                                  <w:divBdr>
                                    <w:top w:val="none" w:sz="0" w:space="0" w:color="auto"/>
                                    <w:left w:val="none" w:sz="0" w:space="0" w:color="auto"/>
                                    <w:bottom w:val="none" w:sz="0" w:space="0" w:color="auto"/>
                                    <w:right w:val="none" w:sz="0" w:space="0" w:color="auto"/>
                                  </w:divBdr>
                                  <w:divsChild>
                                    <w:div w:id="1367488419">
                                      <w:marLeft w:val="0"/>
                                      <w:marRight w:val="0"/>
                                      <w:marTop w:val="0"/>
                                      <w:marBottom w:val="0"/>
                                      <w:divBdr>
                                        <w:top w:val="none" w:sz="0" w:space="0" w:color="auto"/>
                                        <w:left w:val="none" w:sz="0" w:space="0" w:color="auto"/>
                                        <w:bottom w:val="none" w:sz="0" w:space="0" w:color="auto"/>
                                        <w:right w:val="none" w:sz="0" w:space="0" w:color="auto"/>
                                      </w:divBdr>
                                      <w:divsChild>
                                        <w:div w:id="175510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2802593">
                              <w:marLeft w:val="0"/>
                              <w:marRight w:val="0"/>
                              <w:marTop w:val="0"/>
                              <w:marBottom w:val="0"/>
                              <w:divBdr>
                                <w:top w:val="none" w:sz="0" w:space="0" w:color="auto"/>
                                <w:left w:val="none" w:sz="0" w:space="0" w:color="auto"/>
                                <w:bottom w:val="single" w:sz="6" w:space="12" w:color="DDDDDD"/>
                                <w:right w:val="none" w:sz="0" w:space="0" w:color="auto"/>
                              </w:divBdr>
                              <w:divsChild>
                                <w:div w:id="612520893">
                                  <w:marLeft w:val="0"/>
                                  <w:marRight w:val="0"/>
                                  <w:marTop w:val="0"/>
                                  <w:marBottom w:val="0"/>
                                  <w:divBdr>
                                    <w:top w:val="none" w:sz="0" w:space="0" w:color="auto"/>
                                    <w:left w:val="none" w:sz="0" w:space="0" w:color="auto"/>
                                    <w:bottom w:val="none" w:sz="0" w:space="0" w:color="auto"/>
                                    <w:right w:val="none" w:sz="0" w:space="0" w:color="auto"/>
                                  </w:divBdr>
                                  <w:divsChild>
                                    <w:div w:id="428891877">
                                      <w:marLeft w:val="0"/>
                                      <w:marRight w:val="0"/>
                                      <w:marTop w:val="0"/>
                                      <w:marBottom w:val="0"/>
                                      <w:divBdr>
                                        <w:top w:val="none" w:sz="0" w:space="0" w:color="auto"/>
                                        <w:left w:val="none" w:sz="0" w:space="0" w:color="auto"/>
                                        <w:bottom w:val="none" w:sz="0" w:space="0" w:color="auto"/>
                                        <w:right w:val="none" w:sz="0" w:space="0" w:color="auto"/>
                                      </w:divBdr>
                                      <w:divsChild>
                                        <w:div w:id="1698114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8900500">
                              <w:marLeft w:val="0"/>
                              <w:marRight w:val="0"/>
                              <w:marTop w:val="0"/>
                              <w:marBottom w:val="0"/>
                              <w:divBdr>
                                <w:top w:val="none" w:sz="0" w:space="0" w:color="auto"/>
                                <w:left w:val="none" w:sz="0" w:space="0" w:color="auto"/>
                                <w:bottom w:val="single" w:sz="6" w:space="12" w:color="DDDDDD"/>
                                <w:right w:val="none" w:sz="0" w:space="0" w:color="auto"/>
                              </w:divBdr>
                              <w:divsChild>
                                <w:div w:id="41830736">
                                  <w:marLeft w:val="0"/>
                                  <w:marRight w:val="0"/>
                                  <w:marTop w:val="0"/>
                                  <w:marBottom w:val="0"/>
                                  <w:divBdr>
                                    <w:top w:val="none" w:sz="0" w:space="0" w:color="auto"/>
                                    <w:left w:val="none" w:sz="0" w:space="0" w:color="auto"/>
                                    <w:bottom w:val="none" w:sz="0" w:space="0" w:color="auto"/>
                                    <w:right w:val="none" w:sz="0" w:space="0" w:color="auto"/>
                                  </w:divBdr>
                                  <w:divsChild>
                                    <w:div w:id="1046224748">
                                      <w:marLeft w:val="0"/>
                                      <w:marRight w:val="0"/>
                                      <w:marTop w:val="0"/>
                                      <w:marBottom w:val="0"/>
                                      <w:divBdr>
                                        <w:top w:val="none" w:sz="0" w:space="0" w:color="auto"/>
                                        <w:left w:val="none" w:sz="0" w:space="0" w:color="auto"/>
                                        <w:bottom w:val="none" w:sz="0" w:space="0" w:color="auto"/>
                                        <w:right w:val="none" w:sz="0" w:space="0" w:color="auto"/>
                                      </w:divBdr>
                                      <w:divsChild>
                                        <w:div w:id="399402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0824718">
                              <w:marLeft w:val="0"/>
                              <w:marRight w:val="0"/>
                              <w:marTop w:val="0"/>
                              <w:marBottom w:val="0"/>
                              <w:divBdr>
                                <w:top w:val="none" w:sz="0" w:space="0" w:color="auto"/>
                                <w:left w:val="none" w:sz="0" w:space="0" w:color="auto"/>
                                <w:bottom w:val="single" w:sz="6" w:space="12" w:color="DDDDDD"/>
                                <w:right w:val="none" w:sz="0" w:space="0" w:color="auto"/>
                              </w:divBdr>
                              <w:divsChild>
                                <w:div w:id="1700088001">
                                  <w:marLeft w:val="0"/>
                                  <w:marRight w:val="0"/>
                                  <w:marTop w:val="0"/>
                                  <w:marBottom w:val="0"/>
                                  <w:divBdr>
                                    <w:top w:val="none" w:sz="0" w:space="0" w:color="auto"/>
                                    <w:left w:val="none" w:sz="0" w:space="0" w:color="auto"/>
                                    <w:bottom w:val="none" w:sz="0" w:space="0" w:color="auto"/>
                                    <w:right w:val="none" w:sz="0" w:space="0" w:color="auto"/>
                                  </w:divBdr>
                                  <w:divsChild>
                                    <w:div w:id="2147044116">
                                      <w:marLeft w:val="0"/>
                                      <w:marRight w:val="0"/>
                                      <w:marTop w:val="0"/>
                                      <w:marBottom w:val="0"/>
                                      <w:divBdr>
                                        <w:top w:val="none" w:sz="0" w:space="0" w:color="auto"/>
                                        <w:left w:val="none" w:sz="0" w:space="0" w:color="auto"/>
                                        <w:bottom w:val="none" w:sz="0" w:space="0" w:color="auto"/>
                                        <w:right w:val="none" w:sz="0" w:space="0" w:color="auto"/>
                                      </w:divBdr>
                                      <w:divsChild>
                                        <w:div w:id="576672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9318123">
                              <w:marLeft w:val="0"/>
                              <w:marRight w:val="0"/>
                              <w:marTop w:val="0"/>
                              <w:marBottom w:val="0"/>
                              <w:divBdr>
                                <w:top w:val="none" w:sz="0" w:space="0" w:color="auto"/>
                                <w:left w:val="none" w:sz="0" w:space="0" w:color="auto"/>
                                <w:bottom w:val="single" w:sz="6" w:space="12" w:color="DDDDDD"/>
                                <w:right w:val="none" w:sz="0" w:space="0" w:color="auto"/>
                              </w:divBdr>
                              <w:divsChild>
                                <w:div w:id="1456099549">
                                  <w:marLeft w:val="0"/>
                                  <w:marRight w:val="0"/>
                                  <w:marTop w:val="0"/>
                                  <w:marBottom w:val="0"/>
                                  <w:divBdr>
                                    <w:top w:val="none" w:sz="0" w:space="0" w:color="auto"/>
                                    <w:left w:val="none" w:sz="0" w:space="0" w:color="auto"/>
                                    <w:bottom w:val="none" w:sz="0" w:space="0" w:color="auto"/>
                                    <w:right w:val="none" w:sz="0" w:space="0" w:color="auto"/>
                                  </w:divBdr>
                                  <w:divsChild>
                                    <w:div w:id="1047023000">
                                      <w:marLeft w:val="0"/>
                                      <w:marRight w:val="0"/>
                                      <w:marTop w:val="0"/>
                                      <w:marBottom w:val="0"/>
                                      <w:divBdr>
                                        <w:top w:val="none" w:sz="0" w:space="0" w:color="auto"/>
                                        <w:left w:val="none" w:sz="0" w:space="0" w:color="auto"/>
                                        <w:bottom w:val="none" w:sz="0" w:space="0" w:color="auto"/>
                                        <w:right w:val="none" w:sz="0" w:space="0" w:color="auto"/>
                                      </w:divBdr>
                                      <w:divsChild>
                                        <w:div w:id="195316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563285">
                              <w:marLeft w:val="0"/>
                              <w:marRight w:val="0"/>
                              <w:marTop w:val="0"/>
                              <w:marBottom w:val="0"/>
                              <w:divBdr>
                                <w:top w:val="none" w:sz="0" w:space="0" w:color="auto"/>
                                <w:left w:val="none" w:sz="0" w:space="0" w:color="auto"/>
                                <w:bottom w:val="single" w:sz="6" w:space="12" w:color="DDDDDD"/>
                                <w:right w:val="none" w:sz="0" w:space="0" w:color="auto"/>
                              </w:divBdr>
                              <w:divsChild>
                                <w:div w:id="1321154057">
                                  <w:marLeft w:val="0"/>
                                  <w:marRight w:val="0"/>
                                  <w:marTop w:val="0"/>
                                  <w:marBottom w:val="0"/>
                                  <w:divBdr>
                                    <w:top w:val="none" w:sz="0" w:space="0" w:color="auto"/>
                                    <w:left w:val="none" w:sz="0" w:space="0" w:color="auto"/>
                                    <w:bottom w:val="none" w:sz="0" w:space="0" w:color="auto"/>
                                    <w:right w:val="none" w:sz="0" w:space="0" w:color="auto"/>
                                  </w:divBdr>
                                  <w:divsChild>
                                    <w:div w:id="2062514867">
                                      <w:marLeft w:val="0"/>
                                      <w:marRight w:val="0"/>
                                      <w:marTop w:val="0"/>
                                      <w:marBottom w:val="0"/>
                                      <w:divBdr>
                                        <w:top w:val="none" w:sz="0" w:space="0" w:color="auto"/>
                                        <w:left w:val="none" w:sz="0" w:space="0" w:color="auto"/>
                                        <w:bottom w:val="none" w:sz="0" w:space="0" w:color="auto"/>
                                        <w:right w:val="none" w:sz="0" w:space="0" w:color="auto"/>
                                      </w:divBdr>
                                      <w:divsChild>
                                        <w:div w:id="27294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0659456">
                              <w:marLeft w:val="0"/>
                              <w:marRight w:val="0"/>
                              <w:marTop w:val="0"/>
                              <w:marBottom w:val="0"/>
                              <w:divBdr>
                                <w:top w:val="none" w:sz="0" w:space="0" w:color="auto"/>
                                <w:left w:val="none" w:sz="0" w:space="0" w:color="auto"/>
                                <w:bottom w:val="single" w:sz="6" w:space="12" w:color="DDDDDD"/>
                                <w:right w:val="none" w:sz="0" w:space="0" w:color="auto"/>
                              </w:divBdr>
                              <w:divsChild>
                                <w:div w:id="1468937269">
                                  <w:marLeft w:val="0"/>
                                  <w:marRight w:val="0"/>
                                  <w:marTop w:val="0"/>
                                  <w:marBottom w:val="0"/>
                                  <w:divBdr>
                                    <w:top w:val="none" w:sz="0" w:space="0" w:color="auto"/>
                                    <w:left w:val="none" w:sz="0" w:space="0" w:color="auto"/>
                                    <w:bottom w:val="none" w:sz="0" w:space="0" w:color="auto"/>
                                    <w:right w:val="none" w:sz="0" w:space="0" w:color="auto"/>
                                  </w:divBdr>
                                  <w:divsChild>
                                    <w:div w:id="1819760602">
                                      <w:marLeft w:val="0"/>
                                      <w:marRight w:val="0"/>
                                      <w:marTop w:val="0"/>
                                      <w:marBottom w:val="0"/>
                                      <w:divBdr>
                                        <w:top w:val="none" w:sz="0" w:space="0" w:color="auto"/>
                                        <w:left w:val="none" w:sz="0" w:space="0" w:color="auto"/>
                                        <w:bottom w:val="none" w:sz="0" w:space="0" w:color="auto"/>
                                        <w:right w:val="none" w:sz="0" w:space="0" w:color="auto"/>
                                      </w:divBdr>
                                      <w:divsChild>
                                        <w:div w:id="1966041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4791268">
                              <w:marLeft w:val="0"/>
                              <w:marRight w:val="0"/>
                              <w:marTop w:val="0"/>
                              <w:marBottom w:val="0"/>
                              <w:divBdr>
                                <w:top w:val="none" w:sz="0" w:space="0" w:color="auto"/>
                                <w:left w:val="none" w:sz="0" w:space="0" w:color="auto"/>
                                <w:bottom w:val="none" w:sz="0" w:space="0" w:color="auto"/>
                                <w:right w:val="none" w:sz="0" w:space="0" w:color="auto"/>
                              </w:divBdr>
                              <w:divsChild>
                                <w:div w:id="1679113339">
                                  <w:marLeft w:val="0"/>
                                  <w:marRight w:val="0"/>
                                  <w:marTop w:val="0"/>
                                  <w:marBottom w:val="0"/>
                                  <w:divBdr>
                                    <w:top w:val="none" w:sz="0" w:space="0" w:color="auto"/>
                                    <w:left w:val="none" w:sz="0" w:space="0" w:color="auto"/>
                                    <w:bottom w:val="none" w:sz="0" w:space="0" w:color="auto"/>
                                    <w:right w:val="none" w:sz="0" w:space="0" w:color="auto"/>
                                  </w:divBdr>
                                  <w:divsChild>
                                    <w:div w:id="1894533985">
                                      <w:marLeft w:val="0"/>
                                      <w:marRight w:val="0"/>
                                      <w:marTop w:val="0"/>
                                      <w:marBottom w:val="0"/>
                                      <w:divBdr>
                                        <w:top w:val="none" w:sz="0" w:space="0" w:color="auto"/>
                                        <w:left w:val="none" w:sz="0" w:space="0" w:color="auto"/>
                                        <w:bottom w:val="none" w:sz="0" w:space="0" w:color="auto"/>
                                        <w:right w:val="none" w:sz="0" w:space="0" w:color="auto"/>
                                      </w:divBdr>
                                      <w:divsChild>
                                        <w:div w:id="267737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38340374">
      <w:bodyDiv w:val="1"/>
      <w:marLeft w:val="0"/>
      <w:marRight w:val="0"/>
      <w:marTop w:val="0"/>
      <w:marBottom w:val="0"/>
      <w:divBdr>
        <w:top w:val="none" w:sz="0" w:space="0" w:color="auto"/>
        <w:left w:val="none" w:sz="0" w:space="0" w:color="auto"/>
        <w:bottom w:val="none" w:sz="0" w:space="0" w:color="auto"/>
        <w:right w:val="none" w:sz="0" w:space="0" w:color="auto"/>
      </w:divBdr>
      <w:divsChild>
        <w:div w:id="1346709739">
          <w:marLeft w:val="0"/>
          <w:marRight w:val="0"/>
          <w:marTop w:val="0"/>
          <w:marBottom w:val="0"/>
          <w:divBdr>
            <w:top w:val="none" w:sz="0" w:space="0" w:color="auto"/>
            <w:left w:val="none" w:sz="0" w:space="0" w:color="auto"/>
            <w:bottom w:val="none" w:sz="0" w:space="0" w:color="auto"/>
            <w:right w:val="none" w:sz="0" w:space="0" w:color="auto"/>
          </w:divBdr>
          <w:divsChild>
            <w:div w:id="1364591650">
              <w:marLeft w:val="0"/>
              <w:marRight w:val="0"/>
              <w:marTop w:val="0"/>
              <w:marBottom w:val="0"/>
              <w:divBdr>
                <w:top w:val="none" w:sz="0" w:space="0" w:color="auto"/>
                <w:left w:val="none" w:sz="0" w:space="0" w:color="auto"/>
                <w:bottom w:val="none" w:sz="0" w:space="0" w:color="auto"/>
                <w:right w:val="none" w:sz="0" w:space="0" w:color="auto"/>
              </w:divBdr>
              <w:divsChild>
                <w:div w:id="1831747016">
                  <w:marLeft w:val="0"/>
                  <w:marRight w:val="0"/>
                  <w:marTop w:val="0"/>
                  <w:marBottom w:val="0"/>
                  <w:divBdr>
                    <w:top w:val="none" w:sz="0" w:space="0" w:color="auto"/>
                    <w:left w:val="none" w:sz="0" w:space="0" w:color="auto"/>
                    <w:bottom w:val="none" w:sz="0" w:space="0" w:color="auto"/>
                    <w:right w:val="none" w:sz="0" w:space="0" w:color="auto"/>
                  </w:divBdr>
                </w:div>
                <w:div w:id="1594435772">
                  <w:marLeft w:val="0"/>
                  <w:marRight w:val="0"/>
                  <w:marTop w:val="0"/>
                  <w:marBottom w:val="0"/>
                  <w:divBdr>
                    <w:top w:val="none" w:sz="0" w:space="0" w:color="auto"/>
                    <w:left w:val="none" w:sz="0" w:space="0" w:color="auto"/>
                    <w:bottom w:val="none" w:sz="0" w:space="0" w:color="auto"/>
                    <w:right w:val="none" w:sz="0" w:space="0" w:color="auto"/>
                  </w:divBdr>
                  <w:divsChild>
                    <w:div w:id="741021206">
                      <w:marLeft w:val="0"/>
                      <w:marRight w:val="0"/>
                      <w:marTop w:val="0"/>
                      <w:marBottom w:val="0"/>
                      <w:divBdr>
                        <w:top w:val="none" w:sz="0" w:space="0" w:color="auto"/>
                        <w:left w:val="none" w:sz="0" w:space="0" w:color="auto"/>
                        <w:bottom w:val="none" w:sz="0" w:space="0" w:color="auto"/>
                        <w:right w:val="none" w:sz="0" w:space="0" w:color="auto"/>
                      </w:divBdr>
                    </w:div>
                    <w:div w:id="1452868314">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620772128">
              <w:marLeft w:val="0"/>
              <w:marRight w:val="0"/>
              <w:marTop w:val="75"/>
              <w:marBottom w:val="0"/>
              <w:divBdr>
                <w:top w:val="none" w:sz="0" w:space="0" w:color="auto"/>
                <w:left w:val="none" w:sz="0" w:space="0" w:color="auto"/>
                <w:bottom w:val="none" w:sz="0" w:space="0" w:color="auto"/>
                <w:right w:val="none" w:sz="0" w:space="0" w:color="auto"/>
              </w:divBdr>
              <w:divsChild>
                <w:div w:id="1924146893">
                  <w:marLeft w:val="0"/>
                  <w:marRight w:val="0"/>
                  <w:marTop w:val="0"/>
                  <w:marBottom w:val="0"/>
                  <w:divBdr>
                    <w:top w:val="none" w:sz="0" w:space="0" w:color="auto"/>
                    <w:left w:val="none" w:sz="0" w:space="0" w:color="auto"/>
                    <w:bottom w:val="none" w:sz="0" w:space="0" w:color="auto"/>
                    <w:right w:val="none" w:sz="0" w:space="0" w:color="auto"/>
                  </w:divBdr>
                  <w:divsChild>
                    <w:div w:id="396362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5980435">
          <w:marLeft w:val="0"/>
          <w:marRight w:val="0"/>
          <w:marTop w:val="0"/>
          <w:marBottom w:val="0"/>
          <w:divBdr>
            <w:top w:val="none" w:sz="0" w:space="0" w:color="auto"/>
            <w:left w:val="none" w:sz="0" w:space="0" w:color="auto"/>
            <w:bottom w:val="none" w:sz="0" w:space="0" w:color="auto"/>
            <w:right w:val="none" w:sz="0" w:space="0" w:color="auto"/>
          </w:divBdr>
          <w:divsChild>
            <w:div w:id="1449203300">
              <w:marLeft w:val="0"/>
              <w:marRight w:val="0"/>
              <w:marTop w:val="0"/>
              <w:marBottom w:val="0"/>
              <w:divBdr>
                <w:top w:val="none" w:sz="0" w:space="0" w:color="auto"/>
                <w:left w:val="none" w:sz="0" w:space="0" w:color="auto"/>
                <w:bottom w:val="none" w:sz="0" w:space="0" w:color="auto"/>
                <w:right w:val="none" w:sz="0" w:space="0" w:color="auto"/>
              </w:divBdr>
            </w:div>
            <w:div w:id="319310921">
              <w:marLeft w:val="0"/>
              <w:marRight w:val="0"/>
              <w:marTop w:val="0"/>
              <w:marBottom w:val="0"/>
              <w:divBdr>
                <w:top w:val="none" w:sz="0" w:space="0" w:color="auto"/>
                <w:left w:val="none" w:sz="0" w:space="0" w:color="auto"/>
                <w:bottom w:val="none" w:sz="0" w:space="0" w:color="auto"/>
                <w:right w:val="none" w:sz="0" w:space="0" w:color="auto"/>
              </w:divBdr>
              <w:divsChild>
                <w:div w:id="148832330">
                  <w:marLeft w:val="0"/>
                  <w:marRight w:val="0"/>
                  <w:marTop w:val="0"/>
                  <w:marBottom w:val="0"/>
                  <w:divBdr>
                    <w:top w:val="none" w:sz="0" w:space="0" w:color="auto"/>
                    <w:left w:val="none" w:sz="0" w:space="0" w:color="auto"/>
                    <w:bottom w:val="none" w:sz="0" w:space="0" w:color="auto"/>
                    <w:right w:val="none" w:sz="0" w:space="0" w:color="auto"/>
                  </w:divBdr>
                </w:div>
                <w:div w:id="309946849">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1869835758">
          <w:marLeft w:val="0"/>
          <w:marRight w:val="0"/>
          <w:marTop w:val="0"/>
          <w:marBottom w:val="0"/>
          <w:divBdr>
            <w:top w:val="none" w:sz="0" w:space="0" w:color="auto"/>
            <w:left w:val="none" w:sz="0" w:space="0" w:color="auto"/>
            <w:bottom w:val="none" w:sz="0" w:space="0" w:color="auto"/>
            <w:right w:val="none" w:sz="0" w:space="0" w:color="auto"/>
          </w:divBdr>
          <w:divsChild>
            <w:div w:id="1312448178">
              <w:marLeft w:val="0"/>
              <w:marRight w:val="0"/>
              <w:marTop w:val="75"/>
              <w:marBottom w:val="0"/>
              <w:divBdr>
                <w:top w:val="none" w:sz="0" w:space="0" w:color="auto"/>
                <w:left w:val="none" w:sz="0" w:space="0" w:color="auto"/>
                <w:bottom w:val="none" w:sz="0" w:space="0" w:color="auto"/>
                <w:right w:val="none" w:sz="0" w:space="0" w:color="auto"/>
              </w:divBdr>
              <w:divsChild>
                <w:div w:id="468671880">
                  <w:marLeft w:val="0"/>
                  <w:marRight w:val="0"/>
                  <w:marTop w:val="0"/>
                  <w:marBottom w:val="0"/>
                  <w:divBdr>
                    <w:top w:val="none" w:sz="0" w:space="0" w:color="auto"/>
                    <w:left w:val="none" w:sz="0" w:space="0" w:color="auto"/>
                    <w:bottom w:val="none" w:sz="0" w:space="0" w:color="auto"/>
                    <w:right w:val="none" w:sz="0" w:space="0" w:color="auto"/>
                  </w:divBdr>
                  <w:divsChild>
                    <w:div w:id="285356690">
                      <w:marLeft w:val="0"/>
                      <w:marRight w:val="0"/>
                      <w:marTop w:val="0"/>
                      <w:marBottom w:val="0"/>
                      <w:divBdr>
                        <w:top w:val="none" w:sz="0" w:space="0" w:color="auto"/>
                        <w:left w:val="none" w:sz="0" w:space="0" w:color="auto"/>
                        <w:bottom w:val="none" w:sz="0" w:space="0" w:color="auto"/>
                        <w:right w:val="none" w:sz="0" w:space="0" w:color="auto"/>
                      </w:divBdr>
                      <w:divsChild>
                        <w:div w:id="484473576">
                          <w:marLeft w:val="0"/>
                          <w:marRight w:val="0"/>
                          <w:marTop w:val="0"/>
                          <w:marBottom w:val="0"/>
                          <w:divBdr>
                            <w:top w:val="none" w:sz="0" w:space="0" w:color="auto"/>
                            <w:left w:val="none" w:sz="0" w:space="0" w:color="auto"/>
                            <w:bottom w:val="none" w:sz="0" w:space="0" w:color="auto"/>
                            <w:right w:val="none" w:sz="0" w:space="0" w:color="auto"/>
                          </w:divBdr>
                          <w:divsChild>
                            <w:div w:id="2005163135">
                              <w:marLeft w:val="0"/>
                              <w:marRight w:val="240"/>
                              <w:marTop w:val="240"/>
                              <w:marBottom w:val="240"/>
                              <w:divBdr>
                                <w:top w:val="none" w:sz="0" w:space="0" w:color="auto"/>
                                <w:left w:val="none" w:sz="0" w:space="0" w:color="auto"/>
                                <w:bottom w:val="none" w:sz="0" w:space="0" w:color="auto"/>
                                <w:right w:val="none" w:sz="0" w:space="0" w:color="auto"/>
                              </w:divBdr>
                              <w:divsChild>
                                <w:div w:id="2008820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7862754">
                          <w:marLeft w:val="0"/>
                          <w:marRight w:val="0"/>
                          <w:marTop w:val="0"/>
                          <w:marBottom w:val="0"/>
                          <w:divBdr>
                            <w:top w:val="none" w:sz="0" w:space="0" w:color="auto"/>
                            <w:left w:val="none" w:sz="0" w:space="0" w:color="auto"/>
                            <w:bottom w:val="none" w:sz="0" w:space="0" w:color="auto"/>
                            <w:right w:val="none" w:sz="0" w:space="0" w:color="auto"/>
                          </w:divBdr>
                          <w:divsChild>
                            <w:div w:id="942107527">
                              <w:marLeft w:val="0"/>
                              <w:marRight w:val="240"/>
                              <w:marTop w:val="240"/>
                              <w:marBottom w:val="240"/>
                              <w:divBdr>
                                <w:top w:val="none" w:sz="0" w:space="0" w:color="auto"/>
                                <w:left w:val="none" w:sz="0" w:space="0" w:color="auto"/>
                                <w:bottom w:val="none" w:sz="0" w:space="0" w:color="auto"/>
                                <w:right w:val="none" w:sz="0" w:space="0" w:color="auto"/>
                              </w:divBdr>
                              <w:divsChild>
                                <w:div w:id="1261333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5623575">
                          <w:marLeft w:val="0"/>
                          <w:marRight w:val="0"/>
                          <w:marTop w:val="0"/>
                          <w:marBottom w:val="0"/>
                          <w:divBdr>
                            <w:top w:val="none" w:sz="0" w:space="0" w:color="auto"/>
                            <w:left w:val="none" w:sz="0" w:space="0" w:color="auto"/>
                            <w:bottom w:val="none" w:sz="0" w:space="0" w:color="auto"/>
                            <w:right w:val="none" w:sz="0" w:space="0" w:color="auto"/>
                          </w:divBdr>
                        </w:div>
                        <w:div w:id="414592416">
                          <w:marLeft w:val="0"/>
                          <w:marRight w:val="0"/>
                          <w:marTop w:val="0"/>
                          <w:marBottom w:val="0"/>
                          <w:divBdr>
                            <w:top w:val="none" w:sz="0" w:space="0" w:color="auto"/>
                            <w:left w:val="none" w:sz="0" w:space="0" w:color="auto"/>
                            <w:bottom w:val="none" w:sz="0" w:space="0" w:color="auto"/>
                            <w:right w:val="none" w:sz="0" w:space="0" w:color="auto"/>
                          </w:divBdr>
                          <w:divsChild>
                            <w:div w:id="1933318860">
                              <w:marLeft w:val="0"/>
                              <w:marRight w:val="0"/>
                              <w:marTop w:val="0"/>
                              <w:marBottom w:val="0"/>
                              <w:divBdr>
                                <w:top w:val="none" w:sz="0" w:space="0" w:color="auto"/>
                                <w:left w:val="none" w:sz="0" w:space="0" w:color="auto"/>
                                <w:bottom w:val="none" w:sz="0" w:space="0" w:color="auto"/>
                                <w:right w:val="none" w:sz="0" w:space="0" w:color="auto"/>
                              </w:divBdr>
                            </w:div>
                          </w:divsChild>
                        </w:div>
                        <w:div w:id="1726636404">
                          <w:marLeft w:val="0"/>
                          <w:marRight w:val="0"/>
                          <w:marTop w:val="0"/>
                          <w:marBottom w:val="0"/>
                          <w:divBdr>
                            <w:top w:val="none" w:sz="0" w:space="0" w:color="auto"/>
                            <w:left w:val="none" w:sz="0" w:space="0" w:color="auto"/>
                            <w:bottom w:val="none" w:sz="0" w:space="0" w:color="auto"/>
                            <w:right w:val="none" w:sz="0" w:space="0" w:color="auto"/>
                          </w:divBdr>
                        </w:div>
                        <w:div w:id="374239460">
                          <w:marLeft w:val="0"/>
                          <w:marRight w:val="0"/>
                          <w:marTop w:val="0"/>
                          <w:marBottom w:val="0"/>
                          <w:divBdr>
                            <w:top w:val="none" w:sz="0" w:space="0" w:color="auto"/>
                            <w:left w:val="none" w:sz="0" w:space="0" w:color="auto"/>
                            <w:bottom w:val="none" w:sz="0" w:space="0" w:color="auto"/>
                            <w:right w:val="none" w:sz="0" w:space="0" w:color="auto"/>
                          </w:divBdr>
                          <w:divsChild>
                            <w:div w:id="1436830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6761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2716328">
      <w:bodyDiv w:val="1"/>
      <w:marLeft w:val="0"/>
      <w:marRight w:val="0"/>
      <w:marTop w:val="0"/>
      <w:marBottom w:val="0"/>
      <w:divBdr>
        <w:top w:val="none" w:sz="0" w:space="0" w:color="auto"/>
        <w:left w:val="none" w:sz="0" w:space="0" w:color="auto"/>
        <w:bottom w:val="none" w:sz="0" w:space="0" w:color="auto"/>
        <w:right w:val="none" w:sz="0" w:space="0" w:color="auto"/>
      </w:divBdr>
    </w:div>
    <w:div w:id="1661230867">
      <w:bodyDiv w:val="1"/>
      <w:marLeft w:val="0"/>
      <w:marRight w:val="0"/>
      <w:marTop w:val="0"/>
      <w:marBottom w:val="0"/>
      <w:divBdr>
        <w:top w:val="none" w:sz="0" w:space="0" w:color="auto"/>
        <w:left w:val="none" w:sz="0" w:space="0" w:color="auto"/>
        <w:bottom w:val="none" w:sz="0" w:space="0" w:color="auto"/>
        <w:right w:val="none" w:sz="0" w:space="0" w:color="auto"/>
      </w:divBdr>
      <w:divsChild>
        <w:div w:id="1312367898">
          <w:marLeft w:val="0"/>
          <w:marRight w:val="0"/>
          <w:marTop w:val="0"/>
          <w:marBottom w:val="0"/>
          <w:divBdr>
            <w:top w:val="none" w:sz="0" w:space="0" w:color="auto"/>
            <w:left w:val="none" w:sz="0" w:space="0" w:color="auto"/>
            <w:bottom w:val="none" w:sz="0" w:space="0" w:color="auto"/>
            <w:right w:val="none" w:sz="0" w:space="0" w:color="auto"/>
          </w:divBdr>
          <w:divsChild>
            <w:div w:id="604732134">
              <w:marLeft w:val="0"/>
              <w:marRight w:val="0"/>
              <w:marTop w:val="0"/>
              <w:marBottom w:val="0"/>
              <w:divBdr>
                <w:top w:val="none" w:sz="0" w:space="0" w:color="auto"/>
                <w:left w:val="none" w:sz="0" w:space="0" w:color="auto"/>
                <w:bottom w:val="none" w:sz="0" w:space="0" w:color="auto"/>
                <w:right w:val="none" w:sz="0" w:space="0" w:color="auto"/>
              </w:divBdr>
            </w:div>
            <w:div w:id="963728602">
              <w:marLeft w:val="0"/>
              <w:marRight w:val="0"/>
              <w:marTop w:val="0"/>
              <w:marBottom w:val="240"/>
              <w:divBdr>
                <w:top w:val="none" w:sz="0" w:space="0" w:color="auto"/>
                <w:left w:val="none" w:sz="0" w:space="0" w:color="auto"/>
                <w:bottom w:val="none" w:sz="0" w:space="0" w:color="auto"/>
                <w:right w:val="none" w:sz="0" w:space="0" w:color="auto"/>
              </w:divBdr>
            </w:div>
            <w:div w:id="357123744">
              <w:marLeft w:val="0"/>
              <w:marRight w:val="0"/>
              <w:marTop w:val="120"/>
              <w:marBottom w:val="0"/>
              <w:divBdr>
                <w:top w:val="none" w:sz="0" w:space="0" w:color="auto"/>
                <w:left w:val="none" w:sz="0" w:space="0" w:color="auto"/>
                <w:bottom w:val="none" w:sz="0" w:space="0" w:color="auto"/>
                <w:right w:val="none" w:sz="0" w:space="0" w:color="auto"/>
              </w:divBdr>
              <w:divsChild>
                <w:div w:id="923803817">
                  <w:marLeft w:val="0"/>
                  <w:marRight w:val="0"/>
                  <w:marTop w:val="0"/>
                  <w:marBottom w:val="120"/>
                  <w:divBdr>
                    <w:top w:val="none" w:sz="0" w:space="0" w:color="auto"/>
                    <w:left w:val="none" w:sz="0" w:space="0" w:color="auto"/>
                    <w:bottom w:val="none" w:sz="0" w:space="0" w:color="auto"/>
                    <w:right w:val="none" w:sz="0" w:space="0" w:color="auto"/>
                  </w:divBdr>
                  <w:divsChild>
                    <w:div w:id="1044216044">
                      <w:marLeft w:val="0"/>
                      <w:marRight w:val="0"/>
                      <w:marTop w:val="0"/>
                      <w:marBottom w:val="0"/>
                      <w:divBdr>
                        <w:top w:val="none" w:sz="0" w:space="0" w:color="auto"/>
                        <w:left w:val="none" w:sz="0" w:space="0" w:color="auto"/>
                        <w:bottom w:val="none" w:sz="0" w:space="0" w:color="auto"/>
                        <w:right w:val="none" w:sz="0" w:space="0" w:color="auto"/>
                      </w:divBdr>
                    </w:div>
                    <w:div w:id="408231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290977">
              <w:marLeft w:val="0"/>
              <w:marRight w:val="0"/>
              <w:marTop w:val="0"/>
              <w:marBottom w:val="0"/>
              <w:divBdr>
                <w:top w:val="none" w:sz="0" w:space="0" w:color="auto"/>
                <w:left w:val="none" w:sz="0" w:space="0" w:color="auto"/>
                <w:bottom w:val="none" w:sz="0" w:space="0" w:color="auto"/>
                <w:right w:val="none" w:sz="0" w:space="0" w:color="auto"/>
              </w:divBdr>
            </w:div>
          </w:divsChild>
        </w:div>
        <w:div w:id="1443068124">
          <w:marLeft w:val="0"/>
          <w:marRight w:val="0"/>
          <w:marTop w:val="0"/>
          <w:marBottom w:val="0"/>
          <w:divBdr>
            <w:top w:val="none" w:sz="0" w:space="0" w:color="auto"/>
            <w:left w:val="none" w:sz="0" w:space="0" w:color="auto"/>
            <w:bottom w:val="none" w:sz="0" w:space="0" w:color="auto"/>
            <w:right w:val="none" w:sz="0" w:space="0" w:color="auto"/>
          </w:divBdr>
        </w:div>
        <w:div w:id="1707874087">
          <w:marLeft w:val="0"/>
          <w:marRight w:val="0"/>
          <w:marTop w:val="0"/>
          <w:marBottom w:val="0"/>
          <w:divBdr>
            <w:top w:val="none" w:sz="0" w:space="0" w:color="auto"/>
            <w:left w:val="none" w:sz="0" w:space="0" w:color="auto"/>
            <w:bottom w:val="none" w:sz="0" w:space="0" w:color="auto"/>
            <w:right w:val="none" w:sz="0" w:space="0" w:color="auto"/>
          </w:divBdr>
          <w:divsChild>
            <w:div w:id="184633555">
              <w:marLeft w:val="0"/>
              <w:marRight w:val="0"/>
              <w:marTop w:val="0"/>
              <w:marBottom w:val="0"/>
              <w:divBdr>
                <w:top w:val="none" w:sz="0" w:space="0" w:color="auto"/>
                <w:left w:val="none" w:sz="0" w:space="0" w:color="auto"/>
                <w:bottom w:val="none" w:sz="0" w:space="0" w:color="auto"/>
                <w:right w:val="none" w:sz="0" w:space="0" w:color="auto"/>
              </w:divBdr>
              <w:divsChild>
                <w:div w:id="1005284006">
                  <w:marLeft w:val="0"/>
                  <w:marRight w:val="0"/>
                  <w:marTop w:val="0"/>
                  <w:marBottom w:val="0"/>
                  <w:divBdr>
                    <w:top w:val="none" w:sz="0" w:space="0" w:color="auto"/>
                    <w:left w:val="none" w:sz="0" w:space="0" w:color="auto"/>
                    <w:bottom w:val="none" w:sz="0" w:space="0" w:color="auto"/>
                    <w:right w:val="none" w:sz="0" w:space="0" w:color="auto"/>
                  </w:divBdr>
                  <w:divsChild>
                    <w:div w:id="1662344253">
                      <w:marLeft w:val="0"/>
                      <w:marRight w:val="0"/>
                      <w:marTop w:val="0"/>
                      <w:marBottom w:val="0"/>
                      <w:divBdr>
                        <w:top w:val="none" w:sz="0" w:space="0" w:color="auto"/>
                        <w:left w:val="none" w:sz="0" w:space="0" w:color="auto"/>
                        <w:bottom w:val="none" w:sz="0" w:space="0" w:color="auto"/>
                        <w:right w:val="none" w:sz="0" w:space="0" w:color="auto"/>
                      </w:divBdr>
                      <w:divsChild>
                        <w:div w:id="1993555328">
                          <w:marLeft w:val="0"/>
                          <w:marRight w:val="0"/>
                          <w:marTop w:val="0"/>
                          <w:marBottom w:val="0"/>
                          <w:divBdr>
                            <w:top w:val="none" w:sz="0" w:space="0" w:color="auto"/>
                            <w:left w:val="none" w:sz="0" w:space="0" w:color="auto"/>
                            <w:bottom w:val="none" w:sz="0" w:space="0" w:color="auto"/>
                            <w:right w:val="none" w:sz="0" w:space="0" w:color="auto"/>
                          </w:divBdr>
                          <w:divsChild>
                            <w:div w:id="310402109">
                              <w:marLeft w:val="0"/>
                              <w:marRight w:val="0"/>
                              <w:marTop w:val="0"/>
                              <w:marBottom w:val="0"/>
                              <w:divBdr>
                                <w:top w:val="none" w:sz="0" w:space="0" w:color="auto"/>
                                <w:left w:val="none" w:sz="0" w:space="0" w:color="auto"/>
                                <w:bottom w:val="none" w:sz="0" w:space="0" w:color="auto"/>
                                <w:right w:val="none" w:sz="0" w:space="0" w:color="auto"/>
                              </w:divBdr>
                              <w:divsChild>
                                <w:div w:id="1941643240">
                                  <w:marLeft w:val="0"/>
                                  <w:marRight w:val="0"/>
                                  <w:marTop w:val="0"/>
                                  <w:marBottom w:val="0"/>
                                  <w:divBdr>
                                    <w:top w:val="none" w:sz="0" w:space="0" w:color="auto"/>
                                    <w:left w:val="none" w:sz="0" w:space="0" w:color="auto"/>
                                    <w:bottom w:val="none" w:sz="0" w:space="0" w:color="auto"/>
                                    <w:right w:val="none" w:sz="0" w:space="0" w:color="auto"/>
                                  </w:divBdr>
                                  <w:divsChild>
                                    <w:div w:id="1289815694">
                                      <w:marLeft w:val="0"/>
                                      <w:marRight w:val="0"/>
                                      <w:marTop w:val="0"/>
                                      <w:marBottom w:val="0"/>
                                      <w:divBdr>
                                        <w:top w:val="none" w:sz="0" w:space="0" w:color="auto"/>
                                        <w:left w:val="none" w:sz="0" w:space="0" w:color="auto"/>
                                        <w:bottom w:val="none" w:sz="0" w:space="0" w:color="auto"/>
                                        <w:right w:val="none" w:sz="0" w:space="0" w:color="auto"/>
                                      </w:divBdr>
                                      <w:divsChild>
                                        <w:div w:id="1022516956">
                                          <w:marLeft w:val="0"/>
                                          <w:marRight w:val="0"/>
                                          <w:marTop w:val="0"/>
                                          <w:marBottom w:val="0"/>
                                          <w:divBdr>
                                            <w:top w:val="none" w:sz="0" w:space="0" w:color="auto"/>
                                            <w:left w:val="none" w:sz="0" w:space="0" w:color="auto"/>
                                            <w:bottom w:val="none" w:sz="0" w:space="0" w:color="auto"/>
                                            <w:right w:val="none" w:sz="0" w:space="0" w:color="auto"/>
                                          </w:divBdr>
                                          <w:divsChild>
                                            <w:div w:id="1946844851">
                                              <w:marLeft w:val="0"/>
                                              <w:marRight w:val="0"/>
                                              <w:marTop w:val="0"/>
                                              <w:marBottom w:val="0"/>
                                              <w:divBdr>
                                                <w:top w:val="none" w:sz="0" w:space="0" w:color="auto"/>
                                                <w:left w:val="none" w:sz="0" w:space="0" w:color="auto"/>
                                                <w:bottom w:val="none" w:sz="0" w:space="0" w:color="auto"/>
                                                <w:right w:val="none" w:sz="0" w:space="0" w:color="auto"/>
                                              </w:divBdr>
                                              <w:divsChild>
                                                <w:div w:id="1327635646">
                                                  <w:marLeft w:val="0"/>
                                                  <w:marRight w:val="0"/>
                                                  <w:marTop w:val="0"/>
                                                  <w:marBottom w:val="0"/>
                                                  <w:divBdr>
                                                    <w:top w:val="none" w:sz="0" w:space="0" w:color="auto"/>
                                                    <w:left w:val="none" w:sz="0" w:space="0" w:color="auto"/>
                                                    <w:bottom w:val="none" w:sz="0" w:space="0" w:color="auto"/>
                                                    <w:right w:val="none" w:sz="0" w:space="0" w:color="auto"/>
                                                  </w:divBdr>
                                                </w:div>
                                                <w:div w:id="675808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22286233">
                              <w:marLeft w:val="0"/>
                              <w:marRight w:val="0"/>
                              <w:marTop w:val="0"/>
                              <w:marBottom w:val="0"/>
                              <w:divBdr>
                                <w:top w:val="none" w:sz="0" w:space="0" w:color="auto"/>
                                <w:left w:val="none" w:sz="0" w:space="0" w:color="auto"/>
                                <w:bottom w:val="none" w:sz="0" w:space="0" w:color="auto"/>
                                <w:right w:val="none" w:sz="0" w:space="0" w:color="auto"/>
                              </w:divBdr>
                              <w:divsChild>
                                <w:div w:id="24451290">
                                  <w:marLeft w:val="0"/>
                                  <w:marRight w:val="0"/>
                                  <w:marTop w:val="0"/>
                                  <w:marBottom w:val="0"/>
                                  <w:divBdr>
                                    <w:top w:val="none" w:sz="0" w:space="0" w:color="auto"/>
                                    <w:left w:val="none" w:sz="0" w:space="0" w:color="auto"/>
                                    <w:bottom w:val="none" w:sz="0" w:space="0" w:color="auto"/>
                                    <w:right w:val="none" w:sz="0" w:space="0" w:color="auto"/>
                                  </w:divBdr>
                                  <w:divsChild>
                                    <w:div w:id="499663136">
                                      <w:marLeft w:val="0"/>
                                      <w:marRight w:val="0"/>
                                      <w:marTop w:val="0"/>
                                      <w:marBottom w:val="0"/>
                                      <w:divBdr>
                                        <w:top w:val="none" w:sz="0" w:space="0" w:color="auto"/>
                                        <w:left w:val="none" w:sz="0" w:space="0" w:color="auto"/>
                                        <w:bottom w:val="none" w:sz="0" w:space="0" w:color="auto"/>
                                        <w:right w:val="none" w:sz="0" w:space="0" w:color="auto"/>
                                      </w:divBdr>
                                      <w:divsChild>
                                        <w:div w:id="1168596799">
                                          <w:marLeft w:val="0"/>
                                          <w:marRight w:val="0"/>
                                          <w:marTop w:val="0"/>
                                          <w:marBottom w:val="0"/>
                                          <w:divBdr>
                                            <w:top w:val="none" w:sz="0" w:space="0" w:color="auto"/>
                                            <w:left w:val="none" w:sz="0" w:space="0" w:color="auto"/>
                                            <w:bottom w:val="none" w:sz="0" w:space="0" w:color="auto"/>
                                            <w:right w:val="none" w:sz="0" w:space="0" w:color="auto"/>
                                          </w:divBdr>
                                          <w:divsChild>
                                            <w:div w:id="1230655441">
                                              <w:marLeft w:val="0"/>
                                              <w:marRight w:val="0"/>
                                              <w:marTop w:val="0"/>
                                              <w:marBottom w:val="0"/>
                                              <w:divBdr>
                                                <w:top w:val="none" w:sz="0" w:space="0" w:color="auto"/>
                                                <w:left w:val="none" w:sz="0" w:space="0" w:color="auto"/>
                                                <w:bottom w:val="none" w:sz="0" w:space="0" w:color="auto"/>
                                                <w:right w:val="none" w:sz="0" w:space="0" w:color="auto"/>
                                              </w:divBdr>
                                              <w:divsChild>
                                                <w:div w:id="1536192752">
                                                  <w:marLeft w:val="0"/>
                                                  <w:marRight w:val="0"/>
                                                  <w:marTop w:val="0"/>
                                                  <w:marBottom w:val="0"/>
                                                  <w:divBdr>
                                                    <w:top w:val="none" w:sz="0" w:space="0" w:color="auto"/>
                                                    <w:left w:val="none" w:sz="0" w:space="0" w:color="auto"/>
                                                    <w:bottom w:val="none" w:sz="0" w:space="0" w:color="auto"/>
                                                    <w:right w:val="none" w:sz="0" w:space="0" w:color="auto"/>
                                                  </w:divBdr>
                                                  <w:divsChild>
                                                    <w:div w:id="227738823">
                                                      <w:marLeft w:val="0"/>
                                                      <w:marRight w:val="0"/>
                                                      <w:marTop w:val="0"/>
                                                      <w:marBottom w:val="0"/>
                                                      <w:divBdr>
                                                        <w:top w:val="none" w:sz="0" w:space="0" w:color="auto"/>
                                                        <w:left w:val="none" w:sz="0" w:space="0" w:color="auto"/>
                                                        <w:bottom w:val="none" w:sz="0" w:space="0" w:color="auto"/>
                                                        <w:right w:val="none" w:sz="0" w:space="0" w:color="auto"/>
                                                      </w:divBdr>
                                                      <w:divsChild>
                                                        <w:div w:id="1593584960">
                                                          <w:marLeft w:val="0"/>
                                                          <w:marRight w:val="0"/>
                                                          <w:marTop w:val="0"/>
                                                          <w:marBottom w:val="0"/>
                                                          <w:divBdr>
                                                            <w:top w:val="none" w:sz="0" w:space="0" w:color="auto"/>
                                                            <w:left w:val="none" w:sz="0" w:space="0" w:color="auto"/>
                                                            <w:bottom w:val="none" w:sz="0" w:space="0" w:color="auto"/>
                                                            <w:right w:val="none" w:sz="0" w:space="0" w:color="auto"/>
                                                          </w:divBdr>
                                                          <w:divsChild>
                                                            <w:div w:id="1387530589">
                                                              <w:marLeft w:val="0"/>
                                                              <w:marRight w:val="0"/>
                                                              <w:marTop w:val="0"/>
                                                              <w:marBottom w:val="0"/>
                                                              <w:divBdr>
                                                                <w:top w:val="single" w:sz="2" w:space="0" w:color="E3E3E3"/>
                                                                <w:left w:val="single" w:sz="2" w:space="0" w:color="E3E3E3"/>
                                                                <w:bottom w:val="single" w:sz="2" w:space="0" w:color="E3E3E3"/>
                                                                <w:right w:val="single" w:sz="2" w:space="0" w:color="E3E3E3"/>
                                                              </w:divBdr>
                                                              <w:divsChild>
                                                                <w:div w:id="1917855385">
                                                                  <w:marLeft w:val="0"/>
                                                                  <w:marRight w:val="0"/>
                                                                  <w:marTop w:val="0"/>
                                                                  <w:marBottom w:val="0"/>
                                                                  <w:divBdr>
                                                                    <w:top w:val="none" w:sz="0" w:space="0" w:color="auto"/>
                                                                    <w:left w:val="none" w:sz="0" w:space="0" w:color="auto"/>
                                                                    <w:bottom w:val="none" w:sz="0" w:space="0" w:color="auto"/>
                                                                    <w:right w:val="none" w:sz="0" w:space="0" w:color="auto"/>
                                                                  </w:divBdr>
                                                                  <w:divsChild>
                                                                    <w:div w:id="161046074">
                                                                      <w:marLeft w:val="0"/>
                                                                      <w:marRight w:val="0"/>
                                                                      <w:marTop w:val="0"/>
                                                                      <w:marBottom w:val="0"/>
                                                                      <w:divBdr>
                                                                        <w:top w:val="none" w:sz="0" w:space="0" w:color="auto"/>
                                                                        <w:left w:val="none" w:sz="0" w:space="0" w:color="auto"/>
                                                                        <w:bottom w:val="none" w:sz="0" w:space="0" w:color="auto"/>
                                                                        <w:right w:val="none" w:sz="0" w:space="0" w:color="auto"/>
                                                                      </w:divBdr>
                                                                      <w:divsChild>
                                                                        <w:div w:id="1136146563">
                                                                          <w:marLeft w:val="0"/>
                                                                          <w:marRight w:val="0"/>
                                                                          <w:marTop w:val="0"/>
                                                                          <w:marBottom w:val="0"/>
                                                                          <w:divBdr>
                                                                            <w:top w:val="none" w:sz="0" w:space="0" w:color="auto"/>
                                                                            <w:left w:val="none" w:sz="0" w:space="0" w:color="auto"/>
                                                                            <w:bottom w:val="none" w:sz="0" w:space="0" w:color="auto"/>
                                                                            <w:right w:val="none" w:sz="0" w:space="0" w:color="auto"/>
                                                                          </w:divBdr>
                                                                          <w:divsChild>
                                                                            <w:div w:id="1776945004">
                                                                              <w:marLeft w:val="0"/>
                                                                              <w:marRight w:val="0"/>
                                                                              <w:marTop w:val="0"/>
                                                                              <w:marBottom w:val="0"/>
                                                                              <w:divBdr>
                                                                                <w:top w:val="none" w:sz="0" w:space="0" w:color="auto"/>
                                                                                <w:left w:val="none" w:sz="0" w:space="0" w:color="auto"/>
                                                                                <w:bottom w:val="none" w:sz="0" w:space="0" w:color="auto"/>
                                                                                <w:right w:val="none" w:sz="0" w:space="0" w:color="auto"/>
                                                                              </w:divBdr>
                                                                              <w:divsChild>
                                                                                <w:div w:id="1703282885">
                                                                                  <w:marLeft w:val="0"/>
                                                                                  <w:marRight w:val="0"/>
                                                                                  <w:marTop w:val="0"/>
                                                                                  <w:marBottom w:val="0"/>
                                                                                  <w:divBdr>
                                                                                    <w:top w:val="none" w:sz="0" w:space="0" w:color="auto"/>
                                                                                    <w:left w:val="none" w:sz="0" w:space="0" w:color="auto"/>
                                                                                    <w:bottom w:val="none" w:sz="0" w:space="0" w:color="auto"/>
                                                                                    <w:right w:val="none" w:sz="0" w:space="0" w:color="auto"/>
                                                                                  </w:divBdr>
                                                                                  <w:divsChild>
                                                                                    <w:div w:id="1002314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8649340">
                                                                              <w:marLeft w:val="0"/>
                                                                              <w:marRight w:val="0"/>
                                                                              <w:marTop w:val="0"/>
                                                                              <w:marBottom w:val="0"/>
                                                                              <w:divBdr>
                                                                                <w:top w:val="none" w:sz="0" w:space="0" w:color="auto"/>
                                                                                <w:left w:val="none" w:sz="0" w:space="0" w:color="auto"/>
                                                                                <w:bottom w:val="none" w:sz="0" w:space="0" w:color="auto"/>
                                                                                <w:right w:val="none" w:sz="0" w:space="0" w:color="auto"/>
                                                                              </w:divBdr>
                                                                              <w:divsChild>
                                                                                <w:div w:id="1069233303">
                                                                                  <w:marLeft w:val="0"/>
                                                                                  <w:marRight w:val="0"/>
                                                                                  <w:marTop w:val="0"/>
                                                                                  <w:marBottom w:val="0"/>
                                                                                  <w:divBdr>
                                                                                    <w:top w:val="none" w:sz="0" w:space="0" w:color="auto"/>
                                                                                    <w:left w:val="none" w:sz="0" w:space="0" w:color="auto"/>
                                                                                    <w:bottom w:val="none" w:sz="0" w:space="0" w:color="auto"/>
                                                                                    <w:right w:val="none" w:sz="0" w:space="0" w:color="auto"/>
                                                                                  </w:divBdr>
                                                                                  <w:divsChild>
                                                                                    <w:div w:id="1102728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88757639">
                                                              <w:marLeft w:val="0"/>
                                                              <w:marRight w:val="0"/>
                                                              <w:marTop w:val="0"/>
                                                              <w:marBottom w:val="0"/>
                                                              <w:divBdr>
                                                                <w:top w:val="single" w:sz="2" w:space="0" w:color="E3E3E3"/>
                                                                <w:left w:val="single" w:sz="2" w:space="0" w:color="E3E3E3"/>
                                                                <w:bottom w:val="single" w:sz="2" w:space="0" w:color="E3E3E3"/>
                                                                <w:right w:val="single" w:sz="2" w:space="0" w:color="E3E3E3"/>
                                                              </w:divBdr>
                                                              <w:divsChild>
                                                                <w:div w:id="1537697217">
                                                                  <w:marLeft w:val="0"/>
                                                                  <w:marRight w:val="0"/>
                                                                  <w:marTop w:val="0"/>
                                                                  <w:marBottom w:val="0"/>
                                                                  <w:divBdr>
                                                                    <w:top w:val="none" w:sz="0" w:space="0" w:color="auto"/>
                                                                    <w:left w:val="none" w:sz="0" w:space="0" w:color="auto"/>
                                                                    <w:bottom w:val="none" w:sz="0" w:space="0" w:color="auto"/>
                                                                    <w:right w:val="none" w:sz="0" w:space="0" w:color="auto"/>
                                                                  </w:divBdr>
                                                                  <w:divsChild>
                                                                    <w:div w:id="1022823981">
                                                                      <w:marLeft w:val="0"/>
                                                                      <w:marRight w:val="0"/>
                                                                      <w:marTop w:val="0"/>
                                                                      <w:marBottom w:val="0"/>
                                                                      <w:divBdr>
                                                                        <w:top w:val="none" w:sz="0" w:space="0" w:color="auto"/>
                                                                        <w:left w:val="none" w:sz="0" w:space="0" w:color="auto"/>
                                                                        <w:bottom w:val="none" w:sz="0" w:space="0" w:color="auto"/>
                                                                        <w:right w:val="none" w:sz="0" w:space="0" w:color="auto"/>
                                                                      </w:divBdr>
                                                                      <w:divsChild>
                                                                        <w:div w:id="2106415589">
                                                                          <w:marLeft w:val="0"/>
                                                                          <w:marRight w:val="0"/>
                                                                          <w:marTop w:val="0"/>
                                                                          <w:marBottom w:val="0"/>
                                                                          <w:divBdr>
                                                                            <w:top w:val="none" w:sz="0" w:space="0" w:color="auto"/>
                                                                            <w:left w:val="none" w:sz="0" w:space="0" w:color="auto"/>
                                                                            <w:bottom w:val="none" w:sz="0" w:space="0" w:color="auto"/>
                                                                            <w:right w:val="none" w:sz="0" w:space="0" w:color="auto"/>
                                                                          </w:divBdr>
                                                                          <w:divsChild>
                                                                            <w:div w:id="2034920837">
                                                                              <w:marLeft w:val="0"/>
                                                                              <w:marRight w:val="0"/>
                                                                              <w:marTop w:val="0"/>
                                                                              <w:marBottom w:val="0"/>
                                                                              <w:divBdr>
                                                                                <w:top w:val="none" w:sz="0" w:space="0" w:color="auto"/>
                                                                                <w:left w:val="none" w:sz="0" w:space="0" w:color="auto"/>
                                                                                <w:bottom w:val="none" w:sz="0" w:space="0" w:color="auto"/>
                                                                                <w:right w:val="none" w:sz="0" w:space="0" w:color="auto"/>
                                                                              </w:divBdr>
                                                                              <w:divsChild>
                                                                                <w:div w:id="1853563970">
                                                                                  <w:marLeft w:val="0"/>
                                                                                  <w:marRight w:val="0"/>
                                                                                  <w:marTop w:val="0"/>
                                                                                  <w:marBottom w:val="0"/>
                                                                                  <w:divBdr>
                                                                                    <w:top w:val="none" w:sz="0" w:space="0" w:color="auto"/>
                                                                                    <w:left w:val="none" w:sz="0" w:space="0" w:color="auto"/>
                                                                                    <w:bottom w:val="none" w:sz="0" w:space="0" w:color="auto"/>
                                                                                    <w:right w:val="none" w:sz="0" w:space="0" w:color="auto"/>
                                                                                  </w:divBdr>
                                                                                  <w:divsChild>
                                                                                    <w:div w:id="1360662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1250294">
                                                                              <w:marLeft w:val="0"/>
                                                                              <w:marRight w:val="0"/>
                                                                              <w:marTop w:val="0"/>
                                                                              <w:marBottom w:val="0"/>
                                                                              <w:divBdr>
                                                                                <w:top w:val="none" w:sz="0" w:space="0" w:color="auto"/>
                                                                                <w:left w:val="none" w:sz="0" w:space="0" w:color="auto"/>
                                                                                <w:bottom w:val="none" w:sz="0" w:space="0" w:color="auto"/>
                                                                                <w:right w:val="none" w:sz="0" w:space="0" w:color="auto"/>
                                                                              </w:divBdr>
                                                                              <w:divsChild>
                                                                                <w:div w:id="593781155">
                                                                                  <w:marLeft w:val="0"/>
                                                                                  <w:marRight w:val="0"/>
                                                                                  <w:marTop w:val="0"/>
                                                                                  <w:marBottom w:val="0"/>
                                                                                  <w:divBdr>
                                                                                    <w:top w:val="none" w:sz="0" w:space="0" w:color="auto"/>
                                                                                    <w:left w:val="none" w:sz="0" w:space="0" w:color="auto"/>
                                                                                    <w:bottom w:val="none" w:sz="0" w:space="0" w:color="auto"/>
                                                                                    <w:right w:val="none" w:sz="0" w:space="0" w:color="auto"/>
                                                                                  </w:divBdr>
                                                                                  <w:divsChild>
                                                                                    <w:div w:id="589655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09996582">
                                                              <w:marLeft w:val="0"/>
                                                              <w:marRight w:val="0"/>
                                                              <w:marTop w:val="0"/>
                                                              <w:marBottom w:val="0"/>
                                                              <w:divBdr>
                                                                <w:top w:val="none" w:sz="0" w:space="0" w:color="auto"/>
                                                                <w:left w:val="none" w:sz="0" w:space="0" w:color="auto"/>
                                                                <w:bottom w:val="none" w:sz="0" w:space="0" w:color="auto"/>
                                                                <w:right w:val="none" w:sz="0" w:space="0" w:color="auto"/>
                                                              </w:divBdr>
                                                              <w:divsChild>
                                                                <w:div w:id="1083066332">
                                                                  <w:marLeft w:val="0"/>
                                                                  <w:marRight w:val="0"/>
                                                                  <w:marTop w:val="0"/>
                                                                  <w:marBottom w:val="0"/>
                                                                  <w:divBdr>
                                                                    <w:top w:val="none" w:sz="0" w:space="0" w:color="auto"/>
                                                                    <w:left w:val="none" w:sz="0" w:space="0" w:color="auto"/>
                                                                    <w:bottom w:val="none" w:sz="0" w:space="0" w:color="auto"/>
                                                                    <w:right w:val="none" w:sz="0" w:space="0" w:color="auto"/>
                                                                  </w:divBdr>
                                                                </w:div>
                                                                <w:div w:id="1464811392">
                                                                  <w:marLeft w:val="0"/>
                                                                  <w:marRight w:val="0"/>
                                                                  <w:marTop w:val="0"/>
                                                                  <w:marBottom w:val="0"/>
                                                                  <w:divBdr>
                                                                    <w:top w:val="none" w:sz="0" w:space="0" w:color="auto"/>
                                                                    <w:left w:val="none" w:sz="0" w:space="0" w:color="auto"/>
                                                                    <w:bottom w:val="none" w:sz="0" w:space="0" w:color="auto"/>
                                                                    <w:right w:val="none" w:sz="0" w:space="0" w:color="auto"/>
                                                                  </w:divBdr>
                                                                </w:div>
                                                              </w:divsChild>
                                                            </w:div>
                                                            <w:div w:id="516042281">
                                                              <w:marLeft w:val="0"/>
                                                              <w:marRight w:val="0"/>
                                                              <w:marTop w:val="0"/>
                                                              <w:marBottom w:val="0"/>
                                                              <w:divBdr>
                                                                <w:top w:val="none" w:sz="0" w:space="0" w:color="auto"/>
                                                                <w:left w:val="none" w:sz="0" w:space="0" w:color="auto"/>
                                                                <w:bottom w:val="none" w:sz="0" w:space="0" w:color="auto"/>
                                                                <w:right w:val="none" w:sz="0" w:space="0" w:color="auto"/>
                                                              </w:divBdr>
                                                              <w:divsChild>
                                                                <w:div w:id="1131051390">
                                                                  <w:marLeft w:val="0"/>
                                                                  <w:marRight w:val="0"/>
                                                                  <w:marTop w:val="0"/>
                                                                  <w:marBottom w:val="0"/>
                                                                  <w:divBdr>
                                                                    <w:top w:val="none" w:sz="0" w:space="0" w:color="auto"/>
                                                                    <w:left w:val="none" w:sz="0" w:space="0" w:color="auto"/>
                                                                    <w:bottom w:val="none" w:sz="0" w:space="0" w:color="auto"/>
                                                                    <w:right w:val="none" w:sz="0" w:space="0" w:color="auto"/>
                                                                  </w:divBdr>
                                                                </w:div>
                                                                <w:div w:id="245581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88430132">
                                              <w:marLeft w:val="0"/>
                                              <w:marRight w:val="0"/>
                                              <w:marTop w:val="0"/>
                                              <w:marBottom w:val="0"/>
                                              <w:divBdr>
                                                <w:top w:val="none" w:sz="0" w:space="0" w:color="auto"/>
                                                <w:left w:val="none" w:sz="0" w:space="0" w:color="auto"/>
                                                <w:bottom w:val="none" w:sz="0" w:space="0" w:color="auto"/>
                                                <w:right w:val="none" w:sz="0" w:space="0" w:color="auto"/>
                                              </w:divBdr>
                                              <w:divsChild>
                                                <w:div w:id="642931439">
                                                  <w:marLeft w:val="0"/>
                                                  <w:marRight w:val="0"/>
                                                  <w:marTop w:val="0"/>
                                                  <w:marBottom w:val="0"/>
                                                  <w:divBdr>
                                                    <w:top w:val="none" w:sz="0" w:space="0" w:color="auto"/>
                                                    <w:left w:val="none" w:sz="0" w:space="0" w:color="auto"/>
                                                    <w:bottom w:val="none" w:sz="0" w:space="0" w:color="auto"/>
                                                    <w:right w:val="none" w:sz="0" w:space="0" w:color="auto"/>
                                                  </w:divBdr>
                                                  <w:divsChild>
                                                    <w:div w:id="355230131">
                                                      <w:marLeft w:val="0"/>
                                                      <w:marRight w:val="0"/>
                                                      <w:marTop w:val="0"/>
                                                      <w:marBottom w:val="0"/>
                                                      <w:divBdr>
                                                        <w:top w:val="none" w:sz="0" w:space="0" w:color="auto"/>
                                                        <w:left w:val="none" w:sz="0" w:space="0" w:color="auto"/>
                                                        <w:bottom w:val="none" w:sz="0" w:space="0" w:color="auto"/>
                                                        <w:right w:val="none" w:sz="0" w:space="0" w:color="auto"/>
                                                      </w:divBdr>
                                                      <w:divsChild>
                                                        <w:div w:id="236668183">
                                                          <w:marLeft w:val="0"/>
                                                          <w:marRight w:val="0"/>
                                                          <w:marTop w:val="0"/>
                                                          <w:marBottom w:val="0"/>
                                                          <w:divBdr>
                                                            <w:top w:val="none" w:sz="0" w:space="0" w:color="auto"/>
                                                            <w:left w:val="none" w:sz="0" w:space="0" w:color="auto"/>
                                                            <w:bottom w:val="none" w:sz="0" w:space="0" w:color="auto"/>
                                                            <w:right w:val="none" w:sz="0" w:space="0" w:color="auto"/>
                                                          </w:divBdr>
                                                          <w:divsChild>
                                                            <w:div w:id="941256825">
                                                              <w:marLeft w:val="0"/>
                                                              <w:marRight w:val="0"/>
                                                              <w:marTop w:val="0"/>
                                                              <w:marBottom w:val="0"/>
                                                              <w:divBdr>
                                                                <w:top w:val="none" w:sz="0" w:space="0" w:color="auto"/>
                                                                <w:left w:val="none" w:sz="0" w:space="0" w:color="auto"/>
                                                                <w:bottom w:val="none" w:sz="0" w:space="0" w:color="auto"/>
                                                                <w:right w:val="none" w:sz="0" w:space="0" w:color="auto"/>
                                                              </w:divBdr>
                                                              <w:divsChild>
                                                                <w:div w:id="795954487">
                                                                  <w:marLeft w:val="0"/>
                                                                  <w:marRight w:val="0"/>
                                                                  <w:marTop w:val="0"/>
                                                                  <w:marBottom w:val="0"/>
                                                                  <w:divBdr>
                                                                    <w:top w:val="none" w:sz="0" w:space="0" w:color="auto"/>
                                                                    <w:left w:val="none" w:sz="0" w:space="0" w:color="auto"/>
                                                                    <w:bottom w:val="none" w:sz="0" w:space="0" w:color="auto"/>
                                                                    <w:right w:val="none" w:sz="0" w:space="0" w:color="auto"/>
                                                                  </w:divBdr>
                                                                </w:div>
                                                                <w:div w:id="1284657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203906">
                                              <w:marLeft w:val="0"/>
                                              <w:marRight w:val="0"/>
                                              <w:marTop w:val="0"/>
                                              <w:marBottom w:val="0"/>
                                              <w:divBdr>
                                                <w:top w:val="none" w:sz="0" w:space="0" w:color="auto"/>
                                                <w:left w:val="none" w:sz="0" w:space="0" w:color="auto"/>
                                                <w:bottom w:val="none" w:sz="0" w:space="0" w:color="auto"/>
                                                <w:right w:val="none" w:sz="0" w:space="0" w:color="auto"/>
                                              </w:divBdr>
                                              <w:divsChild>
                                                <w:div w:id="1961641715">
                                                  <w:marLeft w:val="0"/>
                                                  <w:marRight w:val="0"/>
                                                  <w:marTop w:val="0"/>
                                                  <w:marBottom w:val="0"/>
                                                  <w:divBdr>
                                                    <w:top w:val="none" w:sz="0" w:space="0" w:color="auto"/>
                                                    <w:left w:val="none" w:sz="0" w:space="0" w:color="auto"/>
                                                    <w:bottom w:val="none" w:sz="0" w:space="0" w:color="auto"/>
                                                    <w:right w:val="none" w:sz="0" w:space="0" w:color="auto"/>
                                                  </w:divBdr>
                                                  <w:divsChild>
                                                    <w:div w:id="869798059">
                                                      <w:marLeft w:val="0"/>
                                                      <w:marRight w:val="0"/>
                                                      <w:marTop w:val="0"/>
                                                      <w:marBottom w:val="0"/>
                                                      <w:divBdr>
                                                        <w:top w:val="none" w:sz="0" w:space="0" w:color="auto"/>
                                                        <w:left w:val="none" w:sz="0" w:space="0" w:color="auto"/>
                                                        <w:bottom w:val="none" w:sz="0" w:space="0" w:color="auto"/>
                                                        <w:right w:val="none" w:sz="0" w:space="0" w:color="auto"/>
                                                      </w:divBdr>
                                                      <w:divsChild>
                                                        <w:div w:id="1435129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9089981">
                                              <w:marLeft w:val="0"/>
                                              <w:marRight w:val="0"/>
                                              <w:marTop w:val="0"/>
                                              <w:marBottom w:val="0"/>
                                              <w:divBdr>
                                                <w:top w:val="none" w:sz="0" w:space="0" w:color="auto"/>
                                                <w:left w:val="none" w:sz="0" w:space="0" w:color="auto"/>
                                                <w:bottom w:val="none" w:sz="0" w:space="0" w:color="auto"/>
                                                <w:right w:val="none" w:sz="0" w:space="0" w:color="auto"/>
                                              </w:divBdr>
                                              <w:divsChild>
                                                <w:div w:id="1705591959">
                                                  <w:marLeft w:val="0"/>
                                                  <w:marRight w:val="0"/>
                                                  <w:marTop w:val="0"/>
                                                  <w:marBottom w:val="0"/>
                                                  <w:divBdr>
                                                    <w:top w:val="none" w:sz="0" w:space="0" w:color="auto"/>
                                                    <w:left w:val="none" w:sz="0" w:space="0" w:color="auto"/>
                                                    <w:bottom w:val="none" w:sz="0" w:space="0" w:color="auto"/>
                                                    <w:right w:val="none" w:sz="0" w:space="0" w:color="auto"/>
                                                  </w:divBdr>
                                                  <w:divsChild>
                                                    <w:div w:id="1581796103">
                                                      <w:marLeft w:val="0"/>
                                                      <w:marRight w:val="0"/>
                                                      <w:marTop w:val="0"/>
                                                      <w:marBottom w:val="0"/>
                                                      <w:divBdr>
                                                        <w:top w:val="none" w:sz="0" w:space="0" w:color="auto"/>
                                                        <w:left w:val="none" w:sz="0" w:space="0" w:color="auto"/>
                                                        <w:bottom w:val="none" w:sz="0" w:space="0" w:color="auto"/>
                                                        <w:right w:val="none" w:sz="0" w:space="0" w:color="auto"/>
                                                      </w:divBdr>
                                                      <w:divsChild>
                                                        <w:div w:id="2056999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26985887">
                              <w:marLeft w:val="0"/>
                              <w:marRight w:val="0"/>
                              <w:marTop w:val="0"/>
                              <w:marBottom w:val="0"/>
                              <w:divBdr>
                                <w:top w:val="none" w:sz="0" w:space="0" w:color="auto"/>
                                <w:left w:val="none" w:sz="0" w:space="0" w:color="auto"/>
                                <w:bottom w:val="none" w:sz="0" w:space="0" w:color="auto"/>
                                <w:right w:val="none" w:sz="0" w:space="0" w:color="auto"/>
                              </w:divBdr>
                              <w:divsChild>
                                <w:div w:id="1573000394">
                                  <w:marLeft w:val="0"/>
                                  <w:marRight w:val="0"/>
                                  <w:marTop w:val="0"/>
                                  <w:marBottom w:val="0"/>
                                  <w:divBdr>
                                    <w:top w:val="none" w:sz="0" w:space="0" w:color="auto"/>
                                    <w:left w:val="none" w:sz="0" w:space="0" w:color="auto"/>
                                    <w:bottom w:val="none" w:sz="0" w:space="0" w:color="auto"/>
                                    <w:right w:val="none" w:sz="0" w:space="0" w:color="auto"/>
                                  </w:divBdr>
                                  <w:divsChild>
                                    <w:div w:id="196937661">
                                      <w:marLeft w:val="0"/>
                                      <w:marRight w:val="0"/>
                                      <w:marTop w:val="0"/>
                                      <w:marBottom w:val="0"/>
                                      <w:divBdr>
                                        <w:top w:val="none" w:sz="0" w:space="0" w:color="auto"/>
                                        <w:left w:val="none" w:sz="0" w:space="0" w:color="auto"/>
                                        <w:bottom w:val="none" w:sz="0" w:space="0" w:color="auto"/>
                                        <w:right w:val="none" w:sz="0" w:space="0" w:color="auto"/>
                                      </w:divBdr>
                                      <w:divsChild>
                                        <w:div w:id="863056016">
                                          <w:marLeft w:val="0"/>
                                          <w:marRight w:val="0"/>
                                          <w:marTop w:val="0"/>
                                          <w:marBottom w:val="0"/>
                                          <w:divBdr>
                                            <w:top w:val="none" w:sz="0" w:space="0" w:color="auto"/>
                                            <w:left w:val="none" w:sz="0" w:space="0" w:color="auto"/>
                                            <w:bottom w:val="none" w:sz="0" w:space="0" w:color="auto"/>
                                            <w:right w:val="none" w:sz="0" w:space="0" w:color="auto"/>
                                          </w:divBdr>
                                          <w:divsChild>
                                            <w:div w:id="1833131824">
                                              <w:marLeft w:val="0"/>
                                              <w:marRight w:val="0"/>
                                              <w:marTop w:val="0"/>
                                              <w:marBottom w:val="0"/>
                                              <w:divBdr>
                                                <w:top w:val="none" w:sz="0" w:space="0" w:color="auto"/>
                                                <w:left w:val="none" w:sz="0" w:space="0" w:color="auto"/>
                                                <w:bottom w:val="none" w:sz="0" w:space="0" w:color="auto"/>
                                                <w:right w:val="none" w:sz="0" w:space="0" w:color="auto"/>
                                              </w:divBdr>
                                              <w:divsChild>
                                                <w:div w:id="371617028">
                                                  <w:marLeft w:val="0"/>
                                                  <w:marRight w:val="0"/>
                                                  <w:marTop w:val="0"/>
                                                  <w:marBottom w:val="0"/>
                                                  <w:divBdr>
                                                    <w:top w:val="none" w:sz="0" w:space="0" w:color="auto"/>
                                                    <w:left w:val="none" w:sz="0" w:space="0" w:color="auto"/>
                                                    <w:bottom w:val="none" w:sz="0" w:space="0" w:color="auto"/>
                                                    <w:right w:val="none" w:sz="0" w:space="0" w:color="auto"/>
                                                  </w:divBdr>
                                                  <w:divsChild>
                                                    <w:div w:id="1105660969">
                                                      <w:marLeft w:val="0"/>
                                                      <w:marRight w:val="0"/>
                                                      <w:marTop w:val="0"/>
                                                      <w:marBottom w:val="0"/>
                                                      <w:divBdr>
                                                        <w:top w:val="none" w:sz="0" w:space="0" w:color="auto"/>
                                                        <w:left w:val="none" w:sz="0" w:space="0" w:color="auto"/>
                                                        <w:bottom w:val="none" w:sz="0" w:space="0" w:color="auto"/>
                                                        <w:right w:val="none" w:sz="0" w:space="0" w:color="auto"/>
                                                      </w:divBdr>
                                                      <w:divsChild>
                                                        <w:div w:id="546260898">
                                                          <w:marLeft w:val="0"/>
                                                          <w:marRight w:val="0"/>
                                                          <w:marTop w:val="0"/>
                                                          <w:marBottom w:val="0"/>
                                                          <w:divBdr>
                                                            <w:top w:val="none" w:sz="0" w:space="0" w:color="auto"/>
                                                            <w:left w:val="none" w:sz="0" w:space="0" w:color="auto"/>
                                                            <w:bottom w:val="none" w:sz="0" w:space="0" w:color="auto"/>
                                                            <w:right w:val="none" w:sz="0" w:space="0" w:color="auto"/>
                                                          </w:divBdr>
                                                          <w:divsChild>
                                                            <w:div w:id="346836988">
                                                              <w:marLeft w:val="0"/>
                                                              <w:marRight w:val="0"/>
                                                              <w:marTop w:val="0"/>
                                                              <w:marBottom w:val="0"/>
                                                              <w:divBdr>
                                                                <w:top w:val="none" w:sz="0" w:space="0" w:color="auto"/>
                                                                <w:left w:val="none" w:sz="0" w:space="0" w:color="auto"/>
                                                                <w:bottom w:val="none" w:sz="0" w:space="0" w:color="auto"/>
                                                                <w:right w:val="none" w:sz="0" w:space="0" w:color="auto"/>
                                                              </w:divBdr>
                                                              <w:divsChild>
                                                                <w:div w:id="1829397985">
                                                                  <w:marLeft w:val="0"/>
                                                                  <w:marRight w:val="0"/>
                                                                  <w:marTop w:val="0"/>
                                                                  <w:marBottom w:val="0"/>
                                                                  <w:divBdr>
                                                                    <w:top w:val="none" w:sz="0" w:space="0" w:color="auto"/>
                                                                    <w:left w:val="none" w:sz="0" w:space="0" w:color="auto"/>
                                                                    <w:bottom w:val="none" w:sz="0" w:space="0" w:color="auto"/>
                                                                    <w:right w:val="none" w:sz="0" w:space="0" w:color="auto"/>
                                                                  </w:divBdr>
                                                                </w:div>
                                                                <w:div w:id="327711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95000661">
                                              <w:marLeft w:val="0"/>
                                              <w:marRight w:val="0"/>
                                              <w:marTop w:val="0"/>
                                              <w:marBottom w:val="0"/>
                                              <w:divBdr>
                                                <w:top w:val="none" w:sz="0" w:space="0" w:color="auto"/>
                                                <w:left w:val="none" w:sz="0" w:space="0" w:color="auto"/>
                                                <w:bottom w:val="none" w:sz="0" w:space="0" w:color="auto"/>
                                                <w:right w:val="none" w:sz="0" w:space="0" w:color="auto"/>
                                              </w:divBdr>
                                              <w:divsChild>
                                                <w:div w:id="1646468227">
                                                  <w:marLeft w:val="0"/>
                                                  <w:marRight w:val="0"/>
                                                  <w:marTop w:val="0"/>
                                                  <w:marBottom w:val="0"/>
                                                  <w:divBdr>
                                                    <w:top w:val="none" w:sz="0" w:space="0" w:color="auto"/>
                                                    <w:left w:val="none" w:sz="0" w:space="0" w:color="auto"/>
                                                    <w:bottom w:val="none" w:sz="0" w:space="0" w:color="auto"/>
                                                    <w:right w:val="none" w:sz="0" w:space="0" w:color="auto"/>
                                                  </w:divBdr>
                                                  <w:divsChild>
                                                    <w:div w:id="814835602">
                                                      <w:marLeft w:val="0"/>
                                                      <w:marRight w:val="0"/>
                                                      <w:marTop w:val="0"/>
                                                      <w:marBottom w:val="0"/>
                                                      <w:divBdr>
                                                        <w:top w:val="none" w:sz="0" w:space="0" w:color="auto"/>
                                                        <w:left w:val="none" w:sz="0" w:space="0" w:color="auto"/>
                                                        <w:bottom w:val="none" w:sz="0" w:space="0" w:color="auto"/>
                                                        <w:right w:val="none" w:sz="0" w:space="0" w:color="auto"/>
                                                      </w:divBdr>
                                                      <w:divsChild>
                                                        <w:div w:id="929388067">
                                                          <w:marLeft w:val="0"/>
                                                          <w:marRight w:val="0"/>
                                                          <w:marTop w:val="0"/>
                                                          <w:marBottom w:val="0"/>
                                                          <w:divBdr>
                                                            <w:top w:val="none" w:sz="0" w:space="0" w:color="auto"/>
                                                            <w:left w:val="none" w:sz="0" w:space="0" w:color="auto"/>
                                                            <w:bottom w:val="none" w:sz="0" w:space="0" w:color="auto"/>
                                                            <w:right w:val="none" w:sz="0" w:space="0" w:color="auto"/>
                                                          </w:divBdr>
                                                          <w:divsChild>
                                                            <w:div w:id="628827975">
                                                              <w:marLeft w:val="0"/>
                                                              <w:marRight w:val="0"/>
                                                              <w:marTop w:val="0"/>
                                                              <w:marBottom w:val="0"/>
                                                              <w:divBdr>
                                                                <w:top w:val="single" w:sz="2" w:space="0" w:color="E3E3E3"/>
                                                                <w:left w:val="single" w:sz="2" w:space="0" w:color="E3E3E3"/>
                                                                <w:bottom w:val="single" w:sz="2" w:space="0" w:color="E3E3E3"/>
                                                                <w:right w:val="single" w:sz="2" w:space="0" w:color="E3E3E3"/>
                                                              </w:divBdr>
                                                              <w:divsChild>
                                                                <w:div w:id="1343701821">
                                                                  <w:marLeft w:val="0"/>
                                                                  <w:marRight w:val="0"/>
                                                                  <w:marTop w:val="0"/>
                                                                  <w:marBottom w:val="0"/>
                                                                  <w:divBdr>
                                                                    <w:top w:val="none" w:sz="0" w:space="0" w:color="auto"/>
                                                                    <w:left w:val="none" w:sz="0" w:space="0" w:color="auto"/>
                                                                    <w:bottom w:val="none" w:sz="0" w:space="0" w:color="auto"/>
                                                                    <w:right w:val="none" w:sz="0" w:space="0" w:color="auto"/>
                                                                  </w:divBdr>
                                                                  <w:divsChild>
                                                                    <w:div w:id="1023701866">
                                                                      <w:marLeft w:val="0"/>
                                                                      <w:marRight w:val="0"/>
                                                                      <w:marTop w:val="0"/>
                                                                      <w:marBottom w:val="0"/>
                                                                      <w:divBdr>
                                                                        <w:top w:val="none" w:sz="0" w:space="0" w:color="auto"/>
                                                                        <w:left w:val="none" w:sz="0" w:space="0" w:color="auto"/>
                                                                        <w:bottom w:val="none" w:sz="0" w:space="0" w:color="auto"/>
                                                                        <w:right w:val="none" w:sz="0" w:space="0" w:color="auto"/>
                                                                      </w:divBdr>
                                                                      <w:divsChild>
                                                                        <w:div w:id="2080472238">
                                                                          <w:marLeft w:val="0"/>
                                                                          <w:marRight w:val="0"/>
                                                                          <w:marTop w:val="0"/>
                                                                          <w:marBottom w:val="0"/>
                                                                          <w:divBdr>
                                                                            <w:top w:val="none" w:sz="0" w:space="0" w:color="auto"/>
                                                                            <w:left w:val="none" w:sz="0" w:space="0" w:color="auto"/>
                                                                            <w:bottom w:val="none" w:sz="0" w:space="0" w:color="auto"/>
                                                                            <w:right w:val="none" w:sz="0" w:space="0" w:color="auto"/>
                                                                          </w:divBdr>
                                                                          <w:divsChild>
                                                                            <w:div w:id="1474904407">
                                                                              <w:marLeft w:val="0"/>
                                                                              <w:marRight w:val="0"/>
                                                                              <w:marTop w:val="0"/>
                                                                              <w:marBottom w:val="0"/>
                                                                              <w:divBdr>
                                                                                <w:top w:val="none" w:sz="0" w:space="0" w:color="auto"/>
                                                                                <w:left w:val="none" w:sz="0" w:space="0" w:color="auto"/>
                                                                                <w:bottom w:val="none" w:sz="0" w:space="0" w:color="auto"/>
                                                                                <w:right w:val="none" w:sz="0" w:space="0" w:color="auto"/>
                                                                              </w:divBdr>
                                                                              <w:divsChild>
                                                                                <w:div w:id="1101530154">
                                                                                  <w:marLeft w:val="0"/>
                                                                                  <w:marRight w:val="0"/>
                                                                                  <w:marTop w:val="0"/>
                                                                                  <w:marBottom w:val="0"/>
                                                                                  <w:divBdr>
                                                                                    <w:top w:val="none" w:sz="0" w:space="0" w:color="auto"/>
                                                                                    <w:left w:val="none" w:sz="0" w:space="0" w:color="auto"/>
                                                                                    <w:bottom w:val="none" w:sz="0" w:space="0" w:color="auto"/>
                                                                                    <w:right w:val="none" w:sz="0" w:space="0" w:color="auto"/>
                                                                                  </w:divBdr>
                                                                                  <w:divsChild>
                                                                                    <w:div w:id="1282689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0440210">
                                                                              <w:marLeft w:val="0"/>
                                                                              <w:marRight w:val="0"/>
                                                                              <w:marTop w:val="0"/>
                                                                              <w:marBottom w:val="0"/>
                                                                              <w:divBdr>
                                                                                <w:top w:val="none" w:sz="0" w:space="0" w:color="auto"/>
                                                                                <w:left w:val="none" w:sz="0" w:space="0" w:color="auto"/>
                                                                                <w:bottom w:val="none" w:sz="0" w:space="0" w:color="auto"/>
                                                                                <w:right w:val="none" w:sz="0" w:space="0" w:color="auto"/>
                                                                              </w:divBdr>
                                                                              <w:divsChild>
                                                                                <w:div w:id="1460223835">
                                                                                  <w:marLeft w:val="0"/>
                                                                                  <w:marRight w:val="0"/>
                                                                                  <w:marTop w:val="0"/>
                                                                                  <w:marBottom w:val="0"/>
                                                                                  <w:divBdr>
                                                                                    <w:top w:val="none" w:sz="0" w:space="0" w:color="auto"/>
                                                                                    <w:left w:val="none" w:sz="0" w:space="0" w:color="auto"/>
                                                                                    <w:bottom w:val="none" w:sz="0" w:space="0" w:color="auto"/>
                                                                                    <w:right w:val="none" w:sz="0" w:space="0" w:color="auto"/>
                                                                                  </w:divBdr>
                                                                                  <w:divsChild>
                                                                                    <w:div w:id="1040519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51475863">
                                                              <w:marLeft w:val="0"/>
                                                              <w:marRight w:val="0"/>
                                                              <w:marTop w:val="0"/>
                                                              <w:marBottom w:val="0"/>
                                                              <w:divBdr>
                                                                <w:top w:val="single" w:sz="2" w:space="0" w:color="E3E3E3"/>
                                                                <w:left w:val="single" w:sz="2" w:space="0" w:color="E3E3E3"/>
                                                                <w:bottom w:val="single" w:sz="2" w:space="0" w:color="E3E3E3"/>
                                                                <w:right w:val="single" w:sz="2" w:space="0" w:color="E3E3E3"/>
                                                              </w:divBdr>
                                                              <w:divsChild>
                                                                <w:div w:id="366295592">
                                                                  <w:marLeft w:val="0"/>
                                                                  <w:marRight w:val="0"/>
                                                                  <w:marTop w:val="0"/>
                                                                  <w:marBottom w:val="0"/>
                                                                  <w:divBdr>
                                                                    <w:top w:val="none" w:sz="0" w:space="0" w:color="auto"/>
                                                                    <w:left w:val="none" w:sz="0" w:space="0" w:color="auto"/>
                                                                    <w:bottom w:val="none" w:sz="0" w:space="0" w:color="auto"/>
                                                                    <w:right w:val="none" w:sz="0" w:space="0" w:color="auto"/>
                                                                  </w:divBdr>
                                                                  <w:divsChild>
                                                                    <w:div w:id="413480574">
                                                                      <w:marLeft w:val="0"/>
                                                                      <w:marRight w:val="0"/>
                                                                      <w:marTop w:val="0"/>
                                                                      <w:marBottom w:val="0"/>
                                                                      <w:divBdr>
                                                                        <w:top w:val="none" w:sz="0" w:space="0" w:color="auto"/>
                                                                        <w:left w:val="none" w:sz="0" w:space="0" w:color="auto"/>
                                                                        <w:bottom w:val="none" w:sz="0" w:space="0" w:color="auto"/>
                                                                        <w:right w:val="none" w:sz="0" w:space="0" w:color="auto"/>
                                                                      </w:divBdr>
                                                                      <w:divsChild>
                                                                        <w:div w:id="846097079">
                                                                          <w:marLeft w:val="0"/>
                                                                          <w:marRight w:val="0"/>
                                                                          <w:marTop w:val="0"/>
                                                                          <w:marBottom w:val="0"/>
                                                                          <w:divBdr>
                                                                            <w:top w:val="none" w:sz="0" w:space="0" w:color="auto"/>
                                                                            <w:left w:val="none" w:sz="0" w:space="0" w:color="auto"/>
                                                                            <w:bottom w:val="none" w:sz="0" w:space="0" w:color="auto"/>
                                                                            <w:right w:val="none" w:sz="0" w:space="0" w:color="auto"/>
                                                                          </w:divBdr>
                                                                          <w:divsChild>
                                                                            <w:div w:id="1698039864">
                                                                              <w:marLeft w:val="0"/>
                                                                              <w:marRight w:val="0"/>
                                                                              <w:marTop w:val="0"/>
                                                                              <w:marBottom w:val="0"/>
                                                                              <w:divBdr>
                                                                                <w:top w:val="none" w:sz="0" w:space="0" w:color="auto"/>
                                                                                <w:left w:val="none" w:sz="0" w:space="0" w:color="auto"/>
                                                                                <w:bottom w:val="none" w:sz="0" w:space="0" w:color="auto"/>
                                                                                <w:right w:val="none" w:sz="0" w:space="0" w:color="auto"/>
                                                                              </w:divBdr>
                                                                              <w:divsChild>
                                                                                <w:div w:id="287704964">
                                                                                  <w:marLeft w:val="0"/>
                                                                                  <w:marRight w:val="0"/>
                                                                                  <w:marTop w:val="0"/>
                                                                                  <w:marBottom w:val="0"/>
                                                                                  <w:divBdr>
                                                                                    <w:top w:val="none" w:sz="0" w:space="0" w:color="auto"/>
                                                                                    <w:left w:val="none" w:sz="0" w:space="0" w:color="auto"/>
                                                                                    <w:bottom w:val="none" w:sz="0" w:space="0" w:color="auto"/>
                                                                                    <w:right w:val="none" w:sz="0" w:space="0" w:color="auto"/>
                                                                                  </w:divBdr>
                                                                                  <w:divsChild>
                                                                                    <w:div w:id="1658655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0456063">
                                                                              <w:marLeft w:val="0"/>
                                                                              <w:marRight w:val="0"/>
                                                                              <w:marTop w:val="0"/>
                                                                              <w:marBottom w:val="0"/>
                                                                              <w:divBdr>
                                                                                <w:top w:val="none" w:sz="0" w:space="0" w:color="auto"/>
                                                                                <w:left w:val="none" w:sz="0" w:space="0" w:color="auto"/>
                                                                                <w:bottom w:val="none" w:sz="0" w:space="0" w:color="auto"/>
                                                                                <w:right w:val="none" w:sz="0" w:space="0" w:color="auto"/>
                                                                              </w:divBdr>
                                                                              <w:divsChild>
                                                                                <w:div w:id="748238144">
                                                                                  <w:marLeft w:val="0"/>
                                                                                  <w:marRight w:val="0"/>
                                                                                  <w:marTop w:val="0"/>
                                                                                  <w:marBottom w:val="0"/>
                                                                                  <w:divBdr>
                                                                                    <w:top w:val="none" w:sz="0" w:space="0" w:color="auto"/>
                                                                                    <w:left w:val="none" w:sz="0" w:space="0" w:color="auto"/>
                                                                                    <w:bottom w:val="none" w:sz="0" w:space="0" w:color="auto"/>
                                                                                    <w:right w:val="none" w:sz="0" w:space="0" w:color="auto"/>
                                                                                  </w:divBdr>
                                                                                  <w:divsChild>
                                                                                    <w:div w:id="1450776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13307660">
                                                              <w:marLeft w:val="0"/>
                                                              <w:marRight w:val="0"/>
                                                              <w:marTop w:val="0"/>
                                                              <w:marBottom w:val="0"/>
                                                              <w:divBdr>
                                                                <w:top w:val="none" w:sz="0" w:space="0" w:color="auto"/>
                                                                <w:left w:val="none" w:sz="0" w:space="0" w:color="auto"/>
                                                                <w:bottom w:val="none" w:sz="0" w:space="0" w:color="auto"/>
                                                                <w:right w:val="none" w:sz="0" w:space="0" w:color="auto"/>
                                                              </w:divBdr>
                                                              <w:divsChild>
                                                                <w:div w:id="1873567255">
                                                                  <w:marLeft w:val="0"/>
                                                                  <w:marRight w:val="0"/>
                                                                  <w:marTop w:val="0"/>
                                                                  <w:marBottom w:val="0"/>
                                                                  <w:divBdr>
                                                                    <w:top w:val="none" w:sz="0" w:space="0" w:color="auto"/>
                                                                    <w:left w:val="none" w:sz="0" w:space="0" w:color="auto"/>
                                                                    <w:bottom w:val="none" w:sz="0" w:space="0" w:color="auto"/>
                                                                    <w:right w:val="none" w:sz="0" w:space="0" w:color="auto"/>
                                                                  </w:divBdr>
                                                                </w:div>
                                                                <w:div w:id="1239367276">
                                                                  <w:marLeft w:val="0"/>
                                                                  <w:marRight w:val="0"/>
                                                                  <w:marTop w:val="0"/>
                                                                  <w:marBottom w:val="0"/>
                                                                  <w:divBdr>
                                                                    <w:top w:val="none" w:sz="0" w:space="0" w:color="auto"/>
                                                                    <w:left w:val="none" w:sz="0" w:space="0" w:color="auto"/>
                                                                    <w:bottom w:val="none" w:sz="0" w:space="0" w:color="auto"/>
                                                                    <w:right w:val="none" w:sz="0" w:space="0" w:color="auto"/>
                                                                  </w:divBdr>
                                                                </w:div>
                                                              </w:divsChild>
                                                            </w:div>
                                                            <w:div w:id="1027372202">
                                                              <w:marLeft w:val="0"/>
                                                              <w:marRight w:val="0"/>
                                                              <w:marTop w:val="0"/>
                                                              <w:marBottom w:val="0"/>
                                                              <w:divBdr>
                                                                <w:top w:val="none" w:sz="0" w:space="0" w:color="auto"/>
                                                                <w:left w:val="none" w:sz="0" w:space="0" w:color="auto"/>
                                                                <w:bottom w:val="none" w:sz="0" w:space="0" w:color="auto"/>
                                                                <w:right w:val="none" w:sz="0" w:space="0" w:color="auto"/>
                                                              </w:divBdr>
                                                              <w:divsChild>
                                                                <w:div w:id="1129519118">
                                                                  <w:marLeft w:val="0"/>
                                                                  <w:marRight w:val="0"/>
                                                                  <w:marTop w:val="0"/>
                                                                  <w:marBottom w:val="0"/>
                                                                  <w:divBdr>
                                                                    <w:top w:val="none" w:sz="0" w:space="0" w:color="auto"/>
                                                                    <w:left w:val="none" w:sz="0" w:space="0" w:color="auto"/>
                                                                    <w:bottom w:val="none" w:sz="0" w:space="0" w:color="auto"/>
                                                                    <w:right w:val="none" w:sz="0" w:space="0" w:color="auto"/>
                                                                  </w:divBdr>
                                                                </w:div>
                                                                <w:div w:id="1441413579">
                                                                  <w:marLeft w:val="0"/>
                                                                  <w:marRight w:val="0"/>
                                                                  <w:marTop w:val="0"/>
                                                                  <w:marBottom w:val="0"/>
                                                                  <w:divBdr>
                                                                    <w:top w:val="none" w:sz="0" w:space="0" w:color="auto"/>
                                                                    <w:left w:val="none" w:sz="0" w:space="0" w:color="auto"/>
                                                                    <w:bottom w:val="none" w:sz="0" w:space="0" w:color="auto"/>
                                                                    <w:right w:val="none" w:sz="0" w:space="0" w:color="auto"/>
                                                                  </w:divBdr>
                                                                </w:div>
                                                              </w:divsChild>
                                                            </w:div>
                                                            <w:div w:id="832066380">
                                                              <w:marLeft w:val="0"/>
                                                              <w:marRight w:val="0"/>
                                                              <w:marTop w:val="0"/>
                                                              <w:marBottom w:val="0"/>
                                                              <w:divBdr>
                                                                <w:top w:val="none" w:sz="0" w:space="0" w:color="auto"/>
                                                                <w:left w:val="none" w:sz="0" w:space="0" w:color="auto"/>
                                                                <w:bottom w:val="none" w:sz="0" w:space="0" w:color="auto"/>
                                                                <w:right w:val="none" w:sz="0" w:space="0" w:color="auto"/>
                                                              </w:divBdr>
                                                              <w:divsChild>
                                                                <w:div w:id="1056205511">
                                                                  <w:marLeft w:val="0"/>
                                                                  <w:marRight w:val="0"/>
                                                                  <w:marTop w:val="0"/>
                                                                  <w:marBottom w:val="0"/>
                                                                  <w:divBdr>
                                                                    <w:top w:val="none" w:sz="0" w:space="0" w:color="auto"/>
                                                                    <w:left w:val="none" w:sz="0" w:space="0" w:color="auto"/>
                                                                    <w:bottom w:val="none" w:sz="0" w:space="0" w:color="auto"/>
                                                                    <w:right w:val="none" w:sz="0" w:space="0" w:color="auto"/>
                                                                  </w:divBdr>
                                                                </w:div>
                                                                <w:div w:id="238026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74731793">
                                              <w:marLeft w:val="0"/>
                                              <w:marRight w:val="0"/>
                                              <w:marTop w:val="0"/>
                                              <w:marBottom w:val="0"/>
                                              <w:divBdr>
                                                <w:top w:val="none" w:sz="0" w:space="0" w:color="auto"/>
                                                <w:left w:val="none" w:sz="0" w:space="0" w:color="auto"/>
                                                <w:bottom w:val="none" w:sz="0" w:space="0" w:color="auto"/>
                                                <w:right w:val="none" w:sz="0" w:space="0" w:color="auto"/>
                                              </w:divBdr>
                                              <w:divsChild>
                                                <w:div w:id="804813550">
                                                  <w:marLeft w:val="0"/>
                                                  <w:marRight w:val="0"/>
                                                  <w:marTop w:val="0"/>
                                                  <w:marBottom w:val="0"/>
                                                  <w:divBdr>
                                                    <w:top w:val="none" w:sz="0" w:space="0" w:color="auto"/>
                                                    <w:left w:val="none" w:sz="0" w:space="0" w:color="auto"/>
                                                    <w:bottom w:val="none" w:sz="0" w:space="0" w:color="auto"/>
                                                    <w:right w:val="none" w:sz="0" w:space="0" w:color="auto"/>
                                                  </w:divBdr>
                                                  <w:divsChild>
                                                    <w:div w:id="1606693249">
                                                      <w:marLeft w:val="0"/>
                                                      <w:marRight w:val="0"/>
                                                      <w:marTop w:val="0"/>
                                                      <w:marBottom w:val="0"/>
                                                      <w:divBdr>
                                                        <w:top w:val="none" w:sz="0" w:space="0" w:color="auto"/>
                                                        <w:left w:val="none" w:sz="0" w:space="0" w:color="auto"/>
                                                        <w:bottom w:val="none" w:sz="0" w:space="0" w:color="auto"/>
                                                        <w:right w:val="none" w:sz="0" w:space="0" w:color="auto"/>
                                                      </w:divBdr>
                                                      <w:divsChild>
                                                        <w:div w:id="758721491">
                                                          <w:marLeft w:val="0"/>
                                                          <w:marRight w:val="0"/>
                                                          <w:marTop w:val="0"/>
                                                          <w:marBottom w:val="0"/>
                                                          <w:divBdr>
                                                            <w:top w:val="none" w:sz="0" w:space="0" w:color="auto"/>
                                                            <w:left w:val="none" w:sz="0" w:space="0" w:color="auto"/>
                                                            <w:bottom w:val="none" w:sz="0" w:space="0" w:color="auto"/>
                                                            <w:right w:val="none" w:sz="0" w:space="0" w:color="auto"/>
                                                          </w:divBdr>
                                                          <w:divsChild>
                                                            <w:div w:id="869223157">
                                                              <w:marLeft w:val="0"/>
                                                              <w:marRight w:val="0"/>
                                                              <w:marTop w:val="0"/>
                                                              <w:marBottom w:val="0"/>
                                                              <w:divBdr>
                                                                <w:top w:val="single" w:sz="2" w:space="0" w:color="E3E3E3"/>
                                                                <w:left w:val="single" w:sz="2" w:space="0" w:color="E3E3E3"/>
                                                                <w:bottom w:val="single" w:sz="2" w:space="0" w:color="E3E3E3"/>
                                                                <w:right w:val="single" w:sz="2" w:space="0" w:color="E3E3E3"/>
                                                              </w:divBdr>
                                                              <w:divsChild>
                                                                <w:div w:id="37749635">
                                                                  <w:marLeft w:val="0"/>
                                                                  <w:marRight w:val="0"/>
                                                                  <w:marTop w:val="0"/>
                                                                  <w:marBottom w:val="0"/>
                                                                  <w:divBdr>
                                                                    <w:top w:val="none" w:sz="0" w:space="0" w:color="auto"/>
                                                                    <w:left w:val="none" w:sz="0" w:space="0" w:color="auto"/>
                                                                    <w:bottom w:val="none" w:sz="0" w:space="0" w:color="auto"/>
                                                                    <w:right w:val="none" w:sz="0" w:space="0" w:color="auto"/>
                                                                  </w:divBdr>
                                                                  <w:divsChild>
                                                                    <w:div w:id="986714236">
                                                                      <w:marLeft w:val="0"/>
                                                                      <w:marRight w:val="0"/>
                                                                      <w:marTop w:val="0"/>
                                                                      <w:marBottom w:val="0"/>
                                                                      <w:divBdr>
                                                                        <w:top w:val="none" w:sz="0" w:space="0" w:color="auto"/>
                                                                        <w:left w:val="none" w:sz="0" w:space="0" w:color="auto"/>
                                                                        <w:bottom w:val="none" w:sz="0" w:space="0" w:color="auto"/>
                                                                        <w:right w:val="none" w:sz="0" w:space="0" w:color="auto"/>
                                                                      </w:divBdr>
                                                                      <w:divsChild>
                                                                        <w:div w:id="574901842">
                                                                          <w:marLeft w:val="0"/>
                                                                          <w:marRight w:val="0"/>
                                                                          <w:marTop w:val="0"/>
                                                                          <w:marBottom w:val="0"/>
                                                                          <w:divBdr>
                                                                            <w:top w:val="none" w:sz="0" w:space="0" w:color="auto"/>
                                                                            <w:left w:val="none" w:sz="0" w:space="0" w:color="auto"/>
                                                                            <w:bottom w:val="none" w:sz="0" w:space="0" w:color="auto"/>
                                                                            <w:right w:val="none" w:sz="0" w:space="0" w:color="auto"/>
                                                                          </w:divBdr>
                                                                          <w:divsChild>
                                                                            <w:div w:id="1332947980">
                                                                              <w:marLeft w:val="0"/>
                                                                              <w:marRight w:val="0"/>
                                                                              <w:marTop w:val="0"/>
                                                                              <w:marBottom w:val="0"/>
                                                                              <w:divBdr>
                                                                                <w:top w:val="none" w:sz="0" w:space="0" w:color="auto"/>
                                                                                <w:left w:val="none" w:sz="0" w:space="0" w:color="auto"/>
                                                                                <w:bottom w:val="none" w:sz="0" w:space="0" w:color="auto"/>
                                                                                <w:right w:val="none" w:sz="0" w:space="0" w:color="auto"/>
                                                                              </w:divBdr>
                                                                              <w:divsChild>
                                                                                <w:div w:id="1076050033">
                                                                                  <w:marLeft w:val="0"/>
                                                                                  <w:marRight w:val="0"/>
                                                                                  <w:marTop w:val="0"/>
                                                                                  <w:marBottom w:val="0"/>
                                                                                  <w:divBdr>
                                                                                    <w:top w:val="none" w:sz="0" w:space="0" w:color="auto"/>
                                                                                    <w:left w:val="none" w:sz="0" w:space="0" w:color="auto"/>
                                                                                    <w:bottom w:val="none" w:sz="0" w:space="0" w:color="auto"/>
                                                                                    <w:right w:val="none" w:sz="0" w:space="0" w:color="auto"/>
                                                                                  </w:divBdr>
                                                                                  <w:divsChild>
                                                                                    <w:div w:id="1934164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8827777">
                                                                              <w:marLeft w:val="0"/>
                                                                              <w:marRight w:val="0"/>
                                                                              <w:marTop w:val="0"/>
                                                                              <w:marBottom w:val="0"/>
                                                                              <w:divBdr>
                                                                                <w:top w:val="none" w:sz="0" w:space="0" w:color="auto"/>
                                                                                <w:left w:val="none" w:sz="0" w:space="0" w:color="auto"/>
                                                                                <w:bottom w:val="none" w:sz="0" w:space="0" w:color="auto"/>
                                                                                <w:right w:val="none" w:sz="0" w:space="0" w:color="auto"/>
                                                                              </w:divBdr>
                                                                              <w:divsChild>
                                                                                <w:div w:id="894314521">
                                                                                  <w:marLeft w:val="0"/>
                                                                                  <w:marRight w:val="0"/>
                                                                                  <w:marTop w:val="0"/>
                                                                                  <w:marBottom w:val="0"/>
                                                                                  <w:divBdr>
                                                                                    <w:top w:val="none" w:sz="0" w:space="0" w:color="auto"/>
                                                                                    <w:left w:val="none" w:sz="0" w:space="0" w:color="auto"/>
                                                                                    <w:bottom w:val="none" w:sz="0" w:space="0" w:color="auto"/>
                                                                                    <w:right w:val="none" w:sz="0" w:space="0" w:color="auto"/>
                                                                                  </w:divBdr>
                                                                                  <w:divsChild>
                                                                                    <w:div w:id="1314485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7394410">
                                                              <w:marLeft w:val="0"/>
                                                              <w:marRight w:val="0"/>
                                                              <w:marTop w:val="0"/>
                                                              <w:marBottom w:val="0"/>
                                                              <w:divBdr>
                                                                <w:top w:val="single" w:sz="2" w:space="0" w:color="E3E3E3"/>
                                                                <w:left w:val="single" w:sz="2" w:space="0" w:color="E3E3E3"/>
                                                                <w:bottom w:val="single" w:sz="2" w:space="0" w:color="E3E3E3"/>
                                                                <w:right w:val="single" w:sz="2" w:space="0" w:color="E3E3E3"/>
                                                              </w:divBdr>
                                                              <w:divsChild>
                                                                <w:div w:id="522205591">
                                                                  <w:marLeft w:val="0"/>
                                                                  <w:marRight w:val="0"/>
                                                                  <w:marTop w:val="0"/>
                                                                  <w:marBottom w:val="0"/>
                                                                  <w:divBdr>
                                                                    <w:top w:val="none" w:sz="0" w:space="0" w:color="auto"/>
                                                                    <w:left w:val="none" w:sz="0" w:space="0" w:color="auto"/>
                                                                    <w:bottom w:val="none" w:sz="0" w:space="0" w:color="auto"/>
                                                                    <w:right w:val="none" w:sz="0" w:space="0" w:color="auto"/>
                                                                  </w:divBdr>
                                                                  <w:divsChild>
                                                                    <w:div w:id="1025863845">
                                                                      <w:marLeft w:val="0"/>
                                                                      <w:marRight w:val="0"/>
                                                                      <w:marTop w:val="0"/>
                                                                      <w:marBottom w:val="0"/>
                                                                      <w:divBdr>
                                                                        <w:top w:val="none" w:sz="0" w:space="0" w:color="auto"/>
                                                                        <w:left w:val="none" w:sz="0" w:space="0" w:color="auto"/>
                                                                        <w:bottom w:val="none" w:sz="0" w:space="0" w:color="auto"/>
                                                                        <w:right w:val="none" w:sz="0" w:space="0" w:color="auto"/>
                                                                      </w:divBdr>
                                                                      <w:divsChild>
                                                                        <w:div w:id="1368870776">
                                                                          <w:marLeft w:val="0"/>
                                                                          <w:marRight w:val="0"/>
                                                                          <w:marTop w:val="0"/>
                                                                          <w:marBottom w:val="0"/>
                                                                          <w:divBdr>
                                                                            <w:top w:val="none" w:sz="0" w:space="0" w:color="auto"/>
                                                                            <w:left w:val="none" w:sz="0" w:space="0" w:color="auto"/>
                                                                            <w:bottom w:val="none" w:sz="0" w:space="0" w:color="auto"/>
                                                                            <w:right w:val="none" w:sz="0" w:space="0" w:color="auto"/>
                                                                          </w:divBdr>
                                                                          <w:divsChild>
                                                                            <w:div w:id="1998529231">
                                                                              <w:marLeft w:val="0"/>
                                                                              <w:marRight w:val="0"/>
                                                                              <w:marTop w:val="0"/>
                                                                              <w:marBottom w:val="0"/>
                                                                              <w:divBdr>
                                                                                <w:top w:val="none" w:sz="0" w:space="0" w:color="auto"/>
                                                                                <w:left w:val="none" w:sz="0" w:space="0" w:color="auto"/>
                                                                                <w:bottom w:val="none" w:sz="0" w:space="0" w:color="auto"/>
                                                                                <w:right w:val="none" w:sz="0" w:space="0" w:color="auto"/>
                                                                              </w:divBdr>
                                                                              <w:divsChild>
                                                                                <w:div w:id="626201738">
                                                                                  <w:marLeft w:val="0"/>
                                                                                  <w:marRight w:val="0"/>
                                                                                  <w:marTop w:val="0"/>
                                                                                  <w:marBottom w:val="0"/>
                                                                                  <w:divBdr>
                                                                                    <w:top w:val="none" w:sz="0" w:space="0" w:color="auto"/>
                                                                                    <w:left w:val="none" w:sz="0" w:space="0" w:color="auto"/>
                                                                                    <w:bottom w:val="none" w:sz="0" w:space="0" w:color="auto"/>
                                                                                    <w:right w:val="none" w:sz="0" w:space="0" w:color="auto"/>
                                                                                  </w:divBdr>
                                                                                  <w:divsChild>
                                                                                    <w:div w:id="620456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6464740">
                                                                              <w:marLeft w:val="0"/>
                                                                              <w:marRight w:val="0"/>
                                                                              <w:marTop w:val="0"/>
                                                                              <w:marBottom w:val="0"/>
                                                                              <w:divBdr>
                                                                                <w:top w:val="none" w:sz="0" w:space="0" w:color="auto"/>
                                                                                <w:left w:val="none" w:sz="0" w:space="0" w:color="auto"/>
                                                                                <w:bottom w:val="none" w:sz="0" w:space="0" w:color="auto"/>
                                                                                <w:right w:val="none" w:sz="0" w:space="0" w:color="auto"/>
                                                                              </w:divBdr>
                                                                              <w:divsChild>
                                                                                <w:div w:id="1138500479">
                                                                                  <w:marLeft w:val="0"/>
                                                                                  <w:marRight w:val="0"/>
                                                                                  <w:marTop w:val="0"/>
                                                                                  <w:marBottom w:val="0"/>
                                                                                  <w:divBdr>
                                                                                    <w:top w:val="none" w:sz="0" w:space="0" w:color="auto"/>
                                                                                    <w:left w:val="none" w:sz="0" w:space="0" w:color="auto"/>
                                                                                    <w:bottom w:val="none" w:sz="0" w:space="0" w:color="auto"/>
                                                                                    <w:right w:val="none" w:sz="0" w:space="0" w:color="auto"/>
                                                                                  </w:divBdr>
                                                                                  <w:divsChild>
                                                                                    <w:div w:id="1894852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73320697">
                                                              <w:marLeft w:val="0"/>
                                                              <w:marRight w:val="0"/>
                                                              <w:marTop w:val="0"/>
                                                              <w:marBottom w:val="0"/>
                                                              <w:divBdr>
                                                                <w:top w:val="none" w:sz="0" w:space="0" w:color="auto"/>
                                                                <w:left w:val="none" w:sz="0" w:space="0" w:color="auto"/>
                                                                <w:bottom w:val="none" w:sz="0" w:space="0" w:color="auto"/>
                                                                <w:right w:val="none" w:sz="0" w:space="0" w:color="auto"/>
                                                              </w:divBdr>
                                                              <w:divsChild>
                                                                <w:div w:id="1848907187">
                                                                  <w:marLeft w:val="0"/>
                                                                  <w:marRight w:val="0"/>
                                                                  <w:marTop w:val="0"/>
                                                                  <w:marBottom w:val="0"/>
                                                                  <w:divBdr>
                                                                    <w:top w:val="none" w:sz="0" w:space="0" w:color="auto"/>
                                                                    <w:left w:val="none" w:sz="0" w:space="0" w:color="auto"/>
                                                                    <w:bottom w:val="none" w:sz="0" w:space="0" w:color="auto"/>
                                                                    <w:right w:val="none" w:sz="0" w:space="0" w:color="auto"/>
                                                                  </w:divBdr>
                                                                  <w:divsChild>
                                                                    <w:div w:id="375087559">
                                                                      <w:marLeft w:val="0"/>
                                                                      <w:marRight w:val="0"/>
                                                                      <w:marTop w:val="0"/>
                                                                      <w:marBottom w:val="0"/>
                                                                      <w:divBdr>
                                                                        <w:top w:val="none" w:sz="0" w:space="0" w:color="auto"/>
                                                                        <w:left w:val="none" w:sz="0" w:space="0" w:color="auto"/>
                                                                        <w:bottom w:val="none" w:sz="0" w:space="0" w:color="auto"/>
                                                                        <w:right w:val="none" w:sz="0" w:space="0" w:color="auto"/>
                                                                      </w:divBdr>
                                                                    </w:div>
                                                                    <w:div w:id="939144993">
                                                                      <w:marLeft w:val="0"/>
                                                                      <w:marRight w:val="0"/>
                                                                      <w:marTop w:val="0"/>
                                                                      <w:marBottom w:val="0"/>
                                                                      <w:divBdr>
                                                                        <w:top w:val="none" w:sz="0" w:space="0" w:color="auto"/>
                                                                        <w:left w:val="none" w:sz="0" w:space="0" w:color="auto"/>
                                                                        <w:bottom w:val="none" w:sz="0" w:space="0" w:color="auto"/>
                                                                        <w:right w:val="none" w:sz="0" w:space="0" w:color="auto"/>
                                                                      </w:divBdr>
                                                                    </w:div>
                                                                    <w:div w:id="1387946667">
                                                                      <w:marLeft w:val="0"/>
                                                                      <w:marRight w:val="0"/>
                                                                      <w:marTop w:val="0"/>
                                                                      <w:marBottom w:val="0"/>
                                                                      <w:divBdr>
                                                                        <w:top w:val="none" w:sz="0" w:space="0" w:color="auto"/>
                                                                        <w:left w:val="none" w:sz="0" w:space="0" w:color="auto"/>
                                                                        <w:bottom w:val="none" w:sz="0" w:space="0" w:color="auto"/>
                                                                        <w:right w:val="none" w:sz="0" w:space="0" w:color="auto"/>
                                                                      </w:divBdr>
                                                                      <w:divsChild>
                                                                        <w:div w:id="853690722">
                                                                          <w:marLeft w:val="0"/>
                                                                          <w:marRight w:val="0"/>
                                                                          <w:marTop w:val="0"/>
                                                                          <w:marBottom w:val="0"/>
                                                                          <w:divBdr>
                                                                            <w:top w:val="none" w:sz="0" w:space="0" w:color="auto"/>
                                                                            <w:left w:val="none" w:sz="0" w:space="0" w:color="auto"/>
                                                                            <w:bottom w:val="none" w:sz="0" w:space="0" w:color="auto"/>
                                                                            <w:right w:val="none" w:sz="0" w:space="0" w:color="auto"/>
                                                                          </w:divBdr>
                                                                          <w:divsChild>
                                                                            <w:div w:id="1718511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374861">
                                                              <w:marLeft w:val="0"/>
                                                              <w:marRight w:val="0"/>
                                                              <w:marTop w:val="0"/>
                                                              <w:marBottom w:val="0"/>
                                                              <w:divBdr>
                                                                <w:top w:val="single" w:sz="2" w:space="0" w:color="E3E3E3"/>
                                                                <w:left w:val="single" w:sz="2" w:space="0" w:color="E3E3E3"/>
                                                                <w:bottom w:val="single" w:sz="2" w:space="0" w:color="E3E3E3"/>
                                                                <w:right w:val="single" w:sz="2" w:space="0" w:color="E3E3E3"/>
                                                              </w:divBdr>
                                                              <w:divsChild>
                                                                <w:div w:id="214896638">
                                                                  <w:marLeft w:val="0"/>
                                                                  <w:marRight w:val="0"/>
                                                                  <w:marTop w:val="0"/>
                                                                  <w:marBottom w:val="0"/>
                                                                  <w:divBdr>
                                                                    <w:top w:val="none" w:sz="0" w:space="0" w:color="auto"/>
                                                                    <w:left w:val="none" w:sz="0" w:space="0" w:color="auto"/>
                                                                    <w:bottom w:val="none" w:sz="0" w:space="0" w:color="auto"/>
                                                                    <w:right w:val="none" w:sz="0" w:space="0" w:color="auto"/>
                                                                  </w:divBdr>
                                                                  <w:divsChild>
                                                                    <w:div w:id="902717957">
                                                                      <w:marLeft w:val="0"/>
                                                                      <w:marRight w:val="0"/>
                                                                      <w:marTop w:val="0"/>
                                                                      <w:marBottom w:val="0"/>
                                                                      <w:divBdr>
                                                                        <w:top w:val="none" w:sz="0" w:space="0" w:color="auto"/>
                                                                        <w:left w:val="none" w:sz="0" w:space="0" w:color="auto"/>
                                                                        <w:bottom w:val="none" w:sz="0" w:space="0" w:color="auto"/>
                                                                        <w:right w:val="none" w:sz="0" w:space="0" w:color="auto"/>
                                                                      </w:divBdr>
                                                                      <w:divsChild>
                                                                        <w:div w:id="102069324">
                                                                          <w:marLeft w:val="0"/>
                                                                          <w:marRight w:val="0"/>
                                                                          <w:marTop w:val="0"/>
                                                                          <w:marBottom w:val="0"/>
                                                                          <w:divBdr>
                                                                            <w:top w:val="none" w:sz="0" w:space="0" w:color="auto"/>
                                                                            <w:left w:val="none" w:sz="0" w:space="0" w:color="auto"/>
                                                                            <w:bottom w:val="none" w:sz="0" w:space="0" w:color="auto"/>
                                                                            <w:right w:val="none" w:sz="0" w:space="0" w:color="auto"/>
                                                                          </w:divBdr>
                                                                          <w:divsChild>
                                                                            <w:div w:id="825437117">
                                                                              <w:marLeft w:val="0"/>
                                                                              <w:marRight w:val="0"/>
                                                                              <w:marTop w:val="0"/>
                                                                              <w:marBottom w:val="0"/>
                                                                              <w:divBdr>
                                                                                <w:top w:val="none" w:sz="0" w:space="0" w:color="auto"/>
                                                                                <w:left w:val="none" w:sz="0" w:space="0" w:color="auto"/>
                                                                                <w:bottom w:val="none" w:sz="0" w:space="0" w:color="auto"/>
                                                                                <w:right w:val="none" w:sz="0" w:space="0" w:color="auto"/>
                                                                              </w:divBdr>
                                                                              <w:divsChild>
                                                                                <w:div w:id="726614032">
                                                                                  <w:marLeft w:val="0"/>
                                                                                  <w:marRight w:val="0"/>
                                                                                  <w:marTop w:val="0"/>
                                                                                  <w:marBottom w:val="0"/>
                                                                                  <w:divBdr>
                                                                                    <w:top w:val="none" w:sz="0" w:space="0" w:color="auto"/>
                                                                                    <w:left w:val="none" w:sz="0" w:space="0" w:color="auto"/>
                                                                                    <w:bottom w:val="none" w:sz="0" w:space="0" w:color="auto"/>
                                                                                    <w:right w:val="none" w:sz="0" w:space="0" w:color="auto"/>
                                                                                  </w:divBdr>
                                                                                  <w:divsChild>
                                                                                    <w:div w:id="687484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30785185">
                                                              <w:marLeft w:val="0"/>
                                                              <w:marRight w:val="0"/>
                                                              <w:marTop w:val="0"/>
                                                              <w:marBottom w:val="0"/>
                                                              <w:divBdr>
                                                                <w:top w:val="single" w:sz="2" w:space="0" w:color="E3E3E3"/>
                                                                <w:left w:val="single" w:sz="2" w:space="0" w:color="E3E3E3"/>
                                                                <w:bottom w:val="single" w:sz="2" w:space="0" w:color="E3E3E3"/>
                                                                <w:right w:val="single" w:sz="2" w:space="0" w:color="E3E3E3"/>
                                                              </w:divBdr>
                                                              <w:divsChild>
                                                                <w:div w:id="2094933586">
                                                                  <w:marLeft w:val="0"/>
                                                                  <w:marRight w:val="0"/>
                                                                  <w:marTop w:val="0"/>
                                                                  <w:marBottom w:val="0"/>
                                                                  <w:divBdr>
                                                                    <w:top w:val="none" w:sz="0" w:space="0" w:color="auto"/>
                                                                    <w:left w:val="none" w:sz="0" w:space="0" w:color="auto"/>
                                                                    <w:bottom w:val="none" w:sz="0" w:space="0" w:color="auto"/>
                                                                    <w:right w:val="none" w:sz="0" w:space="0" w:color="auto"/>
                                                                  </w:divBdr>
                                                                  <w:divsChild>
                                                                    <w:div w:id="268201057">
                                                                      <w:marLeft w:val="0"/>
                                                                      <w:marRight w:val="0"/>
                                                                      <w:marTop w:val="0"/>
                                                                      <w:marBottom w:val="0"/>
                                                                      <w:divBdr>
                                                                        <w:top w:val="none" w:sz="0" w:space="0" w:color="auto"/>
                                                                        <w:left w:val="none" w:sz="0" w:space="0" w:color="auto"/>
                                                                        <w:bottom w:val="none" w:sz="0" w:space="0" w:color="auto"/>
                                                                        <w:right w:val="none" w:sz="0" w:space="0" w:color="auto"/>
                                                                      </w:divBdr>
                                                                      <w:divsChild>
                                                                        <w:div w:id="1845434844">
                                                                          <w:marLeft w:val="0"/>
                                                                          <w:marRight w:val="0"/>
                                                                          <w:marTop w:val="0"/>
                                                                          <w:marBottom w:val="0"/>
                                                                          <w:divBdr>
                                                                            <w:top w:val="none" w:sz="0" w:space="0" w:color="auto"/>
                                                                            <w:left w:val="none" w:sz="0" w:space="0" w:color="auto"/>
                                                                            <w:bottom w:val="none" w:sz="0" w:space="0" w:color="auto"/>
                                                                            <w:right w:val="none" w:sz="0" w:space="0" w:color="auto"/>
                                                                          </w:divBdr>
                                                                          <w:divsChild>
                                                                            <w:div w:id="1860194422">
                                                                              <w:marLeft w:val="0"/>
                                                                              <w:marRight w:val="0"/>
                                                                              <w:marTop w:val="0"/>
                                                                              <w:marBottom w:val="0"/>
                                                                              <w:divBdr>
                                                                                <w:top w:val="none" w:sz="0" w:space="0" w:color="auto"/>
                                                                                <w:left w:val="none" w:sz="0" w:space="0" w:color="auto"/>
                                                                                <w:bottom w:val="none" w:sz="0" w:space="0" w:color="auto"/>
                                                                                <w:right w:val="none" w:sz="0" w:space="0" w:color="auto"/>
                                                                              </w:divBdr>
                                                                              <w:divsChild>
                                                                                <w:div w:id="39063319">
                                                                                  <w:marLeft w:val="0"/>
                                                                                  <w:marRight w:val="0"/>
                                                                                  <w:marTop w:val="0"/>
                                                                                  <w:marBottom w:val="0"/>
                                                                                  <w:divBdr>
                                                                                    <w:top w:val="none" w:sz="0" w:space="0" w:color="auto"/>
                                                                                    <w:left w:val="none" w:sz="0" w:space="0" w:color="auto"/>
                                                                                    <w:bottom w:val="none" w:sz="0" w:space="0" w:color="auto"/>
                                                                                    <w:right w:val="none" w:sz="0" w:space="0" w:color="auto"/>
                                                                                  </w:divBdr>
                                                                                  <w:divsChild>
                                                                                    <w:div w:id="1332445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6067264">
                                                              <w:marLeft w:val="0"/>
                                                              <w:marRight w:val="0"/>
                                                              <w:marTop w:val="0"/>
                                                              <w:marBottom w:val="0"/>
                                                              <w:divBdr>
                                                                <w:top w:val="single" w:sz="2" w:space="0" w:color="E3E3E3"/>
                                                                <w:left w:val="single" w:sz="2" w:space="0" w:color="E3E3E3"/>
                                                                <w:bottom w:val="single" w:sz="2" w:space="0" w:color="E3E3E3"/>
                                                                <w:right w:val="single" w:sz="2" w:space="0" w:color="E3E3E3"/>
                                                              </w:divBdr>
                                                              <w:divsChild>
                                                                <w:div w:id="1595744892">
                                                                  <w:marLeft w:val="0"/>
                                                                  <w:marRight w:val="0"/>
                                                                  <w:marTop w:val="0"/>
                                                                  <w:marBottom w:val="0"/>
                                                                  <w:divBdr>
                                                                    <w:top w:val="none" w:sz="0" w:space="0" w:color="auto"/>
                                                                    <w:left w:val="none" w:sz="0" w:space="0" w:color="auto"/>
                                                                    <w:bottom w:val="none" w:sz="0" w:space="0" w:color="auto"/>
                                                                    <w:right w:val="none" w:sz="0" w:space="0" w:color="auto"/>
                                                                  </w:divBdr>
                                                                  <w:divsChild>
                                                                    <w:div w:id="633096753">
                                                                      <w:marLeft w:val="0"/>
                                                                      <w:marRight w:val="0"/>
                                                                      <w:marTop w:val="0"/>
                                                                      <w:marBottom w:val="0"/>
                                                                      <w:divBdr>
                                                                        <w:top w:val="none" w:sz="0" w:space="0" w:color="auto"/>
                                                                        <w:left w:val="none" w:sz="0" w:space="0" w:color="auto"/>
                                                                        <w:bottom w:val="none" w:sz="0" w:space="0" w:color="auto"/>
                                                                        <w:right w:val="none" w:sz="0" w:space="0" w:color="auto"/>
                                                                      </w:divBdr>
                                                                      <w:divsChild>
                                                                        <w:div w:id="357237534">
                                                                          <w:marLeft w:val="0"/>
                                                                          <w:marRight w:val="0"/>
                                                                          <w:marTop w:val="0"/>
                                                                          <w:marBottom w:val="0"/>
                                                                          <w:divBdr>
                                                                            <w:top w:val="none" w:sz="0" w:space="0" w:color="auto"/>
                                                                            <w:left w:val="none" w:sz="0" w:space="0" w:color="auto"/>
                                                                            <w:bottom w:val="none" w:sz="0" w:space="0" w:color="auto"/>
                                                                            <w:right w:val="none" w:sz="0" w:space="0" w:color="auto"/>
                                                                          </w:divBdr>
                                                                          <w:divsChild>
                                                                            <w:div w:id="666330167">
                                                                              <w:marLeft w:val="0"/>
                                                                              <w:marRight w:val="0"/>
                                                                              <w:marTop w:val="0"/>
                                                                              <w:marBottom w:val="0"/>
                                                                              <w:divBdr>
                                                                                <w:top w:val="none" w:sz="0" w:space="0" w:color="auto"/>
                                                                                <w:left w:val="none" w:sz="0" w:space="0" w:color="auto"/>
                                                                                <w:bottom w:val="none" w:sz="0" w:space="0" w:color="auto"/>
                                                                                <w:right w:val="none" w:sz="0" w:space="0" w:color="auto"/>
                                                                              </w:divBdr>
                                                                              <w:divsChild>
                                                                                <w:div w:id="197545857">
                                                                                  <w:marLeft w:val="0"/>
                                                                                  <w:marRight w:val="0"/>
                                                                                  <w:marTop w:val="0"/>
                                                                                  <w:marBottom w:val="0"/>
                                                                                  <w:divBdr>
                                                                                    <w:top w:val="none" w:sz="0" w:space="0" w:color="auto"/>
                                                                                    <w:left w:val="none" w:sz="0" w:space="0" w:color="auto"/>
                                                                                    <w:bottom w:val="none" w:sz="0" w:space="0" w:color="auto"/>
                                                                                    <w:right w:val="none" w:sz="0" w:space="0" w:color="auto"/>
                                                                                  </w:divBdr>
                                                                                  <w:divsChild>
                                                                                    <w:div w:id="593973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7977598">
                                                                              <w:marLeft w:val="0"/>
                                                                              <w:marRight w:val="0"/>
                                                                              <w:marTop w:val="0"/>
                                                                              <w:marBottom w:val="0"/>
                                                                              <w:divBdr>
                                                                                <w:top w:val="none" w:sz="0" w:space="0" w:color="auto"/>
                                                                                <w:left w:val="none" w:sz="0" w:space="0" w:color="auto"/>
                                                                                <w:bottom w:val="none" w:sz="0" w:space="0" w:color="auto"/>
                                                                                <w:right w:val="none" w:sz="0" w:space="0" w:color="auto"/>
                                                                              </w:divBdr>
                                                                              <w:divsChild>
                                                                                <w:div w:id="1099519119">
                                                                                  <w:marLeft w:val="0"/>
                                                                                  <w:marRight w:val="0"/>
                                                                                  <w:marTop w:val="0"/>
                                                                                  <w:marBottom w:val="0"/>
                                                                                  <w:divBdr>
                                                                                    <w:top w:val="none" w:sz="0" w:space="0" w:color="auto"/>
                                                                                    <w:left w:val="none" w:sz="0" w:space="0" w:color="auto"/>
                                                                                    <w:bottom w:val="none" w:sz="0" w:space="0" w:color="auto"/>
                                                                                    <w:right w:val="none" w:sz="0" w:space="0" w:color="auto"/>
                                                                                  </w:divBdr>
                                                                                  <w:divsChild>
                                                                                    <w:div w:id="838695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53181319">
                                                              <w:marLeft w:val="0"/>
                                                              <w:marRight w:val="0"/>
                                                              <w:marTop w:val="0"/>
                                                              <w:marBottom w:val="0"/>
                                                              <w:divBdr>
                                                                <w:top w:val="single" w:sz="2" w:space="0" w:color="E3E3E3"/>
                                                                <w:left w:val="single" w:sz="2" w:space="0" w:color="E3E3E3"/>
                                                                <w:bottom w:val="single" w:sz="2" w:space="0" w:color="E3E3E3"/>
                                                                <w:right w:val="single" w:sz="2" w:space="0" w:color="E3E3E3"/>
                                                              </w:divBdr>
                                                              <w:divsChild>
                                                                <w:div w:id="2028482185">
                                                                  <w:marLeft w:val="0"/>
                                                                  <w:marRight w:val="0"/>
                                                                  <w:marTop w:val="0"/>
                                                                  <w:marBottom w:val="0"/>
                                                                  <w:divBdr>
                                                                    <w:top w:val="none" w:sz="0" w:space="0" w:color="auto"/>
                                                                    <w:left w:val="none" w:sz="0" w:space="0" w:color="auto"/>
                                                                    <w:bottom w:val="none" w:sz="0" w:space="0" w:color="auto"/>
                                                                    <w:right w:val="none" w:sz="0" w:space="0" w:color="auto"/>
                                                                  </w:divBdr>
                                                                  <w:divsChild>
                                                                    <w:div w:id="1518348417">
                                                                      <w:marLeft w:val="0"/>
                                                                      <w:marRight w:val="0"/>
                                                                      <w:marTop w:val="0"/>
                                                                      <w:marBottom w:val="0"/>
                                                                      <w:divBdr>
                                                                        <w:top w:val="none" w:sz="0" w:space="0" w:color="auto"/>
                                                                        <w:left w:val="none" w:sz="0" w:space="0" w:color="auto"/>
                                                                        <w:bottom w:val="none" w:sz="0" w:space="0" w:color="auto"/>
                                                                        <w:right w:val="none" w:sz="0" w:space="0" w:color="auto"/>
                                                                      </w:divBdr>
                                                                      <w:divsChild>
                                                                        <w:div w:id="1950044965">
                                                                          <w:marLeft w:val="0"/>
                                                                          <w:marRight w:val="0"/>
                                                                          <w:marTop w:val="0"/>
                                                                          <w:marBottom w:val="0"/>
                                                                          <w:divBdr>
                                                                            <w:top w:val="none" w:sz="0" w:space="0" w:color="auto"/>
                                                                            <w:left w:val="none" w:sz="0" w:space="0" w:color="auto"/>
                                                                            <w:bottom w:val="none" w:sz="0" w:space="0" w:color="auto"/>
                                                                            <w:right w:val="none" w:sz="0" w:space="0" w:color="auto"/>
                                                                          </w:divBdr>
                                                                          <w:divsChild>
                                                                            <w:div w:id="880478731">
                                                                              <w:marLeft w:val="0"/>
                                                                              <w:marRight w:val="0"/>
                                                                              <w:marTop w:val="0"/>
                                                                              <w:marBottom w:val="0"/>
                                                                              <w:divBdr>
                                                                                <w:top w:val="none" w:sz="0" w:space="0" w:color="auto"/>
                                                                                <w:left w:val="none" w:sz="0" w:space="0" w:color="auto"/>
                                                                                <w:bottom w:val="none" w:sz="0" w:space="0" w:color="auto"/>
                                                                                <w:right w:val="none" w:sz="0" w:space="0" w:color="auto"/>
                                                                              </w:divBdr>
                                                                              <w:divsChild>
                                                                                <w:div w:id="2031829114">
                                                                                  <w:marLeft w:val="0"/>
                                                                                  <w:marRight w:val="0"/>
                                                                                  <w:marTop w:val="0"/>
                                                                                  <w:marBottom w:val="0"/>
                                                                                  <w:divBdr>
                                                                                    <w:top w:val="none" w:sz="0" w:space="0" w:color="auto"/>
                                                                                    <w:left w:val="none" w:sz="0" w:space="0" w:color="auto"/>
                                                                                    <w:bottom w:val="none" w:sz="0" w:space="0" w:color="auto"/>
                                                                                    <w:right w:val="none" w:sz="0" w:space="0" w:color="auto"/>
                                                                                  </w:divBdr>
                                                                                  <w:divsChild>
                                                                                    <w:div w:id="1104620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9301580">
                                                                              <w:marLeft w:val="0"/>
                                                                              <w:marRight w:val="0"/>
                                                                              <w:marTop w:val="0"/>
                                                                              <w:marBottom w:val="0"/>
                                                                              <w:divBdr>
                                                                                <w:top w:val="none" w:sz="0" w:space="0" w:color="auto"/>
                                                                                <w:left w:val="none" w:sz="0" w:space="0" w:color="auto"/>
                                                                                <w:bottom w:val="none" w:sz="0" w:space="0" w:color="auto"/>
                                                                                <w:right w:val="none" w:sz="0" w:space="0" w:color="auto"/>
                                                                              </w:divBdr>
                                                                              <w:divsChild>
                                                                                <w:div w:id="1515337964">
                                                                                  <w:marLeft w:val="0"/>
                                                                                  <w:marRight w:val="0"/>
                                                                                  <w:marTop w:val="0"/>
                                                                                  <w:marBottom w:val="0"/>
                                                                                  <w:divBdr>
                                                                                    <w:top w:val="none" w:sz="0" w:space="0" w:color="auto"/>
                                                                                    <w:left w:val="none" w:sz="0" w:space="0" w:color="auto"/>
                                                                                    <w:bottom w:val="none" w:sz="0" w:space="0" w:color="auto"/>
                                                                                    <w:right w:val="none" w:sz="0" w:space="0" w:color="auto"/>
                                                                                  </w:divBdr>
                                                                                  <w:divsChild>
                                                                                    <w:div w:id="1648631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05627545">
                                              <w:marLeft w:val="0"/>
                                              <w:marRight w:val="0"/>
                                              <w:marTop w:val="0"/>
                                              <w:marBottom w:val="0"/>
                                              <w:divBdr>
                                                <w:top w:val="none" w:sz="0" w:space="0" w:color="auto"/>
                                                <w:left w:val="none" w:sz="0" w:space="0" w:color="auto"/>
                                                <w:bottom w:val="none" w:sz="0" w:space="0" w:color="auto"/>
                                                <w:right w:val="none" w:sz="0" w:space="0" w:color="auto"/>
                                              </w:divBdr>
                                              <w:divsChild>
                                                <w:div w:id="1899316291">
                                                  <w:marLeft w:val="0"/>
                                                  <w:marRight w:val="0"/>
                                                  <w:marTop w:val="0"/>
                                                  <w:marBottom w:val="0"/>
                                                  <w:divBdr>
                                                    <w:top w:val="none" w:sz="0" w:space="0" w:color="auto"/>
                                                    <w:left w:val="none" w:sz="0" w:space="0" w:color="auto"/>
                                                    <w:bottom w:val="none" w:sz="0" w:space="0" w:color="auto"/>
                                                    <w:right w:val="none" w:sz="0" w:space="0" w:color="auto"/>
                                                  </w:divBdr>
                                                  <w:divsChild>
                                                    <w:div w:id="1169373561">
                                                      <w:marLeft w:val="0"/>
                                                      <w:marRight w:val="0"/>
                                                      <w:marTop w:val="0"/>
                                                      <w:marBottom w:val="0"/>
                                                      <w:divBdr>
                                                        <w:top w:val="none" w:sz="0" w:space="0" w:color="auto"/>
                                                        <w:left w:val="none" w:sz="0" w:space="0" w:color="auto"/>
                                                        <w:bottom w:val="none" w:sz="0" w:space="0" w:color="auto"/>
                                                        <w:right w:val="none" w:sz="0" w:space="0" w:color="auto"/>
                                                      </w:divBdr>
                                                      <w:divsChild>
                                                        <w:div w:id="1607617369">
                                                          <w:marLeft w:val="0"/>
                                                          <w:marRight w:val="0"/>
                                                          <w:marTop w:val="0"/>
                                                          <w:marBottom w:val="0"/>
                                                          <w:divBdr>
                                                            <w:top w:val="none" w:sz="0" w:space="0" w:color="auto"/>
                                                            <w:left w:val="none" w:sz="0" w:space="0" w:color="auto"/>
                                                            <w:bottom w:val="none" w:sz="0" w:space="0" w:color="auto"/>
                                                            <w:right w:val="none" w:sz="0" w:space="0" w:color="auto"/>
                                                          </w:divBdr>
                                                          <w:divsChild>
                                                            <w:div w:id="1999381189">
                                                              <w:marLeft w:val="0"/>
                                                              <w:marRight w:val="0"/>
                                                              <w:marTop w:val="0"/>
                                                              <w:marBottom w:val="0"/>
                                                              <w:divBdr>
                                                                <w:top w:val="none" w:sz="0" w:space="0" w:color="auto"/>
                                                                <w:left w:val="none" w:sz="0" w:space="0" w:color="auto"/>
                                                                <w:bottom w:val="none" w:sz="0" w:space="0" w:color="auto"/>
                                                                <w:right w:val="none" w:sz="0" w:space="0" w:color="auto"/>
                                                              </w:divBdr>
                                                              <w:divsChild>
                                                                <w:div w:id="1949770518">
                                                                  <w:marLeft w:val="0"/>
                                                                  <w:marRight w:val="0"/>
                                                                  <w:marTop w:val="0"/>
                                                                  <w:marBottom w:val="0"/>
                                                                  <w:divBdr>
                                                                    <w:top w:val="none" w:sz="0" w:space="0" w:color="auto"/>
                                                                    <w:left w:val="none" w:sz="0" w:space="0" w:color="auto"/>
                                                                    <w:bottom w:val="none" w:sz="0" w:space="0" w:color="auto"/>
                                                                    <w:right w:val="none" w:sz="0" w:space="0" w:color="auto"/>
                                                                  </w:divBdr>
                                                                </w:div>
                                                                <w:div w:id="209418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79737191">
                              <w:marLeft w:val="0"/>
                              <w:marRight w:val="0"/>
                              <w:marTop w:val="0"/>
                              <w:marBottom w:val="0"/>
                              <w:divBdr>
                                <w:top w:val="none" w:sz="0" w:space="0" w:color="auto"/>
                                <w:left w:val="none" w:sz="0" w:space="0" w:color="auto"/>
                                <w:bottom w:val="none" w:sz="0" w:space="0" w:color="auto"/>
                                <w:right w:val="none" w:sz="0" w:space="0" w:color="auto"/>
                              </w:divBdr>
                              <w:divsChild>
                                <w:div w:id="469127169">
                                  <w:marLeft w:val="0"/>
                                  <w:marRight w:val="0"/>
                                  <w:marTop w:val="0"/>
                                  <w:marBottom w:val="0"/>
                                  <w:divBdr>
                                    <w:top w:val="none" w:sz="0" w:space="0" w:color="auto"/>
                                    <w:left w:val="none" w:sz="0" w:space="0" w:color="auto"/>
                                    <w:bottom w:val="none" w:sz="0" w:space="0" w:color="auto"/>
                                    <w:right w:val="none" w:sz="0" w:space="0" w:color="auto"/>
                                  </w:divBdr>
                                  <w:divsChild>
                                    <w:div w:id="172575546">
                                      <w:marLeft w:val="0"/>
                                      <w:marRight w:val="0"/>
                                      <w:marTop w:val="0"/>
                                      <w:marBottom w:val="0"/>
                                      <w:divBdr>
                                        <w:top w:val="none" w:sz="0" w:space="0" w:color="auto"/>
                                        <w:left w:val="none" w:sz="0" w:space="0" w:color="auto"/>
                                        <w:bottom w:val="none" w:sz="0" w:space="0" w:color="auto"/>
                                        <w:right w:val="none" w:sz="0" w:space="0" w:color="auto"/>
                                      </w:divBdr>
                                      <w:divsChild>
                                        <w:div w:id="499656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31831331">
                      <w:marLeft w:val="0"/>
                      <w:marRight w:val="0"/>
                      <w:marTop w:val="0"/>
                      <w:marBottom w:val="0"/>
                      <w:divBdr>
                        <w:top w:val="none" w:sz="0" w:space="0" w:color="auto"/>
                        <w:left w:val="none" w:sz="0" w:space="0" w:color="auto"/>
                        <w:bottom w:val="none" w:sz="0" w:space="0" w:color="auto"/>
                        <w:right w:val="none" w:sz="0" w:space="0" w:color="auto"/>
                      </w:divBdr>
                      <w:divsChild>
                        <w:div w:id="2120173245">
                          <w:marLeft w:val="0"/>
                          <w:marRight w:val="0"/>
                          <w:marTop w:val="0"/>
                          <w:marBottom w:val="0"/>
                          <w:divBdr>
                            <w:top w:val="none" w:sz="0" w:space="0" w:color="auto"/>
                            <w:left w:val="none" w:sz="0" w:space="0" w:color="auto"/>
                            <w:bottom w:val="none" w:sz="0" w:space="0" w:color="auto"/>
                            <w:right w:val="none" w:sz="0" w:space="0" w:color="auto"/>
                          </w:divBdr>
                          <w:divsChild>
                            <w:div w:id="340862291">
                              <w:marLeft w:val="0"/>
                              <w:marRight w:val="0"/>
                              <w:marTop w:val="0"/>
                              <w:marBottom w:val="0"/>
                              <w:divBdr>
                                <w:top w:val="none" w:sz="0" w:space="0" w:color="auto"/>
                                <w:left w:val="none" w:sz="0" w:space="0" w:color="auto"/>
                                <w:bottom w:val="none" w:sz="0" w:space="0" w:color="auto"/>
                                <w:right w:val="none" w:sz="0" w:space="0" w:color="auto"/>
                              </w:divBdr>
                              <w:divsChild>
                                <w:div w:id="972562555">
                                  <w:marLeft w:val="0"/>
                                  <w:marRight w:val="0"/>
                                  <w:marTop w:val="0"/>
                                  <w:marBottom w:val="0"/>
                                  <w:divBdr>
                                    <w:top w:val="none" w:sz="0" w:space="0" w:color="auto"/>
                                    <w:left w:val="none" w:sz="0" w:space="0" w:color="auto"/>
                                    <w:bottom w:val="none" w:sz="0" w:space="0" w:color="auto"/>
                                    <w:right w:val="none" w:sz="0" w:space="0" w:color="auto"/>
                                  </w:divBdr>
                                  <w:divsChild>
                                    <w:div w:id="551037332">
                                      <w:marLeft w:val="0"/>
                                      <w:marRight w:val="0"/>
                                      <w:marTop w:val="0"/>
                                      <w:marBottom w:val="0"/>
                                      <w:divBdr>
                                        <w:top w:val="none" w:sz="0" w:space="0" w:color="auto"/>
                                        <w:left w:val="none" w:sz="0" w:space="0" w:color="auto"/>
                                        <w:bottom w:val="none" w:sz="0" w:space="0" w:color="auto"/>
                                        <w:right w:val="none" w:sz="0" w:space="0" w:color="auto"/>
                                      </w:divBdr>
                                      <w:divsChild>
                                        <w:div w:id="988443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7063191">
                              <w:marLeft w:val="0"/>
                              <w:marRight w:val="0"/>
                              <w:marTop w:val="0"/>
                              <w:marBottom w:val="0"/>
                              <w:divBdr>
                                <w:top w:val="none" w:sz="0" w:space="0" w:color="auto"/>
                                <w:left w:val="none" w:sz="0" w:space="0" w:color="auto"/>
                                <w:bottom w:val="none" w:sz="0" w:space="0" w:color="auto"/>
                                <w:right w:val="none" w:sz="0" w:space="0" w:color="auto"/>
                              </w:divBdr>
                              <w:divsChild>
                                <w:div w:id="795180745">
                                  <w:marLeft w:val="0"/>
                                  <w:marRight w:val="0"/>
                                  <w:marTop w:val="0"/>
                                  <w:marBottom w:val="0"/>
                                  <w:divBdr>
                                    <w:top w:val="none" w:sz="0" w:space="0" w:color="auto"/>
                                    <w:left w:val="none" w:sz="0" w:space="0" w:color="auto"/>
                                    <w:bottom w:val="none" w:sz="0" w:space="0" w:color="auto"/>
                                    <w:right w:val="none" w:sz="0" w:space="0" w:color="auto"/>
                                  </w:divBdr>
                                  <w:divsChild>
                                    <w:div w:id="1417362280">
                                      <w:marLeft w:val="0"/>
                                      <w:marRight w:val="0"/>
                                      <w:marTop w:val="0"/>
                                      <w:marBottom w:val="0"/>
                                      <w:divBdr>
                                        <w:top w:val="none" w:sz="0" w:space="0" w:color="auto"/>
                                        <w:left w:val="none" w:sz="0" w:space="0" w:color="auto"/>
                                        <w:bottom w:val="none" w:sz="0" w:space="0" w:color="auto"/>
                                        <w:right w:val="none" w:sz="0" w:space="0" w:color="auto"/>
                                      </w:divBdr>
                                      <w:divsChild>
                                        <w:div w:id="1843668490">
                                          <w:marLeft w:val="0"/>
                                          <w:marRight w:val="0"/>
                                          <w:marTop w:val="0"/>
                                          <w:marBottom w:val="0"/>
                                          <w:divBdr>
                                            <w:top w:val="none" w:sz="0" w:space="0" w:color="auto"/>
                                            <w:left w:val="none" w:sz="0" w:space="0" w:color="auto"/>
                                            <w:bottom w:val="none" w:sz="0" w:space="0" w:color="auto"/>
                                            <w:right w:val="none" w:sz="0" w:space="0" w:color="auto"/>
                                          </w:divBdr>
                                          <w:divsChild>
                                            <w:div w:id="1335186987">
                                              <w:marLeft w:val="0"/>
                                              <w:marRight w:val="0"/>
                                              <w:marTop w:val="0"/>
                                              <w:marBottom w:val="0"/>
                                              <w:divBdr>
                                                <w:top w:val="none" w:sz="0" w:space="0" w:color="auto"/>
                                                <w:left w:val="none" w:sz="0" w:space="0" w:color="auto"/>
                                                <w:bottom w:val="none" w:sz="0" w:space="0" w:color="auto"/>
                                                <w:right w:val="none" w:sz="0" w:space="0" w:color="auto"/>
                                              </w:divBdr>
                                              <w:divsChild>
                                                <w:div w:id="1395929370">
                                                  <w:marLeft w:val="0"/>
                                                  <w:marRight w:val="0"/>
                                                  <w:marTop w:val="0"/>
                                                  <w:marBottom w:val="0"/>
                                                  <w:divBdr>
                                                    <w:top w:val="none" w:sz="0" w:space="0" w:color="auto"/>
                                                    <w:left w:val="none" w:sz="0" w:space="0" w:color="auto"/>
                                                    <w:bottom w:val="none" w:sz="0" w:space="0" w:color="auto"/>
                                                    <w:right w:val="none" w:sz="0" w:space="0" w:color="auto"/>
                                                  </w:divBdr>
                                                  <w:divsChild>
                                                    <w:div w:id="1623270124">
                                                      <w:marLeft w:val="0"/>
                                                      <w:marRight w:val="0"/>
                                                      <w:marTop w:val="0"/>
                                                      <w:marBottom w:val="0"/>
                                                      <w:divBdr>
                                                        <w:top w:val="none" w:sz="0" w:space="0" w:color="auto"/>
                                                        <w:left w:val="none" w:sz="0" w:space="0" w:color="auto"/>
                                                        <w:bottom w:val="none" w:sz="0" w:space="0" w:color="auto"/>
                                                        <w:right w:val="none" w:sz="0" w:space="0" w:color="auto"/>
                                                      </w:divBdr>
                                                      <w:divsChild>
                                                        <w:div w:id="2000114293">
                                                          <w:marLeft w:val="0"/>
                                                          <w:marRight w:val="0"/>
                                                          <w:marTop w:val="0"/>
                                                          <w:marBottom w:val="0"/>
                                                          <w:divBdr>
                                                            <w:top w:val="none" w:sz="0" w:space="0" w:color="auto"/>
                                                            <w:left w:val="none" w:sz="0" w:space="0" w:color="auto"/>
                                                            <w:bottom w:val="none" w:sz="0" w:space="0" w:color="auto"/>
                                                            <w:right w:val="none" w:sz="0" w:space="0" w:color="auto"/>
                                                          </w:divBdr>
                                                          <w:divsChild>
                                                            <w:div w:id="961423163">
                                                              <w:marLeft w:val="0"/>
                                                              <w:marRight w:val="0"/>
                                                              <w:marTop w:val="0"/>
                                                              <w:marBottom w:val="0"/>
                                                              <w:divBdr>
                                                                <w:top w:val="none" w:sz="0" w:space="0" w:color="auto"/>
                                                                <w:left w:val="none" w:sz="0" w:space="0" w:color="auto"/>
                                                                <w:bottom w:val="none" w:sz="0" w:space="0" w:color="auto"/>
                                                                <w:right w:val="none" w:sz="0" w:space="0" w:color="auto"/>
                                                              </w:divBdr>
                                                              <w:divsChild>
                                                                <w:div w:id="245849076">
                                                                  <w:marLeft w:val="0"/>
                                                                  <w:marRight w:val="0"/>
                                                                  <w:marTop w:val="0"/>
                                                                  <w:marBottom w:val="0"/>
                                                                  <w:divBdr>
                                                                    <w:top w:val="none" w:sz="0" w:space="0" w:color="auto"/>
                                                                    <w:left w:val="none" w:sz="0" w:space="0" w:color="auto"/>
                                                                    <w:bottom w:val="none" w:sz="0" w:space="0" w:color="auto"/>
                                                                    <w:right w:val="none" w:sz="0" w:space="0" w:color="auto"/>
                                                                  </w:divBdr>
                                                                  <w:divsChild>
                                                                    <w:div w:id="1911161229">
                                                                      <w:marLeft w:val="0"/>
                                                                      <w:marRight w:val="0"/>
                                                                      <w:marTop w:val="0"/>
                                                                      <w:marBottom w:val="0"/>
                                                                      <w:divBdr>
                                                                        <w:top w:val="none" w:sz="0" w:space="0" w:color="auto"/>
                                                                        <w:left w:val="none" w:sz="0" w:space="0" w:color="auto"/>
                                                                        <w:bottom w:val="none" w:sz="0" w:space="0" w:color="auto"/>
                                                                        <w:right w:val="none" w:sz="0" w:space="0" w:color="auto"/>
                                                                      </w:divBdr>
                                                                      <w:divsChild>
                                                                        <w:div w:id="892739419">
                                                                          <w:marLeft w:val="0"/>
                                                                          <w:marRight w:val="0"/>
                                                                          <w:marTop w:val="0"/>
                                                                          <w:marBottom w:val="0"/>
                                                                          <w:divBdr>
                                                                            <w:top w:val="none" w:sz="0" w:space="0" w:color="auto"/>
                                                                            <w:left w:val="none" w:sz="0" w:space="0" w:color="auto"/>
                                                                            <w:bottom w:val="none" w:sz="0" w:space="0" w:color="auto"/>
                                                                            <w:right w:val="none" w:sz="0" w:space="0" w:color="auto"/>
                                                                          </w:divBdr>
                                                                          <w:divsChild>
                                                                            <w:div w:id="355234098">
                                                                              <w:marLeft w:val="0"/>
                                                                              <w:marRight w:val="0"/>
                                                                              <w:marTop w:val="0"/>
                                                                              <w:marBottom w:val="0"/>
                                                                              <w:divBdr>
                                                                                <w:top w:val="single" w:sz="2" w:space="0" w:color="E3E3E3"/>
                                                                                <w:left w:val="single" w:sz="2" w:space="0" w:color="E3E3E3"/>
                                                                                <w:bottom w:val="single" w:sz="2" w:space="0" w:color="E3E3E3"/>
                                                                                <w:right w:val="single" w:sz="2" w:space="0" w:color="E3E3E3"/>
                                                                              </w:divBdr>
                                                                              <w:divsChild>
                                                                                <w:div w:id="1395275650">
                                                                                  <w:marLeft w:val="0"/>
                                                                                  <w:marRight w:val="0"/>
                                                                                  <w:marTop w:val="0"/>
                                                                                  <w:marBottom w:val="0"/>
                                                                                  <w:divBdr>
                                                                                    <w:top w:val="none" w:sz="0" w:space="0" w:color="auto"/>
                                                                                    <w:left w:val="none" w:sz="0" w:space="0" w:color="auto"/>
                                                                                    <w:bottom w:val="none" w:sz="0" w:space="0" w:color="auto"/>
                                                                                    <w:right w:val="none" w:sz="0" w:space="0" w:color="auto"/>
                                                                                  </w:divBdr>
                                                                                  <w:divsChild>
                                                                                    <w:div w:id="2043510748">
                                                                                      <w:marLeft w:val="0"/>
                                                                                      <w:marRight w:val="0"/>
                                                                                      <w:marTop w:val="0"/>
                                                                                      <w:marBottom w:val="0"/>
                                                                                      <w:divBdr>
                                                                                        <w:top w:val="none" w:sz="0" w:space="0" w:color="auto"/>
                                                                                        <w:left w:val="none" w:sz="0" w:space="0" w:color="auto"/>
                                                                                        <w:bottom w:val="none" w:sz="0" w:space="0" w:color="auto"/>
                                                                                        <w:right w:val="none" w:sz="0" w:space="0" w:color="auto"/>
                                                                                      </w:divBdr>
                                                                                      <w:divsChild>
                                                                                        <w:div w:id="1527789101">
                                                                                          <w:marLeft w:val="0"/>
                                                                                          <w:marRight w:val="0"/>
                                                                                          <w:marTop w:val="0"/>
                                                                                          <w:marBottom w:val="0"/>
                                                                                          <w:divBdr>
                                                                                            <w:top w:val="none" w:sz="0" w:space="0" w:color="auto"/>
                                                                                            <w:left w:val="none" w:sz="0" w:space="0" w:color="auto"/>
                                                                                            <w:bottom w:val="none" w:sz="0" w:space="0" w:color="auto"/>
                                                                                            <w:right w:val="none" w:sz="0" w:space="0" w:color="auto"/>
                                                                                          </w:divBdr>
                                                                                          <w:divsChild>
                                                                                            <w:div w:id="462235027">
                                                                                              <w:marLeft w:val="0"/>
                                                                                              <w:marRight w:val="0"/>
                                                                                              <w:marTop w:val="0"/>
                                                                                              <w:marBottom w:val="0"/>
                                                                                              <w:divBdr>
                                                                                                <w:top w:val="none" w:sz="0" w:space="0" w:color="auto"/>
                                                                                                <w:left w:val="none" w:sz="0" w:space="0" w:color="auto"/>
                                                                                                <w:bottom w:val="none" w:sz="0" w:space="0" w:color="auto"/>
                                                                                                <w:right w:val="none" w:sz="0" w:space="0" w:color="auto"/>
                                                                                              </w:divBdr>
                                                                                              <w:divsChild>
                                                                                                <w:div w:id="1758019669">
                                                                                                  <w:marLeft w:val="0"/>
                                                                                                  <w:marRight w:val="0"/>
                                                                                                  <w:marTop w:val="0"/>
                                                                                                  <w:marBottom w:val="0"/>
                                                                                                  <w:divBdr>
                                                                                                    <w:top w:val="none" w:sz="0" w:space="0" w:color="auto"/>
                                                                                                    <w:left w:val="none" w:sz="0" w:space="0" w:color="auto"/>
                                                                                                    <w:bottom w:val="none" w:sz="0" w:space="0" w:color="auto"/>
                                                                                                    <w:right w:val="none" w:sz="0" w:space="0" w:color="auto"/>
                                                                                                  </w:divBdr>
                                                                                                  <w:divsChild>
                                                                                                    <w:div w:id="1795640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4484707">
                                                                                              <w:marLeft w:val="0"/>
                                                                                              <w:marRight w:val="0"/>
                                                                                              <w:marTop w:val="0"/>
                                                                                              <w:marBottom w:val="0"/>
                                                                                              <w:divBdr>
                                                                                                <w:top w:val="none" w:sz="0" w:space="0" w:color="auto"/>
                                                                                                <w:left w:val="none" w:sz="0" w:space="0" w:color="auto"/>
                                                                                                <w:bottom w:val="none" w:sz="0" w:space="0" w:color="auto"/>
                                                                                                <w:right w:val="none" w:sz="0" w:space="0" w:color="auto"/>
                                                                                              </w:divBdr>
                                                                                              <w:divsChild>
                                                                                                <w:div w:id="119804623">
                                                                                                  <w:marLeft w:val="0"/>
                                                                                                  <w:marRight w:val="0"/>
                                                                                                  <w:marTop w:val="0"/>
                                                                                                  <w:marBottom w:val="0"/>
                                                                                                  <w:divBdr>
                                                                                                    <w:top w:val="none" w:sz="0" w:space="0" w:color="auto"/>
                                                                                                    <w:left w:val="none" w:sz="0" w:space="0" w:color="auto"/>
                                                                                                    <w:bottom w:val="none" w:sz="0" w:space="0" w:color="auto"/>
                                                                                                    <w:right w:val="none" w:sz="0" w:space="0" w:color="auto"/>
                                                                                                  </w:divBdr>
                                                                                                  <w:divsChild>
                                                                                                    <w:div w:id="2108227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25034137">
                                                                              <w:marLeft w:val="0"/>
                                                                              <w:marRight w:val="0"/>
                                                                              <w:marTop w:val="0"/>
                                                                              <w:marBottom w:val="0"/>
                                                                              <w:divBdr>
                                                                                <w:top w:val="single" w:sz="2" w:space="0" w:color="E3E3E3"/>
                                                                                <w:left w:val="single" w:sz="2" w:space="0" w:color="E3E3E3"/>
                                                                                <w:bottom w:val="single" w:sz="2" w:space="0" w:color="E3E3E3"/>
                                                                                <w:right w:val="single" w:sz="2" w:space="0" w:color="E3E3E3"/>
                                                                              </w:divBdr>
                                                                              <w:divsChild>
                                                                                <w:div w:id="1509127875">
                                                                                  <w:marLeft w:val="0"/>
                                                                                  <w:marRight w:val="0"/>
                                                                                  <w:marTop w:val="0"/>
                                                                                  <w:marBottom w:val="0"/>
                                                                                  <w:divBdr>
                                                                                    <w:top w:val="none" w:sz="0" w:space="0" w:color="auto"/>
                                                                                    <w:left w:val="none" w:sz="0" w:space="0" w:color="auto"/>
                                                                                    <w:bottom w:val="none" w:sz="0" w:space="0" w:color="auto"/>
                                                                                    <w:right w:val="none" w:sz="0" w:space="0" w:color="auto"/>
                                                                                  </w:divBdr>
                                                                                  <w:divsChild>
                                                                                    <w:div w:id="739448088">
                                                                                      <w:marLeft w:val="0"/>
                                                                                      <w:marRight w:val="0"/>
                                                                                      <w:marTop w:val="0"/>
                                                                                      <w:marBottom w:val="0"/>
                                                                                      <w:divBdr>
                                                                                        <w:top w:val="none" w:sz="0" w:space="0" w:color="auto"/>
                                                                                        <w:left w:val="none" w:sz="0" w:space="0" w:color="auto"/>
                                                                                        <w:bottom w:val="none" w:sz="0" w:space="0" w:color="auto"/>
                                                                                        <w:right w:val="none" w:sz="0" w:space="0" w:color="auto"/>
                                                                                      </w:divBdr>
                                                                                      <w:divsChild>
                                                                                        <w:div w:id="1097746388">
                                                                                          <w:marLeft w:val="0"/>
                                                                                          <w:marRight w:val="0"/>
                                                                                          <w:marTop w:val="0"/>
                                                                                          <w:marBottom w:val="0"/>
                                                                                          <w:divBdr>
                                                                                            <w:top w:val="none" w:sz="0" w:space="0" w:color="auto"/>
                                                                                            <w:left w:val="none" w:sz="0" w:space="0" w:color="auto"/>
                                                                                            <w:bottom w:val="none" w:sz="0" w:space="0" w:color="auto"/>
                                                                                            <w:right w:val="none" w:sz="0" w:space="0" w:color="auto"/>
                                                                                          </w:divBdr>
                                                                                          <w:divsChild>
                                                                                            <w:div w:id="126510537">
                                                                                              <w:marLeft w:val="0"/>
                                                                                              <w:marRight w:val="0"/>
                                                                                              <w:marTop w:val="0"/>
                                                                                              <w:marBottom w:val="0"/>
                                                                                              <w:divBdr>
                                                                                                <w:top w:val="none" w:sz="0" w:space="0" w:color="auto"/>
                                                                                                <w:left w:val="none" w:sz="0" w:space="0" w:color="auto"/>
                                                                                                <w:bottom w:val="none" w:sz="0" w:space="0" w:color="auto"/>
                                                                                                <w:right w:val="none" w:sz="0" w:space="0" w:color="auto"/>
                                                                                              </w:divBdr>
                                                                                              <w:divsChild>
                                                                                                <w:div w:id="1413234659">
                                                                                                  <w:marLeft w:val="0"/>
                                                                                                  <w:marRight w:val="0"/>
                                                                                                  <w:marTop w:val="0"/>
                                                                                                  <w:marBottom w:val="0"/>
                                                                                                  <w:divBdr>
                                                                                                    <w:top w:val="none" w:sz="0" w:space="0" w:color="auto"/>
                                                                                                    <w:left w:val="none" w:sz="0" w:space="0" w:color="auto"/>
                                                                                                    <w:bottom w:val="none" w:sz="0" w:space="0" w:color="auto"/>
                                                                                                    <w:right w:val="none" w:sz="0" w:space="0" w:color="auto"/>
                                                                                                  </w:divBdr>
                                                                                                  <w:divsChild>
                                                                                                    <w:div w:id="871914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1213301">
                                                                                              <w:marLeft w:val="0"/>
                                                                                              <w:marRight w:val="0"/>
                                                                                              <w:marTop w:val="0"/>
                                                                                              <w:marBottom w:val="0"/>
                                                                                              <w:divBdr>
                                                                                                <w:top w:val="none" w:sz="0" w:space="0" w:color="auto"/>
                                                                                                <w:left w:val="none" w:sz="0" w:space="0" w:color="auto"/>
                                                                                                <w:bottom w:val="none" w:sz="0" w:space="0" w:color="auto"/>
                                                                                                <w:right w:val="none" w:sz="0" w:space="0" w:color="auto"/>
                                                                                              </w:divBdr>
                                                                                              <w:divsChild>
                                                                                                <w:div w:id="461119953">
                                                                                                  <w:marLeft w:val="0"/>
                                                                                                  <w:marRight w:val="0"/>
                                                                                                  <w:marTop w:val="0"/>
                                                                                                  <w:marBottom w:val="0"/>
                                                                                                  <w:divBdr>
                                                                                                    <w:top w:val="none" w:sz="0" w:space="0" w:color="auto"/>
                                                                                                    <w:left w:val="none" w:sz="0" w:space="0" w:color="auto"/>
                                                                                                    <w:bottom w:val="none" w:sz="0" w:space="0" w:color="auto"/>
                                                                                                    <w:right w:val="none" w:sz="0" w:space="0" w:color="auto"/>
                                                                                                  </w:divBdr>
                                                                                                  <w:divsChild>
                                                                                                    <w:div w:id="1838763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38992231">
                                                                              <w:marLeft w:val="0"/>
                                                                              <w:marRight w:val="0"/>
                                                                              <w:marTop w:val="0"/>
                                                                              <w:marBottom w:val="0"/>
                                                                              <w:divBdr>
                                                                                <w:top w:val="single" w:sz="2" w:space="0" w:color="E3E3E3"/>
                                                                                <w:left w:val="single" w:sz="2" w:space="0" w:color="E3E3E3"/>
                                                                                <w:bottom w:val="single" w:sz="2" w:space="0" w:color="E3E3E3"/>
                                                                                <w:right w:val="single" w:sz="2" w:space="0" w:color="E3E3E3"/>
                                                                              </w:divBdr>
                                                                              <w:divsChild>
                                                                                <w:div w:id="617684905">
                                                                                  <w:marLeft w:val="0"/>
                                                                                  <w:marRight w:val="0"/>
                                                                                  <w:marTop w:val="0"/>
                                                                                  <w:marBottom w:val="0"/>
                                                                                  <w:divBdr>
                                                                                    <w:top w:val="none" w:sz="0" w:space="0" w:color="auto"/>
                                                                                    <w:left w:val="none" w:sz="0" w:space="0" w:color="auto"/>
                                                                                    <w:bottom w:val="none" w:sz="0" w:space="0" w:color="auto"/>
                                                                                    <w:right w:val="none" w:sz="0" w:space="0" w:color="auto"/>
                                                                                  </w:divBdr>
                                                                                  <w:divsChild>
                                                                                    <w:div w:id="713231305">
                                                                                      <w:marLeft w:val="0"/>
                                                                                      <w:marRight w:val="0"/>
                                                                                      <w:marTop w:val="0"/>
                                                                                      <w:marBottom w:val="0"/>
                                                                                      <w:divBdr>
                                                                                        <w:top w:val="none" w:sz="0" w:space="0" w:color="auto"/>
                                                                                        <w:left w:val="none" w:sz="0" w:space="0" w:color="auto"/>
                                                                                        <w:bottom w:val="none" w:sz="0" w:space="0" w:color="auto"/>
                                                                                        <w:right w:val="none" w:sz="0" w:space="0" w:color="auto"/>
                                                                                      </w:divBdr>
                                                                                      <w:divsChild>
                                                                                        <w:div w:id="1520392042">
                                                                                          <w:marLeft w:val="0"/>
                                                                                          <w:marRight w:val="0"/>
                                                                                          <w:marTop w:val="0"/>
                                                                                          <w:marBottom w:val="0"/>
                                                                                          <w:divBdr>
                                                                                            <w:top w:val="none" w:sz="0" w:space="0" w:color="auto"/>
                                                                                            <w:left w:val="none" w:sz="0" w:space="0" w:color="auto"/>
                                                                                            <w:bottom w:val="none" w:sz="0" w:space="0" w:color="auto"/>
                                                                                            <w:right w:val="none" w:sz="0" w:space="0" w:color="auto"/>
                                                                                          </w:divBdr>
                                                                                          <w:divsChild>
                                                                                            <w:div w:id="1695959543">
                                                                                              <w:marLeft w:val="0"/>
                                                                                              <w:marRight w:val="0"/>
                                                                                              <w:marTop w:val="0"/>
                                                                                              <w:marBottom w:val="0"/>
                                                                                              <w:divBdr>
                                                                                                <w:top w:val="none" w:sz="0" w:space="0" w:color="auto"/>
                                                                                                <w:left w:val="none" w:sz="0" w:space="0" w:color="auto"/>
                                                                                                <w:bottom w:val="none" w:sz="0" w:space="0" w:color="auto"/>
                                                                                                <w:right w:val="none" w:sz="0" w:space="0" w:color="auto"/>
                                                                                              </w:divBdr>
                                                                                              <w:divsChild>
                                                                                                <w:div w:id="1315644024">
                                                                                                  <w:marLeft w:val="0"/>
                                                                                                  <w:marRight w:val="0"/>
                                                                                                  <w:marTop w:val="0"/>
                                                                                                  <w:marBottom w:val="0"/>
                                                                                                  <w:divBdr>
                                                                                                    <w:top w:val="none" w:sz="0" w:space="0" w:color="auto"/>
                                                                                                    <w:left w:val="none" w:sz="0" w:space="0" w:color="auto"/>
                                                                                                    <w:bottom w:val="none" w:sz="0" w:space="0" w:color="auto"/>
                                                                                                    <w:right w:val="none" w:sz="0" w:space="0" w:color="auto"/>
                                                                                                  </w:divBdr>
                                                                                                  <w:divsChild>
                                                                                                    <w:div w:id="1576622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0228788">
                                                                                              <w:marLeft w:val="0"/>
                                                                                              <w:marRight w:val="0"/>
                                                                                              <w:marTop w:val="0"/>
                                                                                              <w:marBottom w:val="0"/>
                                                                                              <w:divBdr>
                                                                                                <w:top w:val="none" w:sz="0" w:space="0" w:color="auto"/>
                                                                                                <w:left w:val="none" w:sz="0" w:space="0" w:color="auto"/>
                                                                                                <w:bottom w:val="none" w:sz="0" w:space="0" w:color="auto"/>
                                                                                                <w:right w:val="none" w:sz="0" w:space="0" w:color="auto"/>
                                                                                              </w:divBdr>
                                                                                              <w:divsChild>
                                                                                                <w:div w:id="1037198262">
                                                                                                  <w:marLeft w:val="0"/>
                                                                                                  <w:marRight w:val="0"/>
                                                                                                  <w:marTop w:val="0"/>
                                                                                                  <w:marBottom w:val="0"/>
                                                                                                  <w:divBdr>
                                                                                                    <w:top w:val="none" w:sz="0" w:space="0" w:color="auto"/>
                                                                                                    <w:left w:val="none" w:sz="0" w:space="0" w:color="auto"/>
                                                                                                    <w:bottom w:val="none" w:sz="0" w:space="0" w:color="auto"/>
                                                                                                    <w:right w:val="none" w:sz="0" w:space="0" w:color="auto"/>
                                                                                                  </w:divBdr>
                                                                                                  <w:divsChild>
                                                                                                    <w:div w:id="736707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41924131">
                                                                              <w:marLeft w:val="0"/>
                                                                              <w:marRight w:val="0"/>
                                                                              <w:marTop w:val="0"/>
                                                                              <w:marBottom w:val="0"/>
                                                                              <w:divBdr>
                                                                                <w:top w:val="single" w:sz="2" w:space="0" w:color="E3E3E3"/>
                                                                                <w:left w:val="single" w:sz="2" w:space="0" w:color="E3E3E3"/>
                                                                                <w:bottom w:val="single" w:sz="2" w:space="0" w:color="E3E3E3"/>
                                                                                <w:right w:val="single" w:sz="2" w:space="0" w:color="E3E3E3"/>
                                                                              </w:divBdr>
                                                                              <w:divsChild>
                                                                                <w:div w:id="2135783990">
                                                                                  <w:marLeft w:val="0"/>
                                                                                  <w:marRight w:val="0"/>
                                                                                  <w:marTop w:val="0"/>
                                                                                  <w:marBottom w:val="0"/>
                                                                                  <w:divBdr>
                                                                                    <w:top w:val="none" w:sz="0" w:space="0" w:color="auto"/>
                                                                                    <w:left w:val="none" w:sz="0" w:space="0" w:color="auto"/>
                                                                                    <w:bottom w:val="none" w:sz="0" w:space="0" w:color="auto"/>
                                                                                    <w:right w:val="none" w:sz="0" w:space="0" w:color="auto"/>
                                                                                  </w:divBdr>
                                                                                  <w:divsChild>
                                                                                    <w:div w:id="1807041984">
                                                                                      <w:marLeft w:val="0"/>
                                                                                      <w:marRight w:val="0"/>
                                                                                      <w:marTop w:val="0"/>
                                                                                      <w:marBottom w:val="0"/>
                                                                                      <w:divBdr>
                                                                                        <w:top w:val="none" w:sz="0" w:space="0" w:color="auto"/>
                                                                                        <w:left w:val="none" w:sz="0" w:space="0" w:color="auto"/>
                                                                                        <w:bottom w:val="none" w:sz="0" w:space="0" w:color="auto"/>
                                                                                        <w:right w:val="none" w:sz="0" w:space="0" w:color="auto"/>
                                                                                      </w:divBdr>
                                                                                      <w:divsChild>
                                                                                        <w:div w:id="1293561785">
                                                                                          <w:marLeft w:val="0"/>
                                                                                          <w:marRight w:val="0"/>
                                                                                          <w:marTop w:val="0"/>
                                                                                          <w:marBottom w:val="0"/>
                                                                                          <w:divBdr>
                                                                                            <w:top w:val="none" w:sz="0" w:space="0" w:color="auto"/>
                                                                                            <w:left w:val="none" w:sz="0" w:space="0" w:color="auto"/>
                                                                                            <w:bottom w:val="none" w:sz="0" w:space="0" w:color="auto"/>
                                                                                            <w:right w:val="none" w:sz="0" w:space="0" w:color="auto"/>
                                                                                          </w:divBdr>
                                                                                          <w:divsChild>
                                                                                            <w:div w:id="1612861694">
                                                                                              <w:marLeft w:val="0"/>
                                                                                              <w:marRight w:val="0"/>
                                                                                              <w:marTop w:val="0"/>
                                                                                              <w:marBottom w:val="0"/>
                                                                                              <w:divBdr>
                                                                                                <w:top w:val="none" w:sz="0" w:space="0" w:color="auto"/>
                                                                                                <w:left w:val="none" w:sz="0" w:space="0" w:color="auto"/>
                                                                                                <w:bottom w:val="none" w:sz="0" w:space="0" w:color="auto"/>
                                                                                                <w:right w:val="none" w:sz="0" w:space="0" w:color="auto"/>
                                                                                              </w:divBdr>
                                                                                              <w:divsChild>
                                                                                                <w:div w:id="1586917156">
                                                                                                  <w:marLeft w:val="0"/>
                                                                                                  <w:marRight w:val="0"/>
                                                                                                  <w:marTop w:val="0"/>
                                                                                                  <w:marBottom w:val="0"/>
                                                                                                  <w:divBdr>
                                                                                                    <w:top w:val="none" w:sz="0" w:space="0" w:color="auto"/>
                                                                                                    <w:left w:val="none" w:sz="0" w:space="0" w:color="auto"/>
                                                                                                    <w:bottom w:val="none" w:sz="0" w:space="0" w:color="auto"/>
                                                                                                    <w:right w:val="none" w:sz="0" w:space="0" w:color="auto"/>
                                                                                                  </w:divBdr>
                                                                                                  <w:divsChild>
                                                                                                    <w:div w:id="112212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1380790">
                                                                                              <w:marLeft w:val="0"/>
                                                                                              <w:marRight w:val="0"/>
                                                                                              <w:marTop w:val="0"/>
                                                                                              <w:marBottom w:val="0"/>
                                                                                              <w:divBdr>
                                                                                                <w:top w:val="none" w:sz="0" w:space="0" w:color="auto"/>
                                                                                                <w:left w:val="none" w:sz="0" w:space="0" w:color="auto"/>
                                                                                                <w:bottom w:val="none" w:sz="0" w:space="0" w:color="auto"/>
                                                                                                <w:right w:val="none" w:sz="0" w:space="0" w:color="auto"/>
                                                                                              </w:divBdr>
                                                                                              <w:divsChild>
                                                                                                <w:div w:id="1511216506">
                                                                                                  <w:marLeft w:val="0"/>
                                                                                                  <w:marRight w:val="0"/>
                                                                                                  <w:marTop w:val="0"/>
                                                                                                  <w:marBottom w:val="0"/>
                                                                                                  <w:divBdr>
                                                                                                    <w:top w:val="none" w:sz="0" w:space="0" w:color="auto"/>
                                                                                                    <w:left w:val="none" w:sz="0" w:space="0" w:color="auto"/>
                                                                                                    <w:bottom w:val="none" w:sz="0" w:space="0" w:color="auto"/>
                                                                                                    <w:right w:val="none" w:sz="0" w:space="0" w:color="auto"/>
                                                                                                  </w:divBdr>
                                                                                                  <w:divsChild>
                                                                                                    <w:div w:id="917058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13247995">
                                                                              <w:marLeft w:val="0"/>
                                                                              <w:marRight w:val="0"/>
                                                                              <w:marTop w:val="0"/>
                                                                              <w:marBottom w:val="0"/>
                                                                              <w:divBdr>
                                                                                <w:top w:val="single" w:sz="2" w:space="0" w:color="E3E3E3"/>
                                                                                <w:left w:val="single" w:sz="2" w:space="0" w:color="E3E3E3"/>
                                                                                <w:bottom w:val="single" w:sz="2" w:space="0" w:color="E3E3E3"/>
                                                                                <w:right w:val="single" w:sz="2" w:space="0" w:color="E3E3E3"/>
                                                                              </w:divBdr>
                                                                              <w:divsChild>
                                                                                <w:div w:id="1473281791">
                                                                                  <w:marLeft w:val="0"/>
                                                                                  <w:marRight w:val="0"/>
                                                                                  <w:marTop w:val="0"/>
                                                                                  <w:marBottom w:val="0"/>
                                                                                  <w:divBdr>
                                                                                    <w:top w:val="none" w:sz="0" w:space="0" w:color="auto"/>
                                                                                    <w:left w:val="none" w:sz="0" w:space="0" w:color="auto"/>
                                                                                    <w:bottom w:val="none" w:sz="0" w:space="0" w:color="auto"/>
                                                                                    <w:right w:val="none" w:sz="0" w:space="0" w:color="auto"/>
                                                                                  </w:divBdr>
                                                                                  <w:divsChild>
                                                                                    <w:div w:id="1078020163">
                                                                                      <w:marLeft w:val="0"/>
                                                                                      <w:marRight w:val="0"/>
                                                                                      <w:marTop w:val="0"/>
                                                                                      <w:marBottom w:val="0"/>
                                                                                      <w:divBdr>
                                                                                        <w:top w:val="none" w:sz="0" w:space="0" w:color="auto"/>
                                                                                        <w:left w:val="none" w:sz="0" w:space="0" w:color="auto"/>
                                                                                        <w:bottom w:val="none" w:sz="0" w:space="0" w:color="auto"/>
                                                                                        <w:right w:val="none" w:sz="0" w:space="0" w:color="auto"/>
                                                                                      </w:divBdr>
                                                                                      <w:divsChild>
                                                                                        <w:div w:id="895624323">
                                                                                          <w:marLeft w:val="0"/>
                                                                                          <w:marRight w:val="0"/>
                                                                                          <w:marTop w:val="0"/>
                                                                                          <w:marBottom w:val="0"/>
                                                                                          <w:divBdr>
                                                                                            <w:top w:val="none" w:sz="0" w:space="0" w:color="auto"/>
                                                                                            <w:left w:val="none" w:sz="0" w:space="0" w:color="auto"/>
                                                                                            <w:bottom w:val="none" w:sz="0" w:space="0" w:color="auto"/>
                                                                                            <w:right w:val="none" w:sz="0" w:space="0" w:color="auto"/>
                                                                                          </w:divBdr>
                                                                                          <w:divsChild>
                                                                                            <w:div w:id="1187527723">
                                                                                              <w:marLeft w:val="0"/>
                                                                                              <w:marRight w:val="0"/>
                                                                                              <w:marTop w:val="0"/>
                                                                                              <w:marBottom w:val="0"/>
                                                                                              <w:divBdr>
                                                                                                <w:top w:val="none" w:sz="0" w:space="0" w:color="auto"/>
                                                                                                <w:left w:val="none" w:sz="0" w:space="0" w:color="auto"/>
                                                                                                <w:bottom w:val="none" w:sz="0" w:space="0" w:color="auto"/>
                                                                                                <w:right w:val="none" w:sz="0" w:space="0" w:color="auto"/>
                                                                                              </w:divBdr>
                                                                                              <w:divsChild>
                                                                                                <w:div w:id="980114564">
                                                                                                  <w:marLeft w:val="0"/>
                                                                                                  <w:marRight w:val="0"/>
                                                                                                  <w:marTop w:val="0"/>
                                                                                                  <w:marBottom w:val="0"/>
                                                                                                  <w:divBdr>
                                                                                                    <w:top w:val="none" w:sz="0" w:space="0" w:color="auto"/>
                                                                                                    <w:left w:val="none" w:sz="0" w:space="0" w:color="auto"/>
                                                                                                    <w:bottom w:val="none" w:sz="0" w:space="0" w:color="auto"/>
                                                                                                    <w:right w:val="none" w:sz="0" w:space="0" w:color="auto"/>
                                                                                                  </w:divBdr>
                                                                                                  <w:divsChild>
                                                                                                    <w:div w:id="1933319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6378144">
                                                                                              <w:marLeft w:val="0"/>
                                                                                              <w:marRight w:val="0"/>
                                                                                              <w:marTop w:val="0"/>
                                                                                              <w:marBottom w:val="0"/>
                                                                                              <w:divBdr>
                                                                                                <w:top w:val="none" w:sz="0" w:space="0" w:color="auto"/>
                                                                                                <w:left w:val="none" w:sz="0" w:space="0" w:color="auto"/>
                                                                                                <w:bottom w:val="none" w:sz="0" w:space="0" w:color="auto"/>
                                                                                                <w:right w:val="none" w:sz="0" w:space="0" w:color="auto"/>
                                                                                              </w:divBdr>
                                                                                              <w:divsChild>
                                                                                                <w:div w:id="1302880521">
                                                                                                  <w:marLeft w:val="0"/>
                                                                                                  <w:marRight w:val="0"/>
                                                                                                  <w:marTop w:val="0"/>
                                                                                                  <w:marBottom w:val="0"/>
                                                                                                  <w:divBdr>
                                                                                                    <w:top w:val="none" w:sz="0" w:space="0" w:color="auto"/>
                                                                                                    <w:left w:val="none" w:sz="0" w:space="0" w:color="auto"/>
                                                                                                    <w:bottom w:val="none" w:sz="0" w:space="0" w:color="auto"/>
                                                                                                    <w:right w:val="none" w:sz="0" w:space="0" w:color="auto"/>
                                                                                                  </w:divBdr>
                                                                                                  <w:divsChild>
                                                                                                    <w:div w:id="1296372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7276923">
                                                                              <w:marLeft w:val="0"/>
                                                                              <w:marRight w:val="0"/>
                                                                              <w:marTop w:val="0"/>
                                                                              <w:marBottom w:val="0"/>
                                                                              <w:divBdr>
                                                                                <w:top w:val="single" w:sz="2" w:space="0" w:color="E3E3E3"/>
                                                                                <w:left w:val="single" w:sz="2" w:space="0" w:color="E3E3E3"/>
                                                                                <w:bottom w:val="single" w:sz="2" w:space="0" w:color="E3E3E3"/>
                                                                                <w:right w:val="single" w:sz="2" w:space="0" w:color="E3E3E3"/>
                                                                              </w:divBdr>
                                                                              <w:divsChild>
                                                                                <w:div w:id="1896041694">
                                                                                  <w:marLeft w:val="0"/>
                                                                                  <w:marRight w:val="0"/>
                                                                                  <w:marTop w:val="0"/>
                                                                                  <w:marBottom w:val="0"/>
                                                                                  <w:divBdr>
                                                                                    <w:top w:val="none" w:sz="0" w:space="0" w:color="auto"/>
                                                                                    <w:left w:val="none" w:sz="0" w:space="0" w:color="auto"/>
                                                                                    <w:bottom w:val="none" w:sz="0" w:space="0" w:color="auto"/>
                                                                                    <w:right w:val="none" w:sz="0" w:space="0" w:color="auto"/>
                                                                                  </w:divBdr>
                                                                                  <w:divsChild>
                                                                                    <w:div w:id="1202748995">
                                                                                      <w:marLeft w:val="0"/>
                                                                                      <w:marRight w:val="0"/>
                                                                                      <w:marTop w:val="0"/>
                                                                                      <w:marBottom w:val="0"/>
                                                                                      <w:divBdr>
                                                                                        <w:top w:val="none" w:sz="0" w:space="0" w:color="auto"/>
                                                                                        <w:left w:val="none" w:sz="0" w:space="0" w:color="auto"/>
                                                                                        <w:bottom w:val="none" w:sz="0" w:space="0" w:color="auto"/>
                                                                                        <w:right w:val="none" w:sz="0" w:space="0" w:color="auto"/>
                                                                                      </w:divBdr>
                                                                                      <w:divsChild>
                                                                                        <w:div w:id="1830247078">
                                                                                          <w:marLeft w:val="0"/>
                                                                                          <w:marRight w:val="0"/>
                                                                                          <w:marTop w:val="0"/>
                                                                                          <w:marBottom w:val="0"/>
                                                                                          <w:divBdr>
                                                                                            <w:top w:val="none" w:sz="0" w:space="0" w:color="auto"/>
                                                                                            <w:left w:val="none" w:sz="0" w:space="0" w:color="auto"/>
                                                                                            <w:bottom w:val="none" w:sz="0" w:space="0" w:color="auto"/>
                                                                                            <w:right w:val="none" w:sz="0" w:space="0" w:color="auto"/>
                                                                                          </w:divBdr>
                                                                                          <w:divsChild>
                                                                                            <w:div w:id="1463957076">
                                                                                              <w:marLeft w:val="0"/>
                                                                                              <w:marRight w:val="0"/>
                                                                                              <w:marTop w:val="0"/>
                                                                                              <w:marBottom w:val="0"/>
                                                                                              <w:divBdr>
                                                                                                <w:top w:val="none" w:sz="0" w:space="0" w:color="auto"/>
                                                                                                <w:left w:val="none" w:sz="0" w:space="0" w:color="auto"/>
                                                                                                <w:bottom w:val="none" w:sz="0" w:space="0" w:color="auto"/>
                                                                                                <w:right w:val="none" w:sz="0" w:space="0" w:color="auto"/>
                                                                                              </w:divBdr>
                                                                                              <w:divsChild>
                                                                                                <w:div w:id="530611901">
                                                                                                  <w:marLeft w:val="0"/>
                                                                                                  <w:marRight w:val="0"/>
                                                                                                  <w:marTop w:val="0"/>
                                                                                                  <w:marBottom w:val="0"/>
                                                                                                  <w:divBdr>
                                                                                                    <w:top w:val="none" w:sz="0" w:space="0" w:color="auto"/>
                                                                                                    <w:left w:val="none" w:sz="0" w:space="0" w:color="auto"/>
                                                                                                    <w:bottom w:val="none" w:sz="0" w:space="0" w:color="auto"/>
                                                                                                    <w:right w:val="none" w:sz="0" w:space="0" w:color="auto"/>
                                                                                                  </w:divBdr>
                                                                                                  <w:divsChild>
                                                                                                    <w:div w:id="656226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0057440">
                                                                                              <w:marLeft w:val="0"/>
                                                                                              <w:marRight w:val="0"/>
                                                                                              <w:marTop w:val="0"/>
                                                                                              <w:marBottom w:val="0"/>
                                                                                              <w:divBdr>
                                                                                                <w:top w:val="none" w:sz="0" w:space="0" w:color="auto"/>
                                                                                                <w:left w:val="none" w:sz="0" w:space="0" w:color="auto"/>
                                                                                                <w:bottom w:val="none" w:sz="0" w:space="0" w:color="auto"/>
                                                                                                <w:right w:val="none" w:sz="0" w:space="0" w:color="auto"/>
                                                                                              </w:divBdr>
                                                                                              <w:divsChild>
                                                                                                <w:div w:id="377902288">
                                                                                                  <w:marLeft w:val="0"/>
                                                                                                  <w:marRight w:val="0"/>
                                                                                                  <w:marTop w:val="0"/>
                                                                                                  <w:marBottom w:val="0"/>
                                                                                                  <w:divBdr>
                                                                                                    <w:top w:val="none" w:sz="0" w:space="0" w:color="auto"/>
                                                                                                    <w:left w:val="none" w:sz="0" w:space="0" w:color="auto"/>
                                                                                                    <w:bottom w:val="none" w:sz="0" w:space="0" w:color="auto"/>
                                                                                                    <w:right w:val="none" w:sz="0" w:space="0" w:color="auto"/>
                                                                                                  </w:divBdr>
                                                                                                  <w:divsChild>
                                                                                                    <w:div w:id="1436051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6030939">
                                                                              <w:marLeft w:val="0"/>
                                                                              <w:marRight w:val="0"/>
                                                                              <w:marTop w:val="0"/>
                                                                              <w:marBottom w:val="0"/>
                                                                              <w:divBdr>
                                                                                <w:top w:val="single" w:sz="2" w:space="0" w:color="E3E3E3"/>
                                                                                <w:left w:val="single" w:sz="2" w:space="0" w:color="E3E3E3"/>
                                                                                <w:bottom w:val="single" w:sz="2" w:space="0" w:color="E3E3E3"/>
                                                                                <w:right w:val="single" w:sz="2" w:space="0" w:color="E3E3E3"/>
                                                                              </w:divBdr>
                                                                              <w:divsChild>
                                                                                <w:div w:id="1394352664">
                                                                                  <w:marLeft w:val="0"/>
                                                                                  <w:marRight w:val="0"/>
                                                                                  <w:marTop w:val="0"/>
                                                                                  <w:marBottom w:val="0"/>
                                                                                  <w:divBdr>
                                                                                    <w:top w:val="none" w:sz="0" w:space="0" w:color="auto"/>
                                                                                    <w:left w:val="none" w:sz="0" w:space="0" w:color="auto"/>
                                                                                    <w:bottom w:val="none" w:sz="0" w:space="0" w:color="auto"/>
                                                                                    <w:right w:val="none" w:sz="0" w:space="0" w:color="auto"/>
                                                                                  </w:divBdr>
                                                                                  <w:divsChild>
                                                                                    <w:div w:id="1866751305">
                                                                                      <w:marLeft w:val="0"/>
                                                                                      <w:marRight w:val="0"/>
                                                                                      <w:marTop w:val="0"/>
                                                                                      <w:marBottom w:val="0"/>
                                                                                      <w:divBdr>
                                                                                        <w:top w:val="none" w:sz="0" w:space="0" w:color="auto"/>
                                                                                        <w:left w:val="none" w:sz="0" w:space="0" w:color="auto"/>
                                                                                        <w:bottom w:val="none" w:sz="0" w:space="0" w:color="auto"/>
                                                                                        <w:right w:val="none" w:sz="0" w:space="0" w:color="auto"/>
                                                                                      </w:divBdr>
                                                                                      <w:divsChild>
                                                                                        <w:div w:id="644823374">
                                                                                          <w:marLeft w:val="0"/>
                                                                                          <w:marRight w:val="0"/>
                                                                                          <w:marTop w:val="0"/>
                                                                                          <w:marBottom w:val="0"/>
                                                                                          <w:divBdr>
                                                                                            <w:top w:val="none" w:sz="0" w:space="0" w:color="auto"/>
                                                                                            <w:left w:val="none" w:sz="0" w:space="0" w:color="auto"/>
                                                                                            <w:bottom w:val="none" w:sz="0" w:space="0" w:color="auto"/>
                                                                                            <w:right w:val="none" w:sz="0" w:space="0" w:color="auto"/>
                                                                                          </w:divBdr>
                                                                                          <w:divsChild>
                                                                                            <w:div w:id="413820507">
                                                                                              <w:marLeft w:val="0"/>
                                                                                              <w:marRight w:val="0"/>
                                                                                              <w:marTop w:val="0"/>
                                                                                              <w:marBottom w:val="0"/>
                                                                                              <w:divBdr>
                                                                                                <w:top w:val="none" w:sz="0" w:space="0" w:color="auto"/>
                                                                                                <w:left w:val="none" w:sz="0" w:space="0" w:color="auto"/>
                                                                                                <w:bottom w:val="none" w:sz="0" w:space="0" w:color="auto"/>
                                                                                                <w:right w:val="none" w:sz="0" w:space="0" w:color="auto"/>
                                                                                              </w:divBdr>
                                                                                              <w:divsChild>
                                                                                                <w:div w:id="1133134797">
                                                                                                  <w:marLeft w:val="0"/>
                                                                                                  <w:marRight w:val="0"/>
                                                                                                  <w:marTop w:val="0"/>
                                                                                                  <w:marBottom w:val="0"/>
                                                                                                  <w:divBdr>
                                                                                                    <w:top w:val="none" w:sz="0" w:space="0" w:color="auto"/>
                                                                                                    <w:left w:val="none" w:sz="0" w:space="0" w:color="auto"/>
                                                                                                    <w:bottom w:val="none" w:sz="0" w:space="0" w:color="auto"/>
                                                                                                    <w:right w:val="none" w:sz="0" w:space="0" w:color="auto"/>
                                                                                                  </w:divBdr>
                                                                                                  <w:divsChild>
                                                                                                    <w:div w:id="97726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6289340">
                                                                                              <w:marLeft w:val="0"/>
                                                                                              <w:marRight w:val="0"/>
                                                                                              <w:marTop w:val="0"/>
                                                                                              <w:marBottom w:val="0"/>
                                                                                              <w:divBdr>
                                                                                                <w:top w:val="none" w:sz="0" w:space="0" w:color="auto"/>
                                                                                                <w:left w:val="none" w:sz="0" w:space="0" w:color="auto"/>
                                                                                                <w:bottom w:val="none" w:sz="0" w:space="0" w:color="auto"/>
                                                                                                <w:right w:val="none" w:sz="0" w:space="0" w:color="auto"/>
                                                                                              </w:divBdr>
                                                                                              <w:divsChild>
                                                                                                <w:div w:id="150174737">
                                                                                                  <w:marLeft w:val="0"/>
                                                                                                  <w:marRight w:val="0"/>
                                                                                                  <w:marTop w:val="0"/>
                                                                                                  <w:marBottom w:val="0"/>
                                                                                                  <w:divBdr>
                                                                                                    <w:top w:val="none" w:sz="0" w:space="0" w:color="auto"/>
                                                                                                    <w:left w:val="none" w:sz="0" w:space="0" w:color="auto"/>
                                                                                                    <w:bottom w:val="none" w:sz="0" w:space="0" w:color="auto"/>
                                                                                                    <w:right w:val="none" w:sz="0" w:space="0" w:color="auto"/>
                                                                                                  </w:divBdr>
                                                                                                  <w:divsChild>
                                                                                                    <w:div w:id="1736389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348904">
                                                                              <w:marLeft w:val="0"/>
                                                                              <w:marRight w:val="0"/>
                                                                              <w:marTop w:val="0"/>
                                                                              <w:marBottom w:val="0"/>
                                                                              <w:divBdr>
                                                                                <w:top w:val="single" w:sz="2" w:space="0" w:color="E3E3E3"/>
                                                                                <w:left w:val="single" w:sz="2" w:space="0" w:color="E3E3E3"/>
                                                                                <w:bottom w:val="single" w:sz="2" w:space="0" w:color="E3E3E3"/>
                                                                                <w:right w:val="single" w:sz="2" w:space="0" w:color="E3E3E3"/>
                                                                              </w:divBdr>
                                                                              <w:divsChild>
                                                                                <w:div w:id="1280533010">
                                                                                  <w:marLeft w:val="0"/>
                                                                                  <w:marRight w:val="0"/>
                                                                                  <w:marTop w:val="0"/>
                                                                                  <w:marBottom w:val="0"/>
                                                                                  <w:divBdr>
                                                                                    <w:top w:val="none" w:sz="0" w:space="0" w:color="auto"/>
                                                                                    <w:left w:val="none" w:sz="0" w:space="0" w:color="auto"/>
                                                                                    <w:bottom w:val="none" w:sz="0" w:space="0" w:color="auto"/>
                                                                                    <w:right w:val="none" w:sz="0" w:space="0" w:color="auto"/>
                                                                                  </w:divBdr>
                                                                                  <w:divsChild>
                                                                                    <w:div w:id="794367596">
                                                                                      <w:marLeft w:val="0"/>
                                                                                      <w:marRight w:val="0"/>
                                                                                      <w:marTop w:val="0"/>
                                                                                      <w:marBottom w:val="0"/>
                                                                                      <w:divBdr>
                                                                                        <w:top w:val="none" w:sz="0" w:space="0" w:color="auto"/>
                                                                                        <w:left w:val="none" w:sz="0" w:space="0" w:color="auto"/>
                                                                                        <w:bottom w:val="none" w:sz="0" w:space="0" w:color="auto"/>
                                                                                        <w:right w:val="none" w:sz="0" w:space="0" w:color="auto"/>
                                                                                      </w:divBdr>
                                                                                      <w:divsChild>
                                                                                        <w:div w:id="967517218">
                                                                                          <w:marLeft w:val="0"/>
                                                                                          <w:marRight w:val="0"/>
                                                                                          <w:marTop w:val="0"/>
                                                                                          <w:marBottom w:val="0"/>
                                                                                          <w:divBdr>
                                                                                            <w:top w:val="none" w:sz="0" w:space="0" w:color="auto"/>
                                                                                            <w:left w:val="none" w:sz="0" w:space="0" w:color="auto"/>
                                                                                            <w:bottom w:val="none" w:sz="0" w:space="0" w:color="auto"/>
                                                                                            <w:right w:val="none" w:sz="0" w:space="0" w:color="auto"/>
                                                                                          </w:divBdr>
                                                                                          <w:divsChild>
                                                                                            <w:div w:id="1244221393">
                                                                                              <w:marLeft w:val="0"/>
                                                                                              <w:marRight w:val="0"/>
                                                                                              <w:marTop w:val="0"/>
                                                                                              <w:marBottom w:val="0"/>
                                                                                              <w:divBdr>
                                                                                                <w:top w:val="none" w:sz="0" w:space="0" w:color="auto"/>
                                                                                                <w:left w:val="none" w:sz="0" w:space="0" w:color="auto"/>
                                                                                                <w:bottom w:val="none" w:sz="0" w:space="0" w:color="auto"/>
                                                                                                <w:right w:val="none" w:sz="0" w:space="0" w:color="auto"/>
                                                                                              </w:divBdr>
                                                                                              <w:divsChild>
                                                                                                <w:div w:id="1120805128">
                                                                                                  <w:marLeft w:val="0"/>
                                                                                                  <w:marRight w:val="0"/>
                                                                                                  <w:marTop w:val="0"/>
                                                                                                  <w:marBottom w:val="0"/>
                                                                                                  <w:divBdr>
                                                                                                    <w:top w:val="none" w:sz="0" w:space="0" w:color="auto"/>
                                                                                                    <w:left w:val="none" w:sz="0" w:space="0" w:color="auto"/>
                                                                                                    <w:bottom w:val="none" w:sz="0" w:space="0" w:color="auto"/>
                                                                                                    <w:right w:val="none" w:sz="0" w:space="0" w:color="auto"/>
                                                                                                  </w:divBdr>
                                                                                                  <w:divsChild>
                                                                                                    <w:div w:id="1837844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3521341">
                                                                                              <w:marLeft w:val="0"/>
                                                                                              <w:marRight w:val="0"/>
                                                                                              <w:marTop w:val="0"/>
                                                                                              <w:marBottom w:val="0"/>
                                                                                              <w:divBdr>
                                                                                                <w:top w:val="none" w:sz="0" w:space="0" w:color="auto"/>
                                                                                                <w:left w:val="none" w:sz="0" w:space="0" w:color="auto"/>
                                                                                                <w:bottom w:val="none" w:sz="0" w:space="0" w:color="auto"/>
                                                                                                <w:right w:val="none" w:sz="0" w:space="0" w:color="auto"/>
                                                                                              </w:divBdr>
                                                                                              <w:divsChild>
                                                                                                <w:div w:id="1742410583">
                                                                                                  <w:marLeft w:val="0"/>
                                                                                                  <w:marRight w:val="0"/>
                                                                                                  <w:marTop w:val="0"/>
                                                                                                  <w:marBottom w:val="0"/>
                                                                                                  <w:divBdr>
                                                                                                    <w:top w:val="none" w:sz="0" w:space="0" w:color="auto"/>
                                                                                                    <w:left w:val="none" w:sz="0" w:space="0" w:color="auto"/>
                                                                                                    <w:bottom w:val="none" w:sz="0" w:space="0" w:color="auto"/>
                                                                                                    <w:right w:val="none" w:sz="0" w:space="0" w:color="auto"/>
                                                                                                  </w:divBdr>
                                                                                                  <w:divsChild>
                                                                                                    <w:div w:id="312639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6894144">
                                                                              <w:marLeft w:val="0"/>
                                                                              <w:marRight w:val="0"/>
                                                                              <w:marTop w:val="0"/>
                                                                              <w:marBottom w:val="0"/>
                                                                              <w:divBdr>
                                                                                <w:top w:val="single" w:sz="2" w:space="0" w:color="E3E3E3"/>
                                                                                <w:left w:val="single" w:sz="2" w:space="0" w:color="E3E3E3"/>
                                                                                <w:bottom w:val="single" w:sz="2" w:space="0" w:color="E3E3E3"/>
                                                                                <w:right w:val="single" w:sz="2" w:space="0" w:color="E3E3E3"/>
                                                                              </w:divBdr>
                                                                              <w:divsChild>
                                                                                <w:div w:id="638077112">
                                                                                  <w:marLeft w:val="0"/>
                                                                                  <w:marRight w:val="0"/>
                                                                                  <w:marTop w:val="0"/>
                                                                                  <w:marBottom w:val="0"/>
                                                                                  <w:divBdr>
                                                                                    <w:top w:val="none" w:sz="0" w:space="0" w:color="auto"/>
                                                                                    <w:left w:val="none" w:sz="0" w:space="0" w:color="auto"/>
                                                                                    <w:bottom w:val="none" w:sz="0" w:space="0" w:color="auto"/>
                                                                                    <w:right w:val="none" w:sz="0" w:space="0" w:color="auto"/>
                                                                                  </w:divBdr>
                                                                                  <w:divsChild>
                                                                                    <w:div w:id="337781680">
                                                                                      <w:marLeft w:val="0"/>
                                                                                      <w:marRight w:val="0"/>
                                                                                      <w:marTop w:val="0"/>
                                                                                      <w:marBottom w:val="0"/>
                                                                                      <w:divBdr>
                                                                                        <w:top w:val="none" w:sz="0" w:space="0" w:color="auto"/>
                                                                                        <w:left w:val="none" w:sz="0" w:space="0" w:color="auto"/>
                                                                                        <w:bottom w:val="none" w:sz="0" w:space="0" w:color="auto"/>
                                                                                        <w:right w:val="none" w:sz="0" w:space="0" w:color="auto"/>
                                                                                      </w:divBdr>
                                                                                      <w:divsChild>
                                                                                        <w:div w:id="1867522788">
                                                                                          <w:marLeft w:val="0"/>
                                                                                          <w:marRight w:val="0"/>
                                                                                          <w:marTop w:val="0"/>
                                                                                          <w:marBottom w:val="0"/>
                                                                                          <w:divBdr>
                                                                                            <w:top w:val="none" w:sz="0" w:space="0" w:color="auto"/>
                                                                                            <w:left w:val="none" w:sz="0" w:space="0" w:color="auto"/>
                                                                                            <w:bottom w:val="none" w:sz="0" w:space="0" w:color="auto"/>
                                                                                            <w:right w:val="none" w:sz="0" w:space="0" w:color="auto"/>
                                                                                          </w:divBdr>
                                                                                          <w:divsChild>
                                                                                            <w:div w:id="818572257">
                                                                                              <w:marLeft w:val="0"/>
                                                                                              <w:marRight w:val="0"/>
                                                                                              <w:marTop w:val="0"/>
                                                                                              <w:marBottom w:val="0"/>
                                                                                              <w:divBdr>
                                                                                                <w:top w:val="none" w:sz="0" w:space="0" w:color="auto"/>
                                                                                                <w:left w:val="none" w:sz="0" w:space="0" w:color="auto"/>
                                                                                                <w:bottom w:val="none" w:sz="0" w:space="0" w:color="auto"/>
                                                                                                <w:right w:val="none" w:sz="0" w:space="0" w:color="auto"/>
                                                                                              </w:divBdr>
                                                                                              <w:divsChild>
                                                                                                <w:div w:id="722797456">
                                                                                                  <w:marLeft w:val="0"/>
                                                                                                  <w:marRight w:val="0"/>
                                                                                                  <w:marTop w:val="0"/>
                                                                                                  <w:marBottom w:val="0"/>
                                                                                                  <w:divBdr>
                                                                                                    <w:top w:val="none" w:sz="0" w:space="0" w:color="auto"/>
                                                                                                    <w:left w:val="none" w:sz="0" w:space="0" w:color="auto"/>
                                                                                                    <w:bottom w:val="none" w:sz="0" w:space="0" w:color="auto"/>
                                                                                                    <w:right w:val="none" w:sz="0" w:space="0" w:color="auto"/>
                                                                                                  </w:divBdr>
                                                                                                  <w:divsChild>
                                                                                                    <w:div w:id="561597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0227981">
                                                                                              <w:marLeft w:val="0"/>
                                                                                              <w:marRight w:val="0"/>
                                                                                              <w:marTop w:val="0"/>
                                                                                              <w:marBottom w:val="0"/>
                                                                                              <w:divBdr>
                                                                                                <w:top w:val="none" w:sz="0" w:space="0" w:color="auto"/>
                                                                                                <w:left w:val="none" w:sz="0" w:space="0" w:color="auto"/>
                                                                                                <w:bottom w:val="none" w:sz="0" w:space="0" w:color="auto"/>
                                                                                                <w:right w:val="none" w:sz="0" w:space="0" w:color="auto"/>
                                                                                              </w:divBdr>
                                                                                              <w:divsChild>
                                                                                                <w:div w:id="118885586">
                                                                                                  <w:marLeft w:val="0"/>
                                                                                                  <w:marRight w:val="0"/>
                                                                                                  <w:marTop w:val="0"/>
                                                                                                  <w:marBottom w:val="0"/>
                                                                                                  <w:divBdr>
                                                                                                    <w:top w:val="none" w:sz="0" w:space="0" w:color="auto"/>
                                                                                                    <w:left w:val="none" w:sz="0" w:space="0" w:color="auto"/>
                                                                                                    <w:bottom w:val="none" w:sz="0" w:space="0" w:color="auto"/>
                                                                                                    <w:right w:val="none" w:sz="0" w:space="0" w:color="auto"/>
                                                                                                  </w:divBdr>
                                                                                                  <w:divsChild>
                                                                                                    <w:div w:id="1028487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7611409">
                                                                              <w:marLeft w:val="0"/>
                                                                              <w:marRight w:val="0"/>
                                                                              <w:marTop w:val="0"/>
                                                                              <w:marBottom w:val="0"/>
                                                                              <w:divBdr>
                                                                                <w:top w:val="single" w:sz="2" w:space="0" w:color="E3E3E3"/>
                                                                                <w:left w:val="single" w:sz="2" w:space="0" w:color="E3E3E3"/>
                                                                                <w:bottom w:val="single" w:sz="2" w:space="0" w:color="E3E3E3"/>
                                                                                <w:right w:val="single" w:sz="2" w:space="0" w:color="E3E3E3"/>
                                                                              </w:divBdr>
                                                                              <w:divsChild>
                                                                                <w:div w:id="1931741435">
                                                                                  <w:marLeft w:val="0"/>
                                                                                  <w:marRight w:val="0"/>
                                                                                  <w:marTop w:val="0"/>
                                                                                  <w:marBottom w:val="0"/>
                                                                                  <w:divBdr>
                                                                                    <w:top w:val="none" w:sz="0" w:space="0" w:color="auto"/>
                                                                                    <w:left w:val="none" w:sz="0" w:space="0" w:color="auto"/>
                                                                                    <w:bottom w:val="none" w:sz="0" w:space="0" w:color="auto"/>
                                                                                    <w:right w:val="none" w:sz="0" w:space="0" w:color="auto"/>
                                                                                  </w:divBdr>
                                                                                  <w:divsChild>
                                                                                    <w:div w:id="47266219">
                                                                                      <w:marLeft w:val="0"/>
                                                                                      <w:marRight w:val="0"/>
                                                                                      <w:marTop w:val="0"/>
                                                                                      <w:marBottom w:val="0"/>
                                                                                      <w:divBdr>
                                                                                        <w:top w:val="none" w:sz="0" w:space="0" w:color="auto"/>
                                                                                        <w:left w:val="none" w:sz="0" w:space="0" w:color="auto"/>
                                                                                        <w:bottom w:val="none" w:sz="0" w:space="0" w:color="auto"/>
                                                                                        <w:right w:val="none" w:sz="0" w:space="0" w:color="auto"/>
                                                                                      </w:divBdr>
                                                                                      <w:divsChild>
                                                                                        <w:div w:id="1178278837">
                                                                                          <w:marLeft w:val="0"/>
                                                                                          <w:marRight w:val="0"/>
                                                                                          <w:marTop w:val="0"/>
                                                                                          <w:marBottom w:val="0"/>
                                                                                          <w:divBdr>
                                                                                            <w:top w:val="none" w:sz="0" w:space="0" w:color="auto"/>
                                                                                            <w:left w:val="none" w:sz="0" w:space="0" w:color="auto"/>
                                                                                            <w:bottom w:val="none" w:sz="0" w:space="0" w:color="auto"/>
                                                                                            <w:right w:val="none" w:sz="0" w:space="0" w:color="auto"/>
                                                                                          </w:divBdr>
                                                                                          <w:divsChild>
                                                                                            <w:div w:id="912862086">
                                                                                              <w:marLeft w:val="0"/>
                                                                                              <w:marRight w:val="0"/>
                                                                                              <w:marTop w:val="0"/>
                                                                                              <w:marBottom w:val="0"/>
                                                                                              <w:divBdr>
                                                                                                <w:top w:val="none" w:sz="0" w:space="0" w:color="auto"/>
                                                                                                <w:left w:val="none" w:sz="0" w:space="0" w:color="auto"/>
                                                                                                <w:bottom w:val="none" w:sz="0" w:space="0" w:color="auto"/>
                                                                                                <w:right w:val="none" w:sz="0" w:space="0" w:color="auto"/>
                                                                                              </w:divBdr>
                                                                                              <w:divsChild>
                                                                                                <w:div w:id="968440247">
                                                                                                  <w:marLeft w:val="0"/>
                                                                                                  <w:marRight w:val="0"/>
                                                                                                  <w:marTop w:val="0"/>
                                                                                                  <w:marBottom w:val="0"/>
                                                                                                  <w:divBdr>
                                                                                                    <w:top w:val="none" w:sz="0" w:space="0" w:color="auto"/>
                                                                                                    <w:left w:val="none" w:sz="0" w:space="0" w:color="auto"/>
                                                                                                    <w:bottom w:val="none" w:sz="0" w:space="0" w:color="auto"/>
                                                                                                    <w:right w:val="none" w:sz="0" w:space="0" w:color="auto"/>
                                                                                                  </w:divBdr>
                                                                                                  <w:divsChild>
                                                                                                    <w:div w:id="2118744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2742606">
                                                                                              <w:marLeft w:val="0"/>
                                                                                              <w:marRight w:val="0"/>
                                                                                              <w:marTop w:val="0"/>
                                                                                              <w:marBottom w:val="0"/>
                                                                                              <w:divBdr>
                                                                                                <w:top w:val="none" w:sz="0" w:space="0" w:color="auto"/>
                                                                                                <w:left w:val="none" w:sz="0" w:space="0" w:color="auto"/>
                                                                                                <w:bottom w:val="none" w:sz="0" w:space="0" w:color="auto"/>
                                                                                                <w:right w:val="none" w:sz="0" w:space="0" w:color="auto"/>
                                                                                              </w:divBdr>
                                                                                              <w:divsChild>
                                                                                                <w:div w:id="1830904039">
                                                                                                  <w:marLeft w:val="0"/>
                                                                                                  <w:marRight w:val="0"/>
                                                                                                  <w:marTop w:val="0"/>
                                                                                                  <w:marBottom w:val="0"/>
                                                                                                  <w:divBdr>
                                                                                                    <w:top w:val="none" w:sz="0" w:space="0" w:color="auto"/>
                                                                                                    <w:left w:val="none" w:sz="0" w:space="0" w:color="auto"/>
                                                                                                    <w:bottom w:val="none" w:sz="0" w:space="0" w:color="auto"/>
                                                                                                    <w:right w:val="none" w:sz="0" w:space="0" w:color="auto"/>
                                                                                                  </w:divBdr>
                                                                                                  <w:divsChild>
                                                                                                    <w:div w:id="1274704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26512723">
                                                                              <w:marLeft w:val="0"/>
                                                                              <w:marRight w:val="0"/>
                                                                              <w:marTop w:val="0"/>
                                                                              <w:marBottom w:val="0"/>
                                                                              <w:divBdr>
                                                                                <w:top w:val="single" w:sz="2" w:space="0" w:color="E3E3E3"/>
                                                                                <w:left w:val="single" w:sz="2" w:space="0" w:color="E3E3E3"/>
                                                                                <w:bottom w:val="single" w:sz="2" w:space="0" w:color="E3E3E3"/>
                                                                                <w:right w:val="single" w:sz="2" w:space="0" w:color="E3E3E3"/>
                                                                              </w:divBdr>
                                                                              <w:divsChild>
                                                                                <w:div w:id="143743375">
                                                                                  <w:marLeft w:val="0"/>
                                                                                  <w:marRight w:val="0"/>
                                                                                  <w:marTop w:val="0"/>
                                                                                  <w:marBottom w:val="0"/>
                                                                                  <w:divBdr>
                                                                                    <w:top w:val="none" w:sz="0" w:space="0" w:color="auto"/>
                                                                                    <w:left w:val="none" w:sz="0" w:space="0" w:color="auto"/>
                                                                                    <w:bottom w:val="none" w:sz="0" w:space="0" w:color="auto"/>
                                                                                    <w:right w:val="none" w:sz="0" w:space="0" w:color="auto"/>
                                                                                  </w:divBdr>
                                                                                  <w:divsChild>
                                                                                    <w:div w:id="1550606903">
                                                                                      <w:marLeft w:val="0"/>
                                                                                      <w:marRight w:val="0"/>
                                                                                      <w:marTop w:val="0"/>
                                                                                      <w:marBottom w:val="0"/>
                                                                                      <w:divBdr>
                                                                                        <w:top w:val="none" w:sz="0" w:space="0" w:color="auto"/>
                                                                                        <w:left w:val="none" w:sz="0" w:space="0" w:color="auto"/>
                                                                                        <w:bottom w:val="none" w:sz="0" w:space="0" w:color="auto"/>
                                                                                        <w:right w:val="none" w:sz="0" w:space="0" w:color="auto"/>
                                                                                      </w:divBdr>
                                                                                      <w:divsChild>
                                                                                        <w:div w:id="1933515537">
                                                                                          <w:marLeft w:val="0"/>
                                                                                          <w:marRight w:val="0"/>
                                                                                          <w:marTop w:val="0"/>
                                                                                          <w:marBottom w:val="0"/>
                                                                                          <w:divBdr>
                                                                                            <w:top w:val="none" w:sz="0" w:space="0" w:color="auto"/>
                                                                                            <w:left w:val="none" w:sz="0" w:space="0" w:color="auto"/>
                                                                                            <w:bottom w:val="none" w:sz="0" w:space="0" w:color="auto"/>
                                                                                            <w:right w:val="none" w:sz="0" w:space="0" w:color="auto"/>
                                                                                          </w:divBdr>
                                                                                          <w:divsChild>
                                                                                            <w:div w:id="815148560">
                                                                                              <w:marLeft w:val="0"/>
                                                                                              <w:marRight w:val="0"/>
                                                                                              <w:marTop w:val="0"/>
                                                                                              <w:marBottom w:val="0"/>
                                                                                              <w:divBdr>
                                                                                                <w:top w:val="none" w:sz="0" w:space="0" w:color="auto"/>
                                                                                                <w:left w:val="none" w:sz="0" w:space="0" w:color="auto"/>
                                                                                                <w:bottom w:val="none" w:sz="0" w:space="0" w:color="auto"/>
                                                                                                <w:right w:val="none" w:sz="0" w:space="0" w:color="auto"/>
                                                                                              </w:divBdr>
                                                                                              <w:divsChild>
                                                                                                <w:div w:id="657417775">
                                                                                                  <w:marLeft w:val="0"/>
                                                                                                  <w:marRight w:val="0"/>
                                                                                                  <w:marTop w:val="0"/>
                                                                                                  <w:marBottom w:val="0"/>
                                                                                                  <w:divBdr>
                                                                                                    <w:top w:val="none" w:sz="0" w:space="0" w:color="auto"/>
                                                                                                    <w:left w:val="none" w:sz="0" w:space="0" w:color="auto"/>
                                                                                                    <w:bottom w:val="none" w:sz="0" w:space="0" w:color="auto"/>
                                                                                                    <w:right w:val="none" w:sz="0" w:space="0" w:color="auto"/>
                                                                                                  </w:divBdr>
                                                                                                  <w:divsChild>
                                                                                                    <w:div w:id="2094080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9653984">
                                                                                              <w:marLeft w:val="0"/>
                                                                                              <w:marRight w:val="0"/>
                                                                                              <w:marTop w:val="0"/>
                                                                                              <w:marBottom w:val="0"/>
                                                                                              <w:divBdr>
                                                                                                <w:top w:val="none" w:sz="0" w:space="0" w:color="auto"/>
                                                                                                <w:left w:val="none" w:sz="0" w:space="0" w:color="auto"/>
                                                                                                <w:bottom w:val="none" w:sz="0" w:space="0" w:color="auto"/>
                                                                                                <w:right w:val="none" w:sz="0" w:space="0" w:color="auto"/>
                                                                                              </w:divBdr>
                                                                                              <w:divsChild>
                                                                                                <w:div w:id="372192097">
                                                                                                  <w:marLeft w:val="0"/>
                                                                                                  <w:marRight w:val="0"/>
                                                                                                  <w:marTop w:val="0"/>
                                                                                                  <w:marBottom w:val="0"/>
                                                                                                  <w:divBdr>
                                                                                                    <w:top w:val="none" w:sz="0" w:space="0" w:color="auto"/>
                                                                                                    <w:left w:val="none" w:sz="0" w:space="0" w:color="auto"/>
                                                                                                    <w:bottom w:val="none" w:sz="0" w:space="0" w:color="auto"/>
                                                                                                    <w:right w:val="none" w:sz="0" w:space="0" w:color="auto"/>
                                                                                                  </w:divBdr>
                                                                                                  <w:divsChild>
                                                                                                    <w:div w:id="786317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62954687">
                                                                              <w:marLeft w:val="0"/>
                                                                              <w:marRight w:val="0"/>
                                                                              <w:marTop w:val="0"/>
                                                                              <w:marBottom w:val="0"/>
                                                                              <w:divBdr>
                                                                                <w:top w:val="single" w:sz="2" w:space="0" w:color="E3E3E3"/>
                                                                                <w:left w:val="single" w:sz="2" w:space="0" w:color="E3E3E3"/>
                                                                                <w:bottom w:val="single" w:sz="2" w:space="0" w:color="E3E3E3"/>
                                                                                <w:right w:val="single" w:sz="2" w:space="0" w:color="E3E3E3"/>
                                                                              </w:divBdr>
                                                                              <w:divsChild>
                                                                                <w:div w:id="1355382770">
                                                                                  <w:marLeft w:val="0"/>
                                                                                  <w:marRight w:val="0"/>
                                                                                  <w:marTop w:val="0"/>
                                                                                  <w:marBottom w:val="0"/>
                                                                                  <w:divBdr>
                                                                                    <w:top w:val="none" w:sz="0" w:space="0" w:color="auto"/>
                                                                                    <w:left w:val="none" w:sz="0" w:space="0" w:color="auto"/>
                                                                                    <w:bottom w:val="none" w:sz="0" w:space="0" w:color="auto"/>
                                                                                    <w:right w:val="none" w:sz="0" w:space="0" w:color="auto"/>
                                                                                  </w:divBdr>
                                                                                  <w:divsChild>
                                                                                    <w:div w:id="75444386">
                                                                                      <w:marLeft w:val="0"/>
                                                                                      <w:marRight w:val="0"/>
                                                                                      <w:marTop w:val="0"/>
                                                                                      <w:marBottom w:val="0"/>
                                                                                      <w:divBdr>
                                                                                        <w:top w:val="none" w:sz="0" w:space="0" w:color="auto"/>
                                                                                        <w:left w:val="none" w:sz="0" w:space="0" w:color="auto"/>
                                                                                        <w:bottom w:val="none" w:sz="0" w:space="0" w:color="auto"/>
                                                                                        <w:right w:val="none" w:sz="0" w:space="0" w:color="auto"/>
                                                                                      </w:divBdr>
                                                                                      <w:divsChild>
                                                                                        <w:div w:id="1535074371">
                                                                                          <w:marLeft w:val="0"/>
                                                                                          <w:marRight w:val="0"/>
                                                                                          <w:marTop w:val="0"/>
                                                                                          <w:marBottom w:val="0"/>
                                                                                          <w:divBdr>
                                                                                            <w:top w:val="none" w:sz="0" w:space="0" w:color="auto"/>
                                                                                            <w:left w:val="none" w:sz="0" w:space="0" w:color="auto"/>
                                                                                            <w:bottom w:val="none" w:sz="0" w:space="0" w:color="auto"/>
                                                                                            <w:right w:val="none" w:sz="0" w:space="0" w:color="auto"/>
                                                                                          </w:divBdr>
                                                                                          <w:divsChild>
                                                                                            <w:div w:id="1024092256">
                                                                                              <w:marLeft w:val="0"/>
                                                                                              <w:marRight w:val="0"/>
                                                                                              <w:marTop w:val="0"/>
                                                                                              <w:marBottom w:val="0"/>
                                                                                              <w:divBdr>
                                                                                                <w:top w:val="none" w:sz="0" w:space="0" w:color="auto"/>
                                                                                                <w:left w:val="none" w:sz="0" w:space="0" w:color="auto"/>
                                                                                                <w:bottom w:val="none" w:sz="0" w:space="0" w:color="auto"/>
                                                                                                <w:right w:val="none" w:sz="0" w:space="0" w:color="auto"/>
                                                                                              </w:divBdr>
                                                                                              <w:divsChild>
                                                                                                <w:div w:id="229195548">
                                                                                                  <w:marLeft w:val="0"/>
                                                                                                  <w:marRight w:val="0"/>
                                                                                                  <w:marTop w:val="0"/>
                                                                                                  <w:marBottom w:val="0"/>
                                                                                                  <w:divBdr>
                                                                                                    <w:top w:val="none" w:sz="0" w:space="0" w:color="auto"/>
                                                                                                    <w:left w:val="none" w:sz="0" w:space="0" w:color="auto"/>
                                                                                                    <w:bottom w:val="none" w:sz="0" w:space="0" w:color="auto"/>
                                                                                                    <w:right w:val="none" w:sz="0" w:space="0" w:color="auto"/>
                                                                                                  </w:divBdr>
                                                                                                  <w:divsChild>
                                                                                                    <w:div w:id="1897231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2048900">
                                                                                              <w:marLeft w:val="0"/>
                                                                                              <w:marRight w:val="0"/>
                                                                                              <w:marTop w:val="0"/>
                                                                                              <w:marBottom w:val="0"/>
                                                                                              <w:divBdr>
                                                                                                <w:top w:val="none" w:sz="0" w:space="0" w:color="auto"/>
                                                                                                <w:left w:val="none" w:sz="0" w:space="0" w:color="auto"/>
                                                                                                <w:bottom w:val="none" w:sz="0" w:space="0" w:color="auto"/>
                                                                                                <w:right w:val="none" w:sz="0" w:space="0" w:color="auto"/>
                                                                                              </w:divBdr>
                                                                                              <w:divsChild>
                                                                                                <w:div w:id="1890654494">
                                                                                                  <w:marLeft w:val="0"/>
                                                                                                  <w:marRight w:val="0"/>
                                                                                                  <w:marTop w:val="0"/>
                                                                                                  <w:marBottom w:val="0"/>
                                                                                                  <w:divBdr>
                                                                                                    <w:top w:val="none" w:sz="0" w:space="0" w:color="auto"/>
                                                                                                    <w:left w:val="none" w:sz="0" w:space="0" w:color="auto"/>
                                                                                                    <w:bottom w:val="none" w:sz="0" w:space="0" w:color="auto"/>
                                                                                                    <w:right w:val="none" w:sz="0" w:space="0" w:color="auto"/>
                                                                                                  </w:divBdr>
                                                                                                  <w:divsChild>
                                                                                                    <w:div w:id="1556965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98443896">
                                                                              <w:marLeft w:val="0"/>
                                                                              <w:marRight w:val="0"/>
                                                                              <w:marTop w:val="0"/>
                                                                              <w:marBottom w:val="0"/>
                                                                              <w:divBdr>
                                                                                <w:top w:val="single" w:sz="2" w:space="0" w:color="E3E3E3"/>
                                                                                <w:left w:val="single" w:sz="2" w:space="0" w:color="E3E3E3"/>
                                                                                <w:bottom w:val="single" w:sz="2" w:space="0" w:color="E3E3E3"/>
                                                                                <w:right w:val="single" w:sz="2" w:space="0" w:color="E3E3E3"/>
                                                                              </w:divBdr>
                                                                              <w:divsChild>
                                                                                <w:div w:id="1177040654">
                                                                                  <w:marLeft w:val="0"/>
                                                                                  <w:marRight w:val="0"/>
                                                                                  <w:marTop w:val="0"/>
                                                                                  <w:marBottom w:val="0"/>
                                                                                  <w:divBdr>
                                                                                    <w:top w:val="none" w:sz="0" w:space="0" w:color="auto"/>
                                                                                    <w:left w:val="none" w:sz="0" w:space="0" w:color="auto"/>
                                                                                    <w:bottom w:val="none" w:sz="0" w:space="0" w:color="auto"/>
                                                                                    <w:right w:val="none" w:sz="0" w:space="0" w:color="auto"/>
                                                                                  </w:divBdr>
                                                                                  <w:divsChild>
                                                                                    <w:div w:id="1899633437">
                                                                                      <w:marLeft w:val="0"/>
                                                                                      <w:marRight w:val="0"/>
                                                                                      <w:marTop w:val="0"/>
                                                                                      <w:marBottom w:val="0"/>
                                                                                      <w:divBdr>
                                                                                        <w:top w:val="none" w:sz="0" w:space="0" w:color="auto"/>
                                                                                        <w:left w:val="none" w:sz="0" w:space="0" w:color="auto"/>
                                                                                        <w:bottom w:val="none" w:sz="0" w:space="0" w:color="auto"/>
                                                                                        <w:right w:val="none" w:sz="0" w:space="0" w:color="auto"/>
                                                                                      </w:divBdr>
                                                                                      <w:divsChild>
                                                                                        <w:div w:id="1064841245">
                                                                                          <w:marLeft w:val="0"/>
                                                                                          <w:marRight w:val="0"/>
                                                                                          <w:marTop w:val="0"/>
                                                                                          <w:marBottom w:val="0"/>
                                                                                          <w:divBdr>
                                                                                            <w:top w:val="none" w:sz="0" w:space="0" w:color="auto"/>
                                                                                            <w:left w:val="none" w:sz="0" w:space="0" w:color="auto"/>
                                                                                            <w:bottom w:val="none" w:sz="0" w:space="0" w:color="auto"/>
                                                                                            <w:right w:val="none" w:sz="0" w:space="0" w:color="auto"/>
                                                                                          </w:divBdr>
                                                                                          <w:divsChild>
                                                                                            <w:div w:id="1595942033">
                                                                                              <w:marLeft w:val="0"/>
                                                                                              <w:marRight w:val="0"/>
                                                                                              <w:marTop w:val="0"/>
                                                                                              <w:marBottom w:val="0"/>
                                                                                              <w:divBdr>
                                                                                                <w:top w:val="none" w:sz="0" w:space="0" w:color="auto"/>
                                                                                                <w:left w:val="none" w:sz="0" w:space="0" w:color="auto"/>
                                                                                                <w:bottom w:val="none" w:sz="0" w:space="0" w:color="auto"/>
                                                                                                <w:right w:val="none" w:sz="0" w:space="0" w:color="auto"/>
                                                                                              </w:divBdr>
                                                                                              <w:divsChild>
                                                                                                <w:div w:id="1239515041">
                                                                                                  <w:marLeft w:val="0"/>
                                                                                                  <w:marRight w:val="0"/>
                                                                                                  <w:marTop w:val="0"/>
                                                                                                  <w:marBottom w:val="0"/>
                                                                                                  <w:divBdr>
                                                                                                    <w:top w:val="none" w:sz="0" w:space="0" w:color="auto"/>
                                                                                                    <w:left w:val="none" w:sz="0" w:space="0" w:color="auto"/>
                                                                                                    <w:bottom w:val="none" w:sz="0" w:space="0" w:color="auto"/>
                                                                                                    <w:right w:val="none" w:sz="0" w:space="0" w:color="auto"/>
                                                                                                  </w:divBdr>
                                                                                                  <w:divsChild>
                                                                                                    <w:div w:id="202988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1098073">
                                                                                              <w:marLeft w:val="0"/>
                                                                                              <w:marRight w:val="0"/>
                                                                                              <w:marTop w:val="0"/>
                                                                                              <w:marBottom w:val="0"/>
                                                                                              <w:divBdr>
                                                                                                <w:top w:val="none" w:sz="0" w:space="0" w:color="auto"/>
                                                                                                <w:left w:val="none" w:sz="0" w:space="0" w:color="auto"/>
                                                                                                <w:bottom w:val="none" w:sz="0" w:space="0" w:color="auto"/>
                                                                                                <w:right w:val="none" w:sz="0" w:space="0" w:color="auto"/>
                                                                                              </w:divBdr>
                                                                                              <w:divsChild>
                                                                                                <w:div w:id="1422333348">
                                                                                                  <w:marLeft w:val="0"/>
                                                                                                  <w:marRight w:val="0"/>
                                                                                                  <w:marTop w:val="0"/>
                                                                                                  <w:marBottom w:val="0"/>
                                                                                                  <w:divBdr>
                                                                                                    <w:top w:val="none" w:sz="0" w:space="0" w:color="auto"/>
                                                                                                    <w:left w:val="none" w:sz="0" w:space="0" w:color="auto"/>
                                                                                                    <w:bottom w:val="none" w:sz="0" w:space="0" w:color="auto"/>
                                                                                                    <w:right w:val="none" w:sz="0" w:space="0" w:color="auto"/>
                                                                                                  </w:divBdr>
                                                                                                  <w:divsChild>
                                                                                                    <w:div w:id="1493373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56750558">
                                                                              <w:marLeft w:val="0"/>
                                                                              <w:marRight w:val="0"/>
                                                                              <w:marTop w:val="0"/>
                                                                              <w:marBottom w:val="0"/>
                                                                              <w:divBdr>
                                                                                <w:top w:val="single" w:sz="2" w:space="0" w:color="E3E3E3"/>
                                                                                <w:left w:val="single" w:sz="2" w:space="0" w:color="E3E3E3"/>
                                                                                <w:bottom w:val="single" w:sz="2" w:space="0" w:color="E3E3E3"/>
                                                                                <w:right w:val="single" w:sz="2" w:space="0" w:color="E3E3E3"/>
                                                                              </w:divBdr>
                                                                              <w:divsChild>
                                                                                <w:div w:id="134492008">
                                                                                  <w:marLeft w:val="0"/>
                                                                                  <w:marRight w:val="0"/>
                                                                                  <w:marTop w:val="0"/>
                                                                                  <w:marBottom w:val="0"/>
                                                                                  <w:divBdr>
                                                                                    <w:top w:val="none" w:sz="0" w:space="0" w:color="auto"/>
                                                                                    <w:left w:val="none" w:sz="0" w:space="0" w:color="auto"/>
                                                                                    <w:bottom w:val="none" w:sz="0" w:space="0" w:color="auto"/>
                                                                                    <w:right w:val="none" w:sz="0" w:space="0" w:color="auto"/>
                                                                                  </w:divBdr>
                                                                                  <w:divsChild>
                                                                                    <w:div w:id="1610089713">
                                                                                      <w:marLeft w:val="0"/>
                                                                                      <w:marRight w:val="0"/>
                                                                                      <w:marTop w:val="0"/>
                                                                                      <w:marBottom w:val="0"/>
                                                                                      <w:divBdr>
                                                                                        <w:top w:val="none" w:sz="0" w:space="0" w:color="auto"/>
                                                                                        <w:left w:val="none" w:sz="0" w:space="0" w:color="auto"/>
                                                                                        <w:bottom w:val="none" w:sz="0" w:space="0" w:color="auto"/>
                                                                                        <w:right w:val="none" w:sz="0" w:space="0" w:color="auto"/>
                                                                                      </w:divBdr>
                                                                                      <w:divsChild>
                                                                                        <w:div w:id="2005475019">
                                                                                          <w:marLeft w:val="0"/>
                                                                                          <w:marRight w:val="0"/>
                                                                                          <w:marTop w:val="0"/>
                                                                                          <w:marBottom w:val="0"/>
                                                                                          <w:divBdr>
                                                                                            <w:top w:val="none" w:sz="0" w:space="0" w:color="auto"/>
                                                                                            <w:left w:val="none" w:sz="0" w:space="0" w:color="auto"/>
                                                                                            <w:bottom w:val="none" w:sz="0" w:space="0" w:color="auto"/>
                                                                                            <w:right w:val="none" w:sz="0" w:space="0" w:color="auto"/>
                                                                                          </w:divBdr>
                                                                                          <w:divsChild>
                                                                                            <w:div w:id="1445348907">
                                                                                              <w:marLeft w:val="0"/>
                                                                                              <w:marRight w:val="0"/>
                                                                                              <w:marTop w:val="0"/>
                                                                                              <w:marBottom w:val="0"/>
                                                                                              <w:divBdr>
                                                                                                <w:top w:val="none" w:sz="0" w:space="0" w:color="auto"/>
                                                                                                <w:left w:val="none" w:sz="0" w:space="0" w:color="auto"/>
                                                                                                <w:bottom w:val="none" w:sz="0" w:space="0" w:color="auto"/>
                                                                                                <w:right w:val="none" w:sz="0" w:space="0" w:color="auto"/>
                                                                                              </w:divBdr>
                                                                                              <w:divsChild>
                                                                                                <w:div w:id="48114620">
                                                                                                  <w:marLeft w:val="0"/>
                                                                                                  <w:marRight w:val="0"/>
                                                                                                  <w:marTop w:val="0"/>
                                                                                                  <w:marBottom w:val="0"/>
                                                                                                  <w:divBdr>
                                                                                                    <w:top w:val="none" w:sz="0" w:space="0" w:color="auto"/>
                                                                                                    <w:left w:val="none" w:sz="0" w:space="0" w:color="auto"/>
                                                                                                    <w:bottom w:val="none" w:sz="0" w:space="0" w:color="auto"/>
                                                                                                    <w:right w:val="none" w:sz="0" w:space="0" w:color="auto"/>
                                                                                                  </w:divBdr>
                                                                                                  <w:divsChild>
                                                                                                    <w:div w:id="1162281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0537110">
                                                                                              <w:marLeft w:val="0"/>
                                                                                              <w:marRight w:val="0"/>
                                                                                              <w:marTop w:val="0"/>
                                                                                              <w:marBottom w:val="0"/>
                                                                                              <w:divBdr>
                                                                                                <w:top w:val="none" w:sz="0" w:space="0" w:color="auto"/>
                                                                                                <w:left w:val="none" w:sz="0" w:space="0" w:color="auto"/>
                                                                                                <w:bottom w:val="none" w:sz="0" w:space="0" w:color="auto"/>
                                                                                                <w:right w:val="none" w:sz="0" w:space="0" w:color="auto"/>
                                                                                              </w:divBdr>
                                                                                              <w:divsChild>
                                                                                                <w:div w:id="1362323983">
                                                                                                  <w:marLeft w:val="0"/>
                                                                                                  <w:marRight w:val="0"/>
                                                                                                  <w:marTop w:val="0"/>
                                                                                                  <w:marBottom w:val="0"/>
                                                                                                  <w:divBdr>
                                                                                                    <w:top w:val="none" w:sz="0" w:space="0" w:color="auto"/>
                                                                                                    <w:left w:val="none" w:sz="0" w:space="0" w:color="auto"/>
                                                                                                    <w:bottom w:val="none" w:sz="0" w:space="0" w:color="auto"/>
                                                                                                    <w:right w:val="none" w:sz="0" w:space="0" w:color="auto"/>
                                                                                                  </w:divBdr>
                                                                                                  <w:divsChild>
                                                                                                    <w:div w:id="2049527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33117893">
                                                                              <w:marLeft w:val="0"/>
                                                                              <w:marRight w:val="0"/>
                                                                              <w:marTop w:val="0"/>
                                                                              <w:marBottom w:val="0"/>
                                                                              <w:divBdr>
                                                                                <w:top w:val="single" w:sz="2" w:space="0" w:color="E3E3E3"/>
                                                                                <w:left w:val="single" w:sz="2" w:space="0" w:color="E3E3E3"/>
                                                                                <w:bottom w:val="single" w:sz="2" w:space="0" w:color="E3E3E3"/>
                                                                                <w:right w:val="single" w:sz="2" w:space="0" w:color="E3E3E3"/>
                                                                              </w:divBdr>
                                                                              <w:divsChild>
                                                                                <w:div w:id="1010259339">
                                                                                  <w:marLeft w:val="0"/>
                                                                                  <w:marRight w:val="0"/>
                                                                                  <w:marTop w:val="0"/>
                                                                                  <w:marBottom w:val="0"/>
                                                                                  <w:divBdr>
                                                                                    <w:top w:val="none" w:sz="0" w:space="0" w:color="auto"/>
                                                                                    <w:left w:val="none" w:sz="0" w:space="0" w:color="auto"/>
                                                                                    <w:bottom w:val="none" w:sz="0" w:space="0" w:color="auto"/>
                                                                                    <w:right w:val="none" w:sz="0" w:space="0" w:color="auto"/>
                                                                                  </w:divBdr>
                                                                                  <w:divsChild>
                                                                                    <w:div w:id="1563636618">
                                                                                      <w:marLeft w:val="0"/>
                                                                                      <w:marRight w:val="0"/>
                                                                                      <w:marTop w:val="0"/>
                                                                                      <w:marBottom w:val="0"/>
                                                                                      <w:divBdr>
                                                                                        <w:top w:val="none" w:sz="0" w:space="0" w:color="auto"/>
                                                                                        <w:left w:val="none" w:sz="0" w:space="0" w:color="auto"/>
                                                                                        <w:bottom w:val="none" w:sz="0" w:space="0" w:color="auto"/>
                                                                                        <w:right w:val="none" w:sz="0" w:space="0" w:color="auto"/>
                                                                                      </w:divBdr>
                                                                                      <w:divsChild>
                                                                                        <w:div w:id="296687063">
                                                                                          <w:marLeft w:val="0"/>
                                                                                          <w:marRight w:val="0"/>
                                                                                          <w:marTop w:val="0"/>
                                                                                          <w:marBottom w:val="0"/>
                                                                                          <w:divBdr>
                                                                                            <w:top w:val="none" w:sz="0" w:space="0" w:color="auto"/>
                                                                                            <w:left w:val="none" w:sz="0" w:space="0" w:color="auto"/>
                                                                                            <w:bottom w:val="none" w:sz="0" w:space="0" w:color="auto"/>
                                                                                            <w:right w:val="none" w:sz="0" w:space="0" w:color="auto"/>
                                                                                          </w:divBdr>
                                                                                          <w:divsChild>
                                                                                            <w:div w:id="476150010">
                                                                                              <w:marLeft w:val="0"/>
                                                                                              <w:marRight w:val="0"/>
                                                                                              <w:marTop w:val="0"/>
                                                                                              <w:marBottom w:val="0"/>
                                                                                              <w:divBdr>
                                                                                                <w:top w:val="none" w:sz="0" w:space="0" w:color="auto"/>
                                                                                                <w:left w:val="none" w:sz="0" w:space="0" w:color="auto"/>
                                                                                                <w:bottom w:val="none" w:sz="0" w:space="0" w:color="auto"/>
                                                                                                <w:right w:val="none" w:sz="0" w:space="0" w:color="auto"/>
                                                                                              </w:divBdr>
                                                                                              <w:divsChild>
                                                                                                <w:div w:id="1890727460">
                                                                                                  <w:marLeft w:val="0"/>
                                                                                                  <w:marRight w:val="0"/>
                                                                                                  <w:marTop w:val="0"/>
                                                                                                  <w:marBottom w:val="0"/>
                                                                                                  <w:divBdr>
                                                                                                    <w:top w:val="none" w:sz="0" w:space="0" w:color="auto"/>
                                                                                                    <w:left w:val="none" w:sz="0" w:space="0" w:color="auto"/>
                                                                                                    <w:bottom w:val="none" w:sz="0" w:space="0" w:color="auto"/>
                                                                                                    <w:right w:val="none" w:sz="0" w:space="0" w:color="auto"/>
                                                                                                  </w:divBdr>
                                                                                                  <w:divsChild>
                                                                                                    <w:div w:id="1613392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156752">
                                                                                              <w:marLeft w:val="0"/>
                                                                                              <w:marRight w:val="0"/>
                                                                                              <w:marTop w:val="0"/>
                                                                                              <w:marBottom w:val="0"/>
                                                                                              <w:divBdr>
                                                                                                <w:top w:val="none" w:sz="0" w:space="0" w:color="auto"/>
                                                                                                <w:left w:val="none" w:sz="0" w:space="0" w:color="auto"/>
                                                                                                <w:bottom w:val="none" w:sz="0" w:space="0" w:color="auto"/>
                                                                                                <w:right w:val="none" w:sz="0" w:space="0" w:color="auto"/>
                                                                                              </w:divBdr>
                                                                                              <w:divsChild>
                                                                                                <w:div w:id="1705789515">
                                                                                                  <w:marLeft w:val="0"/>
                                                                                                  <w:marRight w:val="0"/>
                                                                                                  <w:marTop w:val="0"/>
                                                                                                  <w:marBottom w:val="0"/>
                                                                                                  <w:divBdr>
                                                                                                    <w:top w:val="none" w:sz="0" w:space="0" w:color="auto"/>
                                                                                                    <w:left w:val="none" w:sz="0" w:space="0" w:color="auto"/>
                                                                                                    <w:bottom w:val="none" w:sz="0" w:space="0" w:color="auto"/>
                                                                                                    <w:right w:val="none" w:sz="0" w:space="0" w:color="auto"/>
                                                                                                  </w:divBdr>
                                                                                                  <w:divsChild>
                                                                                                    <w:div w:id="720598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33638707">
                                                                              <w:marLeft w:val="0"/>
                                                                              <w:marRight w:val="0"/>
                                                                              <w:marTop w:val="0"/>
                                                                              <w:marBottom w:val="0"/>
                                                                              <w:divBdr>
                                                                                <w:top w:val="single" w:sz="2" w:space="0" w:color="E3E3E3"/>
                                                                                <w:left w:val="single" w:sz="2" w:space="0" w:color="E3E3E3"/>
                                                                                <w:bottom w:val="single" w:sz="2" w:space="0" w:color="E3E3E3"/>
                                                                                <w:right w:val="single" w:sz="2" w:space="0" w:color="E3E3E3"/>
                                                                              </w:divBdr>
                                                                              <w:divsChild>
                                                                                <w:div w:id="877621926">
                                                                                  <w:marLeft w:val="0"/>
                                                                                  <w:marRight w:val="0"/>
                                                                                  <w:marTop w:val="0"/>
                                                                                  <w:marBottom w:val="0"/>
                                                                                  <w:divBdr>
                                                                                    <w:top w:val="none" w:sz="0" w:space="0" w:color="auto"/>
                                                                                    <w:left w:val="none" w:sz="0" w:space="0" w:color="auto"/>
                                                                                    <w:bottom w:val="none" w:sz="0" w:space="0" w:color="auto"/>
                                                                                    <w:right w:val="none" w:sz="0" w:space="0" w:color="auto"/>
                                                                                  </w:divBdr>
                                                                                  <w:divsChild>
                                                                                    <w:div w:id="982975716">
                                                                                      <w:marLeft w:val="0"/>
                                                                                      <w:marRight w:val="0"/>
                                                                                      <w:marTop w:val="0"/>
                                                                                      <w:marBottom w:val="0"/>
                                                                                      <w:divBdr>
                                                                                        <w:top w:val="none" w:sz="0" w:space="0" w:color="auto"/>
                                                                                        <w:left w:val="none" w:sz="0" w:space="0" w:color="auto"/>
                                                                                        <w:bottom w:val="none" w:sz="0" w:space="0" w:color="auto"/>
                                                                                        <w:right w:val="none" w:sz="0" w:space="0" w:color="auto"/>
                                                                                      </w:divBdr>
                                                                                      <w:divsChild>
                                                                                        <w:div w:id="27612841">
                                                                                          <w:marLeft w:val="0"/>
                                                                                          <w:marRight w:val="0"/>
                                                                                          <w:marTop w:val="0"/>
                                                                                          <w:marBottom w:val="0"/>
                                                                                          <w:divBdr>
                                                                                            <w:top w:val="none" w:sz="0" w:space="0" w:color="auto"/>
                                                                                            <w:left w:val="none" w:sz="0" w:space="0" w:color="auto"/>
                                                                                            <w:bottom w:val="none" w:sz="0" w:space="0" w:color="auto"/>
                                                                                            <w:right w:val="none" w:sz="0" w:space="0" w:color="auto"/>
                                                                                          </w:divBdr>
                                                                                          <w:divsChild>
                                                                                            <w:div w:id="1822231537">
                                                                                              <w:marLeft w:val="0"/>
                                                                                              <w:marRight w:val="0"/>
                                                                                              <w:marTop w:val="0"/>
                                                                                              <w:marBottom w:val="0"/>
                                                                                              <w:divBdr>
                                                                                                <w:top w:val="none" w:sz="0" w:space="0" w:color="auto"/>
                                                                                                <w:left w:val="none" w:sz="0" w:space="0" w:color="auto"/>
                                                                                                <w:bottom w:val="none" w:sz="0" w:space="0" w:color="auto"/>
                                                                                                <w:right w:val="none" w:sz="0" w:space="0" w:color="auto"/>
                                                                                              </w:divBdr>
                                                                                              <w:divsChild>
                                                                                                <w:div w:id="1371371735">
                                                                                                  <w:marLeft w:val="0"/>
                                                                                                  <w:marRight w:val="0"/>
                                                                                                  <w:marTop w:val="0"/>
                                                                                                  <w:marBottom w:val="0"/>
                                                                                                  <w:divBdr>
                                                                                                    <w:top w:val="none" w:sz="0" w:space="0" w:color="auto"/>
                                                                                                    <w:left w:val="none" w:sz="0" w:space="0" w:color="auto"/>
                                                                                                    <w:bottom w:val="none" w:sz="0" w:space="0" w:color="auto"/>
                                                                                                    <w:right w:val="none" w:sz="0" w:space="0" w:color="auto"/>
                                                                                                  </w:divBdr>
                                                                                                  <w:divsChild>
                                                                                                    <w:div w:id="1681347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2336406">
                                                                                              <w:marLeft w:val="0"/>
                                                                                              <w:marRight w:val="0"/>
                                                                                              <w:marTop w:val="0"/>
                                                                                              <w:marBottom w:val="0"/>
                                                                                              <w:divBdr>
                                                                                                <w:top w:val="none" w:sz="0" w:space="0" w:color="auto"/>
                                                                                                <w:left w:val="none" w:sz="0" w:space="0" w:color="auto"/>
                                                                                                <w:bottom w:val="none" w:sz="0" w:space="0" w:color="auto"/>
                                                                                                <w:right w:val="none" w:sz="0" w:space="0" w:color="auto"/>
                                                                                              </w:divBdr>
                                                                                              <w:divsChild>
                                                                                                <w:div w:id="132136186">
                                                                                                  <w:marLeft w:val="0"/>
                                                                                                  <w:marRight w:val="0"/>
                                                                                                  <w:marTop w:val="0"/>
                                                                                                  <w:marBottom w:val="0"/>
                                                                                                  <w:divBdr>
                                                                                                    <w:top w:val="none" w:sz="0" w:space="0" w:color="auto"/>
                                                                                                    <w:left w:val="none" w:sz="0" w:space="0" w:color="auto"/>
                                                                                                    <w:bottom w:val="none" w:sz="0" w:space="0" w:color="auto"/>
                                                                                                    <w:right w:val="none" w:sz="0" w:space="0" w:color="auto"/>
                                                                                                  </w:divBdr>
                                                                                                  <w:divsChild>
                                                                                                    <w:div w:id="693771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27815678">
                                                                              <w:marLeft w:val="0"/>
                                                                              <w:marRight w:val="0"/>
                                                                              <w:marTop w:val="0"/>
                                                                              <w:marBottom w:val="0"/>
                                                                              <w:divBdr>
                                                                                <w:top w:val="single" w:sz="2" w:space="0" w:color="E3E3E3"/>
                                                                                <w:left w:val="single" w:sz="2" w:space="0" w:color="E3E3E3"/>
                                                                                <w:bottom w:val="single" w:sz="2" w:space="0" w:color="E3E3E3"/>
                                                                                <w:right w:val="single" w:sz="2" w:space="0" w:color="E3E3E3"/>
                                                                              </w:divBdr>
                                                                              <w:divsChild>
                                                                                <w:div w:id="172886635">
                                                                                  <w:marLeft w:val="0"/>
                                                                                  <w:marRight w:val="0"/>
                                                                                  <w:marTop w:val="0"/>
                                                                                  <w:marBottom w:val="0"/>
                                                                                  <w:divBdr>
                                                                                    <w:top w:val="none" w:sz="0" w:space="0" w:color="auto"/>
                                                                                    <w:left w:val="none" w:sz="0" w:space="0" w:color="auto"/>
                                                                                    <w:bottom w:val="none" w:sz="0" w:space="0" w:color="auto"/>
                                                                                    <w:right w:val="none" w:sz="0" w:space="0" w:color="auto"/>
                                                                                  </w:divBdr>
                                                                                  <w:divsChild>
                                                                                    <w:div w:id="291832892">
                                                                                      <w:marLeft w:val="0"/>
                                                                                      <w:marRight w:val="0"/>
                                                                                      <w:marTop w:val="0"/>
                                                                                      <w:marBottom w:val="0"/>
                                                                                      <w:divBdr>
                                                                                        <w:top w:val="none" w:sz="0" w:space="0" w:color="auto"/>
                                                                                        <w:left w:val="none" w:sz="0" w:space="0" w:color="auto"/>
                                                                                        <w:bottom w:val="none" w:sz="0" w:space="0" w:color="auto"/>
                                                                                        <w:right w:val="none" w:sz="0" w:space="0" w:color="auto"/>
                                                                                      </w:divBdr>
                                                                                      <w:divsChild>
                                                                                        <w:div w:id="1382442635">
                                                                                          <w:marLeft w:val="0"/>
                                                                                          <w:marRight w:val="0"/>
                                                                                          <w:marTop w:val="0"/>
                                                                                          <w:marBottom w:val="0"/>
                                                                                          <w:divBdr>
                                                                                            <w:top w:val="none" w:sz="0" w:space="0" w:color="auto"/>
                                                                                            <w:left w:val="none" w:sz="0" w:space="0" w:color="auto"/>
                                                                                            <w:bottom w:val="none" w:sz="0" w:space="0" w:color="auto"/>
                                                                                            <w:right w:val="none" w:sz="0" w:space="0" w:color="auto"/>
                                                                                          </w:divBdr>
                                                                                          <w:divsChild>
                                                                                            <w:div w:id="1307006139">
                                                                                              <w:marLeft w:val="0"/>
                                                                                              <w:marRight w:val="0"/>
                                                                                              <w:marTop w:val="0"/>
                                                                                              <w:marBottom w:val="0"/>
                                                                                              <w:divBdr>
                                                                                                <w:top w:val="none" w:sz="0" w:space="0" w:color="auto"/>
                                                                                                <w:left w:val="none" w:sz="0" w:space="0" w:color="auto"/>
                                                                                                <w:bottom w:val="none" w:sz="0" w:space="0" w:color="auto"/>
                                                                                                <w:right w:val="none" w:sz="0" w:space="0" w:color="auto"/>
                                                                                              </w:divBdr>
                                                                                              <w:divsChild>
                                                                                                <w:div w:id="971251656">
                                                                                                  <w:marLeft w:val="0"/>
                                                                                                  <w:marRight w:val="0"/>
                                                                                                  <w:marTop w:val="0"/>
                                                                                                  <w:marBottom w:val="0"/>
                                                                                                  <w:divBdr>
                                                                                                    <w:top w:val="none" w:sz="0" w:space="0" w:color="auto"/>
                                                                                                    <w:left w:val="none" w:sz="0" w:space="0" w:color="auto"/>
                                                                                                    <w:bottom w:val="none" w:sz="0" w:space="0" w:color="auto"/>
                                                                                                    <w:right w:val="none" w:sz="0" w:space="0" w:color="auto"/>
                                                                                                  </w:divBdr>
                                                                                                  <w:divsChild>
                                                                                                    <w:div w:id="167449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4153957">
                                                                                              <w:marLeft w:val="0"/>
                                                                                              <w:marRight w:val="0"/>
                                                                                              <w:marTop w:val="0"/>
                                                                                              <w:marBottom w:val="0"/>
                                                                                              <w:divBdr>
                                                                                                <w:top w:val="none" w:sz="0" w:space="0" w:color="auto"/>
                                                                                                <w:left w:val="none" w:sz="0" w:space="0" w:color="auto"/>
                                                                                                <w:bottom w:val="none" w:sz="0" w:space="0" w:color="auto"/>
                                                                                                <w:right w:val="none" w:sz="0" w:space="0" w:color="auto"/>
                                                                                              </w:divBdr>
                                                                                              <w:divsChild>
                                                                                                <w:div w:id="297340398">
                                                                                                  <w:marLeft w:val="0"/>
                                                                                                  <w:marRight w:val="0"/>
                                                                                                  <w:marTop w:val="0"/>
                                                                                                  <w:marBottom w:val="0"/>
                                                                                                  <w:divBdr>
                                                                                                    <w:top w:val="none" w:sz="0" w:space="0" w:color="auto"/>
                                                                                                    <w:left w:val="none" w:sz="0" w:space="0" w:color="auto"/>
                                                                                                    <w:bottom w:val="none" w:sz="0" w:space="0" w:color="auto"/>
                                                                                                    <w:right w:val="none" w:sz="0" w:space="0" w:color="auto"/>
                                                                                                  </w:divBdr>
                                                                                                  <w:divsChild>
                                                                                                    <w:div w:id="583346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81977897">
                                                              <w:marLeft w:val="0"/>
                                                              <w:marRight w:val="0"/>
                                                              <w:marTop w:val="0"/>
                                                              <w:marBottom w:val="0"/>
                                                              <w:divBdr>
                                                                <w:top w:val="none" w:sz="0" w:space="0" w:color="auto"/>
                                                                <w:left w:val="none" w:sz="0" w:space="0" w:color="auto"/>
                                                                <w:bottom w:val="none" w:sz="0" w:space="0" w:color="auto"/>
                                                                <w:right w:val="none" w:sz="0" w:space="0" w:color="auto"/>
                                                              </w:divBdr>
                                                              <w:divsChild>
                                                                <w:div w:id="701440571">
                                                                  <w:marLeft w:val="0"/>
                                                                  <w:marRight w:val="0"/>
                                                                  <w:marTop w:val="0"/>
                                                                  <w:marBottom w:val="0"/>
                                                                  <w:divBdr>
                                                                    <w:top w:val="none" w:sz="0" w:space="0" w:color="auto"/>
                                                                    <w:left w:val="none" w:sz="0" w:space="0" w:color="auto"/>
                                                                    <w:bottom w:val="none" w:sz="0" w:space="0" w:color="auto"/>
                                                                    <w:right w:val="none" w:sz="0" w:space="0" w:color="auto"/>
                                                                  </w:divBdr>
                                                                  <w:divsChild>
                                                                    <w:div w:id="1249652540">
                                                                      <w:marLeft w:val="0"/>
                                                                      <w:marRight w:val="0"/>
                                                                      <w:marTop w:val="0"/>
                                                                      <w:marBottom w:val="0"/>
                                                                      <w:divBdr>
                                                                        <w:top w:val="none" w:sz="0" w:space="0" w:color="auto"/>
                                                                        <w:left w:val="none" w:sz="0" w:space="0" w:color="auto"/>
                                                                        <w:bottom w:val="none" w:sz="0" w:space="0" w:color="auto"/>
                                                                        <w:right w:val="none" w:sz="0" w:space="0" w:color="auto"/>
                                                                      </w:divBdr>
                                                                      <w:divsChild>
                                                                        <w:div w:id="1329287719">
                                                                          <w:marLeft w:val="0"/>
                                                                          <w:marRight w:val="0"/>
                                                                          <w:marTop w:val="0"/>
                                                                          <w:marBottom w:val="0"/>
                                                                          <w:divBdr>
                                                                            <w:top w:val="none" w:sz="0" w:space="0" w:color="auto"/>
                                                                            <w:left w:val="none" w:sz="0" w:space="0" w:color="auto"/>
                                                                            <w:bottom w:val="none" w:sz="0" w:space="0" w:color="auto"/>
                                                                            <w:right w:val="none" w:sz="0" w:space="0" w:color="auto"/>
                                                                          </w:divBdr>
                                                                          <w:divsChild>
                                                                            <w:div w:id="1250310040">
                                                                              <w:marLeft w:val="0"/>
                                                                              <w:marRight w:val="0"/>
                                                                              <w:marTop w:val="0"/>
                                                                              <w:marBottom w:val="0"/>
                                                                              <w:divBdr>
                                                                                <w:top w:val="none" w:sz="0" w:space="0" w:color="auto"/>
                                                                                <w:left w:val="none" w:sz="0" w:space="0" w:color="auto"/>
                                                                                <w:bottom w:val="none" w:sz="0" w:space="0" w:color="auto"/>
                                                                                <w:right w:val="none" w:sz="0" w:space="0" w:color="auto"/>
                                                                              </w:divBdr>
                                                                              <w:divsChild>
                                                                                <w:div w:id="1218400687">
                                                                                  <w:marLeft w:val="0"/>
                                                                                  <w:marRight w:val="0"/>
                                                                                  <w:marTop w:val="0"/>
                                                                                  <w:marBottom w:val="0"/>
                                                                                  <w:divBdr>
                                                                                    <w:top w:val="none" w:sz="0" w:space="0" w:color="auto"/>
                                                                                    <w:left w:val="none" w:sz="0" w:space="0" w:color="auto"/>
                                                                                    <w:bottom w:val="none" w:sz="0" w:space="0" w:color="auto"/>
                                                                                    <w:right w:val="none" w:sz="0" w:space="0" w:color="auto"/>
                                                                                  </w:divBdr>
                                                                                  <w:divsChild>
                                                                                    <w:div w:id="656543050">
                                                                                      <w:marLeft w:val="0"/>
                                                                                      <w:marRight w:val="0"/>
                                                                                      <w:marTop w:val="0"/>
                                                                                      <w:marBottom w:val="0"/>
                                                                                      <w:divBdr>
                                                                                        <w:top w:val="none" w:sz="0" w:space="0" w:color="auto"/>
                                                                                        <w:left w:val="none" w:sz="0" w:space="0" w:color="auto"/>
                                                                                        <w:bottom w:val="none" w:sz="0" w:space="0" w:color="auto"/>
                                                                                        <w:right w:val="none" w:sz="0" w:space="0" w:color="auto"/>
                                                                                      </w:divBdr>
                                                                                      <w:divsChild>
                                                                                        <w:div w:id="61292851">
                                                                                          <w:marLeft w:val="0"/>
                                                                                          <w:marRight w:val="0"/>
                                                                                          <w:marTop w:val="0"/>
                                                                                          <w:marBottom w:val="0"/>
                                                                                          <w:divBdr>
                                                                                            <w:top w:val="none" w:sz="0" w:space="0" w:color="auto"/>
                                                                                            <w:left w:val="none" w:sz="0" w:space="0" w:color="auto"/>
                                                                                            <w:bottom w:val="none" w:sz="0" w:space="0" w:color="auto"/>
                                                                                            <w:right w:val="none" w:sz="0" w:space="0" w:color="auto"/>
                                                                                          </w:divBdr>
                                                                                        </w:div>
                                                                                        <w:div w:id="1751191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8483194">
                                                                              <w:marLeft w:val="0"/>
                                                                              <w:marRight w:val="0"/>
                                                                              <w:marTop w:val="0"/>
                                                                              <w:marBottom w:val="0"/>
                                                                              <w:divBdr>
                                                                                <w:top w:val="single" w:sz="2" w:space="0" w:color="E3E3E3"/>
                                                                                <w:left w:val="single" w:sz="2" w:space="0" w:color="E3E3E3"/>
                                                                                <w:bottom w:val="single" w:sz="2" w:space="0" w:color="E3E3E3"/>
                                                                                <w:right w:val="single" w:sz="2" w:space="0" w:color="E3E3E3"/>
                                                                              </w:divBdr>
                                                                              <w:divsChild>
                                                                                <w:div w:id="440340982">
                                                                                  <w:marLeft w:val="0"/>
                                                                                  <w:marRight w:val="0"/>
                                                                                  <w:marTop w:val="0"/>
                                                                                  <w:marBottom w:val="0"/>
                                                                                  <w:divBdr>
                                                                                    <w:top w:val="none" w:sz="0" w:space="0" w:color="auto"/>
                                                                                    <w:left w:val="none" w:sz="0" w:space="0" w:color="auto"/>
                                                                                    <w:bottom w:val="none" w:sz="0" w:space="0" w:color="auto"/>
                                                                                    <w:right w:val="none" w:sz="0" w:space="0" w:color="auto"/>
                                                                                  </w:divBdr>
                                                                                  <w:divsChild>
                                                                                    <w:div w:id="1475218670">
                                                                                      <w:marLeft w:val="0"/>
                                                                                      <w:marRight w:val="0"/>
                                                                                      <w:marTop w:val="0"/>
                                                                                      <w:marBottom w:val="0"/>
                                                                                      <w:divBdr>
                                                                                        <w:top w:val="none" w:sz="0" w:space="0" w:color="auto"/>
                                                                                        <w:left w:val="none" w:sz="0" w:space="0" w:color="auto"/>
                                                                                        <w:bottom w:val="none" w:sz="0" w:space="0" w:color="auto"/>
                                                                                        <w:right w:val="none" w:sz="0" w:space="0" w:color="auto"/>
                                                                                      </w:divBdr>
                                                                                      <w:divsChild>
                                                                                        <w:div w:id="1442721551">
                                                                                          <w:marLeft w:val="0"/>
                                                                                          <w:marRight w:val="0"/>
                                                                                          <w:marTop w:val="0"/>
                                                                                          <w:marBottom w:val="0"/>
                                                                                          <w:divBdr>
                                                                                            <w:top w:val="none" w:sz="0" w:space="0" w:color="auto"/>
                                                                                            <w:left w:val="none" w:sz="0" w:space="0" w:color="auto"/>
                                                                                            <w:bottom w:val="none" w:sz="0" w:space="0" w:color="auto"/>
                                                                                            <w:right w:val="none" w:sz="0" w:space="0" w:color="auto"/>
                                                                                          </w:divBdr>
                                                                                          <w:divsChild>
                                                                                            <w:div w:id="805007297">
                                                                                              <w:marLeft w:val="0"/>
                                                                                              <w:marRight w:val="0"/>
                                                                                              <w:marTop w:val="0"/>
                                                                                              <w:marBottom w:val="0"/>
                                                                                              <w:divBdr>
                                                                                                <w:top w:val="none" w:sz="0" w:space="0" w:color="auto"/>
                                                                                                <w:left w:val="none" w:sz="0" w:space="0" w:color="auto"/>
                                                                                                <w:bottom w:val="none" w:sz="0" w:space="0" w:color="auto"/>
                                                                                                <w:right w:val="none" w:sz="0" w:space="0" w:color="auto"/>
                                                                                              </w:divBdr>
                                                                                              <w:divsChild>
                                                                                                <w:div w:id="693337845">
                                                                                                  <w:marLeft w:val="0"/>
                                                                                                  <w:marRight w:val="0"/>
                                                                                                  <w:marTop w:val="0"/>
                                                                                                  <w:marBottom w:val="0"/>
                                                                                                  <w:divBdr>
                                                                                                    <w:top w:val="none" w:sz="0" w:space="0" w:color="auto"/>
                                                                                                    <w:left w:val="none" w:sz="0" w:space="0" w:color="auto"/>
                                                                                                    <w:bottom w:val="none" w:sz="0" w:space="0" w:color="auto"/>
                                                                                                    <w:right w:val="none" w:sz="0" w:space="0" w:color="auto"/>
                                                                                                  </w:divBdr>
                                                                                                  <w:divsChild>
                                                                                                    <w:div w:id="1543521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1514656">
                                                                                              <w:marLeft w:val="0"/>
                                                                                              <w:marRight w:val="0"/>
                                                                                              <w:marTop w:val="0"/>
                                                                                              <w:marBottom w:val="0"/>
                                                                                              <w:divBdr>
                                                                                                <w:top w:val="none" w:sz="0" w:space="0" w:color="auto"/>
                                                                                                <w:left w:val="none" w:sz="0" w:space="0" w:color="auto"/>
                                                                                                <w:bottom w:val="none" w:sz="0" w:space="0" w:color="auto"/>
                                                                                                <w:right w:val="none" w:sz="0" w:space="0" w:color="auto"/>
                                                                                              </w:divBdr>
                                                                                              <w:divsChild>
                                                                                                <w:div w:id="951672578">
                                                                                                  <w:marLeft w:val="0"/>
                                                                                                  <w:marRight w:val="0"/>
                                                                                                  <w:marTop w:val="0"/>
                                                                                                  <w:marBottom w:val="0"/>
                                                                                                  <w:divBdr>
                                                                                                    <w:top w:val="none" w:sz="0" w:space="0" w:color="auto"/>
                                                                                                    <w:left w:val="none" w:sz="0" w:space="0" w:color="auto"/>
                                                                                                    <w:bottom w:val="none" w:sz="0" w:space="0" w:color="auto"/>
                                                                                                    <w:right w:val="none" w:sz="0" w:space="0" w:color="auto"/>
                                                                                                  </w:divBdr>
                                                                                                  <w:divsChild>
                                                                                                    <w:div w:id="1753357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6311558">
                                                                              <w:marLeft w:val="0"/>
                                                                              <w:marRight w:val="0"/>
                                                                              <w:marTop w:val="0"/>
                                                                              <w:marBottom w:val="0"/>
                                                                              <w:divBdr>
                                                                                <w:top w:val="single" w:sz="2" w:space="0" w:color="E3E3E3"/>
                                                                                <w:left w:val="single" w:sz="2" w:space="0" w:color="E3E3E3"/>
                                                                                <w:bottom w:val="single" w:sz="2" w:space="0" w:color="E3E3E3"/>
                                                                                <w:right w:val="single" w:sz="2" w:space="0" w:color="E3E3E3"/>
                                                                              </w:divBdr>
                                                                              <w:divsChild>
                                                                                <w:div w:id="1010254264">
                                                                                  <w:marLeft w:val="0"/>
                                                                                  <w:marRight w:val="0"/>
                                                                                  <w:marTop w:val="0"/>
                                                                                  <w:marBottom w:val="0"/>
                                                                                  <w:divBdr>
                                                                                    <w:top w:val="none" w:sz="0" w:space="0" w:color="auto"/>
                                                                                    <w:left w:val="none" w:sz="0" w:space="0" w:color="auto"/>
                                                                                    <w:bottom w:val="none" w:sz="0" w:space="0" w:color="auto"/>
                                                                                    <w:right w:val="none" w:sz="0" w:space="0" w:color="auto"/>
                                                                                  </w:divBdr>
                                                                                  <w:divsChild>
                                                                                    <w:div w:id="2000497205">
                                                                                      <w:marLeft w:val="0"/>
                                                                                      <w:marRight w:val="0"/>
                                                                                      <w:marTop w:val="0"/>
                                                                                      <w:marBottom w:val="0"/>
                                                                                      <w:divBdr>
                                                                                        <w:top w:val="none" w:sz="0" w:space="0" w:color="auto"/>
                                                                                        <w:left w:val="none" w:sz="0" w:space="0" w:color="auto"/>
                                                                                        <w:bottom w:val="none" w:sz="0" w:space="0" w:color="auto"/>
                                                                                        <w:right w:val="none" w:sz="0" w:space="0" w:color="auto"/>
                                                                                      </w:divBdr>
                                                                                      <w:divsChild>
                                                                                        <w:div w:id="1909529658">
                                                                                          <w:marLeft w:val="0"/>
                                                                                          <w:marRight w:val="0"/>
                                                                                          <w:marTop w:val="0"/>
                                                                                          <w:marBottom w:val="0"/>
                                                                                          <w:divBdr>
                                                                                            <w:top w:val="none" w:sz="0" w:space="0" w:color="auto"/>
                                                                                            <w:left w:val="none" w:sz="0" w:space="0" w:color="auto"/>
                                                                                            <w:bottom w:val="none" w:sz="0" w:space="0" w:color="auto"/>
                                                                                            <w:right w:val="none" w:sz="0" w:space="0" w:color="auto"/>
                                                                                          </w:divBdr>
                                                                                          <w:divsChild>
                                                                                            <w:div w:id="2006930939">
                                                                                              <w:marLeft w:val="0"/>
                                                                                              <w:marRight w:val="0"/>
                                                                                              <w:marTop w:val="0"/>
                                                                                              <w:marBottom w:val="0"/>
                                                                                              <w:divBdr>
                                                                                                <w:top w:val="none" w:sz="0" w:space="0" w:color="auto"/>
                                                                                                <w:left w:val="none" w:sz="0" w:space="0" w:color="auto"/>
                                                                                                <w:bottom w:val="none" w:sz="0" w:space="0" w:color="auto"/>
                                                                                                <w:right w:val="none" w:sz="0" w:space="0" w:color="auto"/>
                                                                                              </w:divBdr>
                                                                                              <w:divsChild>
                                                                                                <w:div w:id="1100760522">
                                                                                                  <w:marLeft w:val="0"/>
                                                                                                  <w:marRight w:val="0"/>
                                                                                                  <w:marTop w:val="0"/>
                                                                                                  <w:marBottom w:val="0"/>
                                                                                                  <w:divBdr>
                                                                                                    <w:top w:val="none" w:sz="0" w:space="0" w:color="auto"/>
                                                                                                    <w:left w:val="none" w:sz="0" w:space="0" w:color="auto"/>
                                                                                                    <w:bottom w:val="none" w:sz="0" w:space="0" w:color="auto"/>
                                                                                                    <w:right w:val="none" w:sz="0" w:space="0" w:color="auto"/>
                                                                                                  </w:divBdr>
                                                                                                  <w:divsChild>
                                                                                                    <w:div w:id="1994287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3806553">
                                                                                              <w:marLeft w:val="0"/>
                                                                                              <w:marRight w:val="0"/>
                                                                                              <w:marTop w:val="0"/>
                                                                                              <w:marBottom w:val="0"/>
                                                                                              <w:divBdr>
                                                                                                <w:top w:val="none" w:sz="0" w:space="0" w:color="auto"/>
                                                                                                <w:left w:val="none" w:sz="0" w:space="0" w:color="auto"/>
                                                                                                <w:bottom w:val="none" w:sz="0" w:space="0" w:color="auto"/>
                                                                                                <w:right w:val="none" w:sz="0" w:space="0" w:color="auto"/>
                                                                                              </w:divBdr>
                                                                                              <w:divsChild>
                                                                                                <w:div w:id="312873438">
                                                                                                  <w:marLeft w:val="0"/>
                                                                                                  <w:marRight w:val="0"/>
                                                                                                  <w:marTop w:val="0"/>
                                                                                                  <w:marBottom w:val="0"/>
                                                                                                  <w:divBdr>
                                                                                                    <w:top w:val="none" w:sz="0" w:space="0" w:color="auto"/>
                                                                                                    <w:left w:val="none" w:sz="0" w:space="0" w:color="auto"/>
                                                                                                    <w:bottom w:val="none" w:sz="0" w:space="0" w:color="auto"/>
                                                                                                    <w:right w:val="none" w:sz="0" w:space="0" w:color="auto"/>
                                                                                                  </w:divBdr>
                                                                                                  <w:divsChild>
                                                                                                    <w:div w:id="680200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3659339">
                                                                              <w:marLeft w:val="0"/>
                                                                              <w:marRight w:val="0"/>
                                                                              <w:marTop w:val="0"/>
                                                                              <w:marBottom w:val="0"/>
                                                                              <w:divBdr>
                                                                                <w:top w:val="single" w:sz="2" w:space="0" w:color="E3E3E3"/>
                                                                                <w:left w:val="single" w:sz="2" w:space="0" w:color="E3E3E3"/>
                                                                                <w:bottom w:val="single" w:sz="2" w:space="0" w:color="E3E3E3"/>
                                                                                <w:right w:val="single" w:sz="2" w:space="0" w:color="E3E3E3"/>
                                                                              </w:divBdr>
                                                                              <w:divsChild>
                                                                                <w:div w:id="1892763612">
                                                                                  <w:marLeft w:val="0"/>
                                                                                  <w:marRight w:val="0"/>
                                                                                  <w:marTop w:val="0"/>
                                                                                  <w:marBottom w:val="0"/>
                                                                                  <w:divBdr>
                                                                                    <w:top w:val="none" w:sz="0" w:space="0" w:color="auto"/>
                                                                                    <w:left w:val="none" w:sz="0" w:space="0" w:color="auto"/>
                                                                                    <w:bottom w:val="none" w:sz="0" w:space="0" w:color="auto"/>
                                                                                    <w:right w:val="none" w:sz="0" w:space="0" w:color="auto"/>
                                                                                  </w:divBdr>
                                                                                  <w:divsChild>
                                                                                    <w:div w:id="1952273390">
                                                                                      <w:marLeft w:val="0"/>
                                                                                      <w:marRight w:val="0"/>
                                                                                      <w:marTop w:val="0"/>
                                                                                      <w:marBottom w:val="0"/>
                                                                                      <w:divBdr>
                                                                                        <w:top w:val="none" w:sz="0" w:space="0" w:color="auto"/>
                                                                                        <w:left w:val="none" w:sz="0" w:space="0" w:color="auto"/>
                                                                                        <w:bottom w:val="none" w:sz="0" w:space="0" w:color="auto"/>
                                                                                        <w:right w:val="none" w:sz="0" w:space="0" w:color="auto"/>
                                                                                      </w:divBdr>
                                                                                      <w:divsChild>
                                                                                        <w:div w:id="1182666726">
                                                                                          <w:marLeft w:val="0"/>
                                                                                          <w:marRight w:val="0"/>
                                                                                          <w:marTop w:val="0"/>
                                                                                          <w:marBottom w:val="0"/>
                                                                                          <w:divBdr>
                                                                                            <w:top w:val="none" w:sz="0" w:space="0" w:color="auto"/>
                                                                                            <w:left w:val="none" w:sz="0" w:space="0" w:color="auto"/>
                                                                                            <w:bottom w:val="none" w:sz="0" w:space="0" w:color="auto"/>
                                                                                            <w:right w:val="none" w:sz="0" w:space="0" w:color="auto"/>
                                                                                          </w:divBdr>
                                                                                          <w:divsChild>
                                                                                            <w:div w:id="791438786">
                                                                                              <w:marLeft w:val="0"/>
                                                                                              <w:marRight w:val="0"/>
                                                                                              <w:marTop w:val="0"/>
                                                                                              <w:marBottom w:val="0"/>
                                                                                              <w:divBdr>
                                                                                                <w:top w:val="none" w:sz="0" w:space="0" w:color="auto"/>
                                                                                                <w:left w:val="none" w:sz="0" w:space="0" w:color="auto"/>
                                                                                                <w:bottom w:val="none" w:sz="0" w:space="0" w:color="auto"/>
                                                                                                <w:right w:val="none" w:sz="0" w:space="0" w:color="auto"/>
                                                                                              </w:divBdr>
                                                                                              <w:divsChild>
                                                                                                <w:div w:id="1015880594">
                                                                                                  <w:marLeft w:val="0"/>
                                                                                                  <w:marRight w:val="0"/>
                                                                                                  <w:marTop w:val="0"/>
                                                                                                  <w:marBottom w:val="0"/>
                                                                                                  <w:divBdr>
                                                                                                    <w:top w:val="none" w:sz="0" w:space="0" w:color="auto"/>
                                                                                                    <w:left w:val="none" w:sz="0" w:space="0" w:color="auto"/>
                                                                                                    <w:bottom w:val="none" w:sz="0" w:space="0" w:color="auto"/>
                                                                                                    <w:right w:val="none" w:sz="0" w:space="0" w:color="auto"/>
                                                                                                  </w:divBdr>
                                                                                                  <w:divsChild>
                                                                                                    <w:div w:id="892617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7604011">
                                                                                              <w:marLeft w:val="0"/>
                                                                                              <w:marRight w:val="0"/>
                                                                                              <w:marTop w:val="0"/>
                                                                                              <w:marBottom w:val="0"/>
                                                                                              <w:divBdr>
                                                                                                <w:top w:val="none" w:sz="0" w:space="0" w:color="auto"/>
                                                                                                <w:left w:val="none" w:sz="0" w:space="0" w:color="auto"/>
                                                                                                <w:bottom w:val="none" w:sz="0" w:space="0" w:color="auto"/>
                                                                                                <w:right w:val="none" w:sz="0" w:space="0" w:color="auto"/>
                                                                                              </w:divBdr>
                                                                                              <w:divsChild>
                                                                                                <w:div w:id="954023007">
                                                                                                  <w:marLeft w:val="0"/>
                                                                                                  <w:marRight w:val="0"/>
                                                                                                  <w:marTop w:val="0"/>
                                                                                                  <w:marBottom w:val="0"/>
                                                                                                  <w:divBdr>
                                                                                                    <w:top w:val="none" w:sz="0" w:space="0" w:color="auto"/>
                                                                                                    <w:left w:val="none" w:sz="0" w:space="0" w:color="auto"/>
                                                                                                    <w:bottom w:val="none" w:sz="0" w:space="0" w:color="auto"/>
                                                                                                    <w:right w:val="none" w:sz="0" w:space="0" w:color="auto"/>
                                                                                                  </w:divBdr>
                                                                                                  <w:divsChild>
                                                                                                    <w:div w:id="1826625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68809031">
                                                                              <w:marLeft w:val="0"/>
                                                                              <w:marRight w:val="0"/>
                                                                              <w:marTop w:val="0"/>
                                                                              <w:marBottom w:val="0"/>
                                                                              <w:divBdr>
                                                                                <w:top w:val="single" w:sz="2" w:space="0" w:color="E3E3E3"/>
                                                                                <w:left w:val="single" w:sz="2" w:space="0" w:color="E3E3E3"/>
                                                                                <w:bottom w:val="single" w:sz="2" w:space="0" w:color="E3E3E3"/>
                                                                                <w:right w:val="single" w:sz="2" w:space="0" w:color="E3E3E3"/>
                                                                              </w:divBdr>
                                                                              <w:divsChild>
                                                                                <w:div w:id="412625055">
                                                                                  <w:marLeft w:val="0"/>
                                                                                  <w:marRight w:val="0"/>
                                                                                  <w:marTop w:val="0"/>
                                                                                  <w:marBottom w:val="0"/>
                                                                                  <w:divBdr>
                                                                                    <w:top w:val="none" w:sz="0" w:space="0" w:color="auto"/>
                                                                                    <w:left w:val="none" w:sz="0" w:space="0" w:color="auto"/>
                                                                                    <w:bottom w:val="none" w:sz="0" w:space="0" w:color="auto"/>
                                                                                    <w:right w:val="none" w:sz="0" w:space="0" w:color="auto"/>
                                                                                  </w:divBdr>
                                                                                  <w:divsChild>
                                                                                    <w:div w:id="1157184457">
                                                                                      <w:marLeft w:val="0"/>
                                                                                      <w:marRight w:val="0"/>
                                                                                      <w:marTop w:val="0"/>
                                                                                      <w:marBottom w:val="0"/>
                                                                                      <w:divBdr>
                                                                                        <w:top w:val="none" w:sz="0" w:space="0" w:color="auto"/>
                                                                                        <w:left w:val="none" w:sz="0" w:space="0" w:color="auto"/>
                                                                                        <w:bottom w:val="none" w:sz="0" w:space="0" w:color="auto"/>
                                                                                        <w:right w:val="none" w:sz="0" w:space="0" w:color="auto"/>
                                                                                      </w:divBdr>
                                                                                      <w:divsChild>
                                                                                        <w:div w:id="1070881533">
                                                                                          <w:marLeft w:val="0"/>
                                                                                          <w:marRight w:val="0"/>
                                                                                          <w:marTop w:val="0"/>
                                                                                          <w:marBottom w:val="0"/>
                                                                                          <w:divBdr>
                                                                                            <w:top w:val="none" w:sz="0" w:space="0" w:color="auto"/>
                                                                                            <w:left w:val="none" w:sz="0" w:space="0" w:color="auto"/>
                                                                                            <w:bottom w:val="none" w:sz="0" w:space="0" w:color="auto"/>
                                                                                            <w:right w:val="none" w:sz="0" w:space="0" w:color="auto"/>
                                                                                          </w:divBdr>
                                                                                          <w:divsChild>
                                                                                            <w:div w:id="1445347672">
                                                                                              <w:marLeft w:val="0"/>
                                                                                              <w:marRight w:val="0"/>
                                                                                              <w:marTop w:val="0"/>
                                                                                              <w:marBottom w:val="0"/>
                                                                                              <w:divBdr>
                                                                                                <w:top w:val="none" w:sz="0" w:space="0" w:color="auto"/>
                                                                                                <w:left w:val="none" w:sz="0" w:space="0" w:color="auto"/>
                                                                                                <w:bottom w:val="none" w:sz="0" w:space="0" w:color="auto"/>
                                                                                                <w:right w:val="none" w:sz="0" w:space="0" w:color="auto"/>
                                                                                              </w:divBdr>
                                                                                              <w:divsChild>
                                                                                                <w:div w:id="310407411">
                                                                                                  <w:marLeft w:val="0"/>
                                                                                                  <w:marRight w:val="0"/>
                                                                                                  <w:marTop w:val="0"/>
                                                                                                  <w:marBottom w:val="0"/>
                                                                                                  <w:divBdr>
                                                                                                    <w:top w:val="none" w:sz="0" w:space="0" w:color="auto"/>
                                                                                                    <w:left w:val="none" w:sz="0" w:space="0" w:color="auto"/>
                                                                                                    <w:bottom w:val="none" w:sz="0" w:space="0" w:color="auto"/>
                                                                                                    <w:right w:val="none" w:sz="0" w:space="0" w:color="auto"/>
                                                                                                  </w:divBdr>
                                                                                                  <w:divsChild>
                                                                                                    <w:div w:id="323240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8467356">
                                                                                              <w:marLeft w:val="0"/>
                                                                                              <w:marRight w:val="0"/>
                                                                                              <w:marTop w:val="0"/>
                                                                                              <w:marBottom w:val="0"/>
                                                                                              <w:divBdr>
                                                                                                <w:top w:val="none" w:sz="0" w:space="0" w:color="auto"/>
                                                                                                <w:left w:val="none" w:sz="0" w:space="0" w:color="auto"/>
                                                                                                <w:bottom w:val="none" w:sz="0" w:space="0" w:color="auto"/>
                                                                                                <w:right w:val="none" w:sz="0" w:space="0" w:color="auto"/>
                                                                                              </w:divBdr>
                                                                                              <w:divsChild>
                                                                                                <w:div w:id="336420614">
                                                                                                  <w:marLeft w:val="0"/>
                                                                                                  <w:marRight w:val="0"/>
                                                                                                  <w:marTop w:val="0"/>
                                                                                                  <w:marBottom w:val="0"/>
                                                                                                  <w:divBdr>
                                                                                                    <w:top w:val="none" w:sz="0" w:space="0" w:color="auto"/>
                                                                                                    <w:left w:val="none" w:sz="0" w:space="0" w:color="auto"/>
                                                                                                    <w:bottom w:val="none" w:sz="0" w:space="0" w:color="auto"/>
                                                                                                    <w:right w:val="none" w:sz="0" w:space="0" w:color="auto"/>
                                                                                                  </w:divBdr>
                                                                                                  <w:divsChild>
                                                                                                    <w:div w:id="1487088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60492381">
                                                                              <w:marLeft w:val="0"/>
                                                                              <w:marRight w:val="0"/>
                                                                              <w:marTop w:val="0"/>
                                                                              <w:marBottom w:val="0"/>
                                                                              <w:divBdr>
                                                                                <w:top w:val="single" w:sz="2" w:space="0" w:color="E3E3E3"/>
                                                                                <w:left w:val="single" w:sz="2" w:space="0" w:color="E3E3E3"/>
                                                                                <w:bottom w:val="single" w:sz="2" w:space="0" w:color="E3E3E3"/>
                                                                                <w:right w:val="single" w:sz="2" w:space="0" w:color="E3E3E3"/>
                                                                              </w:divBdr>
                                                                              <w:divsChild>
                                                                                <w:div w:id="1047141926">
                                                                                  <w:marLeft w:val="0"/>
                                                                                  <w:marRight w:val="0"/>
                                                                                  <w:marTop w:val="0"/>
                                                                                  <w:marBottom w:val="0"/>
                                                                                  <w:divBdr>
                                                                                    <w:top w:val="none" w:sz="0" w:space="0" w:color="auto"/>
                                                                                    <w:left w:val="none" w:sz="0" w:space="0" w:color="auto"/>
                                                                                    <w:bottom w:val="none" w:sz="0" w:space="0" w:color="auto"/>
                                                                                    <w:right w:val="none" w:sz="0" w:space="0" w:color="auto"/>
                                                                                  </w:divBdr>
                                                                                  <w:divsChild>
                                                                                    <w:div w:id="1506480307">
                                                                                      <w:marLeft w:val="0"/>
                                                                                      <w:marRight w:val="0"/>
                                                                                      <w:marTop w:val="0"/>
                                                                                      <w:marBottom w:val="0"/>
                                                                                      <w:divBdr>
                                                                                        <w:top w:val="none" w:sz="0" w:space="0" w:color="auto"/>
                                                                                        <w:left w:val="none" w:sz="0" w:space="0" w:color="auto"/>
                                                                                        <w:bottom w:val="none" w:sz="0" w:space="0" w:color="auto"/>
                                                                                        <w:right w:val="none" w:sz="0" w:space="0" w:color="auto"/>
                                                                                      </w:divBdr>
                                                                                      <w:divsChild>
                                                                                        <w:div w:id="1561331875">
                                                                                          <w:marLeft w:val="0"/>
                                                                                          <w:marRight w:val="0"/>
                                                                                          <w:marTop w:val="0"/>
                                                                                          <w:marBottom w:val="0"/>
                                                                                          <w:divBdr>
                                                                                            <w:top w:val="none" w:sz="0" w:space="0" w:color="auto"/>
                                                                                            <w:left w:val="none" w:sz="0" w:space="0" w:color="auto"/>
                                                                                            <w:bottom w:val="none" w:sz="0" w:space="0" w:color="auto"/>
                                                                                            <w:right w:val="none" w:sz="0" w:space="0" w:color="auto"/>
                                                                                          </w:divBdr>
                                                                                          <w:divsChild>
                                                                                            <w:div w:id="1259406574">
                                                                                              <w:marLeft w:val="0"/>
                                                                                              <w:marRight w:val="0"/>
                                                                                              <w:marTop w:val="0"/>
                                                                                              <w:marBottom w:val="0"/>
                                                                                              <w:divBdr>
                                                                                                <w:top w:val="none" w:sz="0" w:space="0" w:color="auto"/>
                                                                                                <w:left w:val="none" w:sz="0" w:space="0" w:color="auto"/>
                                                                                                <w:bottom w:val="none" w:sz="0" w:space="0" w:color="auto"/>
                                                                                                <w:right w:val="none" w:sz="0" w:space="0" w:color="auto"/>
                                                                                              </w:divBdr>
                                                                                              <w:divsChild>
                                                                                                <w:div w:id="2067099321">
                                                                                                  <w:marLeft w:val="0"/>
                                                                                                  <w:marRight w:val="0"/>
                                                                                                  <w:marTop w:val="0"/>
                                                                                                  <w:marBottom w:val="0"/>
                                                                                                  <w:divBdr>
                                                                                                    <w:top w:val="none" w:sz="0" w:space="0" w:color="auto"/>
                                                                                                    <w:left w:val="none" w:sz="0" w:space="0" w:color="auto"/>
                                                                                                    <w:bottom w:val="none" w:sz="0" w:space="0" w:color="auto"/>
                                                                                                    <w:right w:val="none" w:sz="0" w:space="0" w:color="auto"/>
                                                                                                  </w:divBdr>
                                                                                                  <w:divsChild>
                                                                                                    <w:div w:id="1308777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5664384">
                                                                                              <w:marLeft w:val="0"/>
                                                                                              <w:marRight w:val="0"/>
                                                                                              <w:marTop w:val="0"/>
                                                                                              <w:marBottom w:val="0"/>
                                                                                              <w:divBdr>
                                                                                                <w:top w:val="none" w:sz="0" w:space="0" w:color="auto"/>
                                                                                                <w:left w:val="none" w:sz="0" w:space="0" w:color="auto"/>
                                                                                                <w:bottom w:val="none" w:sz="0" w:space="0" w:color="auto"/>
                                                                                                <w:right w:val="none" w:sz="0" w:space="0" w:color="auto"/>
                                                                                              </w:divBdr>
                                                                                              <w:divsChild>
                                                                                                <w:div w:id="557598022">
                                                                                                  <w:marLeft w:val="0"/>
                                                                                                  <w:marRight w:val="0"/>
                                                                                                  <w:marTop w:val="0"/>
                                                                                                  <w:marBottom w:val="0"/>
                                                                                                  <w:divBdr>
                                                                                                    <w:top w:val="none" w:sz="0" w:space="0" w:color="auto"/>
                                                                                                    <w:left w:val="none" w:sz="0" w:space="0" w:color="auto"/>
                                                                                                    <w:bottom w:val="none" w:sz="0" w:space="0" w:color="auto"/>
                                                                                                    <w:right w:val="none" w:sz="0" w:space="0" w:color="auto"/>
                                                                                                  </w:divBdr>
                                                                                                  <w:divsChild>
                                                                                                    <w:div w:id="933170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707610284">
                                              <w:marLeft w:val="0"/>
                                              <w:marRight w:val="0"/>
                                              <w:marTop w:val="0"/>
                                              <w:marBottom w:val="0"/>
                                              <w:divBdr>
                                                <w:top w:val="none" w:sz="0" w:space="0" w:color="auto"/>
                                                <w:left w:val="none" w:sz="0" w:space="0" w:color="auto"/>
                                                <w:bottom w:val="none" w:sz="0" w:space="0" w:color="auto"/>
                                                <w:right w:val="none" w:sz="0" w:space="0" w:color="auto"/>
                                              </w:divBdr>
                                              <w:divsChild>
                                                <w:div w:id="486628343">
                                                  <w:marLeft w:val="0"/>
                                                  <w:marRight w:val="0"/>
                                                  <w:marTop w:val="0"/>
                                                  <w:marBottom w:val="0"/>
                                                  <w:divBdr>
                                                    <w:top w:val="none" w:sz="0" w:space="0" w:color="auto"/>
                                                    <w:left w:val="none" w:sz="0" w:space="0" w:color="auto"/>
                                                    <w:bottom w:val="none" w:sz="0" w:space="0" w:color="auto"/>
                                                    <w:right w:val="none" w:sz="0" w:space="0" w:color="auto"/>
                                                  </w:divBdr>
                                                  <w:divsChild>
                                                    <w:div w:id="409237086">
                                                      <w:marLeft w:val="0"/>
                                                      <w:marRight w:val="0"/>
                                                      <w:marTop w:val="0"/>
                                                      <w:marBottom w:val="0"/>
                                                      <w:divBdr>
                                                        <w:top w:val="none" w:sz="0" w:space="0" w:color="auto"/>
                                                        <w:left w:val="none" w:sz="0" w:space="0" w:color="auto"/>
                                                        <w:bottom w:val="none" w:sz="0" w:space="0" w:color="auto"/>
                                                        <w:right w:val="none" w:sz="0" w:space="0" w:color="auto"/>
                                                      </w:divBdr>
                                                      <w:divsChild>
                                                        <w:div w:id="139080238">
                                                          <w:marLeft w:val="0"/>
                                                          <w:marRight w:val="0"/>
                                                          <w:marTop w:val="0"/>
                                                          <w:marBottom w:val="0"/>
                                                          <w:divBdr>
                                                            <w:top w:val="none" w:sz="0" w:space="0" w:color="auto"/>
                                                            <w:left w:val="none" w:sz="0" w:space="0" w:color="auto"/>
                                                            <w:bottom w:val="none" w:sz="0" w:space="0" w:color="auto"/>
                                                            <w:right w:val="none" w:sz="0" w:space="0" w:color="auto"/>
                                                          </w:divBdr>
                                                          <w:divsChild>
                                                            <w:div w:id="777025322">
                                                              <w:marLeft w:val="0"/>
                                                              <w:marRight w:val="0"/>
                                                              <w:marTop w:val="0"/>
                                                              <w:marBottom w:val="0"/>
                                                              <w:divBdr>
                                                                <w:top w:val="single" w:sz="2" w:space="0" w:color="E3E3E3"/>
                                                                <w:left w:val="single" w:sz="2" w:space="0" w:color="E3E3E3"/>
                                                                <w:bottom w:val="single" w:sz="2" w:space="0" w:color="E3E3E3"/>
                                                                <w:right w:val="single" w:sz="2" w:space="0" w:color="E3E3E3"/>
                                                              </w:divBdr>
                                                              <w:divsChild>
                                                                <w:div w:id="681781962">
                                                                  <w:marLeft w:val="0"/>
                                                                  <w:marRight w:val="0"/>
                                                                  <w:marTop w:val="0"/>
                                                                  <w:marBottom w:val="0"/>
                                                                  <w:divBdr>
                                                                    <w:top w:val="none" w:sz="0" w:space="0" w:color="auto"/>
                                                                    <w:left w:val="none" w:sz="0" w:space="0" w:color="auto"/>
                                                                    <w:bottom w:val="none" w:sz="0" w:space="0" w:color="auto"/>
                                                                    <w:right w:val="none" w:sz="0" w:space="0" w:color="auto"/>
                                                                  </w:divBdr>
                                                                  <w:divsChild>
                                                                    <w:div w:id="703823395">
                                                                      <w:marLeft w:val="0"/>
                                                                      <w:marRight w:val="0"/>
                                                                      <w:marTop w:val="0"/>
                                                                      <w:marBottom w:val="0"/>
                                                                      <w:divBdr>
                                                                        <w:top w:val="none" w:sz="0" w:space="0" w:color="auto"/>
                                                                        <w:left w:val="none" w:sz="0" w:space="0" w:color="auto"/>
                                                                        <w:bottom w:val="none" w:sz="0" w:space="0" w:color="auto"/>
                                                                        <w:right w:val="none" w:sz="0" w:space="0" w:color="auto"/>
                                                                      </w:divBdr>
                                                                      <w:divsChild>
                                                                        <w:div w:id="404837109">
                                                                          <w:marLeft w:val="0"/>
                                                                          <w:marRight w:val="0"/>
                                                                          <w:marTop w:val="0"/>
                                                                          <w:marBottom w:val="0"/>
                                                                          <w:divBdr>
                                                                            <w:top w:val="none" w:sz="0" w:space="0" w:color="auto"/>
                                                                            <w:left w:val="none" w:sz="0" w:space="0" w:color="auto"/>
                                                                            <w:bottom w:val="none" w:sz="0" w:space="0" w:color="auto"/>
                                                                            <w:right w:val="none" w:sz="0" w:space="0" w:color="auto"/>
                                                                          </w:divBdr>
                                                                          <w:divsChild>
                                                                            <w:div w:id="691150852">
                                                                              <w:marLeft w:val="0"/>
                                                                              <w:marRight w:val="0"/>
                                                                              <w:marTop w:val="0"/>
                                                                              <w:marBottom w:val="0"/>
                                                                              <w:divBdr>
                                                                                <w:top w:val="none" w:sz="0" w:space="0" w:color="auto"/>
                                                                                <w:left w:val="none" w:sz="0" w:space="0" w:color="auto"/>
                                                                                <w:bottom w:val="none" w:sz="0" w:space="0" w:color="auto"/>
                                                                                <w:right w:val="none" w:sz="0" w:space="0" w:color="auto"/>
                                                                              </w:divBdr>
                                                                              <w:divsChild>
                                                                                <w:div w:id="1610313116">
                                                                                  <w:marLeft w:val="0"/>
                                                                                  <w:marRight w:val="0"/>
                                                                                  <w:marTop w:val="0"/>
                                                                                  <w:marBottom w:val="0"/>
                                                                                  <w:divBdr>
                                                                                    <w:top w:val="none" w:sz="0" w:space="0" w:color="auto"/>
                                                                                    <w:left w:val="none" w:sz="0" w:space="0" w:color="auto"/>
                                                                                    <w:bottom w:val="none" w:sz="0" w:space="0" w:color="auto"/>
                                                                                    <w:right w:val="none" w:sz="0" w:space="0" w:color="auto"/>
                                                                                  </w:divBdr>
                                                                                  <w:divsChild>
                                                                                    <w:div w:id="1312176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0593400">
                                                                              <w:marLeft w:val="0"/>
                                                                              <w:marRight w:val="0"/>
                                                                              <w:marTop w:val="0"/>
                                                                              <w:marBottom w:val="0"/>
                                                                              <w:divBdr>
                                                                                <w:top w:val="none" w:sz="0" w:space="0" w:color="auto"/>
                                                                                <w:left w:val="none" w:sz="0" w:space="0" w:color="auto"/>
                                                                                <w:bottom w:val="none" w:sz="0" w:space="0" w:color="auto"/>
                                                                                <w:right w:val="none" w:sz="0" w:space="0" w:color="auto"/>
                                                                              </w:divBdr>
                                                                              <w:divsChild>
                                                                                <w:div w:id="1453745975">
                                                                                  <w:marLeft w:val="0"/>
                                                                                  <w:marRight w:val="0"/>
                                                                                  <w:marTop w:val="0"/>
                                                                                  <w:marBottom w:val="0"/>
                                                                                  <w:divBdr>
                                                                                    <w:top w:val="none" w:sz="0" w:space="0" w:color="auto"/>
                                                                                    <w:left w:val="none" w:sz="0" w:space="0" w:color="auto"/>
                                                                                    <w:bottom w:val="none" w:sz="0" w:space="0" w:color="auto"/>
                                                                                    <w:right w:val="none" w:sz="0" w:space="0" w:color="auto"/>
                                                                                  </w:divBdr>
                                                                                  <w:divsChild>
                                                                                    <w:div w:id="1353992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9135986">
                                                              <w:marLeft w:val="0"/>
                                                              <w:marRight w:val="0"/>
                                                              <w:marTop w:val="0"/>
                                                              <w:marBottom w:val="0"/>
                                                              <w:divBdr>
                                                                <w:top w:val="single" w:sz="2" w:space="0" w:color="E3E3E3"/>
                                                                <w:left w:val="single" w:sz="2" w:space="0" w:color="E3E3E3"/>
                                                                <w:bottom w:val="single" w:sz="2" w:space="0" w:color="E3E3E3"/>
                                                                <w:right w:val="single" w:sz="2" w:space="0" w:color="E3E3E3"/>
                                                              </w:divBdr>
                                                              <w:divsChild>
                                                                <w:div w:id="799346139">
                                                                  <w:marLeft w:val="0"/>
                                                                  <w:marRight w:val="0"/>
                                                                  <w:marTop w:val="0"/>
                                                                  <w:marBottom w:val="0"/>
                                                                  <w:divBdr>
                                                                    <w:top w:val="none" w:sz="0" w:space="0" w:color="auto"/>
                                                                    <w:left w:val="none" w:sz="0" w:space="0" w:color="auto"/>
                                                                    <w:bottom w:val="none" w:sz="0" w:space="0" w:color="auto"/>
                                                                    <w:right w:val="none" w:sz="0" w:space="0" w:color="auto"/>
                                                                  </w:divBdr>
                                                                  <w:divsChild>
                                                                    <w:div w:id="798382968">
                                                                      <w:marLeft w:val="0"/>
                                                                      <w:marRight w:val="0"/>
                                                                      <w:marTop w:val="0"/>
                                                                      <w:marBottom w:val="0"/>
                                                                      <w:divBdr>
                                                                        <w:top w:val="none" w:sz="0" w:space="0" w:color="auto"/>
                                                                        <w:left w:val="none" w:sz="0" w:space="0" w:color="auto"/>
                                                                        <w:bottom w:val="none" w:sz="0" w:space="0" w:color="auto"/>
                                                                        <w:right w:val="none" w:sz="0" w:space="0" w:color="auto"/>
                                                                      </w:divBdr>
                                                                      <w:divsChild>
                                                                        <w:div w:id="1908958506">
                                                                          <w:marLeft w:val="0"/>
                                                                          <w:marRight w:val="0"/>
                                                                          <w:marTop w:val="0"/>
                                                                          <w:marBottom w:val="0"/>
                                                                          <w:divBdr>
                                                                            <w:top w:val="none" w:sz="0" w:space="0" w:color="auto"/>
                                                                            <w:left w:val="none" w:sz="0" w:space="0" w:color="auto"/>
                                                                            <w:bottom w:val="none" w:sz="0" w:space="0" w:color="auto"/>
                                                                            <w:right w:val="none" w:sz="0" w:space="0" w:color="auto"/>
                                                                          </w:divBdr>
                                                                          <w:divsChild>
                                                                            <w:div w:id="1846629798">
                                                                              <w:marLeft w:val="0"/>
                                                                              <w:marRight w:val="0"/>
                                                                              <w:marTop w:val="0"/>
                                                                              <w:marBottom w:val="0"/>
                                                                              <w:divBdr>
                                                                                <w:top w:val="none" w:sz="0" w:space="0" w:color="auto"/>
                                                                                <w:left w:val="none" w:sz="0" w:space="0" w:color="auto"/>
                                                                                <w:bottom w:val="none" w:sz="0" w:space="0" w:color="auto"/>
                                                                                <w:right w:val="none" w:sz="0" w:space="0" w:color="auto"/>
                                                                              </w:divBdr>
                                                                              <w:divsChild>
                                                                                <w:div w:id="601766552">
                                                                                  <w:marLeft w:val="0"/>
                                                                                  <w:marRight w:val="0"/>
                                                                                  <w:marTop w:val="0"/>
                                                                                  <w:marBottom w:val="0"/>
                                                                                  <w:divBdr>
                                                                                    <w:top w:val="none" w:sz="0" w:space="0" w:color="auto"/>
                                                                                    <w:left w:val="none" w:sz="0" w:space="0" w:color="auto"/>
                                                                                    <w:bottom w:val="none" w:sz="0" w:space="0" w:color="auto"/>
                                                                                    <w:right w:val="none" w:sz="0" w:space="0" w:color="auto"/>
                                                                                  </w:divBdr>
                                                                                  <w:divsChild>
                                                                                    <w:div w:id="648367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5640764">
                                                                              <w:marLeft w:val="0"/>
                                                                              <w:marRight w:val="0"/>
                                                                              <w:marTop w:val="0"/>
                                                                              <w:marBottom w:val="0"/>
                                                                              <w:divBdr>
                                                                                <w:top w:val="none" w:sz="0" w:space="0" w:color="auto"/>
                                                                                <w:left w:val="none" w:sz="0" w:space="0" w:color="auto"/>
                                                                                <w:bottom w:val="none" w:sz="0" w:space="0" w:color="auto"/>
                                                                                <w:right w:val="none" w:sz="0" w:space="0" w:color="auto"/>
                                                                              </w:divBdr>
                                                                              <w:divsChild>
                                                                                <w:div w:id="172576802">
                                                                                  <w:marLeft w:val="0"/>
                                                                                  <w:marRight w:val="0"/>
                                                                                  <w:marTop w:val="0"/>
                                                                                  <w:marBottom w:val="0"/>
                                                                                  <w:divBdr>
                                                                                    <w:top w:val="none" w:sz="0" w:space="0" w:color="auto"/>
                                                                                    <w:left w:val="none" w:sz="0" w:space="0" w:color="auto"/>
                                                                                    <w:bottom w:val="none" w:sz="0" w:space="0" w:color="auto"/>
                                                                                    <w:right w:val="none" w:sz="0" w:space="0" w:color="auto"/>
                                                                                  </w:divBdr>
                                                                                  <w:divsChild>
                                                                                    <w:div w:id="1761754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43533131">
                                              <w:marLeft w:val="0"/>
                                              <w:marRight w:val="0"/>
                                              <w:marTop w:val="0"/>
                                              <w:marBottom w:val="0"/>
                                              <w:divBdr>
                                                <w:top w:val="none" w:sz="0" w:space="0" w:color="auto"/>
                                                <w:left w:val="none" w:sz="0" w:space="0" w:color="auto"/>
                                                <w:bottom w:val="none" w:sz="0" w:space="0" w:color="auto"/>
                                                <w:right w:val="none" w:sz="0" w:space="0" w:color="auto"/>
                                              </w:divBdr>
                                              <w:divsChild>
                                                <w:div w:id="258878858">
                                                  <w:marLeft w:val="0"/>
                                                  <w:marRight w:val="0"/>
                                                  <w:marTop w:val="0"/>
                                                  <w:marBottom w:val="0"/>
                                                  <w:divBdr>
                                                    <w:top w:val="none" w:sz="0" w:space="0" w:color="auto"/>
                                                    <w:left w:val="none" w:sz="0" w:space="0" w:color="auto"/>
                                                    <w:bottom w:val="none" w:sz="0" w:space="0" w:color="auto"/>
                                                    <w:right w:val="none" w:sz="0" w:space="0" w:color="auto"/>
                                                  </w:divBdr>
                                                  <w:divsChild>
                                                    <w:div w:id="1329207905">
                                                      <w:marLeft w:val="0"/>
                                                      <w:marRight w:val="0"/>
                                                      <w:marTop w:val="0"/>
                                                      <w:marBottom w:val="0"/>
                                                      <w:divBdr>
                                                        <w:top w:val="none" w:sz="0" w:space="0" w:color="auto"/>
                                                        <w:left w:val="none" w:sz="0" w:space="0" w:color="auto"/>
                                                        <w:bottom w:val="none" w:sz="0" w:space="0" w:color="auto"/>
                                                        <w:right w:val="none" w:sz="0" w:space="0" w:color="auto"/>
                                                      </w:divBdr>
                                                      <w:divsChild>
                                                        <w:div w:id="454832554">
                                                          <w:marLeft w:val="0"/>
                                                          <w:marRight w:val="0"/>
                                                          <w:marTop w:val="0"/>
                                                          <w:marBottom w:val="0"/>
                                                          <w:divBdr>
                                                            <w:top w:val="none" w:sz="0" w:space="0" w:color="auto"/>
                                                            <w:left w:val="none" w:sz="0" w:space="0" w:color="auto"/>
                                                            <w:bottom w:val="none" w:sz="0" w:space="0" w:color="auto"/>
                                                            <w:right w:val="none" w:sz="0" w:space="0" w:color="auto"/>
                                                          </w:divBdr>
                                                          <w:divsChild>
                                                            <w:div w:id="1332297834">
                                                              <w:marLeft w:val="0"/>
                                                              <w:marRight w:val="0"/>
                                                              <w:marTop w:val="0"/>
                                                              <w:marBottom w:val="0"/>
                                                              <w:divBdr>
                                                                <w:top w:val="single" w:sz="2" w:space="0" w:color="E3E3E3"/>
                                                                <w:left w:val="single" w:sz="2" w:space="0" w:color="E3E3E3"/>
                                                                <w:bottom w:val="single" w:sz="2" w:space="0" w:color="E3E3E3"/>
                                                                <w:right w:val="single" w:sz="2" w:space="0" w:color="E3E3E3"/>
                                                              </w:divBdr>
                                                              <w:divsChild>
                                                                <w:div w:id="54209498">
                                                                  <w:marLeft w:val="0"/>
                                                                  <w:marRight w:val="0"/>
                                                                  <w:marTop w:val="0"/>
                                                                  <w:marBottom w:val="0"/>
                                                                  <w:divBdr>
                                                                    <w:top w:val="none" w:sz="0" w:space="0" w:color="auto"/>
                                                                    <w:left w:val="none" w:sz="0" w:space="0" w:color="auto"/>
                                                                    <w:bottom w:val="none" w:sz="0" w:space="0" w:color="auto"/>
                                                                    <w:right w:val="none" w:sz="0" w:space="0" w:color="auto"/>
                                                                  </w:divBdr>
                                                                  <w:divsChild>
                                                                    <w:div w:id="1184784407">
                                                                      <w:marLeft w:val="0"/>
                                                                      <w:marRight w:val="0"/>
                                                                      <w:marTop w:val="0"/>
                                                                      <w:marBottom w:val="0"/>
                                                                      <w:divBdr>
                                                                        <w:top w:val="none" w:sz="0" w:space="0" w:color="auto"/>
                                                                        <w:left w:val="none" w:sz="0" w:space="0" w:color="auto"/>
                                                                        <w:bottom w:val="none" w:sz="0" w:space="0" w:color="auto"/>
                                                                        <w:right w:val="none" w:sz="0" w:space="0" w:color="auto"/>
                                                                      </w:divBdr>
                                                                      <w:divsChild>
                                                                        <w:div w:id="1625504597">
                                                                          <w:marLeft w:val="0"/>
                                                                          <w:marRight w:val="0"/>
                                                                          <w:marTop w:val="0"/>
                                                                          <w:marBottom w:val="0"/>
                                                                          <w:divBdr>
                                                                            <w:top w:val="none" w:sz="0" w:space="0" w:color="auto"/>
                                                                            <w:left w:val="none" w:sz="0" w:space="0" w:color="auto"/>
                                                                            <w:bottom w:val="none" w:sz="0" w:space="0" w:color="auto"/>
                                                                            <w:right w:val="none" w:sz="0" w:space="0" w:color="auto"/>
                                                                          </w:divBdr>
                                                                          <w:divsChild>
                                                                            <w:div w:id="1803695785">
                                                                              <w:marLeft w:val="0"/>
                                                                              <w:marRight w:val="0"/>
                                                                              <w:marTop w:val="0"/>
                                                                              <w:marBottom w:val="0"/>
                                                                              <w:divBdr>
                                                                                <w:top w:val="none" w:sz="0" w:space="0" w:color="auto"/>
                                                                                <w:left w:val="none" w:sz="0" w:space="0" w:color="auto"/>
                                                                                <w:bottom w:val="none" w:sz="0" w:space="0" w:color="auto"/>
                                                                                <w:right w:val="none" w:sz="0" w:space="0" w:color="auto"/>
                                                                              </w:divBdr>
                                                                              <w:divsChild>
                                                                                <w:div w:id="2444399">
                                                                                  <w:marLeft w:val="0"/>
                                                                                  <w:marRight w:val="0"/>
                                                                                  <w:marTop w:val="0"/>
                                                                                  <w:marBottom w:val="0"/>
                                                                                  <w:divBdr>
                                                                                    <w:top w:val="none" w:sz="0" w:space="0" w:color="auto"/>
                                                                                    <w:left w:val="none" w:sz="0" w:space="0" w:color="auto"/>
                                                                                    <w:bottom w:val="none" w:sz="0" w:space="0" w:color="auto"/>
                                                                                    <w:right w:val="none" w:sz="0" w:space="0" w:color="auto"/>
                                                                                  </w:divBdr>
                                                                                  <w:divsChild>
                                                                                    <w:div w:id="1099251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9837850">
                                                                              <w:marLeft w:val="0"/>
                                                                              <w:marRight w:val="0"/>
                                                                              <w:marTop w:val="0"/>
                                                                              <w:marBottom w:val="0"/>
                                                                              <w:divBdr>
                                                                                <w:top w:val="none" w:sz="0" w:space="0" w:color="auto"/>
                                                                                <w:left w:val="none" w:sz="0" w:space="0" w:color="auto"/>
                                                                                <w:bottom w:val="none" w:sz="0" w:space="0" w:color="auto"/>
                                                                                <w:right w:val="none" w:sz="0" w:space="0" w:color="auto"/>
                                                                              </w:divBdr>
                                                                              <w:divsChild>
                                                                                <w:div w:id="907228566">
                                                                                  <w:marLeft w:val="0"/>
                                                                                  <w:marRight w:val="0"/>
                                                                                  <w:marTop w:val="0"/>
                                                                                  <w:marBottom w:val="0"/>
                                                                                  <w:divBdr>
                                                                                    <w:top w:val="none" w:sz="0" w:space="0" w:color="auto"/>
                                                                                    <w:left w:val="none" w:sz="0" w:space="0" w:color="auto"/>
                                                                                    <w:bottom w:val="none" w:sz="0" w:space="0" w:color="auto"/>
                                                                                    <w:right w:val="none" w:sz="0" w:space="0" w:color="auto"/>
                                                                                  </w:divBdr>
                                                                                  <w:divsChild>
                                                                                    <w:div w:id="68621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67392200">
                                                              <w:marLeft w:val="0"/>
                                                              <w:marRight w:val="0"/>
                                                              <w:marTop w:val="0"/>
                                                              <w:marBottom w:val="0"/>
                                                              <w:divBdr>
                                                                <w:top w:val="single" w:sz="2" w:space="0" w:color="E3E3E3"/>
                                                                <w:left w:val="single" w:sz="2" w:space="0" w:color="E3E3E3"/>
                                                                <w:bottom w:val="single" w:sz="2" w:space="0" w:color="E3E3E3"/>
                                                                <w:right w:val="single" w:sz="2" w:space="0" w:color="E3E3E3"/>
                                                              </w:divBdr>
                                                              <w:divsChild>
                                                                <w:div w:id="1556970075">
                                                                  <w:marLeft w:val="0"/>
                                                                  <w:marRight w:val="0"/>
                                                                  <w:marTop w:val="0"/>
                                                                  <w:marBottom w:val="0"/>
                                                                  <w:divBdr>
                                                                    <w:top w:val="none" w:sz="0" w:space="0" w:color="auto"/>
                                                                    <w:left w:val="none" w:sz="0" w:space="0" w:color="auto"/>
                                                                    <w:bottom w:val="none" w:sz="0" w:space="0" w:color="auto"/>
                                                                    <w:right w:val="none" w:sz="0" w:space="0" w:color="auto"/>
                                                                  </w:divBdr>
                                                                  <w:divsChild>
                                                                    <w:div w:id="1824158787">
                                                                      <w:marLeft w:val="0"/>
                                                                      <w:marRight w:val="0"/>
                                                                      <w:marTop w:val="0"/>
                                                                      <w:marBottom w:val="0"/>
                                                                      <w:divBdr>
                                                                        <w:top w:val="none" w:sz="0" w:space="0" w:color="auto"/>
                                                                        <w:left w:val="none" w:sz="0" w:space="0" w:color="auto"/>
                                                                        <w:bottom w:val="none" w:sz="0" w:space="0" w:color="auto"/>
                                                                        <w:right w:val="none" w:sz="0" w:space="0" w:color="auto"/>
                                                                      </w:divBdr>
                                                                      <w:divsChild>
                                                                        <w:div w:id="338460030">
                                                                          <w:marLeft w:val="0"/>
                                                                          <w:marRight w:val="0"/>
                                                                          <w:marTop w:val="0"/>
                                                                          <w:marBottom w:val="0"/>
                                                                          <w:divBdr>
                                                                            <w:top w:val="none" w:sz="0" w:space="0" w:color="auto"/>
                                                                            <w:left w:val="none" w:sz="0" w:space="0" w:color="auto"/>
                                                                            <w:bottom w:val="none" w:sz="0" w:space="0" w:color="auto"/>
                                                                            <w:right w:val="none" w:sz="0" w:space="0" w:color="auto"/>
                                                                          </w:divBdr>
                                                                          <w:divsChild>
                                                                            <w:div w:id="33819255">
                                                                              <w:marLeft w:val="0"/>
                                                                              <w:marRight w:val="0"/>
                                                                              <w:marTop w:val="0"/>
                                                                              <w:marBottom w:val="0"/>
                                                                              <w:divBdr>
                                                                                <w:top w:val="none" w:sz="0" w:space="0" w:color="auto"/>
                                                                                <w:left w:val="none" w:sz="0" w:space="0" w:color="auto"/>
                                                                                <w:bottom w:val="none" w:sz="0" w:space="0" w:color="auto"/>
                                                                                <w:right w:val="none" w:sz="0" w:space="0" w:color="auto"/>
                                                                              </w:divBdr>
                                                                              <w:divsChild>
                                                                                <w:div w:id="1806313508">
                                                                                  <w:marLeft w:val="0"/>
                                                                                  <w:marRight w:val="0"/>
                                                                                  <w:marTop w:val="0"/>
                                                                                  <w:marBottom w:val="0"/>
                                                                                  <w:divBdr>
                                                                                    <w:top w:val="none" w:sz="0" w:space="0" w:color="auto"/>
                                                                                    <w:left w:val="none" w:sz="0" w:space="0" w:color="auto"/>
                                                                                    <w:bottom w:val="none" w:sz="0" w:space="0" w:color="auto"/>
                                                                                    <w:right w:val="none" w:sz="0" w:space="0" w:color="auto"/>
                                                                                  </w:divBdr>
                                                                                  <w:divsChild>
                                                                                    <w:div w:id="921598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4623110">
                                                                              <w:marLeft w:val="0"/>
                                                                              <w:marRight w:val="0"/>
                                                                              <w:marTop w:val="0"/>
                                                                              <w:marBottom w:val="0"/>
                                                                              <w:divBdr>
                                                                                <w:top w:val="none" w:sz="0" w:space="0" w:color="auto"/>
                                                                                <w:left w:val="none" w:sz="0" w:space="0" w:color="auto"/>
                                                                                <w:bottom w:val="none" w:sz="0" w:space="0" w:color="auto"/>
                                                                                <w:right w:val="none" w:sz="0" w:space="0" w:color="auto"/>
                                                                              </w:divBdr>
                                                                              <w:divsChild>
                                                                                <w:div w:id="1465536967">
                                                                                  <w:marLeft w:val="0"/>
                                                                                  <w:marRight w:val="0"/>
                                                                                  <w:marTop w:val="0"/>
                                                                                  <w:marBottom w:val="0"/>
                                                                                  <w:divBdr>
                                                                                    <w:top w:val="none" w:sz="0" w:space="0" w:color="auto"/>
                                                                                    <w:left w:val="none" w:sz="0" w:space="0" w:color="auto"/>
                                                                                    <w:bottom w:val="none" w:sz="0" w:space="0" w:color="auto"/>
                                                                                    <w:right w:val="none" w:sz="0" w:space="0" w:color="auto"/>
                                                                                  </w:divBdr>
                                                                                  <w:divsChild>
                                                                                    <w:div w:id="330840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4537790">
                                                              <w:marLeft w:val="0"/>
                                                              <w:marRight w:val="0"/>
                                                              <w:marTop w:val="0"/>
                                                              <w:marBottom w:val="0"/>
                                                              <w:divBdr>
                                                                <w:top w:val="single" w:sz="2" w:space="0" w:color="E3E3E3"/>
                                                                <w:left w:val="single" w:sz="2" w:space="0" w:color="E3E3E3"/>
                                                                <w:bottom w:val="single" w:sz="2" w:space="0" w:color="E3E3E3"/>
                                                                <w:right w:val="single" w:sz="2" w:space="0" w:color="E3E3E3"/>
                                                              </w:divBdr>
                                                              <w:divsChild>
                                                                <w:div w:id="571354408">
                                                                  <w:marLeft w:val="0"/>
                                                                  <w:marRight w:val="0"/>
                                                                  <w:marTop w:val="0"/>
                                                                  <w:marBottom w:val="0"/>
                                                                  <w:divBdr>
                                                                    <w:top w:val="none" w:sz="0" w:space="0" w:color="auto"/>
                                                                    <w:left w:val="none" w:sz="0" w:space="0" w:color="auto"/>
                                                                    <w:bottom w:val="none" w:sz="0" w:space="0" w:color="auto"/>
                                                                    <w:right w:val="none" w:sz="0" w:space="0" w:color="auto"/>
                                                                  </w:divBdr>
                                                                  <w:divsChild>
                                                                    <w:div w:id="614558231">
                                                                      <w:marLeft w:val="0"/>
                                                                      <w:marRight w:val="0"/>
                                                                      <w:marTop w:val="0"/>
                                                                      <w:marBottom w:val="0"/>
                                                                      <w:divBdr>
                                                                        <w:top w:val="none" w:sz="0" w:space="0" w:color="auto"/>
                                                                        <w:left w:val="none" w:sz="0" w:space="0" w:color="auto"/>
                                                                        <w:bottom w:val="none" w:sz="0" w:space="0" w:color="auto"/>
                                                                        <w:right w:val="none" w:sz="0" w:space="0" w:color="auto"/>
                                                                      </w:divBdr>
                                                                      <w:divsChild>
                                                                        <w:div w:id="78256784">
                                                                          <w:marLeft w:val="0"/>
                                                                          <w:marRight w:val="0"/>
                                                                          <w:marTop w:val="0"/>
                                                                          <w:marBottom w:val="0"/>
                                                                          <w:divBdr>
                                                                            <w:top w:val="none" w:sz="0" w:space="0" w:color="auto"/>
                                                                            <w:left w:val="none" w:sz="0" w:space="0" w:color="auto"/>
                                                                            <w:bottom w:val="none" w:sz="0" w:space="0" w:color="auto"/>
                                                                            <w:right w:val="none" w:sz="0" w:space="0" w:color="auto"/>
                                                                          </w:divBdr>
                                                                          <w:divsChild>
                                                                            <w:div w:id="439102711">
                                                                              <w:marLeft w:val="0"/>
                                                                              <w:marRight w:val="0"/>
                                                                              <w:marTop w:val="0"/>
                                                                              <w:marBottom w:val="0"/>
                                                                              <w:divBdr>
                                                                                <w:top w:val="none" w:sz="0" w:space="0" w:color="auto"/>
                                                                                <w:left w:val="none" w:sz="0" w:space="0" w:color="auto"/>
                                                                                <w:bottom w:val="none" w:sz="0" w:space="0" w:color="auto"/>
                                                                                <w:right w:val="none" w:sz="0" w:space="0" w:color="auto"/>
                                                                              </w:divBdr>
                                                                              <w:divsChild>
                                                                                <w:div w:id="96561433">
                                                                                  <w:marLeft w:val="0"/>
                                                                                  <w:marRight w:val="0"/>
                                                                                  <w:marTop w:val="0"/>
                                                                                  <w:marBottom w:val="0"/>
                                                                                  <w:divBdr>
                                                                                    <w:top w:val="none" w:sz="0" w:space="0" w:color="auto"/>
                                                                                    <w:left w:val="none" w:sz="0" w:space="0" w:color="auto"/>
                                                                                    <w:bottom w:val="none" w:sz="0" w:space="0" w:color="auto"/>
                                                                                    <w:right w:val="none" w:sz="0" w:space="0" w:color="auto"/>
                                                                                  </w:divBdr>
                                                                                  <w:divsChild>
                                                                                    <w:div w:id="1138691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4725255">
                                                                              <w:marLeft w:val="0"/>
                                                                              <w:marRight w:val="0"/>
                                                                              <w:marTop w:val="0"/>
                                                                              <w:marBottom w:val="0"/>
                                                                              <w:divBdr>
                                                                                <w:top w:val="none" w:sz="0" w:space="0" w:color="auto"/>
                                                                                <w:left w:val="none" w:sz="0" w:space="0" w:color="auto"/>
                                                                                <w:bottom w:val="none" w:sz="0" w:space="0" w:color="auto"/>
                                                                                <w:right w:val="none" w:sz="0" w:space="0" w:color="auto"/>
                                                                              </w:divBdr>
                                                                              <w:divsChild>
                                                                                <w:div w:id="2016228079">
                                                                                  <w:marLeft w:val="0"/>
                                                                                  <w:marRight w:val="0"/>
                                                                                  <w:marTop w:val="0"/>
                                                                                  <w:marBottom w:val="0"/>
                                                                                  <w:divBdr>
                                                                                    <w:top w:val="none" w:sz="0" w:space="0" w:color="auto"/>
                                                                                    <w:left w:val="none" w:sz="0" w:space="0" w:color="auto"/>
                                                                                    <w:bottom w:val="none" w:sz="0" w:space="0" w:color="auto"/>
                                                                                    <w:right w:val="none" w:sz="0" w:space="0" w:color="auto"/>
                                                                                  </w:divBdr>
                                                                                  <w:divsChild>
                                                                                    <w:div w:id="154299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8573069">
                                                              <w:marLeft w:val="0"/>
                                                              <w:marRight w:val="0"/>
                                                              <w:marTop w:val="0"/>
                                                              <w:marBottom w:val="0"/>
                                                              <w:divBdr>
                                                                <w:top w:val="single" w:sz="2" w:space="0" w:color="E3E3E3"/>
                                                                <w:left w:val="single" w:sz="2" w:space="0" w:color="E3E3E3"/>
                                                                <w:bottom w:val="single" w:sz="2" w:space="0" w:color="E3E3E3"/>
                                                                <w:right w:val="single" w:sz="2" w:space="0" w:color="E3E3E3"/>
                                                              </w:divBdr>
                                                              <w:divsChild>
                                                                <w:div w:id="992488403">
                                                                  <w:marLeft w:val="0"/>
                                                                  <w:marRight w:val="0"/>
                                                                  <w:marTop w:val="0"/>
                                                                  <w:marBottom w:val="0"/>
                                                                  <w:divBdr>
                                                                    <w:top w:val="none" w:sz="0" w:space="0" w:color="auto"/>
                                                                    <w:left w:val="none" w:sz="0" w:space="0" w:color="auto"/>
                                                                    <w:bottom w:val="none" w:sz="0" w:space="0" w:color="auto"/>
                                                                    <w:right w:val="none" w:sz="0" w:space="0" w:color="auto"/>
                                                                  </w:divBdr>
                                                                  <w:divsChild>
                                                                    <w:div w:id="666710498">
                                                                      <w:marLeft w:val="0"/>
                                                                      <w:marRight w:val="0"/>
                                                                      <w:marTop w:val="0"/>
                                                                      <w:marBottom w:val="0"/>
                                                                      <w:divBdr>
                                                                        <w:top w:val="none" w:sz="0" w:space="0" w:color="auto"/>
                                                                        <w:left w:val="none" w:sz="0" w:space="0" w:color="auto"/>
                                                                        <w:bottom w:val="none" w:sz="0" w:space="0" w:color="auto"/>
                                                                        <w:right w:val="none" w:sz="0" w:space="0" w:color="auto"/>
                                                                      </w:divBdr>
                                                                      <w:divsChild>
                                                                        <w:div w:id="1975600100">
                                                                          <w:marLeft w:val="0"/>
                                                                          <w:marRight w:val="0"/>
                                                                          <w:marTop w:val="0"/>
                                                                          <w:marBottom w:val="0"/>
                                                                          <w:divBdr>
                                                                            <w:top w:val="none" w:sz="0" w:space="0" w:color="auto"/>
                                                                            <w:left w:val="none" w:sz="0" w:space="0" w:color="auto"/>
                                                                            <w:bottom w:val="none" w:sz="0" w:space="0" w:color="auto"/>
                                                                            <w:right w:val="none" w:sz="0" w:space="0" w:color="auto"/>
                                                                          </w:divBdr>
                                                                          <w:divsChild>
                                                                            <w:div w:id="1601913208">
                                                                              <w:marLeft w:val="0"/>
                                                                              <w:marRight w:val="0"/>
                                                                              <w:marTop w:val="0"/>
                                                                              <w:marBottom w:val="0"/>
                                                                              <w:divBdr>
                                                                                <w:top w:val="none" w:sz="0" w:space="0" w:color="auto"/>
                                                                                <w:left w:val="none" w:sz="0" w:space="0" w:color="auto"/>
                                                                                <w:bottom w:val="none" w:sz="0" w:space="0" w:color="auto"/>
                                                                                <w:right w:val="none" w:sz="0" w:space="0" w:color="auto"/>
                                                                              </w:divBdr>
                                                                              <w:divsChild>
                                                                                <w:div w:id="1069158153">
                                                                                  <w:marLeft w:val="0"/>
                                                                                  <w:marRight w:val="0"/>
                                                                                  <w:marTop w:val="0"/>
                                                                                  <w:marBottom w:val="0"/>
                                                                                  <w:divBdr>
                                                                                    <w:top w:val="none" w:sz="0" w:space="0" w:color="auto"/>
                                                                                    <w:left w:val="none" w:sz="0" w:space="0" w:color="auto"/>
                                                                                    <w:bottom w:val="none" w:sz="0" w:space="0" w:color="auto"/>
                                                                                    <w:right w:val="none" w:sz="0" w:space="0" w:color="auto"/>
                                                                                  </w:divBdr>
                                                                                  <w:divsChild>
                                                                                    <w:div w:id="1509828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1570505">
                                                                              <w:marLeft w:val="0"/>
                                                                              <w:marRight w:val="0"/>
                                                                              <w:marTop w:val="0"/>
                                                                              <w:marBottom w:val="0"/>
                                                                              <w:divBdr>
                                                                                <w:top w:val="none" w:sz="0" w:space="0" w:color="auto"/>
                                                                                <w:left w:val="none" w:sz="0" w:space="0" w:color="auto"/>
                                                                                <w:bottom w:val="none" w:sz="0" w:space="0" w:color="auto"/>
                                                                                <w:right w:val="none" w:sz="0" w:space="0" w:color="auto"/>
                                                                              </w:divBdr>
                                                                              <w:divsChild>
                                                                                <w:div w:id="1267806659">
                                                                                  <w:marLeft w:val="0"/>
                                                                                  <w:marRight w:val="0"/>
                                                                                  <w:marTop w:val="0"/>
                                                                                  <w:marBottom w:val="0"/>
                                                                                  <w:divBdr>
                                                                                    <w:top w:val="none" w:sz="0" w:space="0" w:color="auto"/>
                                                                                    <w:left w:val="none" w:sz="0" w:space="0" w:color="auto"/>
                                                                                    <w:bottom w:val="none" w:sz="0" w:space="0" w:color="auto"/>
                                                                                    <w:right w:val="none" w:sz="0" w:space="0" w:color="auto"/>
                                                                                  </w:divBdr>
                                                                                  <w:divsChild>
                                                                                    <w:div w:id="987325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92622091">
                                                              <w:marLeft w:val="0"/>
                                                              <w:marRight w:val="0"/>
                                                              <w:marTop w:val="0"/>
                                                              <w:marBottom w:val="0"/>
                                                              <w:divBdr>
                                                                <w:top w:val="single" w:sz="2" w:space="0" w:color="E3E3E3"/>
                                                                <w:left w:val="single" w:sz="2" w:space="0" w:color="E3E3E3"/>
                                                                <w:bottom w:val="single" w:sz="2" w:space="0" w:color="E3E3E3"/>
                                                                <w:right w:val="single" w:sz="2" w:space="0" w:color="E3E3E3"/>
                                                              </w:divBdr>
                                                              <w:divsChild>
                                                                <w:div w:id="198399887">
                                                                  <w:marLeft w:val="0"/>
                                                                  <w:marRight w:val="0"/>
                                                                  <w:marTop w:val="0"/>
                                                                  <w:marBottom w:val="0"/>
                                                                  <w:divBdr>
                                                                    <w:top w:val="none" w:sz="0" w:space="0" w:color="auto"/>
                                                                    <w:left w:val="none" w:sz="0" w:space="0" w:color="auto"/>
                                                                    <w:bottom w:val="none" w:sz="0" w:space="0" w:color="auto"/>
                                                                    <w:right w:val="none" w:sz="0" w:space="0" w:color="auto"/>
                                                                  </w:divBdr>
                                                                  <w:divsChild>
                                                                    <w:div w:id="1566527087">
                                                                      <w:marLeft w:val="0"/>
                                                                      <w:marRight w:val="0"/>
                                                                      <w:marTop w:val="0"/>
                                                                      <w:marBottom w:val="0"/>
                                                                      <w:divBdr>
                                                                        <w:top w:val="none" w:sz="0" w:space="0" w:color="auto"/>
                                                                        <w:left w:val="none" w:sz="0" w:space="0" w:color="auto"/>
                                                                        <w:bottom w:val="none" w:sz="0" w:space="0" w:color="auto"/>
                                                                        <w:right w:val="none" w:sz="0" w:space="0" w:color="auto"/>
                                                                      </w:divBdr>
                                                                      <w:divsChild>
                                                                        <w:div w:id="1207763520">
                                                                          <w:marLeft w:val="0"/>
                                                                          <w:marRight w:val="0"/>
                                                                          <w:marTop w:val="0"/>
                                                                          <w:marBottom w:val="0"/>
                                                                          <w:divBdr>
                                                                            <w:top w:val="none" w:sz="0" w:space="0" w:color="auto"/>
                                                                            <w:left w:val="none" w:sz="0" w:space="0" w:color="auto"/>
                                                                            <w:bottom w:val="none" w:sz="0" w:space="0" w:color="auto"/>
                                                                            <w:right w:val="none" w:sz="0" w:space="0" w:color="auto"/>
                                                                          </w:divBdr>
                                                                          <w:divsChild>
                                                                            <w:div w:id="1696729042">
                                                                              <w:marLeft w:val="0"/>
                                                                              <w:marRight w:val="0"/>
                                                                              <w:marTop w:val="0"/>
                                                                              <w:marBottom w:val="0"/>
                                                                              <w:divBdr>
                                                                                <w:top w:val="none" w:sz="0" w:space="0" w:color="auto"/>
                                                                                <w:left w:val="none" w:sz="0" w:space="0" w:color="auto"/>
                                                                                <w:bottom w:val="none" w:sz="0" w:space="0" w:color="auto"/>
                                                                                <w:right w:val="none" w:sz="0" w:space="0" w:color="auto"/>
                                                                              </w:divBdr>
                                                                              <w:divsChild>
                                                                                <w:div w:id="138233867">
                                                                                  <w:marLeft w:val="0"/>
                                                                                  <w:marRight w:val="0"/>
                                                                                  <w:marTop w:val="0"/>
                                                                                  <w:marBottom w:val="0"/>
                                                                                  <w:divBdr>
                                                                                    <w:top w:val="none" w:sz="0" w:space="0" w:color="auto"/>
                                                                                    <w:left w:val="none" w:sz="0" w:space="0" w:color="auto"/>
                                                                                    <w:bottom w:val="none" w:sz="0" w:space="0" w:color="auto"/>
                                                                                    <w:right w:val="none" w:sz="0" w:space="0" w:color="auto"/>
                                                                                  </w:divBdr>
                                                                                  <w:divsChild>
                                                                                    <w:div w:id="2119713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509975">
                                                                              <w:marLeft w:val="0"/>
                                                                              <w:marRight w:val="0"/>
                                                                              <w:marTop w:val="0"/>
                                                                              <w:marBottom w:val="0"/>
                                                                              <w:divBdr>
                                                                                <w:top w:val="none" w:sz="0" w:space="0" w:color="auto"/>
                                                                                <w:left w:val="none" w:sz="0" w:space="0" w:color="auto"/>
                                                                                <w:bottom w:val="none" w:sz="0" w:space="0" w:color="auto"/>
                                                                                <w:right w:val="none" w:sz="0" w:space="0" w:color="auto"/>
                                                                              </w:divBdr>
                                                                              <w:divsChild>
                                                                                <w:div w:id="662438029">
                                                                                  <w:marLeft w:val="0"/>
                                                                                  <w:marRight w:val="0"/>
                                                                                  <w:marTop w:val="0"/>
                                                                                  <w:marBottom w:val="0"/>
                                                                                  <w:divBdr>
                                                                                    <w:top w:val="none" w:sz="0" w:space="0" w:color="auto"/>
                                                                                    <w:left w:val="none" w:sz="0" w:space="0" w:color="auto"/>
                                                                                    <w:bottom w:val="none" w:sz="0" w:space="0" w:color="auto"/>
                                                                                    <w:right w:val="none" w:sz="0" w:space="0" w:color="auto"/>
                                                                                  </w:divBdr>
                                                                                  <w:divsChild>
                                                                                    <w:div w:id="326709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26181104">
                                                              <w:marLeft w:val="0"/>
                                                              <w:marRight w:val="0"/>
                                                              <w:marTop w:val="0"/>
                                                              <w:marBottom w:val="0"/>
                                                              <w:divBdr>
                                                                <w:top w:val="single" w:sz="2" w:space="0" w:color="E3E3E3"/>
                                                                <w:left w:val="single" w:sz="2" w:space="0" w:color="E3E3E3"/>
                                                                <w:bottom w:val="single" w:sz="2" w:space="0" w:color="E3E3E3"/>
                                                                <w:right w:val="single" w:sz="2" w:space="0" w:color="E3E3E3"/>
                                                              </w:divBdr>
                                                              <w:divsChild>
                                                                <w:div w:id="1541669149">
                                                                  <w:marLeft w:val="0"/>
                                                                  <w:marRight w:val="0"/>
                                                                  <w:marTop w:val="0"/>
                                                                  <w:marBottom w:val="0"/>
                                                                  <w:divBdr>
                                                                    <w:top w:val="none" w:sz="0" w:space="0" w:color="auto"/>
                                                                    <w:left w:val="none" w:sz="0" w:space="0" w:color="auto"/>
                                                                    <w:bottom w:val="none" w:sz="0" w:space="0" w:color="auto"/>
                                                                    <w:right w:val="none" w:sz="0" w:space="0" w:color="auto"/>
                                                                  </w:divBdr>
                                                                  <w:divsChild>
                                                                    <w:div w:id="791635150">
                                                                      <w:marLeft w:val="0"/>
                                                                      <w:marRight w:val="0"/>
                                                                      <w:marTop w:val="0"/>
                                                                      <w:marBottom w:val="0"/>
                                                                      <w:divBdr>
                                                                        <w:top w:val="none" w:sz="0" w:space="0" w:color="auto"/>
                                                                        <w:left w:val="none" w:sz="0" w:space="0" w:color="auto"/>
                                                                        <w:bottom w:val="none" w:sz="0" w:space="0" w:color="auto"/>
                                                                        <w:right w:val="none" w:sz="0" w:space="0" w:color="auto"/>
                                                                      </w:divBdr>
                                                                      <w:divsChild>
                                                                        <w:div w:id="801921482">
                                                                          <w:marLeft w:val="0"/>
                                                                          <w:marRight w:val="0"/>
                                                                          <w:marTop w:val="0"/>
                                                                          <w:marBottom w:val="0"/>
                                                                          <w:divBdr>
                                                                            <w:top w:val="none" w:sz="0" w:space="0" w:color="auto"/>
                                                                            <w:left w:val="none" w:sz="0" w:space="0" w:color="auto"/>
                                                                            <w:bottom w:val="none" w:sz="0" w:space="0" w:color="auto"/>
                                                                            <w:right w:val="none" w:sz="0" w:space="0" w:color="auto"/>
                                                                          </w:divBdr>
                                                                          <w:divsChild>
                                                                            <w:div w:id="440533373">
                                                                              <w:marLeft w:val="0"/>
                                                                              <w:marRight w:val="0"/>
                                                                              <w:marTop w:val="0"/>
                                                                              <w:marBottom w:val="0"/>
                                                                              <w:divBdr>
                                                                                <w:top w:val="none" w:sz="0" w:space="0" w:color="auto"/>
                                                                                <w:left w:val="none" w:sz="0" w:space="0" w:color="auto"/>
                                                                                <w:bottom w:val="none" w:sz="0" w:space="0" w:color="auto"/>
                                                                                <w:right w:val="none" w:sz="0" w:space="0" w:color="auto"/>
                                                                              </w:divBdr>
                                                                              <w:divsChild>
                                                                                <w:div w:id="1087385063">
                                                                                  <w:marLeft w:val="0"/>
                                                                                  <w:marRight w:val="0"/>
                                                                                  <w:marTop w:val="0"/>
                                                                                  <w:marBottom w:val="0"/>
                                                                                  <w:divBdr>
                                                                                    <w:top w:val="none" w:sz="0" w:space="0" w:color="auto"/>
                                                                                    <w:left w:val="none" w:sz="0" w:space="0" w:color="auto"/>
                                                                                    <w:bottom w:val="none" w:sz="0" w:space="0" w:color="auto"/>
                                                                                    <w:right w:val="none" w:sz="0" w:space="0" w:color="auto"/>
                                                                                  </w:divBdr>
                                                                                  <w:divsChild>
                                                                                    <w:div w:id="494222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8580264">
                                                                              <w:marLeft w:val="0"/>
                                                                              <w:marRight w:val="0"/>
                                                                              <w:marTop w:val="0"/>
                                                                              <w:marBottom w:val="0"/>
                                                                              <w:divBdr>
                                                                                <w:top w:val="none" w:sz="0" w:space="0" w:color="auto"/>
                                                                                <w:left w:val="none" w:sz="0" w:space="0" w:color="auto"/>
                                                                                <w:bottom w:val="none" w:sz="0" w:space="0" w:color="auto"/>
                                                                                <w:right w:val="none" w:sz="0" w:space="0" w:color="auto"/>
                                                                              </w:divBdr>
                                                                              <w:divsChild>
                                                                                <w:div w:id="1163550066">
                                                                                  <w:marLeft w:val="0"/>
                                                                                  <w:marRight w:val="0"/>
                                                                                  <w:marTop w:val="0"/>
                                                                                  <w:marBottom w:val="0"/>
                                                                                  <w:divBdr>
                                                                                    <w:top w:val="none" w:sz="0" w:space="0" w:color="auto"/>
                                                                                    <w:left w:val="none" w:sz="0" w:space="0" w:color="auto"/>
                                                                                    <w:bottom w:val="none" w:sz="0" w:space="0" w:color="auto"/>
                                                                                    <w:right w:val="none" w:sz="0" w:space="0" w:color="auto"/>
                                                                                  </w:divBdr>
                                                                                  <w:divsChild>
                                                                                    <w:div w:id="339044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56890616">
                                                              <w:marLeft w:val="0"/>
                                                              <w:marRight w:val="0"/>
                                                              <w:marTop w:val="0"/>
                                                              <w:marBottom w:val="0"/>
                                                              <w:divBdr>
                                                                <w:top w:val="single" w:sz="2" w:space="0" w:color="E3E3E3"/>
                                                                <w:left w:val="single" w:sz="2" w:space="0" w:color="E3E3E3"/>
                                                                <w:bottom w:val="single" w:sz="2" w:space="0" w:color="E3E3E3"/>
                                                                <w:right w:val="single" w:sz="2" w:space="0" w:color="E3E3E3"/>
                                                              </w:divBdr>
                                                              <w:divsChild>
                                                                <w:div w:id="344090089">
                                                                  <w:marLeft w:val="0"/>
                                                                  <w:marRight w:val="0"/>
                                                                  <w:marTop w:val="0"/>
                                                                  <w:marBottom w:val="0"/>
                                                                  <w:divBdr>
                                                                    <w:top w:val="none" w:sz="0" w:space="0" w:color="auto"/>
                                                                    <w:left w:val="none" w:sz="0" w:space="0" w:color="auto"/>
                                                                    <w:bottom w:val="none" w:sz="0" w:space="0" w:color="auto"/>
                                                                    <w:right w:val="none" w:sz="0" w:space="0" w:color="auto"/>
                                                                  </w:divBdr>
                                                                  <w:divsChild>
                                                                    <w:div w:id="422730162">
                                                                      <w:marLeft w:val="0"/>
                                                                      <w:marRight w:val="0"/>
                                                                      <w:marTop w:val="0"/>
                                                                      <w:marBottom w:val="0"/>
                                                                      <w:divBdr>
                                                                        <w:top w:val="none" w:sz="0" w:space="0" w:color="auto"/>
                                                                        <w:left w:val="none" w:sz="0" w:space="0" w:color="auto"/>
                                                                        <w:bottom w:val="none" w:sz="0" w:space="0" w:color="auto"/>
                                                                        <w:right w:val="none" w:sz="0" w:space="0" w:color="auto"/>
                                                                      </w:divBdr>
                                                                      <w:divsChild>
                                                                        <w:div w:id="1162894146">
                                                                          <w:marLeft w:val="0"/>
                                                                          <w:marRight w:val="0"/>
                                                                          <w:marTop w:val="0"/>
                                                                          <w:marBottom w:val="0"/>
                                                                          <w:divBdr>
                                                                            <w:top w:val="none" w:sz="0" w:space="0" w:color="auto"/>
                                                                            <w:left w:val="none" w:sz="0" w:space="0" w:color="auto"/>
                                                                            <w:bottom w:val="none" w:sz="0" w:space="0" w:color="auto"/>
                                                                            <w:right w:val="none" w:sz="0" w:space="0" w:color="auto"/>
                                                                          </w:divBdr>
                                                                          <w:divsChild>
                                                                            <w:div w:id="1215892194">
                                                                              <w:marLeft w:val="0"/>
                                                                              <w:marRight w:val="0"/>
                                                                              <w:marTop w:val="0"/>
                                                                              <w:marBottom w:val="0"/>
                                                                              <w:divBdr>
                                                                                <w:top w:val="none" w:sz="0" w:space="0" w:color="auto"/>
                                                                                <w:left w:val="none" w:sz="0" w:space="0" w:color="auto"/>
                                                                                <w:bottom w:val="none" w:sz="0" w:space="0" w:color="auto"/>
                                                                                <w:right w:val="none" w:sz="0" w:space="0" w:color="auto"/>
                                                                              </w:divBdr>
                                                                              <w:divsChild>
                                                                                <w:div w:id="9306738">
                                                                                  <w:marLeft w:val="0"/>
                                                                                  <w:marRight w:val="0"/>
                                                                                  <w:marTop w:val="0"/>
                                                                                  <w:marBottom w:val="0"/>
                                                                                  <w:divBdr>
                                                                                    <w:top w:val="none" w:sz="0" w:space="0" w:color="auto"/>
                                                                                    <w:left w:val="none" w:sz="0" w:space="0" w:color="auto"/>
                                                                                    <w:bottom w:val="none" w:sz="0" w:space="0" w:color="auto"/>
                                                                                    <w:right w:val="none" w:sz="0" w:space="0" w:color="auto"/>
                                                                                  </w:divBdr>
                                                                                  <w:divsChild>
                                                                                    <w:div w:id="1337415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8208415">
                                                                              <w:marLeft w:val="0"/>
                                                                              <w:marRight w:val="0"/>
                                                                              <w:marTop w:val="0"/>
                                                                              <w:marBottom w:val="0"/>
                                                                              <w:divBdr>
                                                                                <w:top w:val="none" w:sz="0" w:space="0" w:color="auto"/>
                                                                                <w:left w:val="none" w:sz="0" w:space="0" w:color="auto"/>
                                                                                <w:bottom w:val="none" w:sz="0" w:space="0" w:color="auto"/>
                                                                                <w:right w:val="none" w:sz="0" w:space="0" w:color="auto"/>
                                                                              </w:divBdr>
                                                                              <w:divsChild>
                                                                                <w:div w:id="1432818044">
                                                                                  <w:marLeft w:val="0"/>
                                                                                  <w:marRight w:val="0"/>
                                                                                  <w:marTop w:val="0"/>
                                                                                  <w:marBottom w:val="0"/>
                                                                                  <w:divBdr>
                                                                                    <w:top w:val="none" w:sz="0" w:space="0" w:color="auto"/>
                                                                                    <w:left w:val="none" w:sz="0" w:space="0" w:color="auto"/>
                                                                                    <w:bottom w:val="none" w:sz="0" w:space="0" w:color="auto"/>
                                                                                    <w:right w:val="none" w:sz="0" w:space="0" w:color="auto"/>
                                                                                  </w:divBdr>
                                                                                  <w:divsChild>
                                                                                    <w:div w:id="14768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7064252">
                                                              <w:marLeft w:val="0"/>
                                                              <w:marRight w:val="0"/>
                                                              <w:marTop w:val="0"/>
                                                              <w:marBottom w:val="0"/>
                                                              <w:divBdr>
                                                                <w:top w:val="single" w:sz="2" w:space="0" w:color="E3E3E3"/>
                                                                <w:left w:val="single" w:sz="2" w:space="0" w:color="E3E3E3"/>
                                                                <w:bottom w:val="single" w:sz="2" w:space="0" w:color="E3E3E3"/>
                                                                <w:right w:val="single" w:sz="2" w:space="0" w:color="E3E3E3"/>
                                                              </w:divBdr>
                                                              <w:divsChild>
                                                                <w:div w:id="482241824">
                                                                  <w:marLeft w:val="0"/>
                                                                  <w:marRight w:val="0"/>
                                                                  <w:marTop w:val="0"/>
                                                                  <w:marBottom w:val="0"/>
                                                                  <w:divBdr>
                                                                    <w:top w:val="none" w:sz="0" w:space="0" w:color="auto"/>
                                                                    <w:left w:val="none" w:sz="0" w:space="0" w:color="auto"/>
                                                                    <w:bottom w:val="none" w:sz="0" w:space="0" w:color="auto"/>
                                                                    <w:right w:val="none" w:sz="0" w:space="0" w:color="auto"/>
                                                                  </w:divBdr>
                                                                  <w:divsChild>
                                                                    <w:div w:id="1244874334">
                                                                      <w:marLeft w:val="0"/>
                                                                      <w:marRight w:val="0"/>
                                                                      <w:marTop w:val="0"/>
                                                                      <w:marBottom w:val="0"/>
                                                                      <w:divBdr>
                                                                        <w:top w:val="none" w:sz="0" w:space="0" w:color="auto"/>
                                                                        <w:left w:val="none" w:sz="0" w:space="0" w:color="auto"/>
                                                                        <w:bottom w:val="none" w:sz="0" w:space="0" w:color="auto"/>
                                                                        <w:right w:val="none" w:sz="0" w:space="0" w:color="auto"/>
                                                                      </w:divBdr>
                                                                      <w:divsChild>
                                                                        <w:div w:id="212818305">
                                                                          <w:marLeft w:val="0"/>
                                                                          <w:marRight w:val="0"/>
                                                                          <w:marTop w:val="0"/>
                                                                          <w:marBottom w:val="0"/>
                                                                          <w:divBdr>
                                                                            <w:top w:val="none" w:sz="0" w:space="0" w:color="auto"/>
                                                                            <w:left w:val="none" w:sz="0" w:space="0" w:color="auto"/>
                                                                            <w:bottom w:val="none" w:sz="0" w:space="0" w:color="auto"/>
                                                                            <w:right w:val="none" w:sz="0" w:space="0" w:color="auto"/>
                                                                          </w:divBdr>
                                                                          <w:divsChild>
                                                                            <w:div w:id="1522812809">
                                                                              <w:marLeft w:val="0"/>
                                                                              <w:marRight w:val="0"/>
                                                                              <w:marTop w:val="0"/>
                                                                              <w:marBottom w:val="0"/>
                                                                              <w:divBdr>
                                                                                <w:top w:val="none" w:sz="0" w:space="0" w:color="auto"/>
                                                                                <w:left w:val="none" w:sz="0" w:space="0" w:color="auto"/>
                                                                                <w:bottom w:val="none" w:sz="0" w:space="0" w:color="auto"/>
                                                                                <w:right w:val="none" w:sz="0" w:space="0" w:color="auto"/>
                                                                              </w:divBdr>
                                                                              <w:divsChild>
                                                                                <w:div w:id="984625284">
                                                                                  <w:marLeft w:val="0"/>
                                                                                  <w:marRight w:val="0"/>
                                                                                  <w:marTop w:val="0"/>
                                                                                  <w:marBottom w:val="0"/>
                                                                                  <w:divBdr>
                                                                                    <w:top w:val="none" w:sz="0" w:space="0" w:color="auto"/>
                                                                                    <w:left w:val="none" w:sz="0" w:space="0" w:color="auto"/>
                                                                                    <w:bottom w:val="none" w:sz="0" w:space="0" w:color="auto"/>
                                                                                    <w:right w:val="none" w:sz="0" w:space="0" w:color="auto"/>
                                                                                  </w:divBdr>
                                                                                  <w:divsChild>
                                                                                    <w:div w:id="1467091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6496111">
                                                                              <w:marLeft w:val="0"/>
                                                                              <w:marRight w:val="0"/>
                                                                              <w:marTop w:val="0"/>
                                                                              <w:marBottom w:val="0"/>
                                                                              <w:divBdr>
                                                                                <w:top w:val="none" w:sz="0" w:space="0" w:color="auto"/>
                                                                                <w:left w:val="none" w:sz="0" w:space="0" w:color="auto"/>
                                                                                <w:bottom w:val="none" w:sz="0" w:space="0" w:color="auto"/>
                                                                                <w:right w:val="none" w:sz="0" w:space="0" w:color="auto"/>
                                                                              </w:divBdr>
                                                                              <w:divsChild>
                                                                                <w:div w:id="486215561">
                                                                                  <w:marLeft w:val="0"/>
                                                                                  <w:marRight w:val="0"/>
                                                                                  <w:marTop w:val="0"/>
                                                                                  <w:marBottom w:val="0"/>
                                                                                  <w:divBdr>
                                                                                    <w:top w:val="none" w:sz="0" w:space="0" w:color="auto"/>
                                                                                    <w:left w:val="none" w:sz="0" w:space="0" w:color="auto"/>
                                                                                    <w:bottom w:val="none" w:sz="0" w:space="0" w:color="auto"/>
                                                                                    <w:right w:val="none" w:sz="0" w:space="0" w:color="auto"/>
                                                                                  </w:divBdr>
                                                                                  <w:divsChild>
                                                                                    <w:div w:id="2056544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06563867">
                                                              <w:marLeft w:val="0"/>
                                                              <w:marRight w:val="0"/>
                                                              <w:marTop w:val="0"/>
                                                              <w:marBottom w:val="0"/>
                                                              <w:divBdr>
                                                                <w:top w:val="single" w:sz="2" w:space="0" w:color="E3E3E3"/>
                                                                <w:left w:val="single" w:sz="2" w:space="0" w:color="E3E3E3"/>
                                                                <w:bottom w:val="single" w:sz="2" w:space="0" w:color="E3E3E3"/>
                                                                <w:right w:val="single" w:sz="2" w:space="0" w:color="E3E3E3"/>
                                                              </w:divBdr>
                                                              <w:divsChild>
                                                                <w:div w:id="631059219">
                                                                  <w:marLeft w:val="0"/>
                                                                  <w:marRight w:val="0"/>
                                                                  <w:marTop w:val="0"/>
                                                                  <w:marBottom w:val="0"/>
                                                                  <w:divBdr>
                                                                    <w:top w:val="none" w:sz="0" w:space="0" w:color="auto"/>
                                                                    <w:left w:val="none" w:sz="0" w:space="0" w:color="auto"/>
                                                                    <w:bottom w:val="none" w:sz="0" w:space="0" w:color="auto"/>
                                                                    <w:right w:val="none" w:sz="0" w:space="0" w:color="auto"/>
                                                                  </w:divBdr>
                                                                  <w:divsChild>
                                                                    <w:div w:id="2025857688">
                                                                      <w:marLeft w:val="0"/>
                                                                      <w:marRight w:val="0"/>
                                                                      <w:marTop w:val="0"/>
                                                                      <w:marBottom w:val="0"/>
                                                                      <w:divBdr>
                                                                        <w:top w:val="none" w:sz="0" w:space="0" w:color="auto"/>
                                                                        <w:left w:val="none" w:sz="0" w:space="0" w:color="auto"/>
                                                                        <w:bottom w:val="none" w:sz="0" w:space="0" w:color="auto"/>
                                                                        <w:right w:val="none" w:sz="0" w:space="0" w:color="auto"/>
                                                                      </w:divBdr>
                                                                      <w:divsChild>
                                                                        <w:div w:id="1599676194">
                                                                          <w:marLeft w:val="0"/>
                                                                          <w:marRight w:val="0"/>
                                                                          <w:marTop w:val="0"/>
                                                                          <w:marBottom w:val="0"/>
                                                                          <w:divBdr>
                                                                            <w:top w:val="none" w:sz="0" w:space="0" w:color="auto"/>
                                                                            <w:left w:val="none" w:sz="0" w:space="0" w:color="auto"/>
                                                                            <w:bottom w:val="none" w:sz="0" w:space="0" w:color="auto"/>
                                                                            <w:right w:val="none" w:sz="0" w:space="0" w:color="auto"/>
                                                                          </w:divBdr>
                                                                          <w:divsChild>
                                                                            <w:div w:id="1704944338">
                                                                              <w:marLeft w:val="0"/>
                                                                              <w:marRight w:val="0"/>
                                                                              <w:marTop w:val="0"/>
                                                                              <w:marBottom w:val="0"/>
                                                                              <w:divBdr>
                                                                                <w:top w:val="none" w:sz="0" w:space="0" w:color="auto"/>
                                                                                <w:left w:val="none" w:sz="0" w:space="0" w:color="auto"/>
                                                                                <w:bottom w:val="none" w:sz="0" w:space="0" w:color="auto"/>
                                                                                <w:right w:val="none" w:sz="0" w:space="0" w:color="auto"/>
                                                                              </w:divBdr>
                                                                              <w:divsChild>
                                                                                <w:div w:id="810824056">
                                                                                  <w:marLeft w:val="0"/>
                                                                                  <w:marRight w:val="0"/>
                                                                                  <w:marTop w:val="0"/>
                                                                                  <w:marBottom w:val="0"/>
                                                                                  <w:divBdr>
                                                                                    <w:top w:val="none" w:sz="0" w:space="0" w:color="auto"/>
                                                                                    <w:left w:val="none" w:sz="0" w:space="0" w:color="auto"/>
                                                                                    <w:bottom w:val="none" w:sz="0" w:space="0" w:color="auto"/>
                                                                                    <w:right w:val="none" w:sz="0" w:space="0" w:color="auto"/>
                                                                                  </w:divBdr>
                                                                                  <w:divsChild>
                                                                                    <w:div w:id="6760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1759944">
                                                                              <w:marLeft w:val="0"/>
                                                                              <w:marRight w:val="0"/>
                                                                              <w:marTop w:val="0"/>
                                                                              <w:marBottom w:val="0"/>
                                                                              <w:divBdr>
                                                                                <w:top w:val="none" w:sz="0" w:space="0" w:color="auto"/>
                                                                                <w:left w:val="none" w:sz="0" w:space="0" w:color="auto"/>
                                                                                <w:bottom w:val="none" w:sz="0" w:space="0" w:color="auto"/>
                                                                                <w:right w:val="none" w:sz="0" w:space="0" w:color="auto"/>
                                                                              </w:divBdr>
                                                                              <w:divsChild>
                                                                                <w:div w:id="1956982548">
                                                                                  <w:marLeft w:val="0"/>
                                                                                  <w:marRight w:val="0"/>
                                                                                  <w:marTop w:val="0"/>
                                                                                  <w:marBottom w:val="0"/>
                                                                                  <w:divBdr>
                                                                                    <w:top w:val="none" w:sz="0" w:space="0" w:color="auto"/>
                                                                                    <w:left w:val="none" w:sz="0" w:space="0" w:color="auto"/>
                                                                                    <w:bottom w:val="none" w:sz="0" w:space="0" w:color="auto"/>
                                                                                    <w:right w:val="none" w:sz="0" w:space="0" w:color="auto"/>
                                                                                  </w:divBdr>
                                                                                  <w:divsChild>
                                                                                    <w:div w:id="1159273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7676116">
                                                              <w:marLeft w:val="0"/>
                                                              <w:marRight w:val="0"/>
                                                              <w:marTop w:val="0"/>
                                                              <w:marBottom w:val="0"/>
                                                              <w:divBdr>
                                                                <w:top w:val="single" w:sz="2" w:space="0" w:color="E3E3E3"/>
                                                                <w:left w:val="single" w:sz="2" w:space="0" w:color="E3E3E3"/>
                                                                <w:bottom w:val="single" w:sz="2" w:space="0" w:color="E3E3E3"/>
                                                                <w:right w:val="single" w:sz="2" w:space="0" w:color="E3E3E3"/>
                                                              </w:divBdr>
                                                              <w:divsChild>
                                                                <w:div w:id="733548889">
                                                                  <w:marLeft w:val="0"/>
                                                                  <w:marRight w:val="0"/>
                                                                  <w:marTop w:val="0"/>
                                                                  <w:marBottom w:val="0"/>
                                                                  <w:divBdr>
                                                                    <w:top w:val="none" w:sz="0" w:space="0" w:color="auto"/>
                                                                    <w:left w:val="none" w:sz="0" w:space="0" w:color="auto"/>
                                                                    <w:bottom w:val="none" w:sz="0" w:space="0" w:color="auto"/>
                                                                    <w:right w:val="none" w:sz="0" w:space="0" w:color="auto"/>
                                                                  </w:divBdr>
                                                                  <w:divsChild>
                                                                    <w:div w:id="1932619771">
                                                                      <w:marLeft w:val="0"/>
                                                                      <w:marRight w:val="0"/>
                                                                      <w:marTop w:val="0"/>
                                                                      <w:marBottom w:val="0"/>
                                                                      <w:divBdr>
                                                                        <w:top w:val="none" w:sz="0" w:space="0" w:color="auto"/>
                                                                        <w:left w:val="none" w:sz="0" w:space="0" w:color="auto"/>
                                                                        <w:bottom w:val="none" w:sz="0" w:space="0" w:color="auto"/>
                                                                        <w:right w:val="none" w:sz="0" w:space="0" w:color="auto"/>
                                                                      </w:divBdr>
                                                                      <w:divsChild>
                                                                        <w:div w:id="138305549">
                                                                          <w:marLeft w:val="0"/>
                                                                          <w:marRight w:val="0"/>
                                                                          <w:marTop w:val="0"/>
                                                                          <w:marBottom w:val="0"/>
                                                                          <w:divBdr>
                                                                            <w:top w:val="none" w:sz="0" w:space="0" w:color="auto"/>
                                                                            <w:left w:val="none" w:sz="0" w:space="0" w:color="auto"/>
                                                                            <w:bottom w:val="none" w:sz="0" w:space="0" w:color="auto"/>
                                                                            <w:right w:val="none" w:sz="0" w:space="0" w:color="auto"/>
                                                                          </w:divBdr>
                                                                          <w:divsChild>
                                                                            <w:div w:id="596644604">
                                                                              <w:marLeft w:val="0"/>
                                                                              <w:marRight w:val="0"/>
                                                                              <w:marTop w:val="0"/>
                                                                              <w:marBottom w:val="0"/>
                                                                              <w:divBdr>
                                                                                <w:top w:val="none" w:sz="0" w:space="0" w:color="auto"/>
                                                                                <w:left w:val="none" w:sz="0" w:space="0" w:color="auto"/>
                                                                                <w:bottom w:val="none" w:sz="0" w:space="0" w:color="auto"/>
                                                                                <w:right w:val="none" w:sz="0" w:space="0" w:color="auto"/>
                                                                              </w:divBdr>
                                                                              <w:divsChild>
                                                                                <w:div w:id="1395542392">
                                                                                  <w:marLeft w:val="0"/>
                                                                                  <w:marRight w:val="0"/>
                                                                                  <w:marTop w:val="0"/>
                                                                                  <w:marBottom w:val="0"/>
                                                                                  <w:divBdr>
                                                                                    <w:top w:val="none" w:sz="0" w:space="0" w:color="auto"/>
                                                                                    <w:left w:val="none" w:sz="0" w:space="0" w:color="auto"/>
                                                                                    <w:bottom w:val="none" w:sz="0" w:space="0" w:color="auto"/>
                                                                                    <w:right w:val="none" w:sz="0" w:space="0" w:color="auto"/>
                                                                                  </w:divBdr>
                                                                                  <w:divsChild>
                                                                                    <w:div w:id="846215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2300534">
                                                                              <w:marLeft w:val="0"/>
                                                                              <w:marRight w:val="0"/>
                                                                              <w:marTop w:val="0"/>
                                                                              <w:marBottom w:val="0"/>
                                                                              <w:divBdr>
                                                                                <w:top w:val="none" w:sz="0" w:space="0" w:color="auto"/>
                                                                                <w:left w:val="none" w:sz="0" w:space="0" w:color="auto"/>
                                                                                <w:bottom w:val="none" w:sz="0" w:space="0" w:color="auto"/>
                                                                                <w:right w:val="none" w:sz="0" w:space="0" w:color="auto"/>
                                                                              </w:divBdr>
                                                                              <w:divsChild>
                                                                                <w:div w:id="1494181814">
                                                                                  <w:marLeft w:val="0"/>
                                                                                  <w:marRight w:val="0"/>
                                                                                  <w:marTop w:val="0"/>
                                                                                  <w:marBottom w:val="0"/>
                                                                                  <w:divBdr>
                                                                                    <w:top w:val="none" w:sz="0" w:space="0" w:color="auto"/>
                                                                                    <w:left w:val="none" w:sz="0" w:space="0" w:color="auto"/>
                                                                                    <w:bottom w:val="none" w:sz="0" w:space="0" w:color="auto"/>
                                                                                    <w:right w:val="none" w:sz="0" w:space="0" w:color="auto"/>
                                                                                  </w:divBdr>
                                                                                  <w:divsChild>
                                                                                    <w:div w:id="1441299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47780538">
                                                              <w:marLeft w:val="0"/>
                                                              <w:marRight w:val="0"/>
                                                              <w:marTop w:val="0"/>
                                                              <w:marBottom w:val="0"/>
                                                              <w:divBdr>
                                                                <w:top w:val="single" w:sz="2" w:space="0" w:color="E3E3E3"/>
                                                                <w:left w:val="single" w:sz="2" w:space="0" w:color="E3E3E3"/>
                                                                <w:bottom w:val="single" w:sz="2" w:space="0" w:color="E3E3E3"/>
                                                                <w:right w:val="single" w:sz="2" w:space="0" w:color="E3E3E3"/>
                                                              </w:divBdr>
                                                              <w:divsChild>
                                                                <w:div w:id="739331447">
                                                                  <w:marLeft w:val="0"/>
                                                                  <w:marRight w:val="0"/>
                                                                  <w:marTop w:val="0"/>
                                                                  <w:marBottom w:val="0"/>
                                                                  <w:divBdr>
                                                                    <w:top w:val="none" w:sz="0" w:space="0" w:color="auto"/>
                                                                    <w:left w:val="none" w:sz="0" w:space="0" w:color="auto"/>
                                                                    <w:bottom w:val="none" w:sz="0" w:space="0" w:color="auto"/>
                                                                    <w:right w:val="none" w:sz="0" w:space="0" w:color="auto"/>
                                                                  </w:divBdr>
                                                                  <w:divsChild>
                                                                    <w:div w:id="1842507658">
                                                                      <w:marLeft w:val="0"/>
                                                                      <w:marRight w:val="0"/>
                                                                      <w:marTop w:val="0"/>
                                                                      <w:marBottom w:val="0"/>
                                                                      <w:divBdr>
                                                                        <w:top w:val="none" w:sz="0" w:space="0" w:color="auto"/>
                                                                        <w:left w:val="none" w:sz="0" w:space="0" w:color="auto"/>
                                                                        <w:bottom w:val="none" w:sz="0" w:space="0" w:color="auto"/>
                                                                        <w:right w:val="none" w:sz="0" w:space="0" w:color="auto"/>
                                                                      </w:divBdr>
                                                                      <w:divsChild>
                                                                        <w:div w:id="317811235">
                                                                          <w:marLeft w:val="0"/>
                                                                          <w:marRight w:val="0"/>
                                                                          <w:marTop w:val="0"/>
                                                                          <w:marBottom w:val="0"/>
                                                                          <w:divBdr>
                                                                            <w:top w:val="none" w:sz="0" w:space="0" w:color="auto"/>
                                                                            <w:left w:val="none" w:sz="0" w:space="0" w:color="auto"/>
                                                                            <w:bottom w:val="none" w:sz="0" w:space="0" w:color="auto"/>
                                                                            <w:right w:val="none" w:sz="0" w:space="0" w:color="auto"/>
                                                                          </w:divBdr>
                                                                          <w:divsChild>
                                                                            <w:div w:id="158272494">
                                                                              <w:marLeft w:val="0"/>
                                                                              <w:marRight w:val="0"/>
                                                                              <w:marTop w:val="0"/>
                                                                              <w:marBottom w:val="0"/>
                                                                              <w:divBdr>
                                                                                <w:top w:val="none" w:sz="0" w:space="0" w:color="auto"/>
                                                                                <w:left w:val="none" w:sz="0" w:space="0" w:color="auto"/>
                                                                                <w:bottom w:val="none" w:sz="0" w:space="0" w:color="auto"/>
                                                                                <w:right w:val="none" w:sz="0" w:space="0" w:color="auto"/>
                                                                              </w:divBdr>
                                                                              <w:divsChild>
                                                                                <w:div w:id="1430737672">
                                                                                  <w:marLeft w:val="0"/>
                                                                                  <w:marRight w:val="0"/>
                                                                                  <w:marTop w:val="0"/>
                                                                                  <w:marBottom w:val="0"/>
                                                                                  <w:divBdr>
                                                                                    <w:top w:val="none" w:sz="0" w:space="0" w:color="auto"/>
                                                                                    <w:left w:val="none" w:sz="0" w:space="0" w:color="auto"/>
                                                                                    <w:bottom w:val="none" w:sz="0" w:space="0" w:color="auto"/>
                                                                                    <w:right w:val="none" w:sz="0" w:space="0" w:color="auto"/>
                                                                                  </w:divBdr>
                                                                                  <w:divsChild>
                                                                                    <w:div w:id="200440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11559">
                                                                              <w:marLeft w:val="0"/>
                                                                              <w:marRight w:val="0"/>
                                                                              <w:marTop w:val="0"/>
                                                                              <w:marBottom w:val="0"/>
                                                                              <w:divBdr>
                                                                                <w:top w:val="none" w:sz="0" w:space="0" w:color="auto"/>
                                                                                <w:left w:val="none" w:sz="0" w:space="0" w:color="auto"/>
                                                                                <w:bottom w:val="none" w:sz="0" w:space="0" w:color="auto"/>
                                                                                <w:right w:val="none" w:sz="0" w:space="0" w:color="auto"/>
                                                                              </w:divBdr>
                                                                              <w:divsChild>
                                                                                <w:div w:id="337118785">
                                                                                  <w:marLeft w:val="0"/>
                                                                                  <w:marRight w:val="0"/>
                                                                                  <w:marTop w:val="0"/>
                                                                                  <w:marBottom w:val="0"/>
                                                                                  <w:divBdr>
                                                                                    <w:top w:val="none" w:sz="0" w:space="0" w:color="auto"/>
                                                                                    <w:left w:val="none" w:sz="0" w:space="0" w:color="auto"/>
                                                                                    <w:bottom w:val="none" w:sz="0" w:space="0" w:color="auto"/>
                                                                                    <w:right w:val="none" w:sz="0" w:space="0" w:color="auto"/>
                                                                                  </w:divBdr>
                                                                                  <w:divsChild>
                                                                                    <w:div w:id="596332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86439260">
                                                              <w:marLeft w:val="0"/>
                                                              <w:marRight w:val="0"/>
                                                              <w:marTop w:val="0"/>
                                                              <w:marBottom w:val="0"/>
                                                              <w:divBdr>
                                                                <w:top w:val="none" w:sz="0" w:space="0" w:color="auto"/>
                                                                <w:left w:val="none" w:sz="0" w:space="0" w:color="auto"/>
                                                                <w:bottom w:val="none" w:sz="0" w:space="0" w:color="auto"/>
                                                                <w:right w:val="none" w:sz="0" w:space="0" w:color="auto"/>
                                                              </w:divBdr>
                                                              <w:divsChild>
                                                                <w:div w:id="1366566826">
                                                                  <w:marLeft w:val="0"/>
                                                                  <w:marRight w:val="0"/>
                                                                  <w:marTop w:val="0"/>
                                                                  <w:marBottom w:val="0"/>
                                                                  <w:divBdr>
                                                                    <w:top w:val="none" w:sz="0" w:space="0" w:color="auto"/>
                                                                    <w:left w:val="none" w:sz="0" w:space="0" w:color="auto"/>
                                                                    <w:bottom w:val="none" w:sz="0" w:space="0" w:color="auto"/>
                                                                    <w:right w:val="none" w:sz="0" w:space="0" w:color="auto"/>
                                                                  </w:divBdr>
                                                                </w:div>
                                                                <w:div w:id="751582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56463075">
                                              <w:marLeft w:val="0"/>
                                              <w:marRight w:val="0"/>
                                              <w:marTop w:val="0"/>
                                              <w:marBottom w:val="0"/>
                                              <w:divBdr>
                                                <w:top w:val="none" w:sz="0" w:space="0" w:color="auto"/>
                                                <w:left w:val="none" w:sz="0" w:space="0" w:color="auto"/>
                                                <w:bottom w:val="none" w:sz="0" w:space="0" w:color="auto"/>
                                                <w:right w:val="none" w:sz="0" w:space="0" w:color="auto"/>
                                              </w:divBdr>
                                              <w:divsChild>
                                                <w:div w:id="1955020214">
                                                  <w:marLeft w:val="0"/>
                                                  <w:marRight w:val="0"/>
                                                  <w:marTop w:val="0"/>
                                                  <w:marBottom w:val="0"/>
                                                  <w:divBdr>
                                                    <w:top w:val="none" w:sz="0" w:space="0" w:color="auto"/>
                                                    <w:left w:val="none" w:sz="0" w:space="0" w:color="auto"/>
                                                    <w:bottom w:val="none" w:sz="0" w:space="0" w:color="auto"/>
                                                    <w:right w:val="none" w:sz="0" w:space="0" w:color="auto"/>
                                                  </w:divBdr>
                                                  <w:divsChild>
                                                    <w:div w:id="615260008">
                                                      <w:marLeft w:val="0"/>
                                                      <w:marRight w:val="0"/>
                                                      <w:marTop w:val="0"/>
                                                      <w:marBottom w:val="0"/>
                                                      <w:divBdr>
                                                        <w:top w:val="none" w:sz="0" w:space="0" w:color="auto"/>
                                                        <w:left w:val="none" w:sz="0" w:space="0" w:color="auto"/>
                                                        <w:bottom w:val="none" w:sz="0" w:space="0" w:color="auto"/>
                                                        <w:right w:val="none" w:sz="0" w:space="0" w:color="auto"/>
                                                      </w:divBdr>
                                                      <w:divsChild>
                                                        <w:div w:id="1199970246">
                                                          <w:marLeft w:val="0"/>
                                                          <w:marRight w:val="0"/>
                                                          <w:marTop w:val="0"/>
                                                          <w:marBottom w:val="0"/>
                                                          <w:divBdr>
                                                            <w:top w:val="none" w:sz="0" w:space="0" w:color="auto"/>
                                                            <w:left w:val="none" w:sz="0" w:space="0" w:color="auto"/>
                                                            <w:bottom w:val="none" w:sz="0" w:space="0" w:color="auto"/>
                                                            <w:right w:val="none" w:sz="0" w:space="0" w:color="auto"/>
                                                          </w:divBdr>
                                                          <w:divsChild>
                                                            <w:div w:id="1586650672">
                                                              <w:marLeft w:val="0"/>
                                                              <w:marRight w:val="0"/>
                                                              <w:marTop w:val="0"/>
                                                              <w:marBottom w:val="0"/>
                                                              <w:divBdr>
                                                                <w:top w:val="none" w:sz="0" w:space="0" w:color="auto"/>
                                                                <w:left w:val="none" w:sz="0" w:space="0" w:color="auto"/>
                                                                <w:bottom w:val="none" w:sz="0" w:space="0" w:color="auto"/>
                                                                <w:right w:val="none" w:sz="0" w:space="0" w:color="auto"/>
                                                              </w:divBdr>
                                                              <w:divsChild>
                                                                <w:div w:id="577903447">
                                                                  <w:marLeft w:val="0"/>
                                                                  <w:marRight w:val="0"/>
                                                                  <w:marTop w:val="0"/>
                                                                  <w:marBottom w:val="0"/>
                                                                  <w:divBdr>
                                                                    <w:top w:val="none" w:sz="0" w:space="0" w:color="auto"/>
                                                                    <w:left w:val="none" w:sz="0" w:space="0" w:color="auto"/>
                                                                    <w:bottom w:val="none" w:sz="0" w:space="0" w:color="auto"/>
                                                                    <w:right w:val="none" w:sz="0" w:space="0" w:color="auto"/>
                                                                  </w:divBdr>
                                                                </w:div>
                                                                <w:div w:id="1537742361">
                                                                  <w:marLeft w:val="0"/>
                                                                  <w:marRight w:val="0"/>
                                                                  <w:marTop w:val="0"/>
                                                                  <w:marBottom w:val="0"/>
                                                                  <w:divBdr>
                                                                    <w:top w:val="none" w:sz="0" w:space="0" w:color="auto"/>
                                                                    <w:left w:val="none" w:sz="0" w:space="0" w:color="auto"/>
                                                                    <w:bottom w:val="none" w:sz="0" w:space="0" w:color="auto"/>
                                                                    <w:right w:val="none" w:sz="0" w:space="0" w:color="auto"/>
                                                                  </w:divBdr>
                                                                </w:div>
                                                              </w:divsChild>
                                                            </w:div>
                                                            <w:div w:id="261107943">
                                                              <w:marLeft w:val="0"/>
                                                              <w:marRight w:val="0"/>
                                                              <w:marTop w:val="0"/>
                                                              <w:marBottom w:val="0"/>
                                                              <w:divBdr>
                                                                <w:top w:val="none" w:sz="0" w:space="0" w:color="auto"/>
                                                                <w:left w:val="none" w:sz="0" w:space="0" w:color="auto"/>
                                                                <w:bottom w:val="none" w:sz="0" w:space="0" w:color="auto"/>
                                                                <w:right w:val="none" w:sz="0" w:space="0" w:color="auto"/>
                                                              </w:divBdr>
                                                              <w:divsChild>
                                                                <w:div w:id="1981037557">
                                                                  <w:marLeft w:val="0"/>
                                                                  <w:marRight w:val="0"/>
                                                                  <w:marTop w:val="0"/>
                                                                  <w:marBottom w:val="0"/>
                                                                  <w:divBdr>
                                                                    <w:top w:val="none" w:sz="0" w:space="0" w:color="auto"/>
                                                                    <w:left w:val="none" w:sz="0" w:space="0" w:color="auto"/>
                                                                    <w:bottom w:val="none" w:sz="0" w:space="0" w:color="auto"/>
                                                                    <w:right w:val="none" w:sz="0" w:space="0" w:color="auto"/>
                                                                  </w:divBdr>
                                                                </w:div>
                                                                <w:div w:id="933710540">
                                                                  <w:marLeft w:val="0"/>
                                                                  <w:marRight w:val="0"/>
                                                                  <w:marTop w:val="0"/>
                                                                  <w:marBottom w:val="0"/>
                                                                  <w:divBdr>
                                                                    <w:top w:val="none" w:sz="0" w:space="0" w:color="auto"/>
                                                                    <w:left w:val="none" w:sz="0" w:space="0" w:color="auto"/>
                                                                    <w:bottom w:val="none" w:sz="0" w:space="0" w:color="auto"/>
                                                                    <w:right w:val="none" w:sz="0" w:space="0" w:color="auto"/>
                                                                  </w:divBdr>
                                                                </w:div>
                                                              </w:divsChild>
                                                            </w:div>
                                                            <w:div w:id="1568952000">
                                                              <w:marLeft w:val="0"/>
                                                              <w:marRight w:val="0"/>
                                                              <w:marTop w:val="0"/>
                                                              <w:marBottom w:val="0"/>
                                                              <w:divBdr>
                                                                <w:top w:val="none" w:sz="0" w:space="0" w:color="auto"/>
                                                                <w:left w:val="none" w:sz="0" w:space="0" w:color="auto"/>
                                                                <w:bottom w:val="none" w:sz="0" w:space="0" w:color="auto"/>
                                                                <w:right w:val="none" w:sz="0" w:space="0" w:color="auto"/>
                                                              </w:divBdr>
                                                              <w:divsChild>
                                                                <w:div w:id="643048470">
                                                                  <w:marLeft w:val="0"/>
                                                                  <w:marRight w:val="0"/>
                                                                  <w:marTop w:val="0"/>
                                                                  <w:marBottom w:val="0"/>
                                                                  <w:divBdr>
                                                                    <w:top w:val="none" w:sz="0" w:space="0" w:color="auto"/>
                                                                    <w:left w:val="none" w:sz="0" w:space="0" w:color="auto"/>
                                                                    <w:bottom w:val="none" w:sz="0" w:space="0" w:color="auto"/>
                                                                    <w:right w:val="none" w:sz="0" w:space="0" w:color="auto"/>
                                                                  </w:divBdr>
                                                                </w:div>
                                                                <w:div w:id="72944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670523509">
          <w:marLeft w:val="0"/>
          <w:marRight w:val="0"/>
          <w:marTop w:val="0"/>
          <w:marBottom w:val="0"/>
          <w:divBdr>
            <w:top w:val="none" w:sz="0" w:space="0" w:color="auto"/>
            <w:left w:val="none" w:sz="0" w:space="0" w:color="auto"/>
            <w:bottom w:val="none" w:sz="0" w:space="0" w:color="auto"/>
            <w:right w:val="none" w:sz="0" w:space="0" w:color="auto"/>
          </w:divBdr>
          <w:divsChild>
            <w:div w:id="929317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1612602">
      <w:bodyDiv w:val="1"/>
      <w:marLeft w:val="0"/>
      <w:marRight w:val="0"/>
      <w:marTop w:val="0"/>
      <w:marBottom w:val="0"/>
      <w:divBdr>
        <w:top w:val="none" w:sz="0" w:space="0" w:color="auto"/>
        <w:left w:val="none" w:sz="0" w:space="0" w:color="auto"/>
        <w:bottom w:val="none" w:sz="0" w:space="0" w:color="auto"/>
        <w:right w:val="none" w:sz="0" w:space="0" w:color="auto"/>
      </w:divBdr>
      <w:divsChild>
        <w:div w:id="737020342">
          <w:marLeft w:val="0"/>
          <w:marRight w:val="0"/>
          <w:marTop w:val="0"/>
          <w:marBottom w:val="0"/>
          <w:divBdr>
            <w:top w:val="none" w:sz="0" w:space="0" w:color="auto"/>
            <w:left w:val="none" w:sz="0" w:space="0" w:color="auto"/>
            <w:bottom w:val="single" w:sz="12" w:space="0" w:color="006699"/>
            <w:right w:val="none" w:sz="0" w:space="0" w:color="auto"/>
          </w:divBdr>
          <w:divsChild>
            <w:div w:id="2077972182">
              <w:marLeft w:val="0"/>
              <w:marRight w:val="0"/>
              <w:marTop w:val="0"/>
              <w:marBottom w:val="0"/>
              <w:divBdr>
                <w:top w:val="none" w:sz="0" w:space="0" w:color="auto"/>
                <w:left w:val="none" w:sz="0" w:space="0" w:color="auto"/>
                <w:bottom w:val="none" w:sz="0" w:space="0" w:color="auto"/>
                <w:right w:val="none" w:sz="0" w:space="0" w:color="auto"/>
              </w:divBdr>
              <w:divsChild>
                <w:div w:id="1009286199">
                  <w:marLeft w:val="0"/>
                  <w:marRight w:val="0"/>
                  <w:marTop w:val="0"/>
                  <w:marBottom w:val="0"/>
                  <w:divBdr>
                    <w:top w:val="none" w:sz="0" w:space="0" w:color="auto"/>
                    <w:left w:val="none" w:sz="0" w:space="0" w:color="auto"/>
                    <w:bottom w:val="none" w:sz="0" w:space="0" w:color="auto"/>
                    <w:right w:val="none" w:sz="0" w:space="0" w:color="auto"/>
                  </w:divBdr>
                  <w:divsChild>
                    <w:div w:id="1208026868">
                      <w:marLeft w:val="0"/>
                      <w:marRight w:val="0"/>
                      <w:marTop w:val="0"/>
                      <w:marBottom w:val="0"/>
                      <w:divBdr>
                        <w:top w:val="none" w:sz="0" w:space="0" w:color="auto"/>
                        <w:left w:val="none" w:sz="0" w:space="0" w:color="auto"/>
                        <w:bottom w:val="none" w:sz="0" w:space="0" w:color="auto"/>
                        <w:right w:val="none" w:sz="0" w:space="0" w:color="auto"/>
                      </w:divBdr>
                      <w:divsChild>
                        <w:div w:id="277563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6294765">
              <w:marLeft w:val="0"/>
              <w:marRight w:val="0"/>
              <w:marTop w:val="0"/>
              <w:marBottom w:val="0"/>
              <w:divBdr>
                <w:top w:val="none" w:sz="0" w:space="0" w:color="auto"/>
                <w:left w:val="none" w:sz="0" w:space="0" w:color="auto"/>
                <w:bottom w:val="none" w:sz="0" w:space="0" w:color="auto"/>
                <w:right w:val="none" w:sz="0" w:space="0" w:color="auto"/>
              </w:divBdr>
            </w:div>
            <w:div w:id="1077746084">
              <w:marLeft w:val="0"/>
              <w:marRight w:val="0"/>
              <w:marTop w:val="0"/>
              <w:marBottom w:val="0"/>
              <w:divBdr>
                <w:top w:val="none" w:sz="0" w:space="0" w:color="auto"/>
                <w:left w:val="none" w:sz="0" w:space="0" w:color="auto"/>
                <w:bottom w:val="none" w:sz="0" w:space="0" w:color="auto"/>
                <w:right w:val="none" w:sz="0" w:space="0" w:color="auto"/>
              </w:divBdr>
              <w:divsChild>
                <w:div w:id="400448573">
                  <w:marLeft w:val="0"/>
                  <w:marRight w:val="0"/>
                  <w:marTop w:val="0"/>
                  <w:marBottom w:val="0"/>
                  <w:divBdr>
                    <w:top w:val="none" w:sz="0" w:space="0" w:color="auto"/>
                    <w:left w:val="none" w:sz="0" w:space="0" w:color="auto"/>
                    <w:bottom w:val="none" w:sz="0" w:space="0" w:color="auto"/>
                    <w:right w:val="none" w:sz="0" w:space="0" w:color="auto"/>
                  </w:divBdr>
                  <w:divsChild>
                    <w:div w:id="944456630">
                      <w:marLeft w:val="0"/>
                      <w:marRight w:val="0"/>
                      <w:marTop w:val="0"/>
                      <w:marBottom w:val="0"/>
                      <w:divBdr>
                        <w:top w:val="none" w:sz="0" w:space="0" w:color="auto"/>
                        <w:left w:val="none" w:sz="0" w:space="0" w:color="auto"/>
                        <w:bottom w:val="none" w:sz="0" w:space="0" w:color="auto"/>
                        <w:right w:val="none" w:sz="0" w:space="0" w:color="auto"/>
                      </w:divBdr>
                    </w:div>
                    <w:div w:id="895167462">
                      <w:marLeft w:val="0"/>
                      <w:marRight w:val="0"/>
                      <w:marTop w:val="0"/>
                      <w:marBottom w:val="0"/>
                      <w:divBdr>
                        <w:top w:val="none" w:sz="0" w:space="0" w:color="auto"/>
                        <w:left w:val="none" w:sz="0" w:space="0" w:color="auto"/>
                        <w:bottom w:val="none" w:sz="0" w:space="0" w:color="auto"/>
                        <w:right w:val="none" w:sz="0" w:space="0" w:color="auto"/>
                      </w:divBdr>
                    </w:div>
                    <w:div w:id="189536355">
                      <w:marLeft w:val="0"/>
                      <w:marRight w:val="0"/>
                      <w:marTop w:val="0"/>
                      <w:marBottom w:val="0"/>
                      <w:divBdr>
                        <w:top w:val="none" w:sz="0" w:space="0" w:color="auto"/>
                        <w:left w:val="none" w:sz="0" w:space="0" w:color="auto"/>
                        <w:bottom w:val="none" w:sz="0" w:space="0" w:color="auto"/>
                        <w:right w:val="none" w:sz="0" w:space="0" w:color="auto"/>
                      </w:divBdr>
                      <w:divsChild>
                        <w:div w:id="873688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5727799">
                  <w:marLeft w:val="0"/>
                  <w:marRight w:val="0"/>
                  <w:marTop w:val="0"/>
                  <w:marBottom w:val="0"/>
                  <w:divBdr>
                    <w:top w:val="none" w:sz="0" w:space="0" w:color="auto"/>
                    <w:left w:val="none" w:sz="0" w:space="0" w:color="auto"/>
                    <w:bottom w:val="none" w:sz="0" w:space="0" w:color="auto"/>
                    <w:right w:val="none" w:sz="0" w:space="0" w:color="auto"/>
                  </w:divBdr>
                  <w:divsChild>
                    <w:div w:id="1110004788">
                      <w:marLeft w:val="0"/>
                      <w:marRight w:val="0"/>
                      <w:marTop w:val="0"/>
                      <w:marBottom w:val="0"/>
                      <w:divBdr>
                        <w:top w:val="none" w:sz="0" w:space="0" w:color="auto"/>
                        <w:left w:val="none" w:sz="0" w:space="0" w:color="auto"/>
                        <w:bottom w:val="none" w:sz="0" w:space="0" w:color="auto"/>
                        <w:right w:val="none" w:sz="0" w:space="0" w:color="auto"/>
                      </w:divBdr>
                    </w:div>
                    <w:div w:id="1992321731">
                      <w:marLeft w:val="0"/>
                      <w:marRight w:val="0"/>
                      <w:marTop w:val="0"/>
                      <w:marBottom w:val="0"/>
                      <w:divBdr>
                        <w:top w:val="none" w:sz="0" w:space="0" w:color="auto"/>
                        <w:left w:val="none" w:sz="0" w:space="0" w:color="auto"/>
                        <w:bottom w:val="none" w:sz="0" w:space="0" w:color="auto"/>
                        <w:right w:val="none" w:sz="0" w:space="0" w:color="auto"/>
                      </w:divBdr>
                    </w:div>
                    <w:div w:id="1422530237">
                      <w:marLeft w:val="0"/>
                      <w:marRight w:val="0"/>
                      <w:marTop w:val="0"/>
                      <w:marBottom w:val="0"/>
                      <w:divBdr>
                        <w:top w:val="none" w:sz="0" w:space="0" w:color="auto"/>
                        <w:left w:val="none" w:sz="0" w:space="0" w:color="auto"/>
                        <w:bottom w:val="none" w:sz="0" w:space="0" w:color="auto"/>
                        <w:right w:val="none" w:sz="0" w:space="0" w:color="auto"/>
                      </w:divBdr>
                    </w:div>
                    <w:div w:id="1536963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0395540">
          <w:marLeft w:val="0"/>
          <w:marRight w:val="0"/>
          <w:marTop w:val="0"/>
          <w:marBottom w:val="0"/>
          <w:divBdr>
            <w:top w:val="none" w:sz="0" w:space="0" w:color="auto"/>
            <w:left w:val="none" w:sz="0" w:space="0" w:color="auto"/>
            <w:bottom w:val="single" w:sz="6" w:space="0" w:color="333333"/>
            <w:right w:val="none" w:sz="0" w:space="0" w:color="auto"/>
          </w:divBdr>
          <w:divsChild>
            <w:div w:id="21979438">
              <w:marLeft w:val="0"/>
              <w:marRight w:val="0"/>
              <w:marTop w:val="0"/>
              <w:marBottom w:val="0"/>
              <w:divBdr>
                <w:top w:val="none" w:sz="0" w:space="0" w:color="auto"/>
                <w:left w:val="none" w:sz="0" w:space="0" w:color="auto"/>
                <w:bottom w:val="none" w:sz="0" w:space="0" w:color="auto"/>
                <w:right w:val="none" w:sz="0" w:space="0" w:color="auto"/>
              </w:divBdr>
              <w:divsChild>
                <w:div w:id="687802438">
                  <w:marLeft w:val="0"/>
                  <w:marRight w:val="0"/>
                  <w:marTop w:val="0"/>
                  <w:marBottom w:val="0"/>
                  <w:divBdr>
                    <w:top w:val="none" w:sz="0" w:space="0" w:color="auto"/>
                    <w:left w:val="none" w:sz="0" w:space="0" w:color="auto"/>
                    <w:bottom w:val="none" w:sz="0" w:space="0" w:color="auto"/>
                    <w:right w:val="none" w:sz="0" w:space="0" w:color="auto"/>
                  </w:divBdr>
                  <w:divsChild>
                    <w:div w:id="1838374646">
                      <w:marLeft w:val="0"/>
                      <w:marRight w:val="0"/>
                      <w:marTop w:val="0"/>
                      <w:marBottom w:val="0"/>
                      <w:divBdr>
                        <w:top w:val="none" w:sz="0" w:space="0" w:color="auto"/>
                        <w:left w:val="none" w:sz="0" w:space="0" w:color="auto"/>
                        <w:bottom w:val="none" w:sz="0" w:space="0" w:color="auto"/>
                        <w:right w:val="none" w:sz="0" w:space="0" w:color="auto"/>
                      </w:divBdr>
                      <w:divsChild>
                        <w:div w:id="388575335">
                          <w:marLeft w:val="0"/>
                          <w:marRight w:val="0"/>
                          <w:marTop w:val="0"/>
                          <w:marBottom w:val="0"/>
                          <w:divBdr>
                            <w:top w:val="none" w:sz="0" w:space="0" w:color="auto"/>
                            <w:left w:val="none" w:sz="0" w:space="0" w:color="auto"/>
                            <w:bottom w:val="dotted" w:sz="6" w:space="0" w:color="FEA957"/>
                            <w:right w:val="none" w:sz="0" w:space="0" w:color="auto"/>
                          </w:divBdr>
                          <w:divsChild>
                            <w:div w:id="2078556108">
                              <w:marLeft w:val="0"/>
                              <w:marRight w:val="0"/>
                              <w:marTop w:val="0"/>
                              <w:marBottom w:val="0"/>
                              <w:divBdr>
                                <w:top w:val="none" w:sz="0" w:space="0" w:color="auto"/>
                                <w:left w:val="none" w:sz="0" w:space="0" w:color="auto"/>
                                <w:bottom w:val="none" w:sz="0" w:space="0" w:color="auto"/>
                                <w:right w:val="none" w:sz="0" w:space="0" w:color="auto"/>
                              </w:divBdr>
                              <w:divsChild>
                                <w:div w:id="74936075">
                                  <w:marLeft w:val="0"/>
                                  <w:marRight w:val="0"/>
                                  <w:marTop w:val="0"/>
                                  <w:marBottom w:val="450"/>
                                  <w:divBdr>
                                    <w:top w:val="none" w:sz="0" w:space="0" w:color="auto"/>
                                    <w:left w:val="none" w:sz="0" w:space="0" w:color="auto"/>
                                    <w:bottom w:val="none" w:sz="0" w:space="0" w:color="auto"/>
                                    <w:right w:val="none" w:sz="0" w:space="0" w:color="auto"/>
                                  </w:divBdr>
                                  <w:divsChild>
                                    <w:div w:id="1966810071">
                                      <w:marLeft w:val="0"/>
                                      <w:marRight w:val="0"/>
                                      <w:marTop w:val="0"/>
                                      <w:marBottom w:val="375"/>
                                      <w:divBdr>
                                        <w:top w:val="none" w:sz="0" w:space="0" w:color="auto"/>
                                        <w:left w:val="none" w:sz="0" w:space="0" w:color="auto"/>
                                        <w:bottom w:val="none" w:sz="0" w:space="0" w:color="auto"/>
                                        <w:right w:val="none" w:sz="0" w:space="0" w:color="auto"/>
                                      </w:divBdr>
                                      <w:divsChild>
                                        <w:div w:id="674308341">
                                          <w:marLeft w:val="0"/>
                                          <w:marRight w:val="0"/>
                                          <w:marTop w:val="0"/>
                                          <w:marBottom w:val="0"/>
                                          <w:divBdr>
                                            <w:top w:val="none" w:sz="0" w:space="0" w:color="auto"/>
                                            <w:left w:val="none" w:sz="0" w:space="0" w:color="auto"/>
                                            <w:bottom w:val="none" w:sz="0" w:space="0" w:color="auto"/>
                                            <w:right w:val="none" w:sz="0" w:space="0" w:color="auto"/>
                                          </w:divBdr>
                                        </w:div>
                                      </w:divsChild>
                                    </w:div>
                                    <w:div w:id="39210346">
                                      <w:marLeft w:val="0"/>
                                      <w:marRight w:val="0"/>
                                      <w:marTop w:val="240"/>
                                      <w:marBottom w:val="480"/>
                                      <w:divBdr>
                                        <w:top w:val="none" w:sz="0" w:space="0" w:color="auto"/>
                                        <w:left w:val="none" w:sz="0" w:space="0" w:color="auto"/>
                                        <w:bottom w:val="none" w:sz="0" w:space="0" w:color="auto"/>
                                        <w:right w:val="none" w:sz="0" w:space="0" w:color="auto"/>
                                      </w:divBdr>
                                      <w:divsChild>
                                        <w:div w:id="301083224">
                                          <w:marLeft w:val="0"/>
                                          <w:marRight w:val="0"/>
                                          <w:marTop w:val="0"/>
                                          <w:marBottom w:val="0"/>
                                          <w:divBdr>
                                            <w:top w:val="none" w:sz="0" w:space="0" w:color="auto"/>
                                            <w:left w:val="none" w:sz="0" w:space="0" w:color="auto"/>
                                            <w:bottom w:val="dotted" w:sz="6" w:space="6" w:color="999999"/>
                                            <w:right w:val="none" w:sz="0" w:space="0" w:color="auto"/>
                                          </w:divBdr>
                                        </w:div>
                                        <w:div w:id="397751380">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 w:id="112790067">
                                  <w:marLeft w:val="0"/>
                                  <w:marRight w:val="0"/>
                                  <w:marTop w:val="0"/>
                                  <w:marBottom w:val="450"/>
                                  <w:divBdr>
                                    <w:top w:val="none" w:sz="0" w:space="0" w:color="auto"/>
                                    <w:left w:val="none" w:sz="0" w:space="0" w:color="auto"/>
                                    <w:bottom w:val="none" w:sz="0" w:space="0" w:color="auto"/>
                                    <w:right w:val="none" w:sz="0" w:space="0" w:color="auto"/>
                                  </w:divBdr>
                                  <w:divsChild>
                                    <w:div w:id="1923833263">
                                      <w:marLeft w:val="0"/>
                                      <w:marRight w:val="0"/>
                                      <w:marTop w:val="0"/>
                                      <w:marBottom w:val="375"/>
                                      <w:divBdr>
                                        <w:top w:val="none" w:sz="0" w:space="0" w:color="auto"/>
                                        <w:left w:val="none" w:sz="0" w:space="0" w:color="auto"/>
                                        <w:bottom w:val="none" w:sz="0" w:space="0" w:color="auto"/>
                                        <w:right w:val="none" w:sz="0" w:space="0" w:color="auto"/>
                                      </w:divBdr>
                                      <w:divsChild>
                                        <w:div w:id="368648447">
                                          <w:marLeft w:val="0"/>
                                          <w:marRight w:val="0"/>
                                          <w:marTop w:val="0"/>
                                          <w:marBottom w:val="0"/>
                                          <w:divBdr>
                                            <w:top w:val="none" w:sz="0" w:space="0" w:color="auto"/>
                                            <w:left w:val="none" w:sz="0" w:space="0" w:color="auto"/>
                                            <w:bottom w:val="none" w:sz="0" w:space="0" w:color="auto"/>
                                            <w:right w:val="none" w:sz="0" w:space="0" w:color="auto"/>
                                          </w:divBdr>
                                        </w:div>
                                      </w:divsChild>
                                    </w:div>
                                    <w:div w:id="1583447469">
                                      <w:marLeft w:val="0"/>
                                      <w:marRight w:val="0"/>
                                      <w:marTop w:val="0"/>
                                      <w:marBottom w:val="0"/>
                                      <w:divBdr>
                                        <w:top w:val="none" w:sz="0" w:space="0" w:color="auto"/>
                                        <w:left w:val="none" w:sz="0" w:space="0" w:color="auto"/>
                                        <w:bottom w:val="none" w:sz="0" w:space="0" w:color="auto"/>
                                        <w:right w:val="none" w:sz="0" w:space="0" w:color="auto"/>
                                      </w:divBdr>
                                      <w:divsChild>
                                        <w:div w:id="638921670">
                                          <w:marLeft w:val="0"/>
                                          <w:marRight w:val="0"/>
                                          <w:marTop w:val="240"/>
                                          <w:marBottom w:val="240"/>
                                          <w:divBdr>
                                            <w:top w:val="none" w:sz="0" w:space="0" w:color="auto"/>
                                            <w:left w:val="none" w:sz="0" w:space="0" w:color="auto"/>
                                            <w:bottom w:val="none" w:sz="0" w:space="0" w:color="auto"/>
                                            <w:right w:val="none" w:sz="0" w:space="0" w:color="auto"/>
                                          </w:divBdr>
                                        </w:div>
                                        <w:div w:id="1404640183">
                                          <w:marLeft w:val="0"/>
                                          <w:marRight w:val="0"/>
                                          <w:marTop w:val="240"/>
                                          <w:marBottom w:val="240"/>
                                          <w:divBdr>
                                            <w:top w:val="none" w:sz="0" w:space="0" w:color="auto"/>
                                            <w:left w:val="none" w:sz="0" w:space="0" w:color="auto"/>
                                            <w:bottom w:val="none" w:sz="0" w:space="0" w:color="auto"/>
                                            <w:right w:val="none" w:sz="0" w:space="0" w:color="auto"/>
                                          </w:divBdr>
                                        </w:div>
                                      </w:divsChild>
                                    </w:div>
                                    <w:div w:id="1414666058">
                                      <w:marLeft w:val="0"/>
                                      <w:marRight w:val="0"/>
                                      <w:marTop w:val="0"/>
                                      <w:marBottom w:val="0"/>
                                      <w:divBdr>
                                        <w:top w:val="none" w:sz="0" w:space="0" w:color="auto"/>
                                        <w:left w:val="none" w:sz="0" w:space="0" w:color="auto"/>
                                        <w:bottom w:val="none" w:sz="0" w:space="0" w:color="auto"/>
                                        <w:right w:val="none" w:sz="0" w:space="0" w:color="auto"/>
                                      </w:divBdr>
                                      <w:divsChild>
                                        <w:div w:id="2071883927">
                                          <w:marLeft w:val="0"/>
                                          <w:marRight w:val="0"/>
                                          <w:marTop w:val="240"/>
                                          <w:marBottom w:val="240"/>
                                          <w:divBdr>
                                            <w:top w:val="none" w:sz="0" w:space="0" w:color="auto"/>
                                            <w:left w:val="none" w:sz="0" w:space="0" w:color="auto"/>
                                            <w:bottom w:val="none" w:sz="0" w:space="0" w:color="auto"/>
                                            <w:right w:val="none" w:sz="0" w:space="0" w:color="auto"/>
                                          </w:divBdr>
                                        </w:div>
                                        <w:div w:id="222759099">
                                          <w:marLeft w:val="0"/>
                                          <w:marRight w:val="0"/>
                                          <w:marTop w:val="240"/>
                                          <w:marBottom w:val="240"/>
                                          <w:divBdr>
                                            <w:top w:val="none" w:sz="0" w:space="0" w:color="auto"/>
                                            <w:left w:val="none" w:sz="0" w:space="0" w:color="auto"/>
                                            <w:bottom w:val="none" w:sz="0" w:space="0" w:color="auto"/>
                                            <w:right w:val="none" w:sz="0" w:space="0" w:color="auto"/>
                                          </w:divBdr>
                                        </w:div>
                                        <w:div w:id="500126332">
                                          <w:marLeft w:val="0"/>
                                          <w:marRight w:val="0"/>
                                          <w:marTop w:val="240"/>
                                          <w:marBottom w:val="480"/>
                                          <w:divBdr>
                                            <w:top w:val="none" w:sz="0" w:space="0" w:color="auto"/>
                                            <w:left w:val="none" w:sz="0" w:space="0" w:color="auto"/>
                                            <w:bottom w:val="none" w:sz="0" w:space="0" w:color="auto"/>
                                            <w:right w:val="none" w:sz="0" w:space="0" w:color="auto"/>
                                          </w:divBdr>
                                          <w:divsChild>
                                            <w:div w:id="102700341">
                                              <w:marLeft w:val="0"/>
                                              <w:marRight w:val="0"/>
                                              <w:marTop w:val="0"/>
                                              <w:marBottom w:val="0"/>
                                              <w:divBdr>
                                                <w:top w:val="none" w:sz="0" w:space="0" w:color="auto"/>
                                                <w:left w:val="none" w:sz="0" w:space="0" w:color="auto"/>
                                                <w:bottom w:val="dotted" w:sz="6" w:space="6" w:color="999999"/>
                                                <w:right w:val="none" w:sz="0" w:space="0" w:color="auto"/>
                                              </w:divBdr>
                                            </w:div>
                                            <w:div w:id="1337852702">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369792104">
                                          <w:marLeft w:val="0"/>
                                          <w:marRight w:val="0"/>
                                          <w:marTop w:val="240"/>
                                          <w:marBottom w:val="480"/>
                                          <w:divBdr>
                                            <w:top w:val="none" w:sz="0" w:space="0" w:color="auto"/>
                                            <w:left w:val="none" w:sz="0" w:space="0" w:color="auto"/>
                                            <w:bottom w:val="none" w:sz="0" w:space="0" w:color="auto"/>
                                            <w:right w:val="none" w:sz="0" w:space="0" w:color="auto"/>
                                          </w:divBdr>
                                          <w:divsChild>
                                            <w:div w:id="25106747">
                                              <w:marLeft w:val="0"/>
                                              <w:marRight w:val="0"/>
                                              <w:marTop w:val="0"/>
                                              <w:marBottom w:val="0"/>
                                              <w:divBdr>
                                                <w:top w:val="single" w:sz="6" w:space="0" w:color="C6C6C6"/>
                                                <w:left w:val="single" w:sz="6" w:space="0" w:color="C6C6C6"/>
                                                <w:bottom w:val="single" w:sz="6" w:space="0" w:color="C6C6C6"/>
                                                <w:right w:val="single" w:sz="6" w:space="0" w:color="C6C6C6"/>
                                              </w:divBdr>
                                            </w:div>
                                            <w:div w:id="205477214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504132677">
                                  <w:marLeft w:val="0"/>
                                  <w:marRight w:val="0"/>
                                  <w:marTop w:val="0"/>
                                  <w:marBottom w:val="450"/>
                                  <w:divBdr>
                                    <w:top w:val="none" w:sz="0" w:space="0" w:color="auto"/>
                                    <w:left w:val="none" w:sz="0" w:space="0" w:color="auto"/>
                                    <w:bottom w:val="none" w:sz="0" w:space="0" w:color="auto"/>
                                    <w:right w:val="none" w:sz="0" w:space="0" w:color="auto"/>
                                  </w:divBdr>
                                  <w:divsChild>
                                    <w:div w:id="1825004507">
                                      <w:marLeft w:val="0"/>
                                      <w:marRight w:val="0"/>
                                      <w:marTop w:val="0"/>
                                      <w:marBottom w:val="375"/>
                                      <w:divBdr>
                                        <w:top w:val="none" w:sz="0" w:space="0" w:color="auto"/>
                                        <w:left w:val="none" w:sz="0" w:space="0" w:color="auto"/>
                                        <w:bottom w:val="none" w:sz="0" w:space="0" w:color="auto"/>
                                        <w:right w:val="none" w:sz="0" w:space="0" w:color="auto"/>
                                      </w:divBdr>
                                      <w:divsChild>
                                        <w:div w:id="1532911515">
                                          <w:marLeft w:val="0"/>
                                          <w:marRight w:val="0"/>
                                          <w:marTop w:val="0"/>
                                          <w:marBottom w:val="0"/>
                                          <w:divBdr>
                                            <w:top w:val="none" w:sz="0" w:space="0" w:color="auto"/>
                                            <w:left w:val="none" w:sz="0" w:space="0" w:color="auto"/>
                                            <w:bottom w:val="none" w:sz="0" w:space="0" w:color="auto"/>
                                            <w:right w:val="none" w:sz="0" w:space="0" w:color="auto"/>
                                          </w:divBdr>
                                        </w:div>
                                      </w:divsChild>
                                    </w:div>
                                    <w:div w:id="1927958839">
                                      <w:marLeft w:val="0"/>
                                      <w:marRight w:val="0"/>
                                      <w:marTop w:val="0"/>
                                      <w:marBottom w:val="0"/>
                                      <w:divBdr>
                                        <w:top w:val="none" w:sz="0" w:space="0" w:color="auto"/>
                                        <w:left w:val="none" w:sz="0" w:space="0" w:color="auto"/>
                                        <w:bottom w:val="none" w:sz="0" w:space="0" w:color="auto"/>
                                        <w:right w:val="none" w:sz="0" w:space="0" w:color="auto"/>
                                      </w:divBdr>
                                      <w:divsChild>
                                        <w:div w:id="127629178">
                                          <w:marLeft w:val="0"/>
                                          <w:marRight w:val="0"/>
                                          <w:marTop w:val="240"/>
                                          <w:marBottom w:val="240"/>
                                          <w:divBdr>
                                            <w:top w:val="none" w:sz="0" w:space="0" w:color="auto"/>
                                            <w:left w:val="none" w:sz="0" w:space="0" w:color="auto"/>
                                            <w:bottom w:val="none" w:sz="0" w:space="0" w:color="auto"/>
                                            <w:right w:val="none" w:sz="0" w:space="0" w:color="auto"/>
                                          </w:divBdr>
                                        </w:div>
                                        <w:div w:id="157236688">
                                          <w:marLeft w:val="0"/>
                                          <w:marRight w:val="0"/>
                                          <w:marTop w:val="240"/>
                                          <w:marBottom w:val="480"/>
                                          <w:divBdr>
                                            <w:top w:val="none" w:sz="0" w:space="0" w:color="auto"/>
                                            <w:left w:val="none" w:sz="0" w:space="0" w:color="auto"/>
                                            <w:bottom w:val="none" w:sz="0" w:space="0" w:color="auto"/>
                                            <w:right w:val="none" w:sz="0" w:space="0" w:color="auto"/>
                                          </w:divBdr>
                                          <w:divsChild>
                                            <w:div w:id="570232150">
                                              <w:marLeft w:val="0"/>
                                              <w:marRight w:val="0"/>
                                              <w:marTop w:val="0"/>
                                              <w:marBottom w:val="0"/>
                                              <w:divBdr>
                                                <w:top w:val="single" w:sz="6" w:space="0" w:color="C6C6C6"/>
                                                <w:left w:val="single" w:sz="6" w:space="0" w:color="C6C6C6"/>
                                                <w:bottom w:val="single" w:sz="6" w:space="0" w:color="C6C6C6"/>
                                                <w:right w:val="single" w:sz="6" w:space="0" w:color="C6C6C6"/>
                                              </w:divBdr>
                                            </w:div>
                                            <w:div w:id="49122112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005889169">
                                      <w:marLeft w:val="0"/>
                                      <w:marRight w:val="0"/>
                                      <w:marTop w:val="0"/>
                                      <w:marBottom w:val="0"/>
                                      <w:divBdr>
                                        <w:top w:val="none" w:sz="0" w:space="0" w:color="auto"/>
                                        <w:left w:val="none" w:sz="0" w:space="0" w:color="auto"/>
                                        <w:bottom w:val="none" w:sz="0" w:space="0" w:color="auto"/>
                                        <w:right w:val="none" w:sz="0" w:space="0" w:color="auto"/>
                                      </w:divBdr>
                                      <w:divsChild>
                                        <w:div w:id="1881817229">
                                          <w:marLeft w:val="0"/>
                                          <w:marRight w:val="0"/>
                                          <w:marTop w:val="240"/>
                                          <w:marBottom w:val="480"/>
                                          <w:divBdr>
                                            <w:top w:val="none" w:sz="0" w:space="0" w:color="auto"/>
                                            <w:left w:val="none" w:sz="0" w:space="0" w:color="auto"/>
                                            <w:bottom w:val="none" w:sz="0" w:space="0" w:color="auto"/>
                                            <w:right w:val="none" w:sz="0" w:space="0" w:color="auto"/>
                                          </w:divBdr>
                                          <w:divsChild>
                                            <w:div w:id="1085031254">
                                              <w:marLeft w:val="0"/>
                                              <w:marRight w:val="0"/>
                                              <w:marTop w:val="0"/>
                                              <w:marBottom w:val="0"/>
                                              <w:divBdr>
                                                <w:top w:val="none" w:sz="0" w:space="0" w:color="auto"/>
                                                <w:left w:val="none" w:sz="0" w:space="0" w:color="auto"/>
                                                <w:bottom w:val="dotted" w:sz="6" w:space="6" w:color="999999"/>
                                                <w:right w:val="none" w:sz="0" w:space="0" w:color="auto"/>
                                              </w:divBdr>
                                            </w:div>
                                            <w:div w:id="1464034224">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sChild>
                                </w:div>
                                <w:div w:id="318193094">
                                  <w:marLeft w:val="0"/>
                                  <w:marRight w:val="0"/>
                                  <w:marTop w:val="0"/>
                                  <w:marBottom w:val="450"/>
                                  <w:divBdr>
                                    <w:top w:val="none" w:sz="0" w:space="0" w:color="auto"/>
                                    <w:left w:val="none" w:sz="0" w:space="0" w:color="auto"/>
                                    <w:bottom w:val="none" w:sz="0" w:space="0" w:color="auto"/>
                                    <w:right w:val="none" w:sz="0" w:space="0" w:color="auto"/>
                                  </w:divBdr>
                                  <w:divsChild>
                                    <w:div w:id="2058117020">
                                      <w:marLeft w:val="0"/>
                                      <w:marRight w:val="0"/>
                                      <w:marTop w:val="0"/>
                                      <w:marBottom w:val="375"/>
                                      <w:divBdr>
                                        <w:top w:val="none" w:sz="0" w:space="0" w:color="auto"/>
                                        <w:left w:val="none" w:sz="0" w:space="0" w:color="auto"/>
                                        <w:bottom w:val="none" w:sz="0" w:space="0" w:color="auto"/>
                                        <w:right w:val="none" w:sz="0" w:space="0" w:color="auto"/>
                                      </w:divBdr>
                                      <w:divsChild>
                                        <w:div w:id="575673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31484247">
              <w:marLeft w:val="0"/>
              <w:marRight w:val="0"/>
              <w:marTop w:val="0"/>
              <w:marBottom w:val="0"/>
              <w:divBdr>
                <w:top w:val="none" w:sz="0" w:space="0" w:color="auto"/>
                <w:left w:val="none" w:sz="0" w:space="0" w:color="auto"/>
                <w:bottom w:val="single" w:sz="6" w:space="0" w:color="333333"/>
                <w:right w:val="none" w:sz="0" w:space="0" w:color="auto"/>
              </w:divBdr>
              <w:divsChild>
                <w:div w:id="698508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0486620">
          <w:marLeft w:val="0"/>
          <w:marRight w:val="0"/>
          <w:marTop w:val="0"/>
          <w:marBottom w:val="0"/>
          <w:divBdr>
            <w:top w:val="none" w:sz="0" w:space="0" w:color="auto"/>
            <w:left w:val="none" w:sz="0" w:space="0" w:color="auto"/>
            <w:bottom w:val="single" w:sz="6" w:space="0" w:color="333333"/>
            <w:right w:val="none" w:sz="0" w:space="0" w:color="auto"/>
          </w:divBdr>
          <w:divsChild>
            <w:div w:id="1860660821">
              <w:marLeft w:val="0"/>
              <w:marRight w:val="0"/>
              <w:marTop w:val="0"/>
              <w:marBottom w:val="0"/>
              <w:divBdr>
                <w:top w:val="none" w:sz="0" w:space="0" w:color="auto"/>
                <w:left w:val="none" w:sz="0" w:space="0" w:color="auto"/>
                <w:bottom w:val="none" w:sz="0" w:space="0" w:color="auto"/>
                <w:right w:val="none" w:sz="0" w:space="0" w:color="auto"/>
              </w:divBdr>
            </w:div>
            <w:div w:id="1577976108">
              <w:marLeft w:val="0"/>
              <w:marRight w:val="0"/>
              <w:marTop w:val="0"/>
              <w:marBottom w:val="0"/>
              <w:divBdr>
                <w:top w:val="single" w:sz="6" w:space="0" w:color="333333"/>
                <w:left w:val="none" w:sz="0" w:space="0" w:color="auto"/>
                <w:bottom w:val="none" w:sz="0" w:space="0" w:color="auto"/>
                <w:right w:val="none" w:sz="0" w:space="0" w:color="auto"/>
              </w:divBdr>
            </w:div>
            <w:div w:id="853420180">
              <w:marLeft w:val="0"/>
              <w:marRight w:val="0"/>
              <w:marTop w:val="0"/>
              <w:marBottom w:val="0"/>
              <w:divBdr>
                <w:top w:val="single" w:sz="6" w:space="0" w:color="333333"/>
                <w:left w:val="none" w:sz="0" w:space="0" w:color="auto"/>
                <w:bottom w:val="none" w:sz="0" w:space="0" w:color="auto"/>
                <w:right w:val="none" w:sz="0" w:space="0" w:color="auto"/>
              </w:divBdr>
              <w:divsChild>
                <w:div w:id="1253466907">
                  <w:marLeft w:val="0"/>
                  <w:marRight w:val="0"/>
                  <w:marTop w:val="0"/>
                  <w:marBottom w:val="0"/>
                  <w:divBdr>
                    <w:top w:val="none" w:sz="0" w:space="0" w:color="auto"/>
                    <w:left w:val="none" w:sz="0" w:space="0" w:color="auto"/>
                    <w:bottom w:val="none" w:sz="0" w:space="0" w:color="auto"/>
                    <w:right w:val="none" w:sz="0" w:space="0" w:color="auto"/>
                  </w:divBdr>
                  <w:divsChild>
                    <w:div w:id="235745400">
                      <w:marLeft w:val="0"/>
                      <w:marRight w:val="0"/>
                      <w:marTop w:val="0"/>
                      <w:marBottom w:val="0"/>
                      <w:divBdr>
                        <w:top w:val="none" w:sz="0" w:space="0" w:color="auto"/>
                        <w:left w:val="none" w:sz="0" w:space="0" w:color="auto"/>
                        <w:bottom w:val="none" w:sz="0" w:space="0" w:color="auto"/>
                        <w:right w:val="none" w:sz="0" w:space="0" w:color="auto"/>
                      </w:divBdr>
                    </w:div>
                    <w:div w:id="1115294225">
                      <w:marLeft w:val="0"/>
                      <w:marRight w:val="0"/>
                      <w:marTop w:val="0"/>
                      <w:marBottom w:val="0"/>
                      <w:divBdr>
                        <w:top w:val="none" w:sz="0" w:space="0" w:color="auto"/>
                        <w:left w:val="none" w:sz="0" w:space="0" w:color="auto"/>
                        <w:bottom w:val="none" w:sz="0" w:space="0" w:color="auto"/>
                        <w:right w:val="none" w:sz="0" w:space="0" w:color="auto"/>
                      </w:divBdr>
                      <w:divsChild>
                        <w:div w:id="2017221380">
                          <w:marLeft w:val="0"/>
                          <w:marRight w:val="0"/>
                          <w:marTop w:val="0"/>
                          <w:marBottom w:val="0"/>
                          <w:divBdr>
                            <w:top w:val="none" w:sz="0" w:space="0" w:color="auto"/>
                            <w:left w:val="none" w:sz="0" w:space="0" w:color="auto"/>
                            <w:bottom w:val="none" w:sz="0" w:space="0" w:color="auto"/>
                            <w:right w:val="none" w:sz="0" w:space="0" w:color="auto"/>
                          </w:divBdr>
                          <w:divsChild>
                            <w:div w:id="26489066">
                              <w:marLeft w:val="0"/>
                              <w:marRight w:val="0"/>
                              <w:marTop w:val="0"/>
                              <w:marBottom w:val="0"/>
                              <w:divBdr>
                                <w:top w:val="none" w:sz="0" w:space="0" w:color="auto"/>
                                <w:left w:val="none" w:sz="0" w:space="0" w:color="auto"/>
                                <w:bottom w:val="single" w:sz="6" w:space="12" w:color="DDDDDD"/>
                                <w:right w:val="none" w:sz="0" w:space="0" w:color="auto"/>
                              </w:divBdr>
                              <w:divsChild>
                                <w:div w:id="1819766555">
                                  <w:marLeft w:val="0"/>
                                  <w:marRight w:val="0"/>
                                  <w:marTop w:val="0"/>
                                  <w:marBottom w:val="0"/>
                                  <w:divBdr>
                                    <w:top w:val="none" w:sz="0" w:space="0" w:color="auto"/>
                                    <w:left w:val="none" w:sz="0" w:space="0" w:color="auto"/>
                                    <w:bottom w:val="none" w:sz="0" w:space="0" w:color="auto"/>
                                    <w:right w:val="none" w:sz="0" w:space="0" w:color="auto"/>
                                  </w:divBdr>
                                  <w:divsChild>
                                    <w:div w:id="449666261">
                                      <w:marLeft w:val="0"/>
                                      <w:marRight w:val="0"/>
                                      <w:marTop w:val="0"/>
                                      <w:marBottom w:val="0"/>
                                      <w:divBdr>
                                        <w:top w:val="none" w:sz="0" w:space="0" w:color="auto"/>
                                        <w:left w:val="none" w:sz="0" w:space="0" w:color="auto"/>
                                        <w:bottom w:val="none" w:sz="0" w:space="0" w:color="auto"/>
                                        <w:right w:val="none" w:sz="0" w:space="0" w:color="auto"/>
                                      </w:divBdr>
                                      <w:divsChild>
                                        <w:div w:id="93671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2261853">
                              <w:marLeft w:val="0"/>
                              <w:marRight w:val="0"/>
                              <w:marTop w:val="0"/>
                              <w:marBottom w:val="0"/>
                              <w:divBdr>
                                <w:top w:val="none" w:sz="0" w:space="0" w:color="auto"/>
                                <w:left w:val="none" w:sz="0" w:space="0" w:color="auto"/>
                                <w:bottom w:val="single" w:sz="6" w:space="12" w:color="DDDDDD"/>
                                <w:right w:val="none" w:sz="0" w:space="0" w:color="auto"/>
                              </w:divBdr>
                              <w:divsChild>
                                <w:div w:id="613025985">
                                  <w:marLeft w:val="0"/>
                                  <w:marRight w:val="0"/>
                                  <w:marTop w:val="0"/>
                                  <w:marBottom w:val="0"/>
                                  <w:divBdr>
                                    <w:top w:val="none" w:sz="0" w:space="0" w:color="auto"/>
                                    <w:left w:val="none" w:sz="0" w:space="0" w:color="auto"/>
                                    <w:bottom w:val="none" w:sz="0" w:space="0" w:color="auto"/>
                                    <w:right w:val="none" w:sz="0" w:space="0" w:color="auto"/>
                                  </w:divBdr>
                                  <w:divsChild>
                                    <w:div w:id="294526378">
                                      <w:marLeft w:val="0"/>
                                      <w:marRight w:val="0"/>
                                      <w:marTop w:val="0"/>
                                      <w:marBottom w:val="0"/>
                                      <w:divBdr>
                                        <w:top w:val="none" w:sz="0" w:space="0" w:color="auto"/>
                                        <w:left w:val="none" w:sz="0" w:space="0" w:color="auto"/>
                                        <w:bottom w:val="none" w:sz="0" w:space="0" w:color="auto"/>
                                        <w:right w:val="none" w:sz="0" w:space="0" w:color="auto"/>
                                      </w:divBdr>
                                      <w:divsChild>
                                        <w:div w:id="501049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494321">
                              <w:marLeft w:val="0"/>
                              <w:marRight w:val="0"/>
                              <w:marTop w:val="0"/>
                              <w:marBottom w:val="0"/>
                              <w:divBdr>
                                <w:top w:val="none" w:sz="0" w:space="0" w:color="auto"/>
                                <w:left w:val="none" w:sz="0" w:space="0" w:color="auto"/>
                                <w:bottom w:val="single" w:sz="6" w:space="12" w:color="DDDDDD"/>
                                <w:right w:val="none" w:sz="0" w:space="0" w:color="auto"/>
                              </w:divBdr>
                              <w:divsChild>
                                <w:div w:id="98914663">
                                  <w:marLeft w:val="0"/>
                                  <w:marRight w:val="0"/>
                                  <w:marTop w:val="0"/>
                                  <w:marBottom w:val="0"/>
                                  <w:divBdr>
                                    <w:top w:val="none" w:sz="0" w:space="0" w:color="auto"/>
                                    <w:left w:val="none" w:sz="0" w:space="0" w:color="auto"/>
                                    <w:bottom w:val="none" w:sz="0" w:space="0" w:color="auto"/>
                                    <w:right w:val="none" w:sz="0" w:space="0" w:color="auto"/>
                                  </w:divBdr>
                                  <w:divsChild>
                                    <w:div w:id="559169317">
                                      <w:marLeft w:val="0"/>
                                      <w:marRight w:val="0"/>
                                      <w:marTop w:val="0"/>
                                      <w:marBottom w:val="0"/>
                                      <w:divBdr>
                                        <w:top w:val="none" w:sz="0" w:space="0" w:color="auto"/>
                                        <w:left w:val="none" w:sz="0" w:space="0" w:color="auto"/>
                                        <w:bottom w:val="none" w:sz="0" w:space="0" w:color="auto"/>
                                        <w:right w:val="none" w:sz="0" w:space="0" w:color="auto"/>
                                      </w:divBdr>
                                      <w:divsChild>
                                        <w:div w:id="960842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6090573">
                              <w:marLeft w:val="0"/>
                              <w:marRight w:val="0"/>
                              <w:marTop w:val="0"/>
                              <w:marBottom w:val="0"/>
                              <w:divBdr>
                                <w:top w:val="none" w:sz="0" w:space="0" w:color="auto"/>
                                <w:left w:val="none" w:sz="0" w:space="0" w:color="auto"/>
                                <w:bottom w:val="single" w:sz="6" w:space="12" w:color="DDDDDD"/>
                                <w:right w:val="none" w:sz="0" w:space="0" w:color="auto"/>
                              </w:divBdr>
                              <w:divsChild>
                                <w:div w:id="740757894">
                                  <w:marLeft w:val="0"/>
                                  <w:marRight w:val="0"/>
                                  <w:marTop w:val="0"/>
                                  <w:marBottom w:val="0"/>
                                  <w:divBdr>
                                    <w:top w:val="none" w:sz="0" w:space="0" w:color="auto"/>
                                    <w:left w:val="none" w:sz="0" w:space="0" w:color="auto"/>
                                    <w:bottom w:val="none" w:sz="0" w:space="0" w:color="auto"/>
                                    <w:right w:val="none" w:sz="0" w:space="0" w:color="auto"/>
                                  </w:divBdr>
                                  <w:divsChild>
                                    <w:div w:id="5601273">
                                      <w:marLeft w:val="0"/>
                                      <w:marRight w:val="0"/>
                                      <w:marTop w:val="0"/>
                                      <w:marBottom w:val="0"/>
                                      <w:divBdr>
                                        <w:top w:val="none" w:sz="0" w:space="0" w:color="auto"/>
                                        <w:left w:val="none" w:sz="0" w:space="0" w:color="auto"/>
                                        <w:bottom w:val="none" w:sz="0" w:space="0" w:color="auto"/>
                                        <w:right w:val="none" w:sz="0" w:space="0" w:color="auto"/>
                                      </w:divBdr>
                                      <w:divsChild>
                                        <w:div w:id="1003243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6640685">
                              <w:marLeft w:val="0"/>
                              <w:marRight w:val="0"/>
                              <w:marTop w:val="0"/>
                              <w:marBottom w:val="0"/>
                              <w:divBdr>
                                <w:top w:val="none" w:sz="0" w:space="0" w:color="auto"/>
                                <w:left w:val="none" w:sz="0" w:space="0" w:color="auto"/>
                                <w:bottom w:val="single" w:sz="6" w:space="12" w:color="DDDDDD"/>
                                <w:right w:val="none" w:sz="0" w:space="0" w:color="auto"/>
                              </w:divBdr>
                              <w:divsChild>
                                <w:div w:id="330527369">
                                  <w:marLeft w:val="0"/>
                                  <w:marRight w:val="0"/>
                                  <w:marTop w:val="0"/>
                                  <w:marBottom w:val="0"/>
                                  <w:divBdr>
                                    <w:top w:val="none" w:sz="0" w:space="0" w:color="auto"/>
                                    <w:left w:val="none" w:sz="0" w:space="0" w:color="auto"/>
                                    <w:bottom w:val="none" w:sz="0" w:space="0" w:color="auto"/>
                                    <w:right w:val="none" w:sz="0" w:space="0" w:color="auto"/>
                                  </w:divBdr>
                                  <w:divsChild>
                                    <w:div w:id="802507662">
                                      <w:marLeft w:val="0"/>
                                      <w:marRight w:val="0"/>
                                      <w:marTop w:val="0"/>
                                      <w:marBottom w:val="0"/>
                                      <w:divBdr>
                                        <w:top w:val="none" w:sz="0" w:space="0" w:color="auto"/>
                                        <w:left w:val="none" w:sz="0" w:space="0" w:color="auto"/>
                                        <w:bottom w:val="none" w:sz="0" w:space="0" w:color="auto"/>
                                        <w:right w:val="none" w:sz="0" w:space="0" w:color="auto"/>
                                      </w:divBdr>
                                      <w:divsChild>
                                        <w:div w:id="450981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684492">
                              <w:marLeft w:val="0"/>
                              <w:marRight w:val="0"/>
                              <w:marTop w:val="0"/>
                              <w:marBottom w:val="0"/>
                              <w:divBdr>
                                <w:top w:val="none" w:sz="0" w:space="0" w:color="auto"/>
                                <w:left w:val="none" w:sz="0" w:space="0" w:color="auto"/>
                                <w:bottom w:val="single" w:sz="6" w:space="12" w:color="DDDDDD"/>
                                <w:right w:val="none" w:sz="0" w:space="0" w:color="auto"/>
                              </w:divBdr>
                              <w:divsChild>
                                <w:div w:id="549613069">
                                  <w:marLeft w:val="0"/>
                                  <w:marRight w:val="0"/>
                                  <w:marTop w:val="0"/>
                                  <w:marBottom w:val="0"/>
                                  <w:divBdr>
                                    <w:top w:val="none" w:sz="0" w:space="0" w:color="auto"/>
                                    <w:left w:val="none" w:sz="0" w:space="0" w:color="auto"/>
                                    <w:bottom w:val="none" w:sz="0" w:space="0" w:color="auto"/>
                                    <w:right w:val="none" w:sz="0" w:space="0" w:color="auto"/>
                                  </w:divBdr>
                                  <w:divsChild>
                                    <w:div w:id="288053445">
                                      <w:marLeft w:val="0"/>
                                      <w:marRight w:val="0"/>
                                      <w:marTop w:val="0"/>
                                      <w:marBottom w:val="0"/>
                                      <w:divBdr>
                                        <w:top w:val="none" w:sz="0" w:space="0" w:color="auto"/>
                                        <w:left w:val="none" w:sz="0" w:space="0" w:color="auto"/>
                                        <w:bottom w:val="none" w:sz="0" w:space="0" w:color="auto"/>
                                        <w:right w:val="none" w:sz="0" w:space="0" w:color="auto"/>
                                      </w:divBdr>
                                      <w:divsChild>
                                        <w:div w:id="216865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3120741">
                              <w:marLeft w:val="0"/>
                              <w:marRight w:val="0"/>
                              <w:marTop w:val="0"/>
                              <w:marBottom w:val="0"/>
                              <w:divBdr>
                                <w:top w:val="none" w:sz="0" w:space="0" w:color="auto"/>
                                <w:left w:val="none" w:sz="0" w:space="0" w:color="auto"/>
                                <w:bottom w:val="single" w:sz="6" w:space="12" w:color="DDDDDD"/>
                                <w:right w:val="none" w:sz="0" w:space="0" w:color="auto"/>
                              </w:divBdr>
                              <w:divsChild>
                                <w:div w:id="864245702">
                                  <w:marLeft w:val="0"/>
                                  <w:marRight w:val="0"/>
                                  <w:marTop w:val="0"/>
                                  <w:marBottom w:val="0"/>
                                  <w:divBdr>
                                    <w:top w:val="none" w:sz="0" w:space="0" w:color="auto"/>
                                    <w:left w:val="none" w:sz="0" w:space="0" w:color="auto"/>
                                    <w:bottom w:val="none" w:sz="0" w:space="0" w:color="auto"/>
                                    <w:right w:val="none" w:sz="0" w:space="0" w:color="auto"/>
                                  </w:divBdr>
                                  <w:divsChild>
                                    <w:div w:id="278026928">
                                      <w:marLeft w:val="0"/>
                                      <w:marRight w:val="0"/>
                                      <w:marTop w:val="0"/>
                                      <w:marBottom w:val="0"/>
                                      <w:divBdr>
                                        <w:top w:val="none" w:sz="0" w:space="0" w:color="auto"/>
                                        <w:left w:val="none" w:sz="0" w:space="0" w:color="auto"/>
                                        <w:bottom w:val="none" w:sz="0" w:space="0" w:color="auto"/>
                                        <w:right w:val="none" w:sz="0" w:space="0" w:color="auto"/>
                                      </w:divBdr>
                                      <w:divsChild>
                                        <w:div w:id="2096196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1440795">
                              <w:marLeft w:val="0"/>
                              <w:marRight w:val="0"/>
                              <w:marTop w:val="0"/>
                              <w:marBottom w:val="0"/>
                              <w:divBdr>
                                <w:top w:val="none" w:sz="0" w:space="0" w:color="auto"/>
                                <w:left w:val="none" w:sz="0" w:space="0" w:color="auto"/>
                                <w:bottom w:val="single" w:sz="6" w:space="12" w:color="DDDDDD"/>
                                <w:right w:val="none" w:sz="0" w:space="0" w:color="auto"/>
                              </w:divBdr>
                              <w:divsChild>
                                <w:div w:id="1441488062">
                                  <w:marLeft w:val="0"/>
                                  <w:marRight w:val="0"/>
                                  <w:marTop w:val="0"/>
                                  <w:marBottom w:val="0"/>
                                  <w:divBdr>
                                    <w:top w:val="none" w:sz="0" w:space="0" w:color="auto"/>
                                    <w:left w:val="none" w:sz="0" w:space="0" w:color="auto"/>
                                    <w:bottom w:val="none" w:sz="0" w:space="0" w:color="auto"/>
                                    <w:right w:val="none" w:sz="0" w:space="0" w:color="auto"/>
                                  </w:divBdr>
                                  <w:divsChild>
                                    <w:div w:id="2027367212">
                                      <w:marLeft w:val="0"/>
                                      <w:marRight w:val="0"/>
                                      <w:marTop w:val="0"/>
                                      <w:marBottom w:val="0"/>
                                      <w:divBdr>
                                        <w:top w:val="none" w:sz="0" w:space="0" w:color="auto"/>
                                        <w:left w:val="none" w:sz="0" w:space="0" w:color="auto"/>
                                        <w:bottom w:val="none" w:sz="0" w:space="0" w:color="auto"/>
                                        <w:right w:val="none" w:sz="0" w:space="0" w:color="auto"/>
                                      </w:divBdr>
                                      <w:divsChild>
                                        <w:div w:id="478419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6811580">
                              <w:marLeft w:val="0"/>
                              <w:marRight w:val="0"/>
                              <w:marTop w:val="0"/>
                              <w:marBottom w:val="0"/>
                              <w:divBdr>
                                <w:top w:val="none" w:sz="0" w:space="0" w:color="auto"/>
                                <w:left w:val="none" w:sz="0" w:space="0" w:color="auto"/>
                                <w:bottom w:val="single" w:sz="6" w:space="12" w:color="DDDDDD"/>
                                <w:right w:val="none" w:sz="0" w:space="0" w:color="auto"/>
                              </w:divBdr>
                              <w:divsChild>
                                <w:div w:id="1837575161">
                                  <w:marLeft w:val="0"/>
                                  <w:marRight w:val="0"/>
                                  <w:marTop w:val="0"/>
                                  <w:marBottom w:val="0"/>
                                  <w:divBdr>
                                    <w:top w:val="none" w:sz="0" w:space="0" w:color="auto"/>
                                    <w:left w:val="none" w:sz="0" w:space="0" w:color="auto"/>
                                    <w:bottom w:val="none" w:sz="0" w:space="0" w:color="auto"/>
                                    <w:right w:val="none" w:sz="0" w:space="0" w:color="auto"/>
                                  </w:divBdr>
                                  <w:divsChild>
                                    <w:div w:id="1952593593">
                                      <w:marLeft w:val="0"/>
                                      <w:marRight w:val="0"/>
                                      <w:marTop w:val="0"/>
                                      <w:marBottom w:val="0"/>
                                      <w:divBdr>
                                        <w:top w:val="none" w:sz="0" w:space="0" w:color="auto"/>
                                        <w:left w:val="none" w:sz="0" w:space="0" w:color="auto"/>
                                        <w:bottom w:val="none" w:sz="0" w:space="0" w:color="auto"/>
                                        <w:right w:val="none" w:sz="0" w:space="0" w:color="auto"/>
                                      </w:divBdr>
                                      <w:divsChild>
                                        <w:div w:id="17296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5900501">
                              <w:marLeft w:val="0"/>
                              <w:marRight w:val="0"/>
                              <w:marTop w:val="0"/>
                              <w:marBottom w:val="0"/>
                              <w:divBdr>
                                <w:top w:val="none" w:sz="0" w:space="0" w:color="auto"/>
                                <w:left w:val="none" w:sz="0" w:space="0" w:color="auto"/>
                                <w:bottom w:val="single" w:sz="6" w:space="12" w:color="DDDDDD"/>
                                <w:right w:val="none" w:sz="0" w:space="0" w:color="auto"/>
                              </w:divBdr>
                              <w:divsChild>
                                <w:div w:id="389039664">
                                  <w:marLeft w:val="0"/>
                                  <w:marRight w:val="0"/>
                                  <w:marTop w:val="0"/>
                                  <w:marBottom w:val="0"/>
                                  <w:divBdr>
                                    <w:top w:val="none" w:sz="0" w:space="0" w:color="auto"/>
                                    <w:left w:val="none" w:sz="0" w:space="0" w:color="auto"/>
                                    <w:bottom w:val="none" w:sz="0" w:space="0" w:color="auto"/>
                                    <w:right w:val="none" w:sz="0" w:space="0" w:color="auto"/>
                                  </w:divBdr>
                                  <w:divsChild>
                                    <w:div w:id="1455245217">
                                      <w:marLeft w:val="0"/>
                                      <w:marRight w:val="0"/>
                                      <w:marTop w:val="0"/>
                                      <w:marBottom w:val="0"/>
                                      <w:divBdr>
                                        <w:top w:val="none" w:sz="0" w:space="0" w:color="auto"/>
                                        <w:left w:val="none" w:sz="0" w:space="0" w:color="auto"/>
                                        <w:bottom w:val="none" w:sz="0" w:space="0" w:color="auto"/>
                                        <w:right w:val="none" w:sz="0" w:space="0" w:color="auto"/>
                                      </w:divBdr>
                                      <w:divsChild>
                                        <w:div w:id="2008168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5052703">
                              <w:marLeft w:val="0"/>
                              <w:marRight w:val="0"/>
                              <w:marTop w:val="0"/>
                              <w:marBottom w:val="0"/>
                              <w:divBdr>
                                <w:top w:val="none" w:sz="0" w:space="0" w:color="auto"/>
                                <w:left w:val="none" w:sz="0" w:space="0" w:color="auto"/>
                                <w:bottom w:val="single" w:sz="6" w:space="12" w:color="DDDDDD"/>
                                <w:right w:val="none" w:sz="0" w:space="0" w:color="auto"/>
                              </w:divBdr>
                              <w:divsChild>
                                <w:div w:id="1072896730">
                                  <w:marLeft w:val="0"/>
                                  <w:marRight w:val="0"/>
                                  <w:marTop w:val="0"/>
                                  <w:marBottom w:val="0"/>
                                  <w:divBdr>
                                    <w:top w:val="none" w:sz="0" w:space="0" w:color="auto"/>
                                    <w:left w:val="none" w:sz="0" w:space="0" w:color="auto"/>
                                    <w:bottom w:val="none" w:sz="0" w:space="0" w:color="auto"/>
                                    <w:right w:val="none" w:sz="0" w:space="0" w:color="auto"/>
                                  </w:divBdr>
                                  <w:divsChild>
                                    <w:div w:id="1378119876">
                                      <w:marLeft w:val="0"/>
                                      <w:marRight w:val="0"/>
                                      <w:marTop w:val="0"/>
                                      <w:marBottom w:val="0"/>
                                      <w:divBdr>
                                        <w:top w:val="none" w:sz="0" w:space="0" w:color="auto"/>
                                        <w:left w:val="none" w:sz="0" w:space="0" w:color="auto"/>
                                        <w:bottom w:val="none" w:sz="0" w:space="0" w:color="auto"/>
                                        <w:right w:val="none" w:sz="0" w:space="0" w:color="auto"/>
                                      </w:divBdr>
                                      <w:divsChild>
                                        <w:div w:id="603802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0804347">
                              <w:marLeft w:val="0"/>
                              <w:marRight w:val="0"/>
                              <w:marTop w:val="0"/>
                              <w:marBottom w:val="0"/>
                              <w:divBdr>
                                <w:top w:val="none" w:sz="0" w:space="0" w:color="auto"/>
                                <w:left w:val="none" w:sz="0" w:space="0" w:color="auto"/>
                                <w:bottom w:val="single" w:sz="6" w:space="12" w:color="DDDDDD"/>
                                <w:right w:val="none" w:sz="0" w:space="0" w:color="auto"/>
                              </w:divBdr>
                              <w:divsChild>
                                <w:div w:id="570578839">
                                  <w:marLeft w:val="0"/>
                                  <w:marRight w:val="0"/>
                                  <w:marTop w:val="0"/>
                                  <w:marBottom w:val="0"/>
                                  <w:divBdr>
                                    <w:top w:val="none" w:sz="0" w:space="0" w:color="auto"/>
                                    <w:left w:val="none" w:sz="0" w:space="0" w:color="auto"/>
                                    <w:bottom w:val="none" w:sz="0" w:space="0" w:color="auto"/>
                                    <w:right w:val="none" w:sz="0" w:space="0" w:color="auto"/>
                                  </w:divBdr>
                                  <w:divsChild>
                                    <w:div w:id="197357954">
                                      <w:marLeft w:val="0"/>
                                      <w:marRight w:val="0"/>
                                      <w:marTop w:val="0"/>
                                      <w:marBottom w:val="0"/>
                                      <w:divBdr>
                                        <w:top w:val="none" w:sz="0" w:space="0" w:color="auto"/>
                                        <w:left w:val="none" w:sz="0" w:space="0" w:color="auto"/>
                                        <w:bottom w:val="none" w:sz="0" w:space="0" w:color="auto"/>
                                        <w:right w:val="none" w:sz="0" w:space="0" w:color="auto"/>
                                      </w:divBdr>
                                      <w:divsChild>
                                        <w:div w:id="978461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0239206">
                              <w:marLeft w:val="0"/>
                              <w:marRight w:val="0"/>
                              <w:marTop w:val="0"/>
                              <w:marBottom w:val="0"/>
                              <w:divBdr>
                                <w:top w:val="none" w:sz="0" w:space="0" w:color="auto"/>
                                <w:left w:val="none" w:sz="0" w:space="0" w:color="auto"/>
                                <w:bottom w:val="single" w:sz="6" w:space="12" w:color="DDDDDD"/>
                                <w:right w:val="none" w:sz="0" w:space="0" w:color="auto"/>
                              </w:divBdr>
                              <w:divsChild>
                                <w:div w:id="2117630373">
                                  <w:marLeft w:val="0"/>
                                  <w:marRight w:val="0"/>
                                  <w:marTop w:val="0"/>
                                  <w:marBottom w:val="0"/>
                                  <w:divBdr>
                                    <w:top w:val="none" w:sz="0" w:space="0" w:color="auto"/>
                                    <w:left w:val="none" w:sz="0" w:space="0" w:color="auto"/>
                                    <w:bottom w:val="none" w:sz="0" w:space="0" w:color="auto"/>
                                    <w:right w:val="none" w:sz="0" w:space="0" w:color="auto"/>
                                  </w:divBdr>
                                  <w:divsChild>
                                    <w:div w:id="1675184006">
                                      <w:marLeft w:val="0"/>
                                      <w:marRight w:val="0"/>
                                      <w:marTop w:val="0"/>
                                      <w:marBottom w:val="0"/>
                                      <w:divBdr>
                                        <w:top w:val="none" w:sz="0" w:space="0" w:color="auto"/>
                                        <w:left w:val="none" w:sz="0" w:space="0" w:color="auto"/>
                                        <w:bottom w:val="none" w:sz="0" w:space="0" w:color="auto"/>
                                        <w:right w:val="none" w:sz="0" w:space="0" w:color="auto"/>
                                      </w:divBdr>
                                      <w:divsChild>
                                        <w:div w:id="701590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412130">
                              <w:marLeft w:val="0"/>
                              <w:marRight w:val="0"/>
                              <w:marTop w:val="0"/>
                              <w:marBottom w:val="0"/>
                              <w:divBdr>
                                <w:top w:val="none" w:sz="0" w:space="0" w:color="auto"/>
                                <w:left w:val="none" w:sz="0" w:space="0" w:color="auto"/>
                                <w:bottom w:val="single" w:sz="6" w:space="12" w:color="DDDDDD"/>
                                <w:right w:val="none" w:sz="0" w:space="0" w:color="auto"/>
                              </w:divBdr>
                              <w:divsChild>
                                <w:div w:id="2132478016">
                                  <w:marLeft w:val="0"/>
                                  <w:marRight w:val="0"/>
                                  <w:marTop w:val="0"/>
                                  <w:marBottom w:val="0"/>
                                  <w:divBdr>
                                    <w:top w:val="none" w:sz="0" w:space="0" w:color="auto"/>
                                    <w:left w:val="none" w:sz="0" w:space="0" w:color="auto"/>
                                    <w:bottom w:val="none" w:sz="0" w:space="0" w:color="auto"/>
                                    <w:right w:val="none" w:sz="0" w:space="0" w:color="auto"/>
                                  </w:divBdr>
                                  <w:divsChild>
                                    <w:div w:id="170723462">
                                      <w:marLeft w:val="0"/>
                                      <w:marRight w:val="0"/>
                                      <w:marTop w:val="0"/>
                                      <w:marBottom w:val="0"/>
                                      <w:divBdr>
                                        <w:top w:val="none" w:sz="0" w:space="0" w:color="auto"/>
                                        <w:left w:val="none" w:sz="0" w:space="0" w:color="auto"/>
                                        <w:bottom w:val="none" w:sz="0" w:space="0" w:color="auto"/>
                                        <w:right w:val="none" w:sz="0" w:space="0" w:color="auto"/>
                                      </w:divBdr>
                                      <w:divsChild>
                                        <w:div w:id="1065564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6707406">
                              <w:marLeft w:val="0"/>
                              <w:marRight w:val="0"/>
                              <w:marTop w:val="0"/>
                              <w:marBottom w:val="0"/>
                              <w:divBdr>
                                <w:top w:val="none" w:sz="0" w:space="0" w:color="auto"/>
                                <w:left w:val="none" w:sz="0" w:space="0" w:color="auto"/>
                                <w:bottom w:val="single" w:sz="6" w:space="12" w:color="DDDDDD"/>
                                <w:right w:val="none" w:sz="0" w:space="0" w:color="auto"/>
                              </w:divBdr>
                              <w:divsChild>
                                <w:div w:id="1510950065">
                                  <w:marLeft w:val="0"/>
                                  <w:marRight w:val="0"/>
                                  <w:marTop w:val="0"/>
                                  <w:marBottom w:val="0"/>
                                  <w:divBdr>
                                    <w:top w:val="none" w:sz="0" w:space="0" w:color="auto"/>
                                    <w:left w:val="none" w:sz="0" w:space="0" w:color="auto"/>
                                    <w:bottom w:val="none" w:sz="0" w:space="0" w:color="auto"/>
                                    <w:right w:val="none" w:sz="0" w:space="0" w:color="auto"/>
                                  </w:divBdr>
                                  <w:divsChild>
                                    <w:div w:id="318845341">
                                      <w:marLeft w:val="0"/>
                                      <w:marRight w:val="0"/>
                                      <w:marTop w:val="0"/>
                                      <w:marBottom w:val="0"/>
                                      <w:divBdr>
                                        <w:top w:val="none" w:sz="0" w:space="0" w:color="auto"/>
                                        <w:left w:val="none" w:sz="0" w:space="0" w:color="auto"/>
                                        <w:bottom w:val="none" w:sz="0" w:space="0" w:color="auto"/>
                                        <w:right w:val="none" w:sz="0" w:space="0" w:color="auto"/>
                                      </w:divBdr>
                                      <w:divsChild>
                                        <w:div w:id="691684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6080467">
                              <w:marLeft w:val="0"/>
                              <w:marRight w:val="0"/>
                              <w:marTop w:val="0"/>
                              <w:marBottom w:val="0"/>
                              <w:divBdr>
                                <w:top w:val="none" w:sz="0" w:space="0" w:color="auto"/>
                                <w:left w:val="none" w:sz="0" w:space="0" w:color="auto"/>
                                <w:bottom w:val="single" w:sz="6" w:space="12" w:color="DDDDDD"/>
                                <w:right w:val="none" w:sz="0" w:space="0" w:color="auto"/>
                              </w:divBdr>
                              <w:divsChild>
                                <w:div w:id="1552614016">
                                  <w:marLeft w:val="0"/>
                                  <w:marRight w:val="0"/>
                                  <w:marTop w:val="0"/>
                                  <w:marBottom w:val="0"/>
                                  <w:divBdr>
                                    <w:top w:val="none" w:sz="0" w:space="0" w:color="auto"/>
                                    <w:left w:val="none" w:sz="0" w:space="0" w:color="auto"/>
                                    <w:bottom w:val="none" w:sz="0" w:space="0" w:color="auto"/>
                                    <w:right w:val="none" w:sz="0" w:space="0" w:color="auto"/>
                                  </w:divBdr>
                                  <w:divsChild>
                                    <w:div w:id="773482676">
                                      <w:marLeft w:val="0"/>
                                      <w:marRight w:val="0"/>
                                      <w:marTop w:val="0"/>
                                      <w:marBottom w:val="0"/>
                                      <w:divBdr>
                                        <w:top w:val="none" w:sz="0" w:space="0" w:color="auto"/>
                                        <w:left w:val="none" w:sz="0" w:space="0" w:color="auto"/>
                                        <w:bottom w:val="none" w:sz="0" w:space="0" w:color="auto"/>
                                        <w:right w:val="none" w:sz="0" w:space="0" w:color="auto"/>
                                      </w:divBdr>
                                      <w:divsChild>
                                        <w:div w:id="569191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8191903">
                              <w:marLeft w:val="0"/>
                              <w:marRight w:val="0"/>
                              <w:marTop w:val="0"/>
                              <w:marBottom w:val="0"/>
                              <w:divBdr>
                                <w:top w:val="none" w:sz="0" w:space="0" w:color="auto"/>
                                <w:left w:val="none" w:sz="0" w:space="0" w:color="auto"/>
                                <w:bottom w:val="single" w:sz="6" w:space="12" w:color="DDDDDD"/>
                                <w:right w:val="none" w:sz="0" w:space="0" w:color="auto"/>
                              </w:divBdr>
                              <w:divsChild>
                                <w:div w:id="102313398">
                                  <w:marLeft w:val="0"/>
                                  <w:marRight w:val="0"/>
                                  <w:marTop w:val="0"/>
                                  <w:marBottom w:val="0"/>
                                  <w:divBdr>
                                    <w:top w:val="none" w:sz="0" w:space="0" w:color="auto"/>
                                    <w:left w:val="none" w:sz="0" w:space="0" w:color="auto"/>
                                    <w:bottom w:val="none" w:sz="0" w:space="0" w:color="auto"/>
                                    <w:right w:val="none" w:sz="0" w:space="0" w:color="auto"/>
                                  </w:divBdr>
                                  <w:divsChild>
                                    <w:div w:id="1109931445">
                                      <w:marLeft w:val="0"/>
                                      <w:marRight w:val="0"/>
                                      <w:marTop w:val="0"/>
                                      <w:marBottom w:val="0"/>
                                      <w:divBdr>
                                        <w:top w:val="none" w:sz="0" w:space="0" w:color="auto"/>
                                        <w:left w:val="none" w:sz="0" w:space="0" w:color="auto"/>
                                        <w:bottom w:val="none" w:sz="0" w:space="0" w:color="auto"/>
                                        <w:right w:val="none" w:sz="0" w:space="0" w:color="auto"/>
                                      </w:divBdr>
                                      <w:divsChild>
                                        <w:div w:id="1371151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6415861">
                              <w:marLeft w:val="0"/>
                              <w:marRight w:val="0"/>
                              <w:marTop w:val="0"/>
                              <w:marBottom w:val="0"/>
                              <w:divBdr>
                                <w:top w:val="none" w:sz="0" w:space="0" w:color="auto"/>
                                <w:left w:val="none" w:sz="0" w:space="0" w:color="auto"/>
                                <w:bottom w:val="none" w:sz="0" w:space="0" w:color="auto"/>
                                <w:right w:val="none" w:sz="0" w:space="0" w:color="auto"/>
                              </w:divBdr>
                              <w:divsChild>
                                <w:div w:id="965817404">
                                  <w:marLeft w:val="0"/>
                                  <w:marRight w:val="0"/>
                                  <w:marTop w:val="0"/>
                                  <w:marBottom w:val="0"/>
                                  <w:divBdr>
                                    <w:top w:val="none" w:sz="0" w:space="0" w:color="auto"/>
                                    <w:left w:val="none" w:sz="0" w:space="0" w:color="auto"/>
                                    <w:bottom w:val="none" w:sz="0" w:space="0" w:color="auto"/>
                                    <w:right w:val="none" w:sz="0" w:space="0" w:color="auto"/>
                                  </w:divBdr>
                                  <w:divsChild>
                                    <w:div w:id="651713013">
                                      <w:marLeft w:val="0"/>
                                      <w:marRight w:val="0"/>
                                      <w:marTop w:val="0"/>
                                      <w:marBottom w:val="0"/>
                                      <w:divBdr>
                                        <w:top w:val="none" w:sz="0" w:space="0" w:color="auto"/>
                                        <w:left w:val="none" w:sz="0" w:space="0" w:color="auto"/>
                                        <w:bottom w:val="none" w:sz="0" w:space="0" w:color="auto"/>
                                        <w:right w:val="none" w:sz="0" w:space="0" w:color="auto"/>
                                      </w:divBdr>
                                      <w:divsChild>
                                        <w:div w:id="1514487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75953760">
      <w:bodyDiv w:val="1"/>
      <w:marLeft w:val="0"/>
      <w:marRight w:val="0"/>
      <w:marTop w:val="0"/>
      <w:marBottom w:val="0"/>
      <w:divBdr>
        <w:top w:val="none" w:sz="0" w:space="0" w:color="auto"/>
        <w:left w:val="none" w:sz="0" w:space="0" w:color="auto"/>
        <w:bottom w:val="none" w:sz="0" w:space="0" w:color="auto"/>
        <w:right w:val="none" w:sz="0" w:space="0" w:color="auto"/>
      </w:divBdr>
    </w:div>
    <w:div w:id="1681856960">
      <w:bodyDiv w:val="1"/>
      <w:marLeft w:val="0"/>
      <w:marRight w:val="0"/>
      <w:marTop w:val="0"/>
      <w:marBottom w:val="0"/>
      <w:divBdr>
        <w:top w:val="none" w:sz="0" w:space="0" w:color="auto"/>
        <w:left w:val="none" w:sz="0" w:space="0" w:color="auto"/>
        <w:bottom w:val="none" w:sz="0" w:space="0" w:color="auto"/>
        <w:right w:val="none" w:sz="0" w:space="0" w:color="auto"/>
      </w:divBdr>
      <w:divsChild>
        <w:div w:id="167671792">
          <w:marLeft w:val="0"/>
          <w:marRight w:val="0"/>
          <w:marTop w:val="0"/>
          <w:marBottom w:val="0"/>
          <w:divBdr>
            <w:top w:val="none" w:sz="0" w:space="0" w:color="auto"/>
            <w:left w:val="none" w:sz="0" w:space="0" w:color="auto"/>
            <w:bottom w:val="single" w:sz="6" w:space="12" w:color="DDDDDD"/>
            <w:right w:val="none" w:sz="0" w:space="0" w:color="auto"/>
          </w:divBdr>
          <w:divsChild>
            <w:div w:id="648362071">
              <w:marLeft w:val="0"/>
              <w:marRight w:val="0"/>
              <w:marTop w:val="0"/>
              <w:marBottom w:val="0"/>
              <w:divBdr>
                <w:top w:val="none" w:sz="0" w:space="0" w:color="auto"/>
                <w:left w:val="none" w:sz="0" w:space="0" w:color="auto"/>
                <w:bottom w:val="none" w:sz="0" w:space="0" w:color="auto"/>
                <w:right w:val="none" w:sz="0" w:space="0" w:color="auto"/>
              </w:divBdr>
              <w:divsChild>
                <w:div w:id="105779235">
                  <w:marLeft w:val="0"/>
                  <w:marRight w:val="0"/>
                  <w:marTop w:val="0"/>
                  <w:marBottom w:val="0"/>
                  <w:divBdr>
                    <w:top w:val="none" w:sz="0" w:space="0" w:color="auto"/>
                    <w:left w:val="none" w:sz="0" w:space="0" w:color="auto"/>
                    <w:bottom w:val="none" w:sz="0" w:space="0" w:color="auto"/>
                    <w:right w:val="none" w:sz="0" w:space="0" w:color="auto"/>
                  </w:divBdr>
                  <w:divsChild>
                    <w:div w:id="342514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3757428">
          <w:marLeft w:val="0"/>
          <w:marRight w:val="0"/>
          <w:marTop w:val="0"/>
          <w:marBottom w:val="0"/>
          <w:divBdr>
            <w:top w:val="none" w:sz="0" w:space="0" w:color="auto"/>
            <w:left w:val="none" w:sz="0" w:space="0" w:color="auto"/>
            <w:bottom w:val="single" w:sz="6" w:space="12" w:color="DDDDDD"/>
            <w:right w:val="none" w:sz="0" w:space="0" w:color="auto"/>
          </w:divBdr>
          <w:divsChild>
            <w:div w:id="1464888011">
              <w:marLeft w:val="0"/>
              <w:marRight w:val="0"/>
              <w:marTop w:val="0"/>
              <w:marBottom w:val="0"/>
              <w:divBdr>
                <w:top w:val="none" w:sz="0" w:space="0" w:color="auto"/>
                <w:left w:val="none" w:sz="0" w:space="0" w:color="auto"/>
                <w:bottom w:val="none" w:sz="0" w:space="0" w:color="auto"/>
                <w:right w:val="none" w:sz="0" w:space="0" w:color="auto"/>
              </w:divBdr>
              <w:divsChild>
                <w:div w:id="1533153006">
                  <w:marLeft w:val="0"/>
                  <w:marRight w:val="0"/>
                  <w:marTop w:val="0"/>
                  <w:marBottom w:val="0"/>
                  <w:divBdr>
                    <w:top w:val="none" w:sz="0" w:space="0" w:color="auto"/>
                    <w:left w:val="none" w:sz="0" w:space="0" w:color="auto"/>
                    <w:bottom w:val="none" w:sz="0" w:space="0" w:color="auto"/>
                    <w:right w:val="none" w:sz="0" w:space="0" w:color="auto"/>
                  </w:divBdr>
                  <w:divsChild>
                    <w:div w:id="1358461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4577584">
          <w:marLeft w:val="0"/>
          <w:marRight w:val="0"/>
          <w:marTop w:val="0"/>
          <w:marBottom w:val="0"/>
          <w:divBdr>
            <w:top w:val="none" w:sz="0" w:space="0" w:color="auto"/>
            <w:left w:val="none" w:sz="0" w:space="0" w:color="auto"/>
            <w:bottom w:val="single" w:sz="6" w:space="12" w:color="DDDDDD"/>
            <w:right w:val="none" w:sz="0" w:space="0" w:color="auto"/>
          </w:divBdr>
          <w:divsChild>
            <w:div w:id="288048003">
              <w:marLeft w:val="0"/>
              <w:marRight w:val="0"/>
              <w:marTop w:val="0"/>
              <w:marBottom w:val="0"/>
              <w:divBdr>
                <w:top w:val="none" w:sz="0" w:space="0" w:color="auto"/>
                <w:left w:val="none" w:sz="0" w:space="0" w:color="auto"/>
                <w:bottom w:val="none" w:sz="0" w:space="0" w:color="auto"/>
                <w:right w:val="none" w:sz="0" w:space="0" w:color="auto"/>
              </w:divBdr>
              <w:divsChild>
                <w:div w:id="798189272">
                  <w:marLeft w:val="0"/>
                  <w:marRight w:val="0"/>
                  <w:marTop w:val="0"/>
                  <w:marBottom w:val="0"/>
                  <w:divBdr>
                    <w:top w:val="none" w:sz="0" w:space="0" w:color="auto"/>
                    <w:left w:val="none" w:sz="0" w:space="0" w:color="auto"/>
                    <w:bottom w:val="none" w:sz="0" w:space="0" w:color="auto"/>
                    <w:right w:val="none" w:sz="0" w:space="0" w:color="auto"/>
                  </w:divBdr>
                  <w:divsChild>
                    <w:div w:id="26150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2523184">
          <w:marLeft w:val="0"/>
          <w:marRight w:val="0"/>
          <w:marTop w:val="0"/>
          <w:marBottom w:val="0"/>
          <w:divBdr>
            <w:top w:val="none" w:sz="0" w:space="0" w:color="auto"/>
            <w:left w:val="none" w:sz="0" w:space="0" w:color="auto"/>
            <w:bottom w:val="single" w:sz="6" w:space="12" w:color="DDDDDD"/>
            <w:right w:val="none" w:sz="0" w:space="0" w:color="auto"/>
          </w:divBdr>
          <w:divsChild>
            <w:div w:id="1474908197">
              <w:marLeft w:val="0"/>
              <w:marRight w:val="0"/>
              <w:marTop w:val="0"/>
              <w:marBottom w:val="0"/>
              <w:divBdr>
                <w:top w:val="none" w:sz="0" w:space="0" w:color="auto"/>
                <w:left w:val="none" w:sz="0" w:space="0" w:color="auto"/>
                <w:bottom w:val="none" w:sz="0" w:space="0" w:color="auto"/>
                <w:right w:val="none" w:sz="0" w:space="0" w:color="auto"/>
              </w:divBdr>
              <w:divsChild>
                <w:div w:id="398212690">
                  <w:marLeft w:val="0"/>
                  <w:marRight w:val="0"/>
                  <w:marTop w:val="0"/>
                  <w:marBottom w:val="0"/>
                  <w:divBdr>
                    <w:top w:val="none" w:sz="0" w:space="0" w:color="auto"/>
                    <w:left w:val="none" w:sz="0" w:space="0" w:color="auto"/>
                    <w:bottom w:val="none" w:sz="0" w:space="0" w:color="auto"/>
                    <w:right w:val="none" w:sz="0" w:space="0" w:color="auto"/>
                  </w:divBdr>
                  <w:divsChild>
                    <w:div w:id="593365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753930">
          <w:marLeft w:val="0"/>
          <w:marRight w:val="0"/>
          <w:marTop w:val="0"/>
          <w:marBottom w:val="0"/>
          <w:divBdr>
            <w:top w:val="none" w:sz="0" w:space="0" w:color="auto"/>
            <w:left w:val="none" w:sz="0" w:space="0" w:color="auto"/>
            <w:bottom w:val="single" w:sz="6" w:space="12" w:color="DDDDDD"/>
            <w:right w:val="none" w:sz="0" w:space="0" w:color="auto"/>
          </w:divBdr>
          <w:divsChild>
            <w:div w:id="641809572">
              <w:marLeft w:val="0"/>
              <w:marRight w:val="0"/>
              <w:marTop w:val="0"/>
              <w:marBottom w:val="0"/>
              <w:divBdr>
                <w:top w:val="none" w:sz="0" w:space="0" w:color="auto"/>
                <w:left w:val="none" w:sz="0" w:space="0" w:color="auto"/>
                <w:bottom w:val="none" w:sz="0" w:space="0" w:color="auto"/>
                <w:right w:val="none" w:sz="0" w:space="0" w:color="auto"/>
              </w:divBdr>
              <w:divsChild>
                <w:div w:id="828520126">
                  <w:marLeft w:val="0"/>
                  <w:marRight w:val="0"/>
                  <w:marTop w:val="0"/>
                  <w:marBottom w:val="0"/>
                  <w:divBdr>
                    <w:top w:val="none" w:sz="0" w:space="0" w:color="auto"/>
                    <w:left w:val="none" w:sz="0" w:space="0" w:color="auto"/>
                    <w:bottom w:val="none" w:sz="0" w:space="0" w:color="auto"/>
                    <w:right w:val="none" w:sz="0" w:space="0" w:color="auto"/>
                  </w:divBdr>
                  <w:divsChild>
                    <w:div w:id="508370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1898467">
          <w:marLeft w:val="0"/>
          <w:marRight w:val="0"/>
          <w:marTop w:val="0"/>
          <w:marBottom w:val="0"/>
          <w:divBdr>
            <w:top w:val="none" w:sz="0" w:space="0" w:color="auto"/>
            <w:left w:val="none" w:sz="0" w:space="0" w:color="auto"/>
            <w:bottom w:val="single" w:sz="6" w:space="12" w:color="DDDDDD"/>
            <w:right w:val="none" w:sz="0" w:space="0" w:color="auto"/>
          </w:divBdr>
          <w:divsChild>
            <w:div w:id="1974216914">
              <w:marLeft w:val="0"/>
              <w:marRight w:val="0"/>
              <w:marTop w:val="0"/>
              <w:marBottom w:val="0"/>
              <w:divBdr>
                <w:top w:val="none" w:sz="0" w:space="0" w:color="auto"/>
                <w:left w:val="none" w:sz="0" w:space="0" w:color="auto"/>
                <w:bottom w:val="none" w:sz="0" w:space="0" w:color="auto"/>
                <w:right w:val="none" w:sz="0" w:space="0" w:color="auto"/>
              </w:divBdr>
              <w:divsChild>
                <w:div w:id="1682584449">
                  <w:marLeft w:val="0"/>
                  <w:marRight w:val="0"/>
                  <w:marTop w:val="0"/>
                  <w:marBottom w:val="0"/>
                  <w:divBdr>
                    <w:top w:val="none" w:sz="0" w:space="0" w:color="auto"/>
                    <w:left w:val="none" w:sz="0" w:space="0" w:color="auto"/>
                    <w:bottom w:val="none" w:sz="0" w:space="0" w:color="auto"/>
                    <w:right w:val="none" w:sz="0" w:space="0" w:color="auto"/>
                  </w:divBdr>
                  <w:divsChild>
                    <w:div w:id="177087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3293508">
          <w:marLeft w:val="0"/>
          <w:marRight w:val="0"/>
          <w:marTop w:val="0"/>
          <w:marBottom w:val="0"/>
          <w:divBdr>
            <w:top w:val="none" w:sz="0" w:space="0" w:color="auto"/>
            <w:left w:val="none" w:sz="0" w:space="0" w:color="auto"/>
            <w:bottom w:val="single" w:sz="6" w:space="12" w:color="DDDDDD"/>
            <w:right w:val="none" w:sz="0" w:space="0" w:color="auto"/>
          </w:divBdr>
          <w:divsChild>
            <w:div w:id="2096129849">
              <w:marLeft w:val="0"/>
              <w:marRight w:val="0"/>
              <w:marTop w:val="0"/>
              <w:marBottom w:val="0"/>
              <w:divBdr>
                <w:top w:val="none" w:sz="0" w:space="0" w:color="auto"/>
                <w:left w:val="none" w:sz="0" w:space="0" w:color="auto"/>
                <w:bottom w:val="none" w:sz="0" w:space="0" w:color="auto"/>
                <w:right w:val="none" w:sz="0" w:space="0" w:color="auto"/>
              </w:divBdr>
              <w:divsChild>
                <w:div w:id="37819563">
                  <w:marLeft w:val="0"/>
                  <w:marRight w:val="0"/>
                  <w:marTop w:val="0"/>
                  <w:marBottom w:val="0"/>
                  <w:divBdr>
                    <w:top w:val="none" w:sz="0" w:space="0" w:color="auto"/>
                    <w:left w:val="none" w:sz="0" w:space="0" w:color="auto"/>
                    <w:bottom w:val="none" w:sz="0" w:space="0" w:color="auto"/>
                    <w:right w:val="none" w:sz="0" w:space="0" w:color="auto"/>
                  </w:divBdr>
                  <w:divsChild>
                    <w:div w:id="122430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2537999">
          <w:marLeft w:val="0"/>
          <w:marRight w:val="0"/>
          <w:marTop w:val="0"/>
          <w:marBottom w:val="0"/>
          <w:divBdr>
            <w:top w:val="none" w:sz="0" w:space="0" w:color="auto"/>
            <w:left w:val="none" w:sz="0" w:space="0" w:color="auto"/>
            <w:bottom w:val="single" w:sz="6" w:space="12" w:color="DDDDDD"/>
            <w:right w:val="none" w:sz="0" w:space="0" w:color="auto"/>
          </w:divBdr>
          <w:divsChild>
            <w:div w:id="1377468135">
              <w:marLeft w:val="0"/>
              <w:marRight w:val="0"/>
              <w:marTop w:val="0"/>
              <w:marBottom w:val="0"/>
              <w:divBdr>
                <w:top w:val="none" w:sz="0" w:space="0" w:color="auto"/>
                <w:left w:val="none" w:sz="0" w:space="0" w:color="auto"/>
                <w:bottom w:val="none" w:sz="0" w:space="0" w:color="auto"/>
                <w:right w:val="none" w:sz="0" w:space="0" w:color="auto"/>
              </w:divBdr>
              <w:divsChild>
                <w:div w:id="1859081894">
                  <w:marLeft w:val="0"/>
                  <w:marRight w:val="0"/>
                  <w:marTop w:val="0"/>
                  <w:marBottom w:val="0"/>
                  <w:divBdr>
                    <w:top w:val="none" w:sz="0" w:space="0" w:color="auto"/>
                    <w:left w:val="none" w:sz="0" w:space="0" w:color="auto"/>
                    <w:bottom w:val="none" w:sz="0" w:space="0" w:color="auto"/>
                    <w:right w:val="none" w:sz="0" w:space="0" w:color="auto"/>
                  </w:divBdr>
                  <w:divsChild>
                    <w:div w:id="669136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4771288">
          <w:marLeft w:val="0"/>
          <w:marRight w:val="0"/>
          <w:marTop w:val="0"/>
          <w:marBottom w:val="0"/>
          <w:divBdr>
            <w:top w:val="none" w:sz="0" w:space="0" w:color="auto"/>
            <w:left w:val="none" w:sz="0" w:space="0" w:color="auto"/>
            <w:bottom w:val="single" w:sz="6" w:space="12" w:color="DDDDDD"/>
            <w:right w:val="none" w:sz="0" w:space="0" w:color="auto"/>
          </w:divBdr>
          <w:divsChild>
            <w:div w:id="1392658113">
              <w:marLeft w:val="0"/>
              <w:marRight w:val="0"/>
              <w:marTop w:val="0"/>
              <w:marBottom w:val="0"/>
              <w:divBdr>
                <w:top w:val="none" w:sz="0" w:space="0" w:color="auto"/>
                <w:left w:val="none" w:sz="0" w:space="0" w:color="auto"/>
                <w:bottom w:val="none" w:sz="0" w:space="0" w:color="auto"/>
                <w:right w:val="none" w:sz="0" w:space="0" w:color="auto"/>
              </w:divBdr>
              <w:divsChild>
                <w:div w:id="1043485864">
                  <w:marLeft w:val="0"/>
                  <w:marRight w:val="0"/>
                  <w:marTop w:val="0"/>
                  <w:marBottom w:val="0"/>
                  <w:divBdr>
                    <w:top w:val="none" w:sz="0" w:space="0" w:color="auto"/>
                    <w:left w:val="none" w:sz="0" w:space="0" w:color="auto"/>
                    <w:bottom w:val="none" w:sz="0" w:space="0" w:color="auto"/>
                    <w:right w:val="none" w:sz="0" w:space="0" w:color="auto"/>
                  </w:divBdr>
                  <w:divsChild>
                    <w:div w:id="1989897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9733919">
          <w:marLeft w:val="0"/>
          <w:marRight w:val="0"/>
          <w:marTop w:val="0"/>
          <w:marBottom w:val="0"/>
          <w:divBdr>
            <w:top w:val="none" w:sz="0" w:space="0" w:color="auto"/>
            <w:left w:val="none" w:sz="0" w:space="0" w:color="auto"/>
            <w:bottom w:val="single" w:sz="6" w:space="12" w:color="DDDDDD"/>
            <w:right w:val="none" w:sz="0" w:space="0" w:color="auto"/>
          </w:divBdr>
          <w:divsChild>
            <w:div w:id="1452287091">
              <w:marLeft w:val="0"/>
              <w:marRight w:val="0"/>
              <w:marTop w:val="0"/>
              <w:marBottom w:val="0"/>
              <w:divBdr>
                <w:top w:val="none" w:sz="0" w:space="0" w:color="auto"/>
                <w:left w:val="none" w:sz="0" w:space="0" w:color="auto"/>
                <w:bottom w:val="none" w:sz="0" w:space="0" w:color="auto"/>
                <w:right w:val="none" w:sz="0" w:space="0" w:color="auto"/>
              </w:divBdr>
              <w:divsChild>
                <w:div w:id="1241210155">
                  <w:marLeft w:val="0"/>
                  <w:marRight w:val="0"/>
                  <w:marTop w:val="0"/>
                  <w:marBottom w:val="0"/>
                  <w:divBdr>
                    <w:top w:val="none" w:sz="0" w:space="0" w:color="auto"/>
                    <w:left w:val="none" w:sz="0" w:space="0" w:color="auto"/>
                    <w:bottom w:val="none" w:sz="0" w:space="0" w:color="auto"/>
                    <w:right w:val="none" w:sz="0" w:space="0" w:color="auto"/>
                  </w:divBdr>
                  <w:divsChild>
                    <w:div w:id="1557203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7039598">
          <w:marLeft w:val="0"/>
          <w:marRight w:val="0"/>
          <w:marTop w:val="0"/>
          <w:marBottom w:val="0"/>
          <w:divBdr>
            <w:top w:val="none" w:sz="0" w:space="0" w:color="auto"/>
            <w:left w:val="none" w:sz="0" w:space="0" w:color="auto"/>
            <w:bottom w:val="single" w:sz="6" w:space="12" w:color="DDDDDD"/>
            <w:right w:val="none" w:sz="0" w:space="0" w:color="auto"/>
          </w:divBdr>
          <w:divsChild>
            <w:div w:id="2102483290">
              <w:marLeft w:val="0"/>
              <w:marRight w:val="0"/>
              <w:marTop w:val="0"/>
              <w:marBottom w:val="0"/>
              <w:divBdr>
                <w:top w:val="none" w:sz="0" w:space="0" w:color="auto"/>
                <w:left w:val="none" w:sz="0" w:space="0" w:color="auto"/>
                <w:bottom w:val="none" w:sz="0" w:space="0" w:color="auto"/>
                <w:right w:val="none" w:sz="0" w:space="0" w:color="auto"/>
              </w:divBdr>
              <w:divsChild>
                <w:div w:id="947126449">
                  <w:marLeft w:val="0"/>
                  <w:marRight w:val="0"/>
                  <w:marTop w:val="0"/>
                  <w:marBottom w:val="0"/>
                  <w:divBdr>
                    <w:top w:val="none" w:sz="0" w:space="0" w:color="auto"/>
                    <w:left w:val="none" w:sz="0" w:space="0" w:color="auto"/>
                    <w:bottom w:val="none" w:sz="0" w:space="0" w:color="auto"/>
                    <w:right w:val="none" w:sz="0" w:space="0" w:color="auto"/>
                  </w:divBdr>
                  <w:divsChild>
                    <w:div w:id="6717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9130464">
          <w:marLeft w:val="0"/>
          <w:marRight w:val="0"/>
          <w:marTop w:val="0"/>
          <w:marBottom w:val="0"/>
          <w:divBdr>
            <w:top w:val="none" w:sz="0" w:space="0" w:color="auto"/>
            <w:left w:val="none" w:sz="0" w:space="0" w:color="auto"/>
            <w:bottom w:val="single" w:sz="6" w:space="12" w:color="DDDDDD"/>
            <w:right w:val="none" w:sz="0" w:space="0" w:color="auto"/>
          </w:divBdr>
          <w:divsChild>
            <w:div w:id="454521086">
              <w:marLeft w:val="0"/>
              <w:marRight w:val="0"/>
              <w:marTop w:val="0"/>
              <w:marBottom w:val="0"/>
              <w:divBdr>
                <w:top w:val="none" w:sz="0" w:space="0" w:color="auto"/>
                <w:left w:val="none" w:sz="0" w:space="0" w:color="auto"/>
                <w:bottom w:val="none" w:sz="0" w:space="0" w:color="auto"/>
                <w:right w:val="none" w:sz="0" w:space="0" w:color="auto"/>
              </w:divBdr>
              <w:divsChild>
                <w:div w:id="1675650443">
                  <w:marLeft w:val="0"/>
                  <w:marRight w:val="0"/>
                  <w:marTop w:val="0"/>
                  <w:marBottom w:val="0"/>
                  <w:divBdr>
                    <w:top w:val="none" w:sz="0" w:space="0" w:color="auto"/>
                    <w:left w:val="none" w:sz="0" w:space="0" w:color="auto"/>
                    <w:bottom w:val="none" w:sz="0" w:space="0" w:color="auto"/>
                    <w:right w:val="none" w:sz="0" w:space="0" w:color="auto"/>
                  </w:divBdr>
                  <w:divsChild>
                    <w:div w:id="1000233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6054046">
          <w:marLeft w:val="0"/>
          <w:marRight w:val="0"/>
          <w:marTop w:val="0"/>
          <w:marBottom w:val="0"/>
          <w:divBdr>
            <w:top w:val="none" w:sz="0" w:space="0" w:color="auto"/>
            <w:left w:val="none" w:sz="0" w:space="0" w:color="auto"/>
            <w:bottom w:val="single" w:sz="6" w:space="12" w:color="DDDDDD"/>
            <w:right w:val="none" w:sz="0" w:space="0" w:color="auto"/>
          </w:divBdr>
          <w:divsChild>
            <w:div w:id="1197305584">
              <w:marLeft w:val="0"/>
              <w:marRight w:val="0"/>
              <w:marTop w:val="0"/>
              <w:marBottom w:val="0"/>
              <w:divBdr>
                <w:top w:val="none" w:sz="0" w:space="0" w:color="auto"/>
                <w:left w:val="none" w:sz="0" w:space="0" w:color="auto"/>
                <w:bottom w:val="none" w:sz="0" w:space="0" w:color="auto"/>
                <w:right w:val="none" w:sz="0" w:space="0" w:color="auto"/>
              </w:divBdr>
              <w:divsChild>
                <w:div w:id="802697418">
                  <w:marLeft w:val="0"/>
                  <w:marRight w:val="0"/>
                  <w:marTop w:val="0"/>
                  <w:marBottom w:val="0"/>
                  <w:divBdr>
                    <w:top w:val="none" w:sz="0" w:space="0" w:color="auto"/>
                    <w:left w:val="none" w:sz="0" w:space="0" w:color="auto"/>
                    <w:bottom w:val="none" w:sz="0" w:space="0" w:color="auto"/>
                    <w:right w:val="none" w:sz="0" w:space="0" w:color="auto"/>
                  </w:divBdr>
                  <w:divsChild>
                    <w:div w:id="1625652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8971100">
          <w:marLeft w:val="0"/>
          <w:marRight w:val="0"/>
          <w:marTop w:val="0"/>
          <w:marBottom w:val="0"/>
          <w:divBdr>
            <w:top w:val="none" w:sz="0" w:space="0" w:color="auto"/>
            <w:left w:val="none" w:sz="0" w:space="0" w:color="auto"/>
            <w:bottom w:val="single" w:sz="6" w:space="12" w:color="DDDDDD"/>
            <w:right w:val="none" w:sz="0" w:space="0" w:color="auto"/>
          </w:divBdr>
          <w:divsChild>
            <w:div w:id="1282105831">
              <w:marLeft w:val="0"/>
              <w:marRight w:val="0"/>
              <w:marTop w:val="0"/>
              <w:marBottom w:val="0"/>
              <w:divBdr>
                <w:top w:val="none" w:sz="0" w:space="0" w:color="auto"/>
                <w:left w:val="none" w:sz="0" w:space="0" w:color="auto"/>
                <w:bottom w:val="none" w:sz="0" w:space="0" w:color="auto"/>
                <w:right w:val="none" w:sz="0" w:space="0" w:color="auto"/>
              </w:divBdr>
              <w:divsChild>
                <w:div w:id="373577329">
                  <w:marLeft w:val="0"/>
                  <w:marRight w:val="0"/>
                  <w:marTop w:val="0"/>
                  <w:marBottom w:val="0"/>
                  <w:divBdr>
                    <w:top w:val="none" w:sz="0" w:space="0" w:color="auto"/>
                    <w:left w:val="none" w:sz="0" w:space="0" w:color="auto"/>
                    <w:bottom w:val="none" w:sz="0" w:space="0" w:color="auto"/>
                    <w:right w:val="none" w:sz="0" w:space="0" w:color="auto"/>
                  </w:divBdr>
                  <w:divsChild>
                    <w:div w:id="488640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2041566">
          <w:marLeft w:val="0"/>
          <w:marRight w:val="0"/>
          <w:marTop w:val="0"/>
          <w:marBottom w:val="0"/>
          <w:divBdr>
            <w:top w:val="none" w:sz="0" w:space="0" w:color="auto"/>
            <w:left w:val="none" w:sz="0" w:space="0" w:color="auto"/>
            <w:bottom w:val="single" w:sz="6" w:space="12" w:color="DDDDDD"/>
            <w:right w:val="none" w:sz="0" w:space="0" w:color="auto"/>
          </w:divBdr>
          <w:divsChild>
            <w:div w:id="991103496">
              <w:marLeft w:val="0"/>
              <w:marRight w:val="0"/>
              <w:marTop w:val="0"/>
              <w:marBottom w:val="0"/>
              <w:divBdr>
                <w:top w:val="none" w:sz="0" w:space="0" w:color="auto"/>
                <w:left w:val="none" w:sz="0" w:space="0" w:color="auto"/>
                <w:bottom w:val="none" w:sz="0" w:space="0" w:color="auto"/>
                <w:right w:val="none" w:sz="0" w:space="0" w:color="auto"/>
              </w:divBdr>
              <w:divsChild>
                <w:div w:id="1813212860">
                  <w:marLeft w:val="0"/>
                  <w:marRight w:val="0"/>
                  <w:marTop w:val="0"/>
                  <w:marBottom w:val="0"/>
                  <w:divBdr>
                    <w:top w:val="none" w:sz="0" w:space="0" w:color="auto"/>
                    <w:left w:val="none" w:sz="0" w:space="0" w:color="auto"/>
                    <w:bottom w:val="none" w:sz="0" w:space="0" w:color="auto"/>
                    <w:right w:val="none" w:sz="0" w:space="0" w:color="auto"/>
                  </w:divBdr>
                  <w:divsChild>
                    <w:div w:id="1983805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4486348">
          <w:marLeft w:val="0"/>
          <w:marRight w:val="0"/>
          <w:marTop w:val="0"/>
          <w:marBottom w:val="0"/>
          <w:divBdr>
            <w:top w:val="none" w:sz="0" w:space="0" w:color="auto"/>
            <w:left w:val="none" w:sz="0" w:space="0" w:color="auto"/>
            <w:bottom w:val="single" w:sz="6" w:space="12" w:color="DDDDDD"/>
            <w:right w:val="none" w:sz="0" w:space="0" w:color="auto"/>
          </w:divBdr>
          <w:divsChild>
            <w:div w:id="1249536836">
              <w:marLeft w:val="0"/>
              <w:marRight w:val="0"/>
              <w:marTop w:val="0"/>
              <w:marBottom w:val="0"/>
              <w:divBdr>
                <w:top w:val="none" w:sz="0" w:space="0" w:color="auto"/>
                <w:left w:val="none" w:sz="0" w:space="0" w:color="auto"/>
                <w:bottom w:val="none" w:sz="0" w:space="0" w:color="auto"/>
                <w:right w:val="none" w:sz="0" w:space="0" w:color="auto"/>
              </w:divBdr>
              <w:divsChild>
                <w:div w:id="69742887">
                  <w:marLeft w:val="0"/>
                  <w:marRight w:val="0"/>
                  <w:marTop w:val="0"/>
                  <w:marBottom w:val="0"/>
                  <w:divBdr>
                    <w:top w:val="none" w:sz="0" w:space="0" w:color="auto"/>
                    <w:left w:val="none" w:sz="0" w:space="0" w:color="auto"/>
                    <w:bottom w:val="none" w:sz="0" w:space="0" w:color="auto"/>
                    <w:right w:val="none" w:sz="0" w:space="0" w:color="auto"/>
                  </w:divBdr>
                  <w:divsChild>
                    <w:div w:id="1454132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2122326">
          <w:marLeft w:val="0"/>
          <w:marRight w:val="0"/>
          <w:marTop w:val="0"/>
          <w:marBottom w:val="0"/>
          <w:divBdr>
            <w:top w:val="none" w:sz="0" w:space="0" w:color="auto"/>
            <w:left w:val="none" w:sz="0" w:space="0" w:color="auto"/>
            <w:bottom w:val="single" w:sz="6" w:space="12" w:color="DDDDDD"/>
            <w:right w:val="none" w:sz="0" w:space="0" w:color="auto"/>
          </w:divBdr>
          <w:divsChild>
            <w:div w:id="133059358">
              <w:marLeft w:val="0"/>
              <w:marRight w:val="0"/>
              <w:marTop w:val="0"/>
              <w:marBottom w:val="0"/>
              <w:divBdr>
                <w:top w:val="none" w:sz="0" w:space="0" w:color="auto"/>
                <w:left w:val="none" w:sz="0" w:space="0" w:color="auto"/>
                <w:bottom w:val="none" w:sz="0" w:space="0" w:color="auto"/>
                <w:right w:val="none" w:sz="0" w:space="0" w:color="auto"/>
              </w:divBdr>
              <w:divsChild>
                <w:div w:id="1184900999">
                  <w:marLeft w:val="0"/>
                  <w:marRight w:val="0"/>
                  <w:marTop w:val="0"/>
                  <w:marBottom w:val="0"/>
                  <w:divBdr>
                    <w:top w:val="none" w:sz="0" w:space="0" w:color="auto"/>
                    <w:left w:val="none" w:sz="0" w:space="0" w:color="auto"/>
                    <w:bottom w:val="none" w:sz="0" w:space="0" w:color="auto"/>
                    <w:right w:val="none" w:sz="0" w:space="0" w:color="auto"/>
                  </w:divBdr>
                  <w:divsChild>
                    <w:div w:id="1866404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8233381">
          <w:marLeft w:val="0"/>
          <w:marRight w:val="0"/>
          <w:marTop w:val="0"/>
          <w:marBottom w:val="0"/>
          <w:divBdr>
            <w:top w:val="none" w:sz="0" w:space="0" w:color="auto"/>
            <w:left w:val="none" w:sz="0" w:space="0" w:color="auto"/>
            <w:bottom w:val="none" w:sz="0" w:space="0" w:color="auto"/>
            <w:right w:val="none" w:sz="0" w:space="0" w:color="auto"/>
          </w:divBdr>
          <w:divsChild>
            <w:div w:id="958337688">
              <w:marLeft w:val="0"/>
              <w:marRight w:val="0"/>
              <w:marTop w:val="0"/>
              <w:marBottom w:val="0"/>
              <w:divBdr>
                <w:top w:val="none" w:sz="0" w:space="0" w:color="auto"/>
                <w:left w:val="none" w:sz="0" w:space="0" w:color="auto"/>
                <w:bottom w:val="none" w:sz="0" w:space="0" w:color="auto"/>
                <w:right w:val="none" w:sz="0" w:space="0" w:color="auto"/>
              </w:divBdr>
              <w:divsChild>
                <w:div w:id="688411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8002924">
      <w:bodyDiv w:val="1"/>
      <w:marLeft w:val="0"/>
      <w:marRight w:val="0"/>
      <w:marTop w:val="0"/>
      <w:marBottom w:val="0"/>
      <w:divBdr>
        <w:top w:val="none" w:sz="0" w:space="0" w:color="auto"/>
        <w:left w:val="none" w:sz="0" w:space="0" w:color="auto"/>
        <w:bottom w:val="none" w:sz="0" w:space="0" w:color="auto"/>
        <w:right w:val="none" w:sz="0" w:space="0" w:color="auto"/>
      </w:divBdr>
      <w:divsChild>
        <w:div w:id="454521800">
          <w:marLeft w:val="0"/>
          <w:marRight w:val="0"/>
          <w:marTop w:val="0"/>
          <w:marBottom w:val="0"/>
          <w:divBdr>
            <w:top w:val="none" w:sz="0" w:space="0" w:color="auto"/>
            <w:left w:val="none" w:sz="0" w:space="0" w:color="auto"/>
            <w:bottom w:val="none" w:sz="0" w:space="0" w:color="auto"/>
            <w:right w:val="none" w:sz="0" w:space="0" w:color="auto"/>
          </w:divBdr>
          <w:divsChild>
            <w:div w:id="499663560">
              <w:marLeft w:val="0"/>
              <w:marRight w:val="0"/>
              <w:marTop w:val="0"/>
              <w:marBottom w:val="0"/>
              <w:divBdr>
                <w:top w:val="none" w:sz="0" w:space="0" w:color="auto"/>
                <w:left w:val="none" w:sz="0" w:space="0" w:color="auto"/>
                <w:bottom w:val="none" w:sz="0" w:space="0" w:color="auto"/>
                <w:right w:val="none" w:sz="0" w:space="0" w:color="auto"/>
              </w:divBdr>
              <w:divsChild>
                <w:div w:id="1370960476">
                  <w:marLeft w:val="0"/>
                  <w:marRight w:val="0"/>
                  <w:marTop w:val="0"/>
                  <w:marBottom w:val="0"/>
                  <w:divBdr>
                    <w:top w:val="none" w:sz="0" w:space="0" w:color="auto"/>
                    <w:left w:val="none" w:sz="0" w:space="0" w:color="auto"/>
                    <w:bottom w:val="none" w:sz="0" w:space="0" w:color="auto"/>
                    <w:right w:val="none" w:sz="0" w:space="0" w:color="auto"/>
                  </w:divBdr>
                  <w:divsChild>
                    <w:div w:id="1473983124">
                      <w:marLeft w:val="0"/>
                      <w:marRight w:val="0"/>
                      <w:marTop w:val="0"/>
                      <w:marBottom w:val="0"/>
                      <w:divBdr>
                        <w:top w:val="none" w:sz="0" w:space="0" w:color="auto"/>
                        <w:left w:val="none" w:sz="0" w:space="0" w:color="auto"/>
                        <w:bottom w:val="none" w:sz="0" w:space="0" w:color="auto"/>
                        <w:right w:val="none" w:sz="0" w:space="0" w:color="auto"/>
                      </w:divBdr>
                    </w:div>
                    <w:div w:id="1357000015">
                      <w:marLeft w:val="0"/>
                      <w:marRight w:val="0"/>
                      <w:marTop w:val="0"/>
                      <w:marBottom w:val="0"/>
                      <w:divBdr>
                        <w:top w:val="none" w:sz="0" w:space="0" w:color="auto"/>
                        <w:left w:val="none" w:sz="0" w:space="0" w:color="auto"/>
                        <w:bottom w:val="none" w:sz="0" w:space="0" w:color="auto"/>
                        <w:right w:val="none" w:sz="0" w:space="0" w:color="auto"/>
                      </w:divBdr>
                      <w:divsChild>
                        <w:div w:id="1966278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8322059">
                  <w:marLeft w:val="0"/>
                  <w:marRight w:val="0"/>
                  <w:marTop w:val="0"/>
                  <w:marBottom w:val="0"/>
                  <w:divBdr>
                    <w:top w:val="none" w:sz="0" w:space="0" w:color="auto"/>
                    <w:left w:val="none" w:sz="0" w:space="0" w:color="auto"/>
                    <w:bottom w:val="none" w:sz="0" w:space="0" w:color="auto"/>
                    <w:right w:val="none" w:sz="0" w:space="0" w:color="auto"/>
                  </w:divBdr>
                  <w:divsChild>
                    <w:div w:id="5711702">
                      <w:marLeft w:val="0"/>
                      <w:marRight w:val="0"/>
                      <w:marTop w:val="0"/>
                      <w:marBottom w:val="0"/>
                      <w:divBdr>
                        <w:top w:val="none" w:sz="0" w:space="0" w:color="auto"/>
                        <w:left w:val="none" w:sz="0" w:space="0" w:color="auto"/>
                        <w:bottom w:val="none" w:sz="0" w:space="0" w:color="auto"/>
                        <w:right w:val="none" w:sz="0" w:space="0" w:color="auto"/>
                      </w:divBdr>
                    </w:div>
                    <w:div w:id="758134957">
                      <w:marLeft w:val="0"/>
                      <w:marRight w:val="0"/>
                      <w:marTop w:val="0"/>
                      <w:marBottom w:val="0"/>
                      <w:divBdr>
                        <w:top w:val="none" w:sz="0" w:space="0" w:color="auto"/>
                        <w:left w:val="none" w:sz="0" w:space="0" w:color="auto"/>
                        <w:bottom w:val="none" w:sz="0" w:space="0" w:color="auto"/>
                        <w:right w:val="none" w:sz="0" w:space="0" w:color="auto"/>
                      </w:divBdr>
                      <w:divsChild>
                        <w:div w:id="785005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726728">
                  <w:marLeft w:val="0"/>
                  <w:marRight w:val="0"/>
                  <w:marTop w:val="0"/>
                  <w:marBottom w:val="0"/>
                  <w:divBdr>
                    <w:top w:val="none" w:sz="0" w:space="0" w:color="auto"/>
                    <w:left w:val="none" w:sz="0" w:space="0" w:color="auto"/>
                    <w:bottom w:val="none" w:sz="0" w:space="0" w:color="auto"/>
                    <w:right w:val="none" w:sz="0" w:space="0" w:color="auto"/>
                  </w:divBdr>
                  <w:divsChild>
                    <w:div w:id="2028943204">
                      <w:marLeft w:val="0"/>
                      <w:marRight w:val="0"/>
                      <w:marTop w:val="0"/>
                      <w:marBottom w:val="0"/>
                      <w:divBdr>
                        <w:top w:val="none" w:sz="0" w:space="0" w:color="auto"/>
                        <w:left w:val="none" w:sz="0" w:space="0" w:color="auto"/>
                        <w:bottom w:val="none" w:sz="0" w:space="0" w:color="auto"/>
                        <w:right w:val="none" w:sz="0" w:space="0" w:color="auto"/>
                      </w:divBdr>
                    </w:div>
                    <w:div w:id="1544901281">
                      <w:marLeft w:val="0"/>
                      <w:marRight w:val="0"/>
                      <w:marTop w:val="0"/>
                      <w:marBottom w:val="0"/>
                      <w:divBdr>
                        <w:top w:val="none" w:sz="0" w:space="0" w:color="auto"/>
                        <w:left w:val="none" w:sz="0" w:space="0" w:color="auto"/>
                        <w:bottom w:val="none" w:sz="0" w:space="0" w:color="auto"/>
                        <w:right w:val="none" w:sz="0" w:space="0" w:color="auto"/>
                      </w:divBdr>
                      <w:divsChild>
                        <w:div w:id="377705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8682908">
                  <w:marLeft w:val="0"/>
                  <w:marRight w:val="0"/>
                  <w:marTop w:val="0"/>
                  <w:marBottom w:val="0"/>
                  <w:divBdr>
                    <w:top w:val="none" w:sz="0" w:space="0" w:color="auto"/>
                    <w:left w:val="none" w:sz="0" w:space="0" w:color="auto"/>
                    <w:bottom w:val="none" w:sz="0" w:space="0" w:color="auto"/>
                    <w:right w:val="none" w:sz="0" w:space="0" w:color="auto"/>
                  </w:divBdr>
                  <w:divsChild>
                    <w:div w:id="1974600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5618119">
          <w:marLeft w:val="0"/>
          <w:marRight w:val="0"/>
          <w:marTop w:val="0"/>
          <w:marBottom w:val="0"/>
          <w:divBdr>
            <w:top w:val="none" w:sz="0" w:space="0" w:color="auto"/>
            <w:left w:val="none" w:sz="0" w:space="0" w:color="auto"/>
            <w:bottom w:val="none" w:sz="0" w:space="0" w:color="auto"/>
            <w:right w:val="none" w:sz="0" w:space="0" w:color="auto"/>
          </w:divBdr>
        </w:div>
      </w:divsChild>
    </w:div>
    <w:div w:id="1720202192">
      <w:bodyDiv w:val="1"/>
      <w:marLeft w:val="0"/>
      <w:marRight w:val="0"/>
      <w:marTop w:val="0"/>
      <w:marBottom w:val="0"/>
      <w:divBdr>
        <w:top w:val="none" w:sz="0" w:space="0" w:color="auto"/>
        <w:left w:val="none" w:sz="0" w:space="0" w:color="auto"/>
        <w:bottom w:val="none" w:sz="0" w:space="0" w:color="auto"/>
        <w:right w:val="none" w:sz="0" w:space="0" w:color="auto"/>
      </w:divBdr>
    </w:div>
    <w:div w:id="1723361096">
      <w:bodyDiv w:val="1"/>
      <w:marLeft w:val="0"/>
      <w:marRight w:val="0"/>
      <w:marTop w:val="0"/>
      <w:marBottom w:val="0"/>
      <w:divBdr>
        <w:top w:val="none" w:sz="0" w:space="0" w:color="auto"/>
        <w:left w:val="none" w:sz="0" w:space="0" w:color="auto"/>
        <w:bottom w:val="none" w:sz="0" w:space="0" w:color="auto"/>
        <w:right w:val="none" w:sz="0" w:space="0" w:color="auto"/>
      </w:divBdr>
    </w:div>
    <w:div w:id="1773889415">
      <w:bodyDiv w:val="1"/>
      <w:marLeft w:val="0"/>
      <w:marRight w:val="0"/>
      <w:marTop w:val="0"/>
      <w:marBottom w:val="0"/>
      <w:divBdr>
        <w:top w:val="none" w:sz="0" w:space="0" w:color="auto"/>
        <w:left w:val="none" w:sz="0" w:space="0" w:color="auto"/>
        <w:bottom w:val="none" w:sz="0" w:space="0" w:color="auto"/>
        <w:right w:val="none" w:sz="0" w:space="0" w:color="auto"/>
      </w:divBdr>
    </w:div>
    <w:div w:id="1777290120">
      <w:bodyDiv w:val="1"/>
      <w:marLeft w:val="0"/>
      <w:marRight w:val="0"/>
      <w:marTop w:val="0"/>
      <w:marBottom w:val="0"/>
      <w:divBdr>
        <w:top w:val="none" w:sz="0" w:space="0" w:color="auto"/>
        <w:left w:val="none" w:sz="0" w:space="0" w:color="auto"/>
        <w:bottom w:val="none" w:sz="0" w:space="0" w:color="auto"/>
        <w:right w:val="none" w:sz="0" w:space="0" w:color="auto"/>
      </w:divBdr>
      <w:divsChild>
        <w:div w:id="1514106914">
          <w:marLeft w:val="0"/>
          <w:marRight w:val="0"/>
          <w:marTop w:val="0"/>
          <w:marBottom w:val="0"/>
          <w:divBdr>
            <w:top w:val="none" w:sz="0" w:space="0" w:color="auto"/>
            <w:left w:val="none" w:sz="0" w:space="0" w:color="auto"/>
            <w:bottom w:val="none" w:sz="0" w:space="0" w:color="auto"/>
            <w:right w:val="none" w:sz="0" w:space="0" w:color="auto"/>
          </w:divBdr>
          <w:divsChild>
            <w:div w:id="400326607">
              <w:marLeft w:val="0"/>
              <w:marRight w:val="0"/>
              <w:marTop w:val="0"/>
              <w:marBottom w:val="0"/>
              <w:divBdr>
                <w:top w:val="none" w:sz="0" w:space="0" w:color="auto"/>
                <w:left w:val="none" w:sz="0" w:space="0" w:color="auto"/>
                <w:bottom w:val="none" w:sz="0" w:space="0" w:color="auto"/>
                <w:right w:val="none" w:sz="0" w:space="0" w:color="auto"/>
              </w:divBdr>
              <w:divsChild>
                <w:div w:id="372509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2650062">
      <w:bodyDiv w:val="1"/>
      <w:marLeft w:val="0"/>
      <w:marRight w:val="0"/>
      <w:marTop w:val="0"/>
      <w:marBottom w:val="0"/>
      <w:divBdr>
        <w:top w:val="none" w:sz="0" w:space="0" w:color="auto"/>
        <w:left w:val="none" w:sz="0" w:space="0" w:color="auto"/>
        <w:bottom w:val="none" w:sz="0" w:space="0" w:color="auto"/>
        <w:right w:val="none" w:sz="0" w:space="0" w:color="auto"/>
      </w:divBdr>
      <w:divsChild>
        <w:div w:id="422267637">
          <w:marLeft w:val="0"/>
          <w:marRight w:val="0"/>
          <w:marTop w:val="0"/>
          <w:marBottom w:val="0"/>
          <w:divBdr>
            <w:top w:val="none" w:sz="0" w:space="0" w:color="auto"/>
            <w:left w:val="none" w:sz="0" w:space="0" w:color="auto"/>
            <w:bottom w:val="none" w:sz="0" w:space="0" w:color="auto"/>
            <w:right w:val="none" w:sz="0" w:space="0" w:color="auto"/>
          </w:divBdr>
          <w:divsChild>
            <w:div w:id="799302603">
              <w:marLeft w:val="0"/>
              <w:marRight w:val="0"/>
              <w:marTop w:val="0"/>
              <w:marBottom w:val="0"/>
              <w:divBdr>
                <w:top w:val="none" w:sz="0" w:space="0" w:color="auto"/>
                <w:left w:val="none" w:sz="0" w:space="0" w:color="auto"/>
                <w:bottom w:val="none" w:sz="0" w:space="0" w:color="auto"/>
                <w:right w:val="none" w:sz="0" w:space="0" w:color="auto"/>
              </w:divBdr>
              <w:divsChild>
                <w:div w:id="1060396417">
                  <w:marLeft w:val="0"/>
                  <w:marRight w:val="0"/>
                  <w:marTop w:val="0"/>
                  <w:marBottom w:val="0"/>
                  <w:divBdr>
                    <w:top w:val="none" w:sz="0" w:space="0" w:color="auto"/>
                    <w:left w:val="none" w:sz="0" w:space="0" w:color="auto"/>
                    <w:bottom w:val="none" w:sz="0" w:space="0" w:color="auto"/>
                    <w:right w:val="none" w:sz="0" w:space="0" w:color="auto"/>
                  </w:divBdr>
                  <w:divsChild>
                    <w:div w:id="904031221">
                      <w:marLeft w:val="0"/>
                      <w:marRight w:val="0"/>
                      <w:marTop w:val="240"/>
                      <w:marBottom w:val="240"/>
                      <w:divBdr>
                        <w:top w:val="single" w:sz="12" w:space="0" w:color="EBEBEB"/>
                        <w:left w:val="none" w:sz="0" w:space="0" w:color="auto"/>
                        <w:bottom w:val="single" w:sz="12" w:space="0" w:color="EBEBEB"/>
                        <w:right w:val="none" w:sz="0" w:space="0" w:color="auto"/>
                      </w:divBdr>
                      <w:divsChild>
                        <w:div w:id="100887424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26842425">
          <w:marLeft w:val="0"/>
          <w:marRight w:val="0"/>
          <w:marTop w:val="0"/>
          <w:marBottom w:val="0"/>
          <w:divBdr>
            <w:top w:val="none" w:sz="0" w:space="0" w:color="auto"/>
            <w:left w:val="none" w:sz="0" w:space="0" w:color="auto"/>
            <w:bottom w:val="none" w:sz="0" w:space="0" w:color="auto"/>
            <w:right w:val="none" w:sz="0" w:space="0" w:color="auto"/>
          </w:divBdr>
          <w:divsChild>
            <w:div w:id="1247308050">
              <w:marLeft w:val="0"/>
              <w:marRight w:val="0"/>
              <w:marTop w:val="0"/>
              <w:marBottom w:val="0"/>
              <w:divBdr>
                <w:top w:val="none" w:sz="0" w:space="0" w:color="auto"/>
                <w:left w:val="none" w:sz="0" w:space="0" w:color="auto"/>
                <w:bottom w:val="none" w:sz="0" w:space="0" w:color="auto"/>
                <w:right w:val="none" w:sz="0" w:space="0" w:color="auto"/>
              </w:divBdr>
            </w:div>
          </w:divsChild>
        </w:div>
        <w:div w:id="1476607844">
          <w:marLeft w:val="0"/>
          <w:marRight w:val="0"/>
          <w:marTop w:val="0"/>
          <w:marBottom w:val="0"/>
          <w:divBdr>
            <w:top w:val="none" w:sz="0" w:space="0" w:color="auto"/>
            <w:left w:val="none" w:sz="0" w:space="0" w:color="auto"/>
            <w:bottom w:val="none" w:sz="0" w:space="0" w:color="auto"/>
            <w:right w:val="none" w:sz="0" w:space="0" w:color="auto"/>
          </w:divBdr>
        </w:div>
        <w:div w:id="98377424">
          <w:marLeft w:val="0"/>
          <w:marRight w:val="0"/>
          <w:marTop w:val="0"/>
          <w:marBottom w:val="0"/>
          <w:divBdr>
            <w:top w:val="none" w:sz="0" w:space="0" w:color="auto"/>
            <w:left w:val="none" w:sz="0" w:space="0" w:color="auto"/>
            <w:bottom w:val="none" w:sz="0" w:space="0" w:color="auto"/>
            <w:right w:val="none" w:sz="0" w:space="0" w:color="auto"/>
          </w:divBdr>
        </w:div>
        <w:div w:id="977757674">
          <w:marLeft w:val="0"/>
          <w:marRight w:val="0"/>
          <w:marTop w:val="0"/>
          <w:marBottom w:val="0"/>
          <w:divBdr>
            <w:top w:val="none" w:sz="0" w:space="0" w:color="auto"/>
            <w:left w:val="none" w:sz="0" w:space="0" w:color="auto"/>
            <w:bottom w:val="none" w:sz="0" w:space="0" w:color="auto"/>
            <w:right w:val="none" w:sz="0" w:space="0" w:color="auto"/>
          </w:divBdr>
          <w:divsChild>
            <w:div w:id="758336055">
              <w:marLeft w:val="0"/>
              <w:marRight w:val="0"/>
              <w:marTop w:val="0"/>
              <w:marBottom w:val="0"/>
              <w:divBdr>
                <w:top w:val="none" w:sz="0" w:space="0" w:color="auto"/>
                <w:left w:val="none" w:sz="0" w:space="0" w:color="auto"/>
                <w:bottom w:val="none" w:sz="0" w:space="0" w:color="auto"/>
                <w:right w:val="none" w:sz="0" w:space="0" w:color="auto"/>
              </w:divBdr>
            </w:div>
          </w:divsChild>
        </w:div>
        <w:div w:id="1581793651">
          <w:marLeft w:val="0"/>
          <w:marRight w:val="0"/>
          <w:marTop w:val="0"/>
          <w:marBottom w:val="0"/>
          <w:divBdr>
            <w:top w:val="none" w:sz="0" w:space="0" w:color="auto"/>
            <w:left w:val="none" w:sz="0" w:space="0" w:color="auto"/>
            <w:bottom w:val="none" w:sz="0" w:space="0" w:color="auto"/>
            <w:right w:val="none" w:sz="0" w:space="0" w:color="auto"/>
          </w:divBdr>
        </w:div>
        <w:div w:id="1902013278">
          <w:marLeft w:val="0"/>
          <w:marRight w:val="0"/>
          <w:marTop w:val="0"/>
          <w:marBottom w:val="0"/>
          <w:divBdr>
            <w:top w:val="none" w:sz="0" w:space="0" w:color="auto"/>
            <w:left w:val="none" w:sz="0" w:space="0" w:color="auto"/>
            <w:bottom w:val="none" w:sz="0" w:space="0" w:color="auto"/>
            <w:right w:val="none" w:sz="0" w:space="0" w:color="auto"/>
          </w:divBdr>
        </w:div>
        <w:div w:id="786856643">
          <w:marLeft w:val="0"/>
          <w:marRight w:val="0"/>
          <w:marTop w:val="0"/>
          <w:marBottom w:val="0"/>
          <w:divBdr>
            <w:top w:val="none" w:sz="0" w:space="0" w:color="auto"/>
            <w:left w:val="none" w:sz="0" w:space="0" w:color="auto"/>
            <w:bottom w:val="none" w:sz="0" w:space="0" w:color="auto"/>
            <w:right w:val="none" w:sz="0" w:space="0" w:color="auto"/>
          </w:divBdr>
          <w:divsChild>
            <w:div w:id="727192462">
              <w:marLeft w:val="0"/>
              <w:marRight w:val="0"/>
              <w:marTop w:val="0"/>
              <w:marBottom w:val="0"/>
              <w:divBdr>
                <w:top w:val="none" w:sz="0" w:space="0" w:color="auto"/>
                <w:left w:val="none" w:sz="0" w:space="0" w:color="auto"/>
                <w:bottom w:val="none" w:sz="0" w:space="0" w:color="auto"/>
                <w:right w:val="none" w:sz="0" w:space="0" w:color="auto"/>
              </w:divBdr>
            </w:div>
          </w:divsChild>
        </w:div>
        <w:div w:id="905455391">
          <w:marLeft w:val="0"/>
          <w:marRight w:val="0"/>
          <w:marTop w:val="0"/>
          <w:marBottom w:val="0"/>
          <w:divBdr>
            <w:top w:val="none" w:sz="0" w:space="0" w:color="auto"/>
            <w:left w:val="none" w:sz="0" w:space="0" w:color="auto"/>
            <w:bottom w:val="none" w:sz="0" w:space="0" w:color="auto"/>
            <w:right w:val="none" w:sz="0" w:space="0" w:color="auto"/>
          </w:divBdr>
        </w:div>
        <w:div w:id="1354695238">
          <w:marLeft w:val="0"/>
          <w:marRight w:val="0"/>
          <w:marTop w:val="0"/>
          <w:marBottom w:val="0"/>
          <w:divBdr>
            <w:top w:val="none" w:sz="0" w:space="0" w:color="auto"/>
            <w:left w:val="none" w:sz="0" w:space="0" w:color="auto"/>
            <w:bottom w:val="none" w:sz="0" w:space="0" w:color="auto"/>
            <w:right w:val="none" w:sz="0" w:space="0" w:color="auto"/>
          </w:divBdr>
        </w:div>
        <w:div w:id="1203517319">
          <w:marLeft w:val="0"/>
          <w:marRight w:val="0"/>
          <w:marTop w:val="0"/>
          <w:marBottom w:val="0"/>
          <w:divBdr>
            <w:top w:val="none" w:sz="0" w:space="0" w:color="auto"/>
            <w:left w:val="none" w:sz="0" w:space="0" w:color="auto"/>
            <w:bottom w:val="none" w:sz="0" w:space="0" w:color="auto"/>
            <w:right w:val="none" w:sz="0" w:space="0" w:color="auto"/>
          </w:divBdr>
        </w:div>
        <w:div w:id="1378630551">
          <w:marLeft w:val="0"/>
          <w:marRight w:val="0"/>
          <w:marTop w:val="0"/>
          <w:marBottom w:val="0"/>
          <w:divBdr>
            <w:top w:val="none" w:sz="0" w:space="0" w:color="auto"/>
            <w:left w:val="none" w:sz="0" w:space="0" w:color="auto"/>
            <w:bottom w:val="none" w:sz="0" w:space="0" w:color="auto"/>
            <w:right w:val="none" w:sz="0" w:space="0" w:color="auto"/>
          </w:divBdr>
        </w:div>
        <w:div w:id="509878855">
          <w:marLeft w:val="0"/>
          <w:marRight w:val="0"/>
          <w:marTop w:val="0"/>
          <w:marBottom w:val="0"/>
          <w:divBdr>
            <w:top w:val="none" w:sz="0" w:space="0" w:color="auto"/>
            <w:left w:val="none" w:sz="0" w:space="0" w:color="auto"/>
            <w:bottom w:val="none" w:sz="0" w:space="0" w:color="auto"/>
            <w:right w:val="none" w:sz="0" w:space="0" w:color="auto"/>
          </w:divBdr>
        </w:div>
        <w:div w:id="453065450">
          <w:marLeft w:val="0"/>
          <w:marRight w:val="0"/>
          <w:marTop w:val="0"/>
          <w:marBottom w:val="0"/>
          <w:divBdr>
            <w:top w:val="none" w:sz="0" w:space="0" w:color="auto"/>
            <w:left w:val="none" w:sz="0" w:space="0" w:color="auto"/>
            <w:bottom w:val="none" w:sz="0" w:space="0" w:color="auto"/>
            <w:right w:val="none" w:sz="0" w:space="0" w:color="auto"/>
          </w:divBdr>
          <w:divsChild>
            <w:div w:id="443691609">
              <w:marLeft w:val="0"/>
              <w:marRight w:val="0"/>
              <w:marTop w:val="0"/>
              <w:marBottom w:val="0"/>
              <w:divBdr>
                <w:top w:val="none" w:sz="0" w:space="0" w:color="auto"/>
                <w:left w:val="none" w:sz="0" w:space="0" w:color="auto"/>
                <w:bottom w:val="none" w:sz="0" w:space="0" w:color="auto"/>
                <w:right w:val="none" w:sz="0" w:space="0" w:color="auto"/>
              </w:divBdr>
            </w:div>
          </w:divsChild>
        </w:div>
        <w:div w:id="798106777">
          <w:marLeft w:val="0"/>
          <w:marRight w:val="0"/>
          <w:marTop w:val="0"/>
          <w:marBottom w:val="0"/>
          <w:divBdr>
            <w:top w:val="none" w:sz="0" w:space="0" w:color="auto"/>
            <w:left w:val="none" w:sz="0" w:space="0" w:color="auto"/>
            <w:bottom w:val="none" w:sz="0" w:space="0" w:color="auto"/>
            <w:right w:val="none" w:sz="0" w:space="0" w:color="auto"/>
          </w:divBdr>
        </w:div>
        <w:div w:id="230583505">
          <w:marLeft w:val="0"/>
          <w:marRight w:val="0"/>
          <w:marTop w:val="0"/>
          <w:marBottom w:val="0"/>
          <w:divBdr>
            <w:top w:val="none" w:sz="0" w:space="0" w:color="auto"/>
            <w:left w:val="none" w:sz="0" w:space="0" w:color="auto"/>
            <w:bottom w:val="none" w:sz="0" w:space="0" w:color="auto"/>
            <w:right w:val="none" w:sz="0" w:space="0" w:color="auto"/>
          </w:divBdr>
        </w:div>
        <w:div w:id="1124344732">
          <w:marLeft w:val="0"/>
          <w:marRight w:val="0"/>
          <w:marTop w:val="0"/>
          <w:marBottom w:val="0"/>
          <w:divBdr>
            <w:top w:val="none" w:sz="0" w:space="0" w:color="auto"/>
            <w:left w:val="none" w:sz="0" w:space="0" w:color="auto"/>
            <w:bottom w:val="none" w:sz="0" w:space="0" w:color="auto"/>
            <w:right w:val="none" w:sz="0" w:space="0" w:color="auto"/>
          </w:divBdr>
        </w:div>
        <w:div w:id="718287583">
          <w:marLeft w:val="0"/>
          <w:marRight w:val="0"/>
          <w:marTop w:val="0"/>
          <w:marBottom w:val="0"/>
          <w:divBdr>
            <w:top w:val="none" w:sz="0" w:space="0" w:color="auto"/>
            <w:left w:val="none" w:sz="0" w:space="0" w:color="auto"/>
            <w:bottom w:val="none" w:sz="0" w:space="0" w:color="auto"/>
            <w:right w:val="none" w:sz="0" w:space="0" w:color="auto"/>
          </w:divBdr>
        </w:div>
        <w:div w:id="630719450">
          <w:marLeft w:val="0"/>
          <w:marRight w:val="0"/>
          <w:marTop w:val="0"/>
          <w:marBottom w:val="0"/>
          <w:divBdr>
            <w:top w:val="none" w:sz="0" w:space="0" w:color="auto"/>
            <w:left w:val="none" w:sz="0" w:space="0" w:color="auto"/>
            <w:bottom w:val="none" w:sz="0" w:space="0" w:color="auto"/>
            <w:right w:val="none" w:sz="0" w:space="0" w:color="auto"/>
          </w:divBdr>
        </w:div>
        <w:div w:id="1281107552">
          <w:marLeft w:val="0"/>
          <w:marRight w:val="0"/>
          <w:marTop w:val="0"/>
          <w:marBottom w:val="0"/>
          <w:divBdr>
            <w:top w:val="none" w:sz="0" w:space="0" w:color="auto"/>
            <w:left w:val="none" w:sz="0" w:space="0" w:color="auto"/>
            <w:bottom w:val="none" w:sz="0" w:space="0" w:color="auto"/>
            <w:right w:val="none" w:sz="0" w:space="0" w:color="auto"/>
          </w:divBdr>
          <w:divsChild>
            <w:div w:id="1383872801">
              <w:marLeft w:val="0"/>
              <w:marRight w:val="0"/>
              <w:marTop w:val="0"/>
              <w:marBottom w:val="0"/>
              <w:divBdr>
                <w:top w:val="none" w:sz="0" w:space="0" w:color="auto"/>
                <w:left w:val="none" w:sz="0" w:space="0" w:color="auto"/>
                <w:bottom w:val="none" w:sz="0" w:space="0" w:color="auto"/>
                <w:right w:val="none" w:sz="0" w:space="0" w:color="auto"/>
              </w:divBdr>
            </w:div>
          </w:divsChild>
        </w:div>
        <w:div w:id="1243560389">
          <w:marLeft w:val="0"/>
          <w:marRight w:val="0"/>
          <w:marTop w:val="0"/>
          <w:marBottom w:val="0"/>
          <w:divBdr>
            <w:top w:val="none" w:sz="0" w:space="0" w:color="auto"/>
            <w:left w:val="none" w:sz="0" w:space="0" w:color="auto"/>
            <w:bottom w:val="none" w:sz="0" w:space="0" w:color="auto"/>
            <w:right w:val="none" w:sz="0" w:space="0" w:color="auto"/>
          </w:divBdr>
        </w:div>
        <w:div w:id="1334917619">
          <w:marLeft w:val="0"/>
          <w:marRight w:val="0"/>
          <w:marTop w:val="0"/>
          <w:marBottom w:val="0"/>
          <w:divBdr>
            <w:top w:val="none" w:sz="0" w:space="0" w:color="auto"/>
            <w:left w:val="none" w:sz="0" w:space="0" w:color="auto"/>
            <w:bottom w:val="none" w:sz="0" w:space="0" w:color="auto"/>
            <w:right w:val="none" w:sz="0" w:space="0" w:color="auto"/>
          </w:divBdr>
        </w:div>
        <w:div w:id="1261642448">
          <w:marLeft w:val="0"/>
          <w:marRight w:val="0"/>
          <w:marTop w:val="0"/>
          <w:marBottom w:val="0"/>
          <w:divBdr>
            <w:top w:val="none" w:sz="0" w:space="0" w:color="auto"/>
            <w:left w:val="none" w:sz="0" w:space="0" w:color="auto"/>
            <w:bottom w:val="none" w:sz="0" w:space="0" w:color="auto"/>
            <w:right w:val="none" w:sz="0" w:space="0" w:color="auto"/>
          </w:divBdr>
          <w:divsChild>
            <w:div w:id="714739665">
              <w:marLeft w:val="0"/>
              <w:marRight w:val="0"/>
              <w:marTop w:val="0"/>
              <w:marBottom w:val="0"/>
              <w:divBdr>
                <w:top w:val="none" w:sz="0" w:space="0" w:color="auto"/>
                <w:left w:val="none" w:sz="0" w:space="0" w:color="auto"/>
                <w:bottom w:val="none" w:sz="0" w:space="0" w:color="auto"/>
                <w:right w:val="none" w:sz="0" w:space="0" w:color="auto"/>
              </w:divBdr>
            </w:div>
          </w:divsChild>
        </w:div>
        <w:div w:id="339091562">
          <w:marLeft w:val="0"/>
          <w:marRight w:val="0"/>
          <w:marTop w:val="0"/>
          <w:marBottom w:val="0"/>
          <w:divBdr>
            <w:top w:val="none" w:sz="0" w:space="0" w:color="auto"/>
            <w:left w:val="none" w:sz="0" w:space="0" w:color="auto"/>
            <w:bottom w:val="none" w:sz="0" w:space="0" w:color="auto"/>
            <w:right w:val="none" w:sz="0" w:space="0" w:color="auto"/>
          </w:divBdr>
        </w:div>
        <w:div w:id="267350678">
          <w:marLeft w:val="0"/>
          <w:marRight w:val="0"/>
          <w:marTop w:val="0"/>
          <w:marBottom w:val="0"/>
          <w:divBdr>
            <w:top w:val="none" w:sz="0" w:space="0" w:color="auto"/>
            <w:left w:val="none" w:sz="0" w:space="0" w:color="auto"/>
            <w:bottom w:val="none" w:sz="0" w:space="0" w:color="auto"/>
            <w:right w:val="none" w:sz="0" w:space="0" w:color="auto"/>
          </w:divBdr>
        </w:div>
        <w:div w:id="393047752">
          <w:marLeft w:val="0"/>
          <w:marRight w:val="0"/>
          <w:marTop w:val="0"/>
          <w:marBottom w:val="0"/>
          <w:divBdr>
            <w:top w:val="none" w:sz="0" w:space="0" w:color="auto"/>
            <w:left w:val="none" w:sz="0" w:space="0" w:color="auto"/>
            <w:bottom w:val="none" w:sz="0" w:space="0" w:color="auto"/>
            <w:right w:val="none" w:sz="0" w:space="0" w:color="auto"/>
          </w:divBdr>
        </w:div>
        <w:div w:id="872695423">
          <w:marLeft w:val="0"/>
          <w:marRight w:val="0"/>
          <w:marTop w:val="0"/>
          <w:marBottom w:val="0"/>
          <w:divBdr>
            <w:top w:val="none" w:sz="0" w:space="0" w:color="auto"/>
            <w:left w:val="none" w:sz="0" w:space="0" w:color="auto"/>
            <w:bottom w:val="none" w:sz="0" w:space="0" w:color="auto"/>
            <w:right w:val="none" w:sz="0" w:space="0" w:color="auto"/>
          </w:divBdr>
          <w:divsChild>
            <w:div w:id="595208156">
              <w:marLeft w:val="0"/>
              <w:marRight w:val="0"/>
              <w:marTop w:val="0"/>
              <w:marBottom w:val="0"/>
              <w:divBdr>
                <w:top w:val="none" w:sz="0" w:space="0" w:color="auto"/>
                <w:left w:val="none" w:sz="0" w:space="0" w:color="auto"/>
                <w:bottom w:val="none" w:sz="0" w:space="0" w:color="auto"/>
                <w:right w:val="none" w:sz="0" w:space="0" w:color="auto"/>
              </w:divBdr>
            </w:div>
          </w:divsChild>
        </w:div>
        <w:div w:id="115031908">
          <w:marLeft w:val="0"/>
          <w:marRight w:val="0"/>
          <w:marTop w:val="0"/>
          <w:marBottom w:val="0"/>
          <w:divBdr>
            <w:top w:val="none" w:sz="0" w:space="0" w:color="auto"/>
            <w:left w:val="none" w:sz="0" w:space="0" w:color="auto"/>
            <w:bottom w:val="none" w:sz="0" w:space="0" w:color="auto"/>
            <w:right w:val="none" w:sz="0" w:space="0" w:color="auto"/>
          </w:divBdr>
        </w:div>
        <w:div w:id="1789733480">
          <w:marLeft w:val="0"/>
          <w:marRight w:val="0"/>
          <w:marTop w:val="0"/>
          <w:marBottom w:val="0"/>
          <w:divBdr>
            <w:top w:val="none" w:sz="0" w:space="0" w:color="auto"/>
            <w:left w:val="none" w:sz="0" w:space="0" w:color="auto"/>
            <w:bottom w:val="none" w:sz="0" w:space="0" w:color="auto"/>
            <w:right w:val="none" w:sz="0" w:space="0" w:color="auto"/>
          </w:divBdr>
        </w:div>
      </w:divsChild>
    </w:div>
    <w:div w:id="1791433796">
      <w:bodyDiv w:val="1"/>
      <w:marLeft w:val="0"/>
      <w:marRight w:val="0"/>
      <w:marTop w:val="0"/>
      <w:marBottom w:val="0"/>
      <w:divBdr>
        <w:top w:val="none" w:sz="0" w:space="0" w:color="auto"/>
        <w:left w:val="none" w:sz="0" w:space="0" w:color="auto"/>
        <w:bottom w:val="none" w:sz="0" w:space="0" w:color="auto"/>
        <w:right w:val="none" w:sz="0" w:space="0" w:color="auto"/>
      </w:divBdr>
      <w:divsChild>
        <w:div w:id="1857228741">
          <w:marLeft w:val="0"/>
          <w:marRight w:val="0"/>
          <w:marTop w:val="0"/>
          <w:marBottom w:val="300"/>
          <w:divBdr>
            <w:top w:val="none" w:sz="0" w:space="0" w:color="auto"/>
            <w:left w:val="none" w:sz="0" w:space="0" w:color="auto"/>
            <w:bottom w:val="none" w:sz="0" w:space="0" w:color="auto"/>
            <w:right w:val="none" w:sz="0" w:space="0" w:color="auto"/>
          </w:divBdr>
          <w:divsChild>
            <w:div w:id="233784961">
              <w:marLeft w:val="0"/>
              <w:marRight w:val="0"/>
              <w:marTop w:val="0"/>
              <w:marBottom w:val="0"/>
              <w:divBdr>
                <w:top w:val="none" w:sz="0" w:space="0" w:color="auto"/>
                <w:left w:val="none" w:sz="0" w:space="0" w:color="auto"/>
                <w:bottom w:val="none" w:sz="0" w:space="0" w:color="auto"/>
                <w:right w:val="none" w:sz="0" w:space="0" w:color="auto"/>
              </w:divBdr>
              <w:divsChild>
                <w:div w:id="647513857">
                  <w:marLeft w:val="0"/>
                  <w:marRight w:val="0"/>
                  <w:marTop w:val="0"/>
                  <w:marBottom w:val="0"/>
                  <w:divBdr>
                    <w:top w:val="none" w:sz="0" w:space="0" w:color="auto"/>
                    <w:left w:val="none" w:sz="0" w:space="0" w:color="auto"/>
                    <w:bottom w:val="none" w:sz="0" w:space="0" w:color="auto"/>
                    <w:right w:val="none" w:sz="0" w:space="0" w:color="auto"/>
                  </w:divBdr>
                  <w:divsChild>
                    <w:div w:id="740641368">
                      <w:marLeft w:val="0"/>
                      <w:marRight w:val="0"/>
                      <w:marTop w:val="0"/>
                      <w:marBottom w:val="0"/>
                      <w:divBdr>
                        <w:top w:val="none" w:sz="0" w:space="0" w:color="auto"/>
                        <w:left w:val="none" w:sz="0" w:space="0" w:color="auto"/>
                        <w:bottom w:val="none" w:sz="0" w:space="0" w:color="auto"/>
                        <w:right w:val="none" w:sz="0" w:space="0" w:color="auto"/>
                      </w:divBdr>
                      <w:divsChild>
                        <w:div w:id="712775187">
                          <w:marLeft w:val="0"/>
                          <w:marRight w:val="0"/>
                          <w:marTop w:val="75"/>
                          <w:marBottom w:val="0"/>
                          <w:divBdr>
                            <w:top w:val="none" w:sz="0" w:space="0" w:color="auto"/>
                            <w:left w:val="none" w:sz="0" w:space="0" w:color="auto"/>
                            <w:bottom w:val="none" w:sz="0" w:space="0" w:color="auto"/>
                            <w:right w:val="none" w:sz="0" w:space="0" w:color="auto"/>
                          </w:divBdr>
                        </w:div>
                        <w:div w:id="1391460757">
                          <w:marLeft w:val="0"/>
                          <w:marRight w:val="0"/>
                          <w:marTop w:val="75"/>
                          <w:marBottom w:val="0"/>
                          <w:divBdr>
                            <w:top w:val="none" w:sz="0" w:space="0" w:color="auto"/>
                            <w:left w:val="none" w:sz="0" w:space="0" w:color="auto"/>
                            <w:bottom w:val="none" w:sz="0" w:space="0" w:color="auto"/>
                            <w:right w:val="none" w:sz="0" w:space="0" w:color="auto"/>
                          </w:divBdr>
                          <w:divsChild>
                            <w:div w:id="1407023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3141919">
          <w:marLeft w:val="0"/>
          <w:marRight w:val="0"/>
          <w:marTop w:val="0"/>
          <w:marBottom w:val="300"/>
          <w:divBdr>
            <w:top w:val="none" w:sz="0" w:space="0" w:color="auto"/>
            <w:left w:val="none" w:sz="0" w:space="0" w:color="auto"/>
            <w:bottom w:val="none" w:sz="0" w:space="0" w:color="auto"/>
            <w:right w:val="none" w:sz="0" w:space="0" w:color="auto"/>
          </w:divBdr>
          <w:divsChild>
            <w:div w:id="1883856232">
              <w:marLeft w:val="0"/>
              <w:marRight w:val="0"/>
              <w:marTop w:val="0"/>
              <w:marBottom w:val="0"/>
              <w:divBdr>
                <w:top w:val="none" w:sz="0" w:space="0" w:color="auto"/>
                <w:left w:val="none" w:sz="0" w:space="0" w:color="auto"/>
                <w:bottom w:val="none" w:sz="0" w:space="0" w:color="auto"/>
                <w:right w:val="none" w:sz="0" w:space="0" w:color="auto"/>
              </w:divBdr>
              <w:divsChild>
                <w:div w:id="2078241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9357349">
          <w:marLeft w:val="0"/>
          <w:marRight w:val="0"/>
          <w:marTop w:val="0"/>
          <w:marBottom w:val="300"/>
          <w:divBdr>
            <w:top w:val="none" w:sz="0" w:space="0" w:color="auto"/>
            <w:left w:val="none" w:sz="0" w:space="0" w:color="auto"/>
            <w:bottom w:val="none" w:sz="0" w:space="0" w:color="auto"/>
            <w:right w:val="none" w:sz="0" w:space="0" w:color="auto"/>
          </w:divBdr>
          <w:divsChild>
            <w:div w:id="390731609">
              <w:marLeft w:val="0"/>
              <w:marRight w:val="0"/>
              <w:marTop w:val="0"/>
              <w:marBottom w:val="0"/>
              <w:divBdr>
                <w:top w:val="none" w:sz="0" w:space="0" w:color="auto"/>
                <w:left w:val="none" w:sz="0" w:space="0" w:color="auto"/>
                <w:bottom w:val="none" w:sz="0" w:space="0" w:color="auto"/>
                <w:right w:val="none" w:sz="0" w:space="0" w:color="auto"/>
              </w:divBdr>
              <w:divsChild>
                <w:div w:id="1098528509">
                  <w:marLeft w:val="0"/>
                  <w:marRight w:val="0"/>
                  <w:marTop w:val="0"/>
                  <w:marBottom w:val="0"/>
                  <w:divBdr>
                    <w:top w:val="none" w:sz="0" w:space="0" w:color="auto"/>
                    <w:left w:val="none" w:sz="0" w:space="0" w:color="auto"/>
                    <w:bottom w:val="none" w:sz="0" w:space="0" w:color="auto"/>
                    <w:right w:val="none" w:sz="0" w:space="0" w:color="auto"/>
                  </w:divBdr>
                  <w:divsChild>
                    <w:div w:id="722407263">
                      <w:marLeft w:val="0"/>
                      <w:marRight w:val="0"/>
                      <w:marTop w:val="0"/>
                      <w:marBottom w:val="0"/>
                      <w:divBdr>
                        <w:top w:val="none" w:sz="0" w:space="0" w:color="auto"/>
                        <w:left w:val="none" w:sz="0" w:space="0" w:color="auto"/>
                        <w:bottom w:val="none" w:sz="0" w:space="0" w:color="auto"/>
                        <w:right w:val="none" w:sz="0" w:space="0" w:color="auto"/>
                      </w:divBdr>
                      <w:divsChild>
                        <w:div w:id="563101458">
                          <w:marLeft w:val="0"/>
                          <w:marRight w:val="0"/>
                          <w:marTop w:val="0"/>
                          <w:marBottom w:val="0"/>
                          <w:divBdr>
                            <w:top w:val="none" w:sz="0" w:space="0" w:color="auto"/>
                            <w:left w:val="none" w:sz="0" w:space="0" w:color="auto"/>
                            <w:bottom w:val="none" w:sz="0" w:space="0" w:color="auto"/>
                            <w:right w:val="none" w:sz="0" w:space="0" w:color="auto"/>
                          </w:divBdr>
                          <w:divsChild>
                            <w:div w:id="914822506">
                              <w:marLeft w:val="0"/>
                              <w:marRight w:val="0"/>
                              <w:marTop w:val="0"/>
                              <w:marBottom w:val="0"/>
                              <w:divBdr>
                                <w:top w:val="none" w:sz="0" w:space="0" w:color="auto"/>
                                <w:left w:val="none" w:sz="0" w:space="0" w:color="auto"/>
                                <w:bottom w:val="none" w:sz="0" w:space="0" w:color="auto"/>
                                <w:right w:val="none" w:sz="0" w:space="0" w:color="auto"/>
                              </w:divBdr>
                              <w:divsChild>
                                <w:div w:id="1319307793">
                                  <w:marLeft w:val="0"/>
                                  <w:marRight w:val="0"/>
                                  <w:marTop w:val="0"/>
                                  <w:marBottom w:val="0"/>
                                  <w:divBdr>
                                    <w:top w:val="none" w:sz="0" w:space="0" w:color="auto"/>
                                    <w:left w:val="none" w:sz="0" w:space="0" w:color="auto"/>
                                    <w:bottom w:val="none" w:sz="0" w:space="0" w:color="auto"/>
                                    <w:right w:val="none" w:sz="0" w:space="0" w:color="auto"/>
                                  </w:divBdr>
                                  <w:divsChild>
                                    <w:div w:id="1690521828">
                                      <w:marLeft w:val="0"/>
                                      <w:marRight w:val="0"/>
                                      <w:marTop w:val="0"/>
                                      <w:marBottom w:val="300"/>
                                      <w:divBdr>
                                        <w:top w:val="none" w:sz="0" w:space="0" w:color="auto"/>
                                        <w:left w:val="none" w:sz="0" w:space="0" w:color="auto"/>
                                        <w:bottom w:val="none" w:sz="0" w:space="0" w:color="auto"/>
                                        <w:right w:val="none" w:sz="0" w:space="0" w:color="auto"/>
                                      </w:divBdr>
                                      <w:divsChild>
                                        <w:div w:id="1024674193">
                                          <w:marLeft w:val="0"/>
                                          <w:marRight w:val="0"/>
                                          <w:marTop w:val="0"/>
                                          <w:marBottom w:val="0"/>
                                          <w:divBdr>
                                            <w:top w:val="none" w:sz="0" w:space="0" w:color="auto"/>
                                            <w:left w:val="none" w:sz="0" w:space="0" w:color="auto"/>
                                            <w:bottom w:val="none" w:sz="0" w:space="0" w:color="auto"/>
                                            <w:right w:val="none" w:sz="0" w:space="0" w:color="auto"/>
                                          </w:divBdr>
                                          <w:divsChild>
                                            <w:div w:id="1195536970">
                                              <w:marLeft w:val="0"/>
                                              <w:marRight w:val="0"/>
                                              <w:marTop w:val="0"/>
                                              <w:marBottom w:val="0"/>
                                              <w:divBdr>
                                                <w:top w:val="none" w:sz="0" w:space="0" w:color="auto"/>
                                                <w:left w:val="none" w:sz="0" w:space="0" w:color="auto"/>
                                                <w:bottom w:val="none" w:sz="0" w:space="0" w:color="auto"/>
                                                <w:right w:val="none" w:sz="0" w:space="0" w:color="auto"/>
                                              </w:divBdr>
                                              <w:divsChild>
                                                <w:div w:id="890111355">
                                                  <w:marLeft w:val="0"/>
                                                  <w:marRight w:val="0"/>
                                                  <w:marTop w:val="0"/>
                                                  <w:marBottom w:val="0"/>
                                                  <w:divBdr>
                                                    <w:top w:val="none" w:sz="0" w:space="0" w:color="auto"/>
                                                    <w:left w:val="none" w:sz="0" w:space="0" w:color="auto"/>
                                                    <w:bottom w:val="none" w:sz="0" w:space="0" w:color="auto"/>
                                                    <w:right w:val="none" w:sz="0" w:space="0" w:color="auto"/>
                                                  </w:divBdr>
                                                  <w:divsChild>
                                                    <w:div w:id="134612860">
                                                      <w:marLeft w:val="0"/>
                                                      <w:marRight w:val="0"/>
                                                      <w:marTop w:val="0"/>
                                                      <w:marBottom w:val="0"/>
                                                      <w:divBdr>
                                                        <w:top w:val="none" w:sz="0" w:space="0" w:color="auto"/>
                                                        <w:left w:val="none" w:sz="0" w:space="0" w:color="auto"/>
                                                        <w:bottom w:val="none" w:sz="0" w:space="0" w:color="auto"/>
                                                        <w:right w:val="none" w:sz="0" w:space="0" w:color="auto"/>
                                                      </w:divBdr>
                                                      <w:divsChild>
                                                        <w:div w:id="1730495378">
                                                          <w:marLeft w:val="0"/>
                                                          <w:marRight w:val="0"/>
                                                          <w:marTop w:val="0"/>
                                                          <w:marBottom w:val="0"/>
                                                          <w:divBdr>
                                                            <w:top w:val="none" w:sz="0" w:space="0" w:color="auto"/>
                                                            <w:left w:val="none" w:sz="0" w:space="0" w:color="auto"/>
                                                            <w:bottom w:val="none" w:sz="0" w:space="0" w:color="auto"/>
                                                            <w:right w:val="none" w:sz="0" w:space="0" w:color="auto"/>
                                                          </w:divBdr>
                                                          <w:divsChild>
                                                            <w:div w:id="1988390496">
                                                              <w:marLeft w:val="0"/>
                                                              <w:marRight w:val="0"/>
                                                              <w:marTop w:val="0"/>
                                                              <w:marBottom w:val="0"/>
                                                              <w:divBdr>
                                                                <w:top w:val="none" w:sz="0" w:space="0" w:color="auto"/>
                                                                <w:left w:val="none" w:sz="0" w:space="0" w:color="auto"/>
                                                                <w:bottom w:val="none" w:sz="0" w:space="0" w:color="auto"/>
                                                                <w:right w:val="none" w:sz="0" w:space="0" w:color="auto"/>
                                                              </w:divBdr>
                                                            </w:div>
                                                            <w:div w:id="2058161817">
                                                              <w:marLeft w:val="0"/>
                                                              <w:marRight w:val="0"/>
                                                              <w:marTop w:val="0"/>
                                                              <w:marBottom w:val="0"/>
                                                              <w:divBdr>
                                                                <w:top w:val="none" w:sz="0" w:space="0" w:color="auto"/>
                                                                <w:left w:val="none" w:sz="0" w:space="0" w:color="auto"/>
                                                                <w:bottom w:val="none" w:sz="0" w:space="0" w:color="auto"/>
                                                                <w:right w:val="none" w:sz="0" w:space="0" w:color="auto"/>
                                                              </w:divBdr>
                                                            </w:div>
                                                            <w:div w:id="335226498">
                                                              <w:marLeft w:val="0"/>
                                                              <w:marRight w:val="0"/>
                                                              <w:marTop w:val="0"/>
                                                              <w:marBottom w:val="0"/>
                                                              <w:divBdr>
                                                                <w:top w:val="none" w:sz="0" w:space="0" w:color="auto"/>
                                                                <w:left w:val="none" w:sz="0" w:space="0" w:color="auto"/>
                                                                <w:bottom w:val="none" w:sz="0" w:space="0" w:color="auto"/>
                                                                <w:right w:val="none" w:sz="0" w:space="0" w:color="auto"/>
                                                              </w:divBdr>
                                                            </w:div>
                                                          </w:divsChild>
                                                        </w:div>
                                                        <w:div w:id="1411805983">
                                                          <w:marLeft w:val="0"/>
                                                          <w:marRight w:val="0"/>
                                                          <w:marTop w:val="0"/>
                                                          <w:marBottom w:val="0"/>
                                                          <w:divBdr>
                                                            <w:top w:val="none" w:sz="0" w:space="0" w:color="auto"/>
                                                            <w:left w:val="none" w:sz="0" w:space="0" w:color="auto"/>
                                                            <w:bottom w:val="none" w:sz="0" w:space="0" w:color="auto"/>
                                                            <w:right w:val="none" w:sz="0" w:space="0" w:color="auto"/>
                                                          </w:divBdr>
                                                          <w:divsChild>
                                                            <w:div w:id="598373520">
                                                              <w:marLeft w:val="-225"/>
                                                              <w:marRight w:val="-225"/>
                                                              <w:marTop w:val="375"/>
                                                              <w:marBottom w:val="375"/>
                                                              <w:divBdr>
                                                                <w:top w:val="none" w:sz="0" w:space="8" w:color="DCDCDC"/>
                                                                <w:left w:val="none" w:sz="0" w:space="8" w:color="DCDCDC"/>
                                                                <w:bottom w:val="single" w:sz="12" w:space="8" w:color="DCDCDC"/>
                                                                <w:right w:val="none" w:sz="0" w:space="8" w:color="DCDCDC"/>
                                                              </w:divBdr>
                                                              <w:divsChild>
                                                                <w:div w:id="1661423304">
                                                                  <w:marLeft w:val="0"/>
                                                                  <w:marRight w:val="0"/>
                                                                  <w:marTop w:val="0"/>
                                                                  <w:marBottom w:val="0"/>
                                                                  <w:divBdr>
                                                                    <w:top w:val="none" w:sz="0" w:space="0" w:color="auto"/>
                                                                    <w:left w:val="none" w:sz="0" w:space="0" w:color="auto"/>
                                                                    <w:bottom w:val="none" w:sz="0" w:space="0" w:color="auto"/>
                                                                    <w:right w:val="none" w:sz="0" w:space="0" w:color="auto"/>
                                                                  </w:divBdr>
                                                                  <w:divsChild>
                                                                    <w:div w:id="1541477607">
                                                                      <w:marLeft w:val="0"/>
                                                                      <w:marRight w:val="0"/>
                                                                      <w:marTop w:val="0"/>
                                                                      <w:marBottom w:val="0"/>
                                                                      <w:divBdr>
                                                                        <w:top w:val="none" w:sz="0" w:space="0" w:color="auto"/>
                                                                        <w:left w:val="none" w:sz="0" w:space="0" w:color="auto"/>
                                                                        <w:bottom w:val="none" w:sz="0" w:space="0" w:color="auto"/>
                                                                        <w:right w:val="none" w:sz="0" w:space="0" w:color="auto"/>
                                                                      </w:divBdr>
                                                                    </w:div>
                                                                  </w:divsChild>
                                                                </w:div>
                                                                <w:div w:id="1107702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4269086">
                                                          <w:marLeft w:val="0"/>
                                                          <w:marRight w:val="0"/>
                                                          <w:marTop w:val="0"/>
                                                          <w:marBottom w:val="0"/>
                                                          <w:divBdr>
                                                            <w:top w:val="none" w:sz="0" w:space="0" w:color="auto"/>
                                                            <w:left w:val="none" w:sz="0" w:space="0" w:color="auto"/>
                                                            <w:bottom w:val="none" w:sz="0" w:space="0" w:color="auto"/>
                                                            <w:right w:val="none" w:sz="0" w:space="0" w:color="auto"/>
                                                          </w:divBdr>
                                                          <w:divsChild>
                                                            <w:div w:id="1630820710">
                                                              <w:marLeft w:val="0"/>
                                                              <w:marRight w:val="0"/>
                                                              <w:marTop w:val="0"/>
                                                              <w:marBottom w:val="0"/>
                                                              <w:divBdr>
                                                                <w:top w:val="none" w:sz="0" w:space="0" w:color="auto"/>
                                                                <w:left w:val="none" w:sz="0" w:space="0" w:color="auto"/>
                                                                <w:bottom w:val="none" w:sz="0" w:space="0" w:color="auto"/>
                                                                <w:right w:val="none" w:sz="0" w:space="0" w:color="auto"/>
                                                              </w:divBdr>
                                                              <w:divsChild>
                                                                <w:div w:id="699551402">
                                                                  <w:marLeft w:val="0"/>
                                                                  <w:marRight w:val="0"/>
                                                                  <w:marTop w:val="0"/>
                                                                  <w:marBottom w:val="0"/>
                                                                  <w:divBdr>
                                                                    <w:top w:val="none" w:sz="0" w:space="0" w:color="auto"/>
                                                                    <w:left w:val="none" w:sz="0" w:space="0" w:color="auto"/>
                                                                    <w:bottom w:val="none" w:sz="0" w:space="0" w:color="auto"/>
                                                                    <w:right w:val="none" w:sz="0" w:space="0" w:color="auto"/>
                                                                  </w:divBdr>
                                                                </w:div>
                                                              </w:divsChild>
                                                            </w:div>
                                                            <w:div w:id="964626414">
                                                              <w:marLeft w:val="0"/>
                                                              <w:marRight w:val="0"/>
                                                              <w:marTop w:val="0"/>
                                                              <w:marBottom w:val="0"/>
                                                              <w:divBdr>
                                                                <w:top w:val="none" w:sz="0" w:space="0" w:color="auto"/>
                                                                <w:left w:val="none" w:sz="0" w:space="0" w:color="auto"/>
                                                                <w:bottom w:val="none" w:sz="0" w:space="0" w:color="auto"/>
                                                                <w:right w:val="none" w:sz="0" w:space="0" w:color="auto"/>
                                                              </w:divBdr>
                                                            </w:div>
                                                            <w:div w:id="1814637422">
                                                              <w:marLeft w:val="0"/>
                                                              <w:marRight w:val="0"/>
                                                              <w:marTop w:val="0"/>
                                                              <w:marBottom w:val="0"/>
                                                              <w:divBdr>
                                                                <w:top w:val="none" w:sz="0" w:space="0" w:color="auto"/>
                                                                <w:left w:val="none" w:sz="0" w:space="0" w:color="auto"/>
                                                                <w:bottom w:val="none" w:sz="0" w:space="0" w:color="auto"/>
                                                                <w:right w:val="none" w:sz="0" w:space="0" w:color="auto"/>
                                                              </w:divBdr>
                                                              <w:divsChild>
                                                                <w:div w:id="954482428">
                                                                  <w:marLeft w:val="-225"/>
                                                                  <w:marRight w:val="-225"/>
                                                                  <w:marTop w:val="375"/>
                                                                  <w:marBottom w:val="375"/>
                                                                  <w:divBdr>
                                                                    <w:top w:val="none" w:sz="0" w:space="8" w:color="DCDCDC"/>
                                                                    <w:left w:val="none" w:sz="0" w:space="8" w:color="DCDCDC"/>
                                                                    <w:bottom w:val="single" w:sz="12" w:space="8" w:color="DCDCDC"/>
                                                                    <w:right w:val="none" w:sz="0" w:space="8" w:color="DCDCDC"/>
                                                                  </w:divBdr>
                                                                  <w:divsChild>
                                                                    <w:div w:id="1288900380">
                                                                      <w:marLeft w:val="0"/>
                                                                      <w:marRight w:val="0"/>
                                                                      <w:marTop w:val="0"/>
                                                                      <w:marBottom w:val="0"/>
                                                                      <w:divBdr>
                                                                        <w:top w:val="none" w:sz="0" w:space="0" w:color="auto"/>
                                                                        <w:left w:val="none" w:sz="0" w:space="0" w:color="auto"/>
                                                                        <w:bottom w:val="none" w:sz="0" w:space="0" w:color="auto"/>
                                                                        <w:right w:val="none" w:sz="0" w:space="0" w:color="auto"/>
                                                                      </w:divBdr>
                                                                      <w:divsChild>
                                                                        <w:div w:id="861868232">
                                                                          <w:marLeft w:val="0"/>
                                                                          <w:marRight w:val="0"/>
                                                                          <w:marTop w:val="0"/>
                                                                          <w:marBottom w:val="0"/>
                                                                          <w:divBdr>
                                                                            <w:top w:val="none" w:sz="0" w:space="0" w:color="auto"/>
                                                                            <w:left w:val="none" w:sz="0" w:space="0" w:color="auto"/>
                                                                            <w:bottom w:val="none" w:sz="0" w:space="0" w:color="auto"/>
                                                                            <w:right w:val="none" w:sz="0" w:space="0" w:color="auto"/>
                                                                          </w:divBdr>
                                                                        </w:div>
                                                                      </w:divsChild>
                                                                    </w:div>
                                                                    <w:div w:id="1293906253">
                                                                      <w:marLeft w:val="0"/>
                                                                      <w:marRight w:val="0"/>
                                                                      <w:marTop w:val="0"/>
                                                                      <w:marBottom w:val="0"/>
                                                                      <w:divBdr>
                                                                        <w:top w:val="none" w:sz="0" w:space="0" w:color="auto"/>
                                                                        <w:left w:val="none" w:sz="0" w:space="0" w:color="auto"/>
                                                                        <w:bottom w:val="none" w:sz="0" w:space="0" w:color="auto"/>
                                                                        <w:right w:val="none" w:sz="0" w:space="0" w:color="auto"/>
                                                                      </w:divBdr>
                                                                    </w:div>
                                                                  </w:divsChild>
                                                                </w:div>
                                                                <w:div w:id="738284025">
                                                                  <w:marLeft w:val="0"/>
                                                                  <w:marRight w:val="0"/>
                                                                  <w:marTop w:val="0"/>
                                                                  <w:marBottom w:val="0"/>
                                                                  <w:divBdr>
                                                                    <w:top w:val="none" w:sz="0" w:space="0" w:color="auto"/>
                                                                    <w:left w:val="none" w:sz="0" w:space="0" w:color="auto"/>
                                                                    <w:bottom w:val="none" w:sz="0" w:space="0" w:color="auto"/>
                                                                    <w:right w:val="none" w:sz="0" w:space="0" w:color="auto"/>
                                                                  </w:divBdr>
                                                                  <w:divsChild>
                                                                    <w:div w:id="1493793806">
                                                                      <w:marLeft w:val="0"/>
                                                                      <w:marRight w:val="0"/>
                                                                      <w:marTop w:val="0"/>
                                                                      <w:marBottom w:val="0"/>
                                                                      <w:divBdr>
                                                                        <w:top w:val="none" w:sz="0" w:space="0" w:color="auto"/>
                                                                        <w:left w:val="none" w:sz="0" w:space="0" w:color="auto"/>
                                                                        <w:bottom w:val="none" w:sz="0" w:space="0" w:color="auto"/>
                                                                        <w:right w:val="none" w:sz="0" w:space="0" w:color="auto"/>
                                                                      </w:divBdr>
                                                                    </w:div>
                                                                    <w:div w:id="1656033645">
                                                                      <w:marLeft w:val="0"/>
                                                                      <w:marRight w:val="0"/>
                                                                      <w:marTop w:val="0"/>
                                                                      <w:marBottom w:val="0"/>
                                                                      <w:divBdr>
                                                                        <w:top w:val="none" w:sz="0" w:space="0" w:color="auto"/>
                                                                        <w:left w:val="none" w:sz="0" w:space="0" w:color="auto"/>
                                                                        <w:bottom w:val="none" w:sz="0" w:space="0" w:color="auto"/>
                                                                        <w:right w:val="none" w:sz="0" w:space="0" w:color="auto"/>
                                                                      </w:divBdr>
                                                                    </w:div>
                                                                    <w:div w:id="2131244240">
                                                                      <w:marLeft w:val="0"/>
                                                                      <w:marRight w:val="0"/>
                                                                      <w:marTop w:val="0"/>
                                                                      <w:marBottom w:val="0"/>
                                                                      <w:divBdr>
                                                                        <w:top w:val="none" w:sz="0" w:space="0" w:color="auto"/>
                                                                        <w:left w:val="none" w:sz="0" w:space="0" w:color="auto"/>
                                                                        <w:bottom w:val="none" w:sz="0" w:space="0" w:color="auto"/>
                                                                        <w:right w:val="none" w:sz="0" w:space="0" w:color="auto"/>
                                                                      </w:divBdr>
                                                                    </w:div>
                                                                  </w:divsChild>
                                                                </w:div>
                                                                <w:div w:id="1006517863">
                                                                  <w:marLeft w:val="0"/>
                                                                  <w:marRight w:val="0"/>
                                                                  <w:marTop w:val="0"/>
                                                                  <w:marBottom w:val="0"/>
                                                                  <w:divBdr>
                                                                    <w:top w:val="none" w:sz="0" w:space="0" w:color="auto"/>
                                                                    <w:left w:val="none" w:sz="0" w:space="0" w:color="auto"/>
                                                                    <w:bottom w:val="none" w:sz="0" w:space="0" w:color="auto"/>
                                                                    <w:right w:val="none" w:sz="0" w:space="0" w:color="auto"/>
                                                                  </w:divBdr>
                                                                  <w:divsChild>
                                                                    <w:div w:id="1474326971">
                                                                      <w:marLeft w:val="0"/>
                                                                      <w:marRight w:val="0"/>
                                                                      <w:marTop w:val="0"/>
                                                                      <w:marBottom w:val="0"/>
                                                                      <w:divBdr>
                                                                        <w:top w:val="none" w:sz="0" w:space="0" w:color="auto"/>
                                                                        <w:left w:val="none" w:sz="0" w:space="0" w:color="auto"/>
                                                                        <w:bottom w:val="none" w:sz="0" w:space="0" w:color="auto"/>
                                                                        <w:right w:val="none" w:sz="0" w:space="0" w:color="auto"/>
                                                                      </w:divBdr>
                                                                    </w:div>
                                                                    <w:div w:id="1299646380">
                                                                      <w:marLeft w:val="0"/>
                                                                      <w:marRight w:val="0"/>
                                                                      <w:marTop w:val="0"/>
                                                                      <w:marBottom w:val="0"/>
                                                                      <w:divBdr>
                                                                        <w:top w:val="none" w:sz="0" w:space="0" w:color="auto"/>
                                                                        <w:left w:val="none" w:sz="0" w:space="0" w:color="auto"/>
                                                                        <w:bottom w:val="none" w:sz="0" w:space="0" w:color="auto"/>
                                                                        <w:right w:val="none" w:sz="0" w:space="0" w:color="auto"/>
                                                                      </w:divBdr>
                                                                    </w:div>
                                                                    <w:div w:id="1627546522">
                                                                      <w:marLeft w:val="0"/>
                                                                      <w:marRight w:val="0"/>
                                                                      <w:marTop w:val="0"/>
                                                                      <w:marBottom w:val="0"/>
                                                                      <w:divBdr>
                                                                        <w:top w:val="none" w:sz="0" w:space="0" w:color="auto"/>
                                                                        <w:left w:val="none" w:sz="0" w:space="0" w:color="auto"/>
                                                                        <w:bottom w:val="none" w:sz="0" w:space="0" w:color="auto"/>
                                                                        <w:right w:val="none" w:sz="0" w:space="0" w:color="auto"/>
                                                                      </w:divBdr>
                                                                    </w:div>
                                                                  </w:divsChild>
                                                                </w:div>
                                                                <w:div w:id="298845994">
                                                                  <w:marLeft w:val="0"/>
                                                                  <w:marRight w:val="0"/>
                                                                  <w:marTop w:val="0"/>
                                                                  <w:marBottom w:val="0"/>
                                                                  <w:divBdr>
                                                                    <w:top w:val="none" w:sz="0" w:space="0" w:color="auto"/>
                                                                    <w:left w:val="none" w:sz="0" w:space="0" w:color="auto"/>
                                                                    <w:bottom w:val="none" w:sz="0" w:space="0" w:color="auto"/>
                                                                    <w:right w:val="none" w:sz="0" w:space="0" w:color="auto"/>
                                                                  </w:divBdr>
                                                                </w:div>
                                                              </w:divsChild>
                                                            </w:div>
                                                            <w:div w:id="882524693">
                                                              <w:marLeft w:val="0"/>
                                                              <w:marRight w:val="0"/>
                                                              <w:marTop w:val="0"/>
                                                              <w:marBottom w:val="0"/>
                                                              <w:divBdr>
                                                                <w:top w:val="none" w:sz="0" w:space="0" w:color="auto"/>
                                                                <w:left w:val="none" w:sz="0" w:space="0" w:color="auto"/>
                                                                <w:bottom w:val="none" w:sz="0" w:space="0" w:color="auto"/>
                                                                <w:right w:val="none" w:sz="0" w:space="0" w:color="auto"/>
                                                              </w:divBdr>
                                                            </w:div>
                                                          </w:divsChild>
                                                        </w:div>
                                                        <w:div w:id="1880314491">
                                                          <w:marLeft w:val="0"/>
                                                          <w:marRight w:val="0"/>
                                                          <w:marTop w:val="0"/>
                                                          <w:marBottom w:val="0"/>
                                                          <w:divBdr>
                                                            <w:top w:val="none" w:sz="0" w:space="0" w:color="auto"/>
                                                            <w:left w:val="none" w:sz="0" w:space="0" w:color="auto"/>
                                                            <w:bottom w:val="none" w:sz="0" w:space="0" w:color="auto"/>
                                                            <w:right w:val="none" w:sz="0" w:space="0" w:color="auto"/>
                                                          </w:divBdr>
                                                          <w:divsChild>
                                                            <w:div w:id="1791361788">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416591985">
                                                                  <w:marLeft w:val="225"/>
                                                                  <w:marRight w:val="0"/>
                                                                  <w:marTop w:val="0"/>
                                                                  <w:marBottom w:val="0"/>
                                                                  <w:divBdr>
                                                                    <w:top w:val="none" w:sz="0" w:space="0" w:color="auto"/>
                                                                    <w:left w:val="none" w:sz="0" w:space="0" w:color="auto"/>
                                                                    <w:bottom w:val="none" w:sz="0" w:space="0" w:color="auto"/>
                                                                    <w:right w:val="none" w:sz="0" w:space="0" w:color="auto"/>
                                                                  </w:divBdr>
                                                                  <w:divsChild>
                                                                    <w:div w:id="89902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176134">
                                                              <w:marLeft w:val="0"/>
                                                              <w:marRight w:val="0"/>
                                                              <w:marTop w:val="0"/>
                                                              <w:marBottom w:val="0"/>
                                                              <w:divBdr>
                                                                <w:top w:val="none" w:sz="0" w:space="0" w:color="auto"/>
                                                                <w:left w:val="none" w:sz="0" w:space="0" w:color="auto"/>
                                                                <w:bottom w:val="none" w:sz="0" w:space="0" w:color="auto"/>
                                                                <w:right w:val="none" w:sz="0" w:space="0" w:color="auto"/>
                                                              </w:divBdr>
                                                              <w:divsChild>
                                                                <w:div w:id="865677712">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576206032">
                                                                      <w:marLeft w:val="225"/>
                                                                      <w:marRight w:val="0"/>
                                                                      <w:marTop w:val="0"/>
                                                                      <w:marBottom w:val="0"/>
                                                                      <w:divBdr>
                                                                        <w:top w:val="none" w:sz="0" w:space="0" w:color="auto"/>
                                                                        <w:left w:val="none" w:sz="0" w:space="0" w:color="auto"/>
                                                                        <w:bottom w:val="none" w:sz="0" w:space="0" w:color="auto"/>
                                                                        <w:right w:val="none" w:sz="0" w:space="0" w:color="auto"/>
                                                                      </w:divBdr>
                                                                      <w:divsChild>
                                                                        <w:div w:id="1012949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7223314">
                                                              <w:marLeft w:val="0"/>
                                                              <w:marRight w:val="0"/>
                                                              <w:marTop w:val="0"/>
                                                              <w:marBottom w:val="0"/>
                                                              <w:divBdr>
                                                                <w:top w:val="none" w:sz="0" w:space="0" w:color="auto"/>
                                                                <w:left w:val="none" w:sz="0" w:space="0" w:color="auto"/>
                                                                <w:bottom w:val="none" w:sz="0" w:space="0" w:color="auto"/>
                                                                <w:right w:val="none" w:sz="0" w:space="0" w:color="auto"/>
                                                              </w:divBdr>
                                                              <w:divsChild>
                                                                <w:div w:id="246354523">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295642432">
                                                                      <w:marLeft w:val="225"/>
                                                                      <w:marRight w:val="0"/>
                                                                      <w:marTop w:val="0"/>
                                                                      <w:marBottom w:val="0"/>
                                                                      <w:divBdr>
                                                                        <w:top w:val="none" w:sz="0" w:space="0" w:color="auto"/>
                                                                        <w:left w:val="none" w:sz="0" w:space="0" w:color="auto"/>
                                                                        <w:bottom w:val="none" w:sz="0" w:space="0" w:color="auto"/>
                                                                        <w:right w:val="none" w:sz="0" w:space="0" w:color="auto"/>
                                                                      </w:divBdr>
                                                                      <w:divsChild>
                                                                        <w:div w:id="1553347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7251286">
                                                                  <w:marLeft w:val="-225"/>
                                                                  <w:marRight w:val="-225"/>
                                                                  <w:marTop w:val="375"/>
                                                                  <w:marBottom w:val="375"/>
                                                                  <w:divBdr>
                                                                    <w:top w:val="none" w:sz="0" w:space="8" w:color="DCDCDC"/>
                                                                    <w:left w:val="none" w:sz="0" w:space="8" w:color="DCDCDC"/>
                                                                    <w:bottom w:val="single" w:sz="12" w:space="8" w:color="DCDCDC"/>
                                                                    <w:right w:val="none" w:sz="0" w:space="8" w:color="DCDCDC"/>
                                                                  </w:divBdr>
                                                                  <w:divsChild>
                                                                    <w:div w:id="1779370802">
                                                                      <w:marLeft w:val="0"/>
                                                                      <w:marRight w:val="0"/>
                                                                      <w:marTop w:val="0"/>
                                                                      <w:marBottom w:val="0"/>
                                                                      <w:divBdr>
                                                                        <w:top w:val="none" w:sz="0" w:space="0" w:color="auto"/>
                                                                        <w:left w:val="none" w:sz="0" w:space="0" w:color="auto"/>
                                                                        <w:bottom w:val="none" w:sz="0" w:space="0" w:color="auto"/>
                                                                        <w:right w:val="none" w:sz="0" w:space="0" w:color="auto"/>
                                                                      </w:divBdr>
                                                                      <w:divsChild>
                                                                        <w:div w:id="1051229112">
                                                                          <w:marLeft w:val="0"/>
                                                                          <w:marRight w:val="0"/>
                                                                          <w:marTop w:val="0"/>
                                                                          <w:marBottom w:val="0"/>
                                                                          <w:divBdr>
                                                                            <w:top w:val="none" w:sz="0" w:space="0" w:color="auto"/>
                                                                            <w:left w:val="none" w:sz="0" w:space="0" w:color="auto"/>
                                                                            <w:bottom w:val="none" w:sz="0" w:space="0" w:color="auto"/>
                                                                            <w:right w:val="none" w:sz="0" w:space="0" w:color="auto"/>
                                                                          </w:divBdr>
                                                                        </w:div>
                                                                      </w:divsChild>
                                                                    </w:div>
                                                                    <w:div w:id="37361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5889581">
                                                              <w:marLeft w:val="0"/>
                                                              <w:marRight w:val="0"/>
                                                              <w:marTop w:val="0"/>
                                                              <w:marBottom w:val="0"/>
                                                              <w:divBdr>
                                                                <w:top w:val="none" w:sz="0" w:space="0" w:color="auto"/>
                                                                <w:left w:val="none" w:sz="0" w:space="0" w:color="auto"/>
                                                                <w:bottom w:val="none" w:sz="0" w:space="0" w:color="auto"/>
                                                                <w:right w:val="none" w:sz="0" w:space="0" w:color="auto"/>
                                                              </w:divBdr>
                                                              <w:divsChild>
                                                                <w:div w:id="325674572">
                                                                  <w:marLeft w:val="-225"/>
                                                                  <w:marRight w:val="-225"/>
                                                                  <w:marTop w:val="375"/>
                                                                  <w:marBottom w:val="375"/>
                                                                  <w:divBdr>
                                                                    <w:top w:val="none" w:sz="0" w:space="8" w:color="DCDCDC"/>
                                                                    <w:left w:val="none" w:sz="0" w:space="8" w:color="DCDCDC"/>
                                                                    <w:bottom w:val="single" w:sz="12" w:space="8" w:color="DCDCDC"/>
                                                                    <w:right w:val="none" w:sz="0" w:space="8" w:color="DCDCDC"/>
                                                                  </w:divBdr>
                                                                  <w:divsChild>
                                                                    <w:div w:id="1057363127">
                                                                      <w:marLeft w:val="0"/>
                                                                      <w:marRight w:val="0"/>
                                                                      <w:marTop w:val="0"/>
                                                                      <w:marBottom w:val="0"/>
                                                                      <w:divBdr>
                                                                        <w:top w:val="none" w:sz="0" w:space="0" w:color="auto"/>
                                                                        <w:left w:val="none" w:sz="0" w:space="0" w:color="auto"/>
                                                                        <w:bottom w:val="none" w:sz="0" w:space="0" w:color="auto"/>
                                                                        <w:right w:val="none" w:sz="0" w:space="0" w:color="auto"/>
                                                                      </w:divBdr>
                                                                      <w:divsChild>
                                                                        <w:div w:id="1664091044">
                                                                          <w:marLeft w:val="0"/>
                                                                          <w:marRight w:val="0"/>
                                                                          <w:marTop w:val="0"/>
                                                                          <w:marBottom w:val="0"/>
                                                                          <w:divBdr>
                                                                            <w:top w:val="none" w:sz="0" w:space="0" w:color="auto"/>
                                                                            <w:left w:val="none" w:sz="0" w:space="0" w:color="auto"/>
                                                                            <w:bottom w:val="none" w:sz="0" w:space="0" w:color="auto"/>
                                                                            <w:right w:val="none" w:sz="0" w:space="0" w:color="auto"/>
                                                                          </w:divBdr>
                                                                        </w:div>
                                                                      </w:divsChild>
                                                                    </w:div>
                                                                    <w:div w:id="1422066001">
                                                                      <w:marLeft w:val="0"/>
                                                                      <w:marRight w:val="0"/>
                                                                      <w:marTop w:val="0"/>
                                                                      <w:marBottom w:val="0"/>
                                                                      <w:divBdr>
                                                                        <w:top w:val="none" w:sz="0" w:space="0" w:color="auto"/>
                                                                        <w:left w:val="none" w:sz="0" w:space="0" w:color="auto"/>
                                                                        <w:bottom w:val="none" w:sz="0" w:space="0" w:color="auto"/>
                                                                        <w:right w:val="none" w:sz="0" w:space="0" w:color="auto"/>
                                                                      </w:divBdr>
                                                                    </w:div>
                                                                  </w:divsChild>
                                                                </w:div>
                                                                <w:div w:id="316962661">
                                                                  <w:marLeft w:val="-225"/>
                                                                  <w:marRight w:val="-225"/>
                                                                  <w:marTop w:val="375"/>
                                                                  <w:marBottom w:val="375"/>
                                                                  <w:divBdr>
                                                                    <w:top w:val="none" w:sz="0" w:space="8" w:color="DCDCDC"/>
                                                                    <w:left w:val="none" w:sz="0" w:space="8" w:color="DCDCDC"/>
                                                                    <w:bottom w:val="single" w:sz="12" w:space="8" w:color="DCDCDC"/>
                                                                    <w:right w:val="none" w:sz="0" w:space="8" w:color="DCDCDC"/>
                                                                  </w:divBdr>
                                                                  <w:divsChild>
                                                                    <w:div w:id="763766438">
                                                                      <w:marLeft w:val="0"/>
                                                                      <w:marRight w:val="0"/>
                                                                      <w:marTop w:val="0"/>
                                                                      <w:marBottom w:val="0"/>
                                                                      <w:divBdr>
                                                                        <w:top w:val="none" w:sz="0" w:space="0" w:color="auto"/>
                                                                        <w:left w:val="none" w:sz="0" w:space="0" w:color="auto"/>
                                                                        <w:bottom w:val="none" w:sz="0" w:space="0" w:color="auto"/>
                                                                        <w:right w:val="none" w:sz="0" w:space="0" w:color="auto"/>
                                                                      </w:divBdr>
                                                                      <w:divsChild>
                                                                        <w:div w:id="124859580">
                                                                          <w:marLeft w:val="0"/>
                                                                          <w:marRight w:val="0"/>
                                                                          <w:marTop w:val="0"/>
                                                                          <w:marBottom w:val="0"/>
                                                                          <w:divBdr>
                                                                            <w:top w:val="none" w:sz="0" w:space="0" w:color="auto"/>
                                                                            <w:left w:val="none" w:sz="0" w:space="0" w:color="auto"/>
                                                                            <w:bottom w:val="none" w:sz="0" w:space="0" w:color="auto"/>
                                                                            <w:right w:val="none" w:sz="0" w:space="0" w:color="auto"/>
                                                                          </w:divBdr>
                                                                        </w:div>
                                                                      </w:divsChild>
                                                                    </w:div>
                                                                    <w:div w:id="1304654479">
                                                                      <w:marLeft w:val="0"/>
                                                                      <w:marRight w:val="0"/>
                                                                      <w:marTop w:val="0"/>
                                                                      <w:marBottom w:val="0"/>
                                                                      <w:divBdr>
                                                                        <w:top w:val="none" w:sz="0" w:space="0" w:color="auto"/>
                                                                        <w:left w:val="none" w:sz="0" w:space="0" w:color="auto"/>
                                                                        <w:bottom w:val="none" w:sz="0" w:space="0" w:color="auto"/>
                                                                        <w:right w:val="none" w:sz="0" w:space="0" w:color="auto"/>
                                                                      </w:divBdr>
                                                                    </w:div>
                                                                  </w:divsChild>
                                                                </w:div>
                                                                <w:div w:id="910820541">
                                                                  <w:marLeft w:val="-225"/>
                                                                  <w:marRight w:val="-225"/>
                                                                  <w:marTop w:val="375"/>
                                                                  <w:marBottom w:val="375"/>
                                                                  <w:divBdr>
                                                                    <w:top w:val="none" w:sz="0" w:space="8" w:color="DCDCDC"/>
                                                                    <w:left w:val="none" w:sz="0" w:space="8" w:color="DCDCDC"/>
                                                                    <w:bottom w:val="single" w:sz="12" w:space="8" w:color="DCDCDC"/>
                                                                    <w:right w:val="none" w:sz="0" w:space="8" w:color="DCDCDC"/>
                                                                  </w:divBdr>
                                                                  <w:divsChild>
                                                                    <w:div w:id="945503942">
                                                                      <w:marLeft w:val="0"/>
                                                                      <w:marRight w:val="0"/>
                                                                      <w:marTop w:val="0"/>
                                                                      <w:marBottom w:val="0"/>
                                                                      <w:divBdr>
                                                                        <w:top w:val="none" w:sz="0" w:space="0" w:color="auto"/>
                                                                        <w:left w:val="none" w:sz="0" w:space="0" w:color="auto"/>
                                                                        <w:bottom w:val="none" w:sz="0" w:space="0" w:color="auto"/>
                                                                        <w:right w:val="none" w:sz="0" w:space="0" w:color="auto"/>
                                                                      </w:divBdr>
                                                                      <w:divsChild>
                                                                        <w:div w:id="238295013">
                                                                          <w:marLeft w:val="0"/>
                                                                          <w:marRight w:val="0"/>
                                                                          <w:marTop w:val="0"/>
                                                                          <w:marBottom w:val="0"/>
                                                                          <w:divBdr>
                                                                            <w:top w:val="none" w:sz="0" w:space="0" w:color="auto"/>
                                                                            <w:left w:val="none" w:sz="0" w:space="0" w:color="auto"/>
                                                                            <w:bottom w:val="none" w:sz="0" w:space="0" w:color="auto"/>
                                                                            <w:right w:val="none" w:sz="0" w:space="0" w:color="auto"/>
                                                                          </w:divBdr>
                                                                        </w:div>
                                                                      </w:divsChild>
                                                                    </w:div>
                                                                    <w:div w:id="568152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5767071">
                                                              <w:marLeft w:val="0"/>
                                                              <w:marRight w:val="0"/>
                                                              <w:marTop w:val="0"/>
                                                              <w:marBottom w:val="0"/>
                                                              <w:divBdr>
                                                                <w:top w:val="none" w:sz="0" w:space="0" w:color="auto"/>
                                                                <w:left w:val="none" w:sz="0" w:space="0" w:color="auto"/>
                                                                <w:bottom w:val="none" w:sz="0" w:space="0" w:color="auto"/>
                                                                <w:right w:val="none" w:sz="0" w:space="0" w:color="auto"/>
                                                              </w:divBdr>
                                                              <w:divsChild>
                                                                <w:div w:id="1607811338">
                                                                  <w:marLeft w:val="-225"/>
                                                                  <w:marRight w:val="-225"/>
                                                                  <w:marTop w:val="375"/>
                                                                  <w:marBottom w:val="375"/>
                                                                  <w:divBdr>
                                                                    <w:top w:val="none" w:sz="0" w:space="8" w:color="DCDCDC"/>
                                                                    <w:left w:val="none" w:sz="0" w:space="8" w:color="DCDCDC"/>
                                                                    <w:bottom w:val="single" w:sz="12" w:space="8" w:color="DCDCDC"/>
                                                                    <w:right w:val="none" w:sz="0" w:space="8" w:color="DCDCDC"/>
                                                                  </w:divBdr>
                                                                  <w:divsChild>
                                                                    <w:div w:id="931938790">
                                                                      <w:marLeft w:val="0"/>
                                                                      <w:marRight w:val="0"/>
                                                                      <w:marTop w:val="0"/>
                                                                      <w:marBottom w:val="0"/>
                                                                      <w:divBdr>
                                                                        <w:top w:val="none" w:sz="0" w:space="0" w:color="auto"/>
                                                                        <w:left w:val="none" w:sz="0" w:space="0" w:color="auto"/>
                                                                        <w:bottom w:val="none" w:sz="0" w:space="0" w:color="auto"/>
                                                                        <w:right w:val="none" w:sz="0" w:space="0" w:color="auto"/>
                                                                      </w:divBdr>
                                                                      <w:divsChild>
                                                                        <w:div w:id="298610280">
                                                                          <w:marLeft w:val="0"/>
                                                                          <w:marRight w:val="0"/>
                                                                          <w:marTop w:val="0"/>
                                                                          <w:marBottom w:val="0"/>
                                                                          <w:divBdr>
                                                                            <w:top w:val="none" w:sz="0" w:space="0" w:color="auto"/>
                                                                            <w:left w:val="none" w:sz="0" w:space="0" w:color="auto"/>
                                                                            <w:bottom w:val="none" w:sz="0" w:space="0" w:color="auto"/>
                                                                            <w:right w:val="none" w:sz="0" w:space="0" w:color="auto"/>
                                                                          </w:divBdr>
                                                                        </w:div>
                                                                      </w:divsChild>
                                                                    </w:div>
                                                                    <w:div w:id="376703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9133887">
                                                          <w:marLeft w:val="0"/>
                                                          <w:marRight w:val="0"/>
                                                          <w:marTop w:val="0"/>
                                                          <w:marBottom w:val="0"/>
                                                          <w:divBdr>
                                                            <w:top w:val="none" w:sz="0" w:space="0" w:color="auto"/>
                                                            <w:left w:val="none" w:sz="0" w:space="0" w:color="auto"/>
                                                            <w:bottom w:val="none" w:sz="0" w:space="0" w:color="auto"/>
                                                            <w:right w:val="none" w:sz="0" w:space="0" w:color="auto"/>
                                                          </w:divBdr>
                                                        </w:div>
                                                        <w:div w:id="1414231949">
                                                          <w:marLeft w:val="0"/>
                                                          <w:marRight w:val="0"/>
                                                          <w:marTop w:val="0"/>
                                                          <w:marBottom w:val="0"/>
                                                          <w:divBdr>
                                                            <w:top w:val="none" w:sz="0" w:space="0" w:color="auto"/>
                                                            <w:left w:val="none" w:sz="0" w:space="0" w:color="auto"/>
                                                            <w:bottom w:val="none" w:sz="0" w:space="0" w:color="auto"/>
                                                            <w:right w:val="none" w:sz="0" w:space="0" w:color="auto"/>
                                                          </w:divBdr>
                                                        </w:div>
                                                        <w:div w:id="192698359">
                                                          <w:marLeft w:val="0"/>
                                                          <w:marRight w:val="0"/>
                                                          <w:marTop w:val="0"/>
                                                          <w:marBottom w:val="0"/>
                                                          <w:divBdr>
                                                            <w:top w:val="none" w:sz="0" w:space="0" w:color="auto"/>
                                                            <w:left w:val="none" w:sz="0" w:space="0" w:color="auto"/>
                                                            <w:bottom w:val="none" w:sz="0" w:space="0" w:color="auto"/>
                                                            <w:right w:val="none" w:sz="0" w:space="0" w:color="auto"/>
                                                          </w:divBdr>
                                                        </w:div>
                                                        <w:div w:id="290135152">
                                                          <w:marLeft w:val="0"/>
                                                          <w:marRight w:val="0"/>
                                                          <w:marTop w:val="0"/>
                                                          <w:marBottom w:val="0"/>
                                                          <w:divBdr>
                                                            <w:top w:val="none" w:sz="0" w:space="0" w:color="auto"/>
                                                            <w:left w:val="none" w:sz="0" w:space="0" w:color="auto"/>
                                                            <w:bottom w:val="none" w:sz="0" w:space="0" w:color="auto"/>
                                                            <w:right w:val="none" w:sz="0" w:space="0" w:color="auto"/>
                                                          </w:divBdr>
                                                          <w:divsChild>
                                                            <w:div w:id="1274509252">
                                                              <w:marLeft w:val="0"/>
                                                              <w:marRight w:val="0"/>
                                                              <w:marTop w:val="0"/>
                                                              <w:marBottom w:val="0"/>
                                                              <w:divBdr>
                                                                <w:top w:val="none" w:sz="0" w:space="0" w:color="auto"/>
                                                                <w:left w:val="none" w:sz="0" w:space="0" w:color="auto"/>
                                                                <w:bottom w:val="none" w:sz="0" w:space="0" w:color="auto"/>
                                                                <w:right w:val="none" w:sz="0" w:space="0" w:color="auto"/>
                                                              </w:divBdr>
                                                              <w:divsChild>
                                                                <w:div w:id="1607040421">
                                                                  <w:marLeft w:val="0"/>
                                                                  <w:marRight w:val="120"/>
                                                                  <w:marTop w:val="0"/>
                                                                  <w:marBottom w:val="0"/>
                                                                  <w:divBdr>
                                                                    <w:top w:val="none" w:sz="0" w:space="0" w:color="auto"/>
                                                                    <w:left w:val="none" w:sz="0" w:space="0" w:color="auto"/>
                                                                    <w:bottom w:val="none" w:sz="0" w:space="0" w:color="auto"/>
                                                                    <w:right w:val="none" w:sz="0" w:space="0" w:color="auto"/>
                                                                  </w:divBdr>
                                                                </w:div>
                                                                <w:div w:id="1038550519">
                                                                  <w:marLeft w:val="0"/>
                                                                  <w:marRight w:val="0"/>
                                                                  <w:marTop w:val="0"/>
                                                                  <w:marBottom w:val="0"/>
                                                                  <w:divBdr>
                                                                    <w:top w:val="none" w:sz="0" w:space="0" w:color="auto"/>
                                                                    <w:left w:val="none" w:sz="0" w:space="0" w:color="auto"/>
                                                                    <w:bottom w:val="none" w:sz="0" w:space="0" w:color="auto"/>
                                                                    <w:right w:val="none" w:sz="0" w:space="0" w:color="auto"/>
                                                                  </w:divBdr>
                                                                </w:div>
                                                              </w:divsChild>
                                                            </w:div>
                                                            <w:div w:id="2003073006">
                                                              <w:marLeft w:val="0"/>
                                                              <w:marRight w:val="0"/>
                                                              <w:marTop w:val="0"/>
                                                              <w:marBottom w:val="0"/>
                                                              <w:divBdr>
                                                                <w:top w:val="none" w:sz="0" w:space="0" w:color="auto"/>
                                                                <w:left w:val="none" w:sz="0" w:space="0" w:color="auto"/>
                                                                <w:bottom w:val="none" w:sz="0" w:space="0" w:color="auto"/>
                                                                <w:right w:val="none" w:sz="0" w:space="0" w:color="auto"/>
                                                              </w:divBdr>
                                                              <w:divsChild>
                                                                <w:div w:id="1034889786">
                                                                  <w:marLeft w:val="0"/>
                                                                  <w:marRight w:val="120"/>
                                                                  <w:marTop w:val="0"/>
                                                                  <w:marBottom w:val="0"/>
                                                                  <w:divBdr>
                                                                    <w:top w:val="none" w:sz="0" w:space="0" w:color="auto"/>
                                                                    <w:left w:val="none" w:sz="0" w:space="0" w:color="auto"/>
                                                                    <w:bottom w:val="none" w:sz="0" w:space="0" w:color="auto"/>
                                                                    <w:right w:val="none" w:sz="0" w:space="0" w:color="auto"/>
                                                                  </w:divBdr>
                                                                </w:div>
                                                                <w:div w:id="97453877">
                                                                  <w:marLeft w:val="0"/>
                                                                  <w:marRight w:val="0"/>
                                                                  <w:marTop w:val="0"/>
                                                                  <w:marBottom w:val="0"/>
                                                                  <w:divBdr>
                                                                    <w:top w:val="none" w:sz="0" w:space="0" w:color="auto"/>
                                                                    <w:left w:val="none" w:sz="0" w:space="0" w:color="auto"/>
                                                                    <w:bottom w:val="none" w:sz="0" w:space="0" w:color="auto"/>
                                                                    <w:right w:val="none" w:sz="0" w:space="0" w:color="auto"/>
                                                                  </w:divBdr>
                                                                </w:div>
                                                              </w:divsChild>
                                                            </w:div>
                                                            <w:div w:id="1769932106">
                                                              <w:marLeft w:val="0"/>
                                                              <w:marRight w:val="0"/>
                                                              <w:marTop w:val="0"/>
                                                              <w:marBottom w:val="0"/>
                                                              <w:divBdr>
                                                                <w:top w:val="none" w:sz="0" w:space="0" w:color="auto"/>
                                                                <w:left w:val="none" w:sz="0" w:space="0" w:color="auto"/>
                                                                <w:bottom w:val="none" w:sz="0" w:space="0" w:color="auto"/>
                                                                <w:right w:val="none" w:sz="0" w:space="0" w:color="auto"/>
                                                              </w:divBdr>
                                                              <w:divsChild>
                                                                <w:div w:id="446242545">
                                                                  <w:marLeft w:val="0"/>
                                                                  <w:marRight w:val="120"/>
                                                                  <w:marTop w:val="0"/>
                                                                  <w:marBottom w:val="0"/>
                                                                  <w:divBdr>
                                                                    <w:top w:val="none" w:sz="0" w:space="0" w:color="auto"/>
                                                                    <w:left w:val="none" w:sz="0" w:space="0" w:color="auto"/>
                                                                    <w:bottom w:val="none" w:sz="0" w:space="0" w:color="auto"/>
                                                                    <w:right w:val="none" w:sz="0" w:space="0" w:color="auto"/>
                                                                  </w:divBdr>
                                                                </w:div>
                                                                <w:div w:id="373695573">
                                                                  <w:marLeft w:val="0"/>
                                                                  <w:marRight w:val="0"/>
                                                                  <w:marTop w:val="0"/>
                                                                  <w:marBottom w:val="0"/>
                                                                  <w:divBdr>
                                                                    <w:top w:val="none" w:sz="0" w:space="0" w:color="auto"/>
                                                                    <w:left w:val="none" w:sz="0" w:space="0" w:color="auto"/>
                                                                    <w:bottom w:val="none" w:sz="0" w:space="0" w:color="auto"/>
                                                                    <w:right w:val="none" w:sz="0" w:space="0" w:color="auto"/>
                                                                  </w:divBdr>
                                                                </w:div>
                                                              </w:divsChild>
                                                            </w:div>
                                                            <w:div w:id="1070230769">
                                                              <w:marLeft w:val="0"/>
                                                              <w:marRight w:val="0"/>
                                                              <w:marTop w:val="0"/>
                                                              <w:marBottom w:val="0"/>
                                                              <w:divBdr>
                                                                <w:top w:val="none" w:sz="0" w:space="0" w:color="auto"/>
                                                                <w:left w:val="none" w:sz="0" w:space="0" w:color="auto"/>
                                                                <w:bottom w:val="none" w:sz="0" w:space="0" w:color="auto"/>
                                                                <w:right w:val="none" w:sz="0" w:space="0" w:color="auto"/>
                                                              </w:divBdr>
                                                              <w:divsChild>
                                                                <w:div w:id="71049573">
                                                                  <w:marLeft w:val="0"/>
                                                                  <w:marRight w:val="120"/>
                                                                  <w:marTop w:val="0"/>
                                                                  <w:marBottom w:val="0"/>
                                                                  <w:divBdr>
                                                                    <w:top w:val="none" w:sz="0" w:space="0" w:color="auto"/>
                                                                    <w:left w:val="none" w:sz="0" w:space="0" w:color="auto"/>
                                                                    <w:bottom w:val="none" w:sz="0" w:space="0" w:color="auto"/>
                                                                    <w:right w:val="none" w:sz="0" w:space="0" w:color="auto"/>
                                                                  </w:divBdr>
                                                                </w:div>
                                                                <w:div w:id="700470486">
                                                                  <w:marLeft w:val="0"/>
                                                                  <w:marRight w:val="0"/>
                                                                  <w:marTop w:val="0"/>
                                                                  <w:marBottom w:val="0"/>
                                                                  <w:divBdr>
                                                                    <w:top w:val="none" w:sz="0" w:space="0" w:color="auto"/>
                                                                    <w:left w:val="none" w:sz="0" w:space="0" w:color="auto"/>
                                                                    <w:bottom w:val="none" w:sz="0" w:space="0" w:color="auto"/>
                                                                    <w:right w:val="none" w:sz="0" w:space="0" w:color="auto"/>
                                                                  </w:divBdr>
                                                                </w:div>
                                                              </w:divsChild>
                                                            </w:div>
                                                            <w:div w:id="639456373">
                                                              <w:marLeft w:val="0"/>
                                                              <w:marRight w:val="0"/>
                                                              <w:marTop w:val="0"/>
                                                              <w:marBottom w:val="0"/>
                                                              <w:divBdr>
                                                                <w:top w:val="none" w:sz="0" w:space="0" w:color="auto"/>
                                                                <w:left w:val="none" w:sz="0" w:space="0" w:color="auto"/>
                                                                <w:bottom w:val="none" w:sz="0" w:space="0" w:color="auto"/>
                                                                <w:right w:val="none" w:sz="0" w:space="0" w:color="auto"/>
                                                              </w:divBdr>
                                                              <w:divsChild>
                                                                <w:div w:id="307059004">
                                                                  <w:marLeft w:val="0"/>
                                                                  <w:marRight w:val="120"/>
                                                                  <w:marTop w:val="0"/>
                                                                  <w:marBottom w:val="0"/>
                                                                  <w:divBdr>
                                                                    <w:top w:val="none" w:sz="0" w:space="0" w:color="auto"/>
                                                                    <w:left w:val="none" w:sz="0" w:space="0" w:color="auto"/>
                                                                    <w:bottom w:val="none" w:sz="0" w:space="0" w:color="auto"/>
                                                                    <w:right w:val="none" w:sz="0" w:space="0" w:color="auto"/>
                                                                  </w:divBdr>
                                                                </w:div>
                                                                <w:div w:id="1743991893">
                                                                  <w:marLeft w:val="0"/>
                                                                  <w:marRight w:val="0"/>
                                                                  <w:marTop w:val="0"/>
                                                                  <w:marBottom w:val="0"/>
                                                                  <w:divBdr>
                                                                    <w:top w:val="none" w:sz="0" w:space="0" w:color="auto"/>
                                                                    <w:left w:val="none" w:sz="0" w:space="0" w:color="auto"/>
                                                                    <w:bottom w:val="none" w:sz="0" w:space="0" w:color="auto"/>
                                                                    <w:right w:val="none" w:sz="0" w:space="0" w:color="auto"/>
                                                                  </w:divBdr>
                                                                </w:div>
                                                              </w:divsChild>
                                                            </w:div>
                                                            <w:div w:id="352348213">
                                                              <w:marLeft w:val="0"/>
                                                              <w:marRight w:val="0"/>
                                                              <w:marTop w:val="0"/>
                                                              <w:marBottom w:val="0"/>
                                                              <w:divBdr>
                                                                <w:top w:val="none" w:sz="0" w:space="0" w:color="auto"/>
                                                                <w:left w:val="none" w:sz="0" w:space="0" w:color="auto"/>
                                                                <w:bottom w:val="none" w:sz="0" w:space="0" w:color="auto"/>
                                                                <w:right w:val="none" w:sz="0" w:space="0" w:color="auto"/>
                                                              </w:divBdr>
                                                              <w:divsChild>
                                                                <w:div w:id="549465181">
                                                                  <w:marLeft w:val="0"/>
                                                                  <w:marRight w:val="120"/>
                                                                  <w:marTop w:val="0"/>
                                                                  <w:marBottom w:val="0"/>
                                                                  <w:divBdr>
                                                                    <w:top w:val="none" w:sz="0" w:space="0" w:color="auto"/>
                                                                    <w:left w:val="none" w:sz="0" w:space="0" w:color="auto"/>
                                                                    <w:bottom w:val="none" w:sz="0" w:space="0" w:color="auto"/>
                                                                    <w:right w:val="none" w:sz="0" w:space="0" w:color="auto"/>
                                                                  </w:divBdr>
                                                                </w:div>
                                                                <w:div w:id="1915776952">
                                                                  <w:marLeft w:val="0"/>
                                                                  <w:marRight w:val="0"/>
                                                                  <w:marTop w:val="0"/>
                                                                  <w:marBottom w:val="0"/>
                                                                  <w:divBdr>
                                                                    <w:top w:val="none" w:sz="0" w:space="0" w:color="auto"/>
                                                                    <w:left w:val="none" w:sz="0" w:space="0" w:color="auto"/>
                                                                    <w:bottom w:val="none" w:sz="0" w:space="0" w:color="auto"/>
                                                                    <w:right w:val="none" w:sz="0" w:space="0" w:color="auto"/>
                                                                  </w:divBdr>
                                                                </w:div>
                                                              </w:divsChild>
                                                            </w:div>
                                                            <w:div w:id="1611620135">
                                                              <w:marLeft w:val="0"/>
                                                              <w:marRight w:val="0"/>
                                                              <w:marTop w:val="0"/>
                                                              <w:marBottom w:val="0"/>
                                                              <w:divBdr>
                                                                <w:top w:val="none" w:sz="0" w:space="0" w:color="auto"/>
                                                                <w:left w:val="none" w:sz="0" w:space="0" w:color="auto"/>
                                                                <w:bottom w:val="none" w:sz="0" w:space="0" w:color="auto"/>
                                                                <w:right w:val="none" w:sz="0" w:space="0" w:color="auto"/>
                                                              </w:divBdr>
                                                              <w:divsChild>
                                                                <w:div w:id="1690179317">
                                                                  <w:marLeft w:val="0"/>
                                                                  <w:marRight w:val="120"/>
                                                                  <w:marTop w:val="0"/>
                                                                  <w:marBottom w:val="0"/>
                                                                  <w:divBdr>
                                                                    <w:top w:val="none" w:sz="0" w:space="0" w:color="auto"/>
                                                                    <w:left w:val="none" w:sz="0" w:space="0" w:color="auto"/>
                                                                    <w:bottom w:val="none" w:sz="0" w:space="0" w:color="auto"/>
                                                                    <w:right w:val="none" w:sz="0" w:space="0" w:color="auto"/>
                                                                  </w:divBdr>
                                                                </w:div>
                                                                <w:div w:id="1433352752">
                                                                  <w:marLeft w:val="0"/>
                                                                  <w:marRight w:val="0"/>
                                                                  <w:marTop w:val="0"/>
                                                                  <w:marBottom w:val="0"/>
                                                                  <w:divBdr>
                                                                    <w:top w:val="none" w:sz="0" w:space="0" w:color="auto"/>
                                                                    <w:left w:val="none" w:sz="0" w:space="0" w:color="auto"/>
                                                                    <w:bottom w:val="none" w:sz="0" w:space="0" w:color="auto"/>
                                                                    <w:right w:val="none" w:sz="0" w:space="0" w:color="auto"/>
                                                                  </w:divBdr>
                                                                </w:div>
                                                              </w:divsChild>
                                                            </w:div>
                                                            <w:div w:id="2123186245">
                                                              <w:marLeft w:val="0"/>
                                                              <w:marRight w:val="0"/>
                                                              <w:marTop w:val="0"/>
                                                              <w:marBottom w:val="0"/>
                                                              <w:divBdr>
                                                                <w:top w:val="none" w:sz="0" w:space="0" w:color="auto"/>
                                                                <w:left w:val="none" w:sz="0" w:space="0" w:color="auto"/>
                                                                <w:bottom w:val="none" w:sz="0" w:space="0" w:color="auto"/>
                                                                <w:right w:val="none" w:sz="0" w:space="0" w:color="auto"/>
                                                              </w:divBdr>
                                                              <w:divsChild>
                                                                <w:div w:id="2136945071">
                                                                  <w:marLeft w:val="0"/>
                                                                  <w:marRight w:val="120"/>
                                                                  <w:marTop w:val="0"/>
                                                                  <w:marBottom w:val="0"/>
                                                                  <w:divBdr>
                                                                    <w:top w:val="none" w:sz="0" w:space="0" w:color="auto"/>
                                                                    <w:left w:val="none" w:sz="0" w:space="0" w:color="auto"/>
                                                                    <w:bottom w:val="none" w:sz="0" w:space="0" w:color="auto"/>
                                                                    <w:right w:val="none" w:sz="0" w:space="0" w:color="auto"/>
                                                                  </w:divBdr>
                                                                </w:div>
                                                                <w:div w:id="564686582">
                                                                  <w:marLeft w:val="0"/>
                                                                  <w:marRight w:val="0"/>
                                                                  <w:marTop w:val="0"/>
                                                                  <w:marBottom w:val="0"/>
                                                                  <w:divBdr>
                                                                    <w:top w:val="none" w:sz="0" w:space="0" w:color="auto"/>
                                                                    <w:left w:val="none" w:sz="0" w:space="0" w:color="auto"/>
                                                                    <w:bottom w:val="none" w:sz="0" w:space="0" w:color="auto"/>
                                                                    <w:right w:val="none" w:sz="0" w:space="0" w:color="auto"/>
                                                                  </w:divBdr>
                                                                </w:div>
                                                              </w:divsChild>
                                                            </w:div>
                                                            <w:div w:id="671760857">
                                                              <w:marLeft w:val="0"/>
                                                              <w:marRight w:val="0"/>
                                                              <w:marTop w:val="0"/>
                                                              <w:marBottom w:val="0"/>
                                                              <w:divBdr>
                                                                <w:top w:val="none" w:sz="0" w:space="0" w:color="auto"/>
                                                                <w:left w:val="none" w:sz="0" w:space="0" w:color="auto"/>
                                                                <w:bottom w:val="none" w:sz="0" w:space="0" w:color="auto"/>
                                                                <w:right w:val="none" w:sz="0" w:space="0" w:color="auto"/>
                                                              </w:divBdr>
                                                              <w:divsChild>
                                                                <w:div w:id="656300913">
                                                                  <w:marLeft w:val="0"/>
                                                                  <w:marRight w:val="120"/>
                                                                  <w:marTop w:val="0"/>
                                                                  <w:marBottom w:val="0"/>
                                                                  <w:divBdr>
                                                                    <w:top w:val="none" w:sz="0" w:space="0" w:color="auto"/>
                                                                    <w:left w:val="none" w:sz="0" w:space="0" w:color="auto"/>
                                                                    <w:bottom w:val="none" w:sz="0" w:space="0" w:color="auto"/>
                                                                    <w:right w:val="none" w:sz="0" w:space="0" w:color="auto"/>
                                                                  </w:divBdr>
                                                                </w:div>
                                                                <w:div w:id="584416749">
                                                                  <w:marLeft w:val="0"/>
                                                                  <w:marRight w:val="0"/>
                                                                  <w:marTop w:val="0"/>
                                                                  <w:marBottom w:val="0"/>
                                                                  <w:divBdr>
                                                                    <w:top w:val="none" w:sz="0" w:space="0" w:color="auto"/>
                                                                    <w:left w:val="none" w:sz="0" w:space="0" w:color="auto"/>
                                                                    <w:bottom w:val="none" w:sz="0" w:space="0" w:color="auto"/>
                                                                    <w:right w:val="none" w:sz="0" w:space="0" w:color="auto"/>
                                                                  </w:divBdr>
                                                                </w:div>
                                                              </w:divsChild>
                                                            </w:div>
                                                            <w:div w:id="271018370">
                                                              <w:marLeft w:val="0"/>
                                                              <w:marRight w:val="0"/>
                                                              <w:marTop w:val="0"/>
                                                              <w:marBottom w:val="0"/>
                                                              <w:divBdr>
                                                                <w:top w:val="none" w:sz="0" w:space="0" w:color="auto"/>
                                                                <w:left w:val="none" w:sz="0" w:space="0" w:color="auto"/>
                                                                <w:bottom w:val="none" w:sz="0" w:space="0" w:color="auto"/>
                                                                <w:right w:val="none" w:sz="0" w:space="0" w:color="auto"/>
                                                              </w:divBdr>
                                                              <w:divsChild>
                                                                <w:div w:id="979770330">
                                                                  <w:marLeft w:val="0"/>
                                                                  <w:marRight w:val="120"/>
                                                                  <w:marTop w:val="0"/>
                                                                  <w:marBottom w:val="0"/>
                                                                  <w:divBdr>
                                                                    <w:top w:val="none" w:sz="0" w:space="0" w:color="auto"/>
                                                                    <w:left w:val="none" w:sz="0" w:space="0" w:color="auto"/>
                                                                    <w:bottom w:val="none" w:sz="0" w:space="0" w:color="auto"/>
                                                                    <w:right w:val="none" w:sz="0" w:space="0" w:color="auto"/>
                                                                  </w:divBdr>
                                                                </w:div>
                                                                <w:div w:id="49304002">
                                                                  <w:marLeft w:val="0"/>
                                                                  <w:marRight w:val="0"/>
                                                                  <w:marTop w:val="0"/>
                                                                  <w:marBottom w:val="0"/>
                                                                  <w:divBdr>
                                                                    <w:top w:val="none" w:sz="0" w:space="0" w:color="auto"/>
                                                                    <w:left w:val="none" w:sz="0" w:space="0" w:color="auto"/>
                                                                    <w:bottom w:val="none" w:sz="0" w:space="0" w:color="auto"/>
                                                                    <w:right w:val="none" w:sz="0" w:space="0" w:color="auto"/>
                                                                  </w:divBdr>
                                                                </w:div>
                                                              </w:divsChild>
                                                            </w:div>
                                                            <w:div w:id="1017391938">
                                                              <w:marLeft w:val="0"/>
                                                              <w:marRight w:val="0"/>
                                                              <w:marTop w:val="0"/>
                                                              <w:marBottom w:val="0"/>
                                                              <w:divBdr>
                                                                <w:top w:val="none" w:sz="0" w:space="0" w:color="auto"/>
                                                                <w:left w:val="none" w:sz="0" w:space="0" w:color="auto"/>
                                                                <w:bottom w:val="none" w:sz="0" w:space="0" w:color="auto"/>
                                                                <w:right w:val="none" w:sz="0" w:space="0" w:color="auto"/>
                                                              </w:divBdr>
                                                              <w:divsChild>
                                                                <w:div w:id="1379671128">
                                                                  <w:marLeft w:val="0"/>
                                                                  <w:marRight w:val="120"/>
                                                                  <w:marTop w:val="0"/>
                                                                  <w:marBottom w:val="0"/>
                                                                  <w:divBdr>
                                                                    <w:top w:val="none" w:sz="0" w:space="0" w:color="auto"/>
                                                                    <w:left w:val="none" w:sz="0" w:space="0" w:color="auto"/>
                                                                    <w:bottom w:val="none" w:sz="0" w:space="0" w:color="auto"/>
                                                                    <w:right w:val="none" w:sz="0" w:space="0" w:color="auto"/>
                                                                  </w:divBdr>
                                                                </w:div>
                                                                <w:div w:id="1740399184">
                                                                  <w:marLeft w:val="0"/>
                                                                  <w:marRight w:val="0"/>
                                                                  <w:marTop w:val="0"/>
                                                                  <w:marBottom w:val="0"/>
                                                                  <w:divBdr>
                                                                    <w:top w:val="none" w:sz="0" w:space="0" w:color="auto"/>
                                                                    <w:left w:val="none" w:sz="0" w:space="0" w:color="auto"/>
                                                                    <w:bottom w:val="none" w:sz="0" w:space="0" w:color="auto"/>
                                                                    <w:right w:val="none" w:sz="0" w:space="0" w:color="auto"/>
                                                                  </w:divBdr>
                                                                </w:div>
                                                              </w:divsChild>
                                                            </w:div>
                                                            <w:div w:id="1353721876">
                                                              <w:marLeft w:val="0"/>
                                                              <w:marRight w:val="0"/>
                                                              <w:marTop w:val="0"/>
                                                              <w:marBottom w:val="0"/>
                                                              <w:divBdr>
                                                                <w:top w:val="none" w:sz="0" w:space="0" w:color="auto"/>
                                                                <w:left w:val="none" w:sz="0" w:space="0" w:color="auto"/>
                                                                <w:bottom w:val="none" w:sz="0" w:space="0" w:color="auto"/>
                                                                <w:right w:val="none" w:sz="0" w:space="0" w:color="auto"/>
                                                              </w:divBdr>
                                                              <w:divsChild>
                                                                <w:div w:id="257717134">
                                                                  <w:marLeft w:val="0"/>
                                                                  <w:marRight w:val="120"/>
                                                                  <w:marTop w:val="0"/>
                                                                  <w:marBottom w:val="0"/>
                                                                  <w:divBdr>
                                                                    <w:top w:val="none" w:sz="0" w:space="0" w:color="auto"/>
                                                                    <w:left w:val="none" w:sz="0" w:space="0" w:color="auto"/>
                                                                    <w:bottom w:val="none" w:sz="0" w:space="0" w:color="auto"/>
                                                                    <w:right w:val="none" w:sz="0" w:space="0" w:color="auto"/>
                                                                  </w:divBdr>
                                                                </w:div>
                                                                <w:div w:id="673993459">
                                                                  <w:marLeft w:val="0"/>
                                                                  <w:marRight w:val="0"/>
                                                                  <w:marTop w:val="0"/>
                                                                  <w:marBottom w:val="0"/>
                                                                  <w:divBdr>
                                                                    <w:top w:val="none" w:sz="0" w:space="0" w:color="auto"/>
                                                                    <w:left w:val="none" w:sz="0" w:space="0" w:color="auto"/>
                                                                    <w:bottom w:val="none" w:sz="0" w:space="0" w:color="auto"/>
                                                                    <w:right w:val="none" w:sz="0" w:space="0" w:color="auto"/>
                                                                  </w:divBdr>
                                                                </w:div>
                                                              </w:divsChild>
                                                            </w:div>
                                                            <w:div w:id="1039206199">
                                                              <w:marLeft w:val="0"/>
                                                              <w:marRight w:val="0"/>
                                                              <w:marTop w:val="0"/>
                                                              <w:marBottom w:val="0"/>
                                                              <w:divBdr>
                                                                <w:top w:val="none" w:sz="0" w:space="0" w:color="auto"/>
                                                                <w:left w:val="none" w:sz="0" w:space="0" w:color="auto"/>
                                                                <w:bottom w:val="none" w:sz="0" w:space="0" w:color="auto"/>
                                                                <w:right w:val="none" w:sz="0" w:space="0" w:color="auto"/>
                                                              </w:divBdr>
                                                              <w:divsChild>
                                                                <w:div w:id="596789486">
                                                                  <w:marLeft w:val="0"/>
                                                                  <w:marRight w:val="120"/>
                                                                  <w:marTop w:val="0"/>
                                                                  <w:marBottom w:val="0"/>
                                                                  <w:divBdr>
                                                                    <w:top w:val="none" w:sz="0" w:space="0" w:color="auto"/>
                                                                    <w:left w:val="none" w:sz="0" w:space="0" w:color="auto"/>
                                                                    <w:bottom w:val="none" w:sz="0" w:space="0" w:color="auto"/>
                                                                    <w:right w:val="none" w:sz="0" w:space="0" w:color="auto"/>
                                                                  </w:divBdr>
                                                                </w:div>
                                                                <w:div w:id="1651133000">
                                                                  <w:marLeft w:val="0"/>
                                                                  <w:marRight w:val="0"/>
                                                                  <w:marTop w:val="0"/>
                                                                  <w:marBottom w:val="0"/>
                                                                  <w:divBdr>
                                                                    <w:top w:val="none" w:sz="0" w:space="0" w:color="auto"/>
                                                                    <w:left w:val="none" w:sz="0" w:space="0" w:color="auto"/>
                                                                    <w:bottom w:val="none" w:sz="0" w:space="0" w:color="auto"/>
                                                                    <w:right w:val="none" w:sz="0" w:space="0" w:color="auto"/>
                                                                  </w:divBdr>
                                                                </w:div>
                                                              </w:divsChild>
                                                            </w:div>
                                                            <w:div w:id="384572052">
                                                              <w:marLeft w:val="0"/>
                                                              <w:marRight w:val="0"/>
                                                              <w:marTop w:val="0"/>
                                                              <w:marBottom w:val="0"/>
                                                              <w:divBdr>
                                                                <w:top w:val="none" w:sz="0" w:space="0" w:color="auto"/>
                                                                <w:left w:val="none" w:sz="0" w:space="0" w:color="auto"/>
                                                                <w:bottom w:val="none" w:sz="0" w:space="0" w:color="auto"/>
                                                                <w:right w:val="none" w:sz="0" w:space="0" w:color="auto"/>
                                                              </w:divBdr>
                                                              <w:divsChild>
                                                                <w:div w:id="1424959194">
                                                                  <w:marLeft w:val="0"/>
                                                                  <w:marRight w:val="120"/>
                                                                  <w:marTop w:val="0"/>
                                                                  <w:marBottom w:val="0"/>
                                                                  <w:divBdr>
                                                                    <w:top w:val="none" w:sz="0" w:space="0" w:color="auto"/>
                                                                    <w:left w:val="none" w:sz="0" w:space="0" w:color="auto"/>
                                                                    <w:bottom w:val="none" w:sz="0" w:space="0" w:color="auto"/>
                                                                    <w:right w:val="none" w:sz="0" w:space="0" w:color="auto"/>
                                                                  </w:divBdr>
                                                                </w:div>
                                                                <w:div w:id="9141411">
                                                                  <w:marLeft w:val="0"/>
                                                                  <w:marRight w:val="0"/>
                                                                  <w:marTop w:val="0"/>
                                                                  <w:marBottom w:val="0"/>
                                                                  <w:divBdr>
                                                                    <w:top w:val="none" w:sz="0" w:space="0" w:color="auto"/>
                                                                    <w:left w:val="none" w:sz="0" w:space="0" w:color="auto"/>
                                                                    <w:bottom w:val="none" w:sz="0" w:space="0" w:color="auto"/>
                                                                    <w:right w:val="none" w:sz="0" w:space="0" w:color="auto"/>
                                                                  </w:divBdr>
                                                                </w:div>
                                                              </w:divsChild>
                                                            </w:div>
                                                            <w:div w:id="858739322">
                                                              <w:marLeft w:val="0"/>
                                                              <w:marRight w:val="0"/>
                                                              <w:marTop w:val="0"/>
                                                              <w:marBottom w:val="0"/>
                                                              <w:divBdr>
                                                                <w:top w:val="none" w:sz="0" w:space="0" w:color="auto"/>
                                                                <w:left w:val="none" w:sz="0" w:space="0" w:color="auto"/>
                                                                <w:bottom w:val="none" w:sz="0" w:space="0" w:color="auto"/>
                                                                <w:right w:val="none" w:sz="0" w:space="0" w:color="auto"/>
                                                              </w:divBdr>
                                                              <w:divsChild>
                                                                <w:div w:id="501429935">
                                                                  <w:marLeft w:val="0"/>
                                                                  <w:marRight w:val="120"/>
                                                                  <w:marTop w:val="0"/>
                                                                  <w:marBottom w:val="0"/>
                                                                  <w:divBdr>
                                                                    <w:top w:val="none" w:sz="0" w:space="0" w:color="auto"/>
                                                                    <w:left w:val="none" w:sz="0" w:space="0" w:color="auto"/>
                                                                    <w:bottom w:val="none" w:sz="0" w:space="0" w:color="auto"/>
                                                                    <w:right w:val="none" w:sz="0" w:space="0" w:color="auto"/>
                                                                  </w:divBdr>
                                                                </w:div>
                                                                <w:div w:id="1969167814">
                                                                  <w:marLeft w:val="0"/>
                                                                  <w:marRight w:val="0"/>
                                                                  <w:marTop w:val="0"/>
                                                                  <w:marBottom w:val="0"/>
                                                                  <w:divBdr>
                                                                    <w:top w:val="none" w:sz="0" w:space="0" w:color="auto"/>
                                                                    <w:left w:val="none" w:sz="0" w:space="0" w:color="auto"/>
                                                                    <w:bottom w:val="none" w:sz="0" w:space="0" w:color="auto"/>
                                                                    <w:right w:val="none" w:sz="0" w:space="0" w:color="auto"/>
                                                                  </w:divBdr>
                                                                </w:div>
                                                              </w:divsChild>
                                                            </w:div>
                                                            <w:div w:id="733897611">
                                                              <w:marLeft w:val="0"/>
                                                              <w:marRight w:val="0"/>
                                                              <w:marTop w:val="0"/>
                                                              <w:marBottom w:val="0"/>
                                                              <w:divBdr>
                                                                <w:top w:val="none" w:sz="0" w:space="0" w:color="auto"/>
                                                                <w:left w:val="none" w:sz="0" w:space="0" w:color="auto"/>
                                                                <w:bottom w:val="none" w:sz="0" w:space="0" w:color="auto"/>
                                                                <w:right w:val="none" w:sz="0" w:space="0" w:color="auto"/>
                                                              </w:divBdr>
                                                              <w:divsChild>
                                                                <w:div w:id="580911748">
                                                                  <w:marLeft w:val="0"/>
                                                                  <w:marRight w:val="120"/>
                                                                  <w:marTop w:val="0"/>
                                                                  <w:marBottom w:val="0"/>
                                                                  <w:divBdr>
                                                                    <w:top w:val="none" w:sz="0" w:space="0" w:color="auto"/>
                                                                    <w:left w:val="none" w:sz="0" w:space="0" w:color="auto"/>
                                                                    <w:bottom w:val="none" w:sz="0" w:space="0" w:color="auto"/>
                                                                    <w:right w:val="none" w:sz="0" w:space="0" w:color="auto"/>
                                                                  </w:divBdr>
                                                                </w:div>
                                                                <w:div w:id="136455659">
                                                                  <w:marLeft w:val="0"/>
                                                                  <w:marRight w:val="0"/>
                                                                  <w:marTop w:val="0"/>
                                                                  <w:marBottom w:val="0"/>
                                                                  <w:divBdr>
                                                                    <w:top w:val="none" w:sz="0" w:space="0" w:color="auto"/>
                                                                    <w:left w:val="none" w:sz="0" w:space="0" w:color="auto"/>
                                                                    <w:bottom w:val="none" w:sz="0" w:space="0" w:color="auto"/>
                                                                    <w:right w:val="none" w:sz="0" w:space="0" w:color="auto"/>
                                                                  </w:divBdr>
                                                                </w:div>
                                                              </w:divsChild>
                                                            </w:div>
                                                            <w:div w:id="283584879">
                                                              <w:marLeft w:val="0"/>
                                                              <w:marRight w:val="0"/>
                                                              <w:marTop w:val="0"/>
                                                              <w:marBottom w:val="0"/>
                                                              <w:divBdr>
                                                                <w:top w:val="none" w:sz="0" w:space="0" w:color="auto"/>
                                                                <w:left w:val="none" w:sz="0" w:space="0" w:color="auto"/>
                                                                <w:bottom w:val="none" w:sz="0" w:space="0" w:color="auto"/>
                                                                <w:right w:val="none" w:sz="0" w:space="0" w:color="auto"/>
                                                              </w:divBdr>
                                                              <w:divsChild>
                                                                <w:div w:id="11500033">
                                                                  <w:marLeft w:val="0"/>
                                                                  <w:marRight w:val="120"/>
                                                                  <w:marTop w:val="0"/>
                                                                  <w:marBottom w:val="0"/>
                                                                  <w:divBdr>
                                                                    <w:top w:val="none" w:sz="0" w:space="0" w:color="auto"/>
                                                                    <w:left w:val="none" w:sz="0" w:space="0" w:color="auto"/>
                                                                    <w:bottom w:val="none" w:sz="0" w:space="0" w:color="auto"/>
                                                                    <w:right w:val="none" w:sz="0" w:space="0" w:color="auto"/>
                                                                  </w:divBdr>
                                                                </w:div>
                                                                <w:div w:id="878585522">
                                                                  <w:marLeft w:val="0"/>
                                                                  <w:marRight w:val="0"/>
                                                                  <w:marTop w:val="0"/>
                                                                  <w:marBottom w:val="0"/>
                                                                  <w:divBdr>
                                                                    <w:top w:val="none" w:sz="0" w:space="0" w:color="auto"/>
                                                                    <w:left w:val="none" w:sz="0" w:space="0" w:color="auto"/>
                                                                    <w:bottom w:val="none" w:sz="0" w:space="0" w:color="auto"/>
                                                                    <w:right w:val="none" w:sz="0" w:space="0" w:color="auto"/>
                                                                  </w:divBdr>
                                                                </w:div>
                                                              </w:divsChild>
                                                            </w:div>
                                                            <w:div w:id="830800521">
                                                              <w:marLeft w:val="0"/>
                                                              <w:marRight w:val="0"/>
                                                              <w:marTop w:val="0"/>
                                                              <w:marBottom w:val="0"/>
                                                              <w:divBdr>
                                                                <w:top w:val="none" w:sz="0" w:space="0" w:color="auto"/>
                                                                <w:left w:val="none" w:sz="0" w:space="0" w:color="auto"/>
                                                                <w:bottom w:val="none" w:sz="0" w:space="0" w:color="auto"/>
                                                                <w:right w:val="none" w:sz="0" w:space="0" w:color="auto"/>
                                                              </w:divBdr>
                                                              <w:divsChild>
                                                                <w:div w:id="546794756">
                                                                  <w:marLeft w:val="0"/>
                                                                  <w:marRight w:val="120"/>
                                                                  <w:marTop w:val="0"/>
                                                                  <w:marBottom w:val="0"/>
                                                                  <w:divBdr>
                                                                    <w:top w:val="none" w:sz="0" w:space="0" w:color="auto"/>
                                                                    <w:left w:val="none" w:sz="0" w:space="0" w:color="auto"/>
                                                                    <w:bottom w:val="none" w:sz="0" w:space="0" w:color="auto"/>
                                                                    <w:right w:val="none" w:sz="0" w:space="0" w:color="auto"/>
                                                                  </w:divBdr>
                                                                </w:div>
                                                                <w:div w:id="1781534769">
                                                                  <w:marLeft w:val="0"/>
                                                                  <w:marRight w:val="0"/>
                                                                  <w:marTop w:val="0"/>
                                                                  <w:marBottom w:val="0"/>
                                                                  <w:divBdr>
                                                                    <w:top w:val="none" w:sz="0" w:space="0" w:color="auto"/>
                                                                    <w:left w:val="none" w:sz="0" w:space="0" w:color="auto"/>
                                                                    <w:bottom w:val="none" w:sz="0" w:space="0" w:color="auto"/>
                                                                    <w:right w:val="none" w:sz="0" w:space="0" w:color="auto"/>
                                                                  </w:divBdr>
                                                                </w:div>
                                                              </w:divsChild>
                                                            </w:div>
                                                            <w:div w:id="1202597202">
                                                              <w:marLeft w:val="0"/>
                                                              <w:marRight w:val="0"/>
                                                              <w:marTop w:val="0"/>
                                                              <w:marBottom w:val="0"/>
                                                              <w:divBdr>
                                                                <w:top w:val="none" w:sz="0" w:space="0" w:color="auto"/>
                                                                <w:left w:val="none" w:sz="0" w:space="0" w:color="auto"/>
                                                                <w:bottom w:val="none" w:sz="0" w:space="0" w:color="auto"/>
                                                                <w:right w:val="none" w:sz="0" w:space="0" w:color="auto"/>
                                                              </w:divBdr>
                                                              <w:divsChild>
                                                                <w:div w:id="1230269614">
                                                                  <w:marLeft w:val="0"/>
                                                                  <w:marRight w:val="120"/>
                                                                  <w:marTop w:val="0"/>
                                                                  <w:marBottom w:val="0"/>
                                                                  <w:divBdr>
                                                                    <w:top w:val="none" w:sz="0" w:space="0" w:color="auto"/>
                                                                    <w:left w:val="none" w:sz="0" w:space="0" w:color="auto"/>
                                                                    <w:bottom w:val="none" w:sz="0" w:space="0" w:color="auto"/>
                                                                    <w:right w:val="none" w:sz="0" w:space="0" w:color="auto"/>
                                                                  </w:divBdr>
                                                                </w:div>
                                                                <w:div w:id="1956403758">
                                                                  <w:marLeft w:val="0"/>
                                                                  <w:marRight w:val="0"/>
                                                                  <w:marTop w:val="0"/>
                                                                  <w:marBottom w:val="0"/>
                                                                  <w:divBdr>
                                                                    <w:top w:val="none" w:sz="0" w:space="0" w:color="auto"/>
                                                                    <w:left w:val="none" w:sz="0" w:space="0" w:color="auto"/>
                                                                    <w:bottom w:val="none" w:sz="0" w:space="0" w:color="auto"/>
                                                                    <w:right w:val="none" w:sz="0" w:space="0" w:color="auto"/>
                                                                  </w:divBdr>
                                                                </w:div>
                                                              </w:divsChild>
                                                            </w:div>
                                                            <w:div w:id="1011643687">
                                                              <w:marLeft w:val="0"/>
                                                              <w:marRight w:val="0"/>
                                                              <w:marTop w:val="0"/>
                                                              <w:marBottom w:val="0"/>
                                                              <w:divBdr>
                                                                <w:top w:val="none" w:sz="0" w:space="0" w:color="auto"/>
                                                                <w:left w:val="none" w:sz="0" w:space="0" w:color="auto"/>
                                                                <w:bottom w:val="none" w:sz="0" w:space="0" w:color="auto"/>
                                                                <w:right w:val="none" w:sz="0" w:space="0" w:color="auto"/>
                                                              </w:divBdr>
                                                              <w:divsChild>
                                                                <w:div w:id="690643328">
                                                                  <w:marLeft w:val="0"/>
                                                                  <w:marRight w:val="120"/>
                                                                  <w:marTop w:val="0"/>
                                                                  <w:marBottom w:val="0"/>
                                                                  <w:divBdr>
                                                                    <w:top w:val="none" w:sz="0" w:space="0" w:color="auto"/>
                                                                    <w:left w:val="none" w:sz="0" w:space="0" w:color="auto"/>
                                                                    <w:bottom w:val="none" w:sz="0" w:space="0" w:color="auto"/>
                                                                    <w:right w:val="none" w:sz="0" w:space="0" w:color="auto"/>
                                                                  </w:divBdr>
                                                                </w:div>
                                                                <w:div w:id="2133553285">
                                                                  <w:marLeft w:val="0"/>
                                                                  <w:marRight w:val="0"/>
                                                                  <w:marTop w:val="0"/>
                                                                  <w:marBottom w:val="0"/>
                                                                  <w:divBdr>
                                                                    <w:top w:val="none" w:sz="0" w:space="0" w:color="auto"/>
                                                                    <w:left w:val="none" w:sz="0" w:space="0" w:color="auto"/>
                                                                    <w:bottom w:val="none" w:sz="0" w:space="0" w:color="auto"/>
                                                                    <w:right w:val="none" w:sz="0" w:space="0" w:color="auto"/>
                                                                  </w:divBdr>
                                                                </w:div>
                                                              </w:divsChild>
                                                            </w:div>
                                                            <w:div w:id="1101144770">
                                                              <w:marLeft w:val="0"/>
                                                              <w:marRight w:val="0"/>
                                                              <w:marTop w:val="0"/>
                                                              <w:marBottom w:val="0"/>
                                                              <w:divBdr>
                                                                <w:top w:val="none" w:sz="0" w:space="0" w:color="auto"/>
                                                                <w:left w:val="none" w:sz="0" w:space="0" w:color="auto"/>
                                                                <w:bottom w:val="none" w:sz="0" w:space="0" w:color="auto"/>
                                                                <w:right w:val="none" w:sz="0" w:space="0" w:color="auto"/>
                                                              </w:divBdr>
                                                              <w:divsChild>
                                                                <w:div w:id="2081633530">
                                                                  <w:marLeft w:val="0"/>
                                                                  <w:marRight w:val="120"/>
                                                                  <w:marTop w:val="0"/>
                                                                  <w:marBottom w:val="0"/>
                                                                  <w:divBdr>
                                                                    <w:top w:val="none" w:sz="0" w:space="0" w:color="auto"/>
                                                                    <w:left w:val="none" w:sz="0" w:space="0" w:color="auto"/>
                                                                    <w:bottom w:val="none" w:sz="0" w:space="0" w:color="auto"/>
                                                                    <w:right w:val="none" w:sz="0" w:space="0" w:color="auto"/>
                                                                  </w:divBdr>
                                                                </w:div>
                                                                <w:div w:id="72239878">
                                                                  <w:marLeft w:val="0"/>
                                                                  <w:marRight w:val="0"/>
                                                                  <w:marTop w:val="0"/>
                                                                  <w:marBottom w:val="0"/>
                                                                  <w:divBdr>
                                                                    <w:top w:val="none" w:sz="0" w:space="0" w:color="auto"/>
                                                                    <w:left w:val="none" w:sz="0" w:space="0" w:color="auto"/>
                                                                    <w:bottom w:val="none" w:sz="0" w:space="0" w:color="auto"/>
                                                                    <w:right w:val="none" w:sz="0" w:space="0" w:color="auto"/>
                                                                  </w:divBdr>
                                                                </w:div>
                                                              </w:divsChild>
                                                            </w:div>
                                                            <w:div w:id="456605418">
                                                              <w:marLeft w:val="0"/>
                                                              <w:marRight w:val="0"/>
                                                              <w:marTop w:val="0"/>
                                                              <w:marBottom w:val="0"/>
                                                              <w:divBdr>
                                                                <w:top w:val="none" w:sz="0" w:space="0" w:color="auto"/>
                                                                <w:left w:val="none" w:sz="0" w:space="0" w:color="auto"/>
                                                                <w:bottom w:val="none" w:sz="0" w:space="0" w:color="auto"/>
                                                                <w:right w:val="none" w:sz="0" w:space="0" w:color="auto"/>
                                                              </w:divBdr>
                                                              <w:divsChild>
                                                                <w:div w:id="2027513687">
                                                                  <w:marLeft w:val="0"/>
                                                                  <w:marRight w:val="120"/>
                                                                  <w:marTop w:val="0"/>
                                                                  <w:marBottom w:val="0"/>
                                                                  <w:divBdr>
                                                                    <w:top w:val="none" w:sz="0" w:space="0" w:color="auto"/>
                                                                    <w:left w:val="none" w:sz="0" w:space="0" w:color="auto"/>
                                                                    <w:bottom w:val="none" w:sz="0" w:space="0" w:color="auto"/>
                                                                    <w:right w:val="none" w:sz="0" w:space="0" w:color="auto"/>
                                                                  </w:divBdr>
                                                                </w:div>
                                                                <w:div w:id="756945275">
                                                                  <w:marLeft w:val="0"/>
                                                                  <w:marRight w:val="0"/>
                                                                  <w:marTop w:val="0"/>
                                                                  <w:marBottom w:val="0"/>
                                                                  <w:divBdr>
                                                                    <w:top w:val="none" w:sz="0" w:space="0" w:color="auto"/>
                                                                    <w:left w:val="none" w:sz="0" w:space="0" w:color="auto"/>
                                                                    <w:bottom w:val="none" w:sz="0" w:space="0" w:color="auto"/>
                                                                    <w:right w:val="none" w:sz="0" w:space="0" w:color="auto"/>
                                                                  </w:divBdr>
                                                                </w:div>
                                                              </w:divsChild>
                                                            </w:div>
                                                            <w:div w:id="660886671">
                                                              <w:marLeft w:val="0"/>
                                                              <w:marRight w:val="0"/>
                                                              <w:marTop w:val="0"/>
                                                              <w:marBottom w:val="0"/>
                                                              <w:divBdr>
                                                                <w:top w:val="none" w:sz="0" w:space="0" w:color="auto"/>
                                                                <w:left w:val="none" w:sz="0" w:space="0" w:color="auto"/>
                                                                <w:bottom w:val="none" w:sz="0" w:space="0" w:color="auto"/>
                                                                <w:right w:val="none" w:sz="0" w:space="0" w:color="auto"/>
                                                              </w:divBdr>
                                                              <w:divsChild>
                                                                <w:div w:id="1142500520">
                                                                  <w:marLeft w:val="0"/>
                                                                  <w:marRight w:val="120"/>
                                                                  <w:marTop w:val="0"/>
                                                                  <w:marBottom w:val="0"/>
                                                                  <w:divBdr>
                                                                    <w:top w:val="none" w:sz="0" w:space="0" w:color="auto"/>
                                                                    <w:left w:val="none" w:sz="0" w:space="0" w:color="auto"/>
                                                                    <w:bottom w:val="none" w:sz="0" w:space="0" w:color="auto"/>
                                                                    <w:right w:val="none" w:sz="0" w:space="0" w:color="auto"/>
                                                                  </w:divBdr>
                                                                </w:div>
                                                                <w:div w:id="880438838">
                                                                  <w:marLeft w:val="0"/>
                                                                  <w:marRight w:val="0"/>
                                                                  <w:marTop w:val="0"/>
                                                                  <w:marBottom w:val="0"/>
                                                                  <w:divBdr>
                                                                    <w:top w:val="none" w:sz="0" w:space="0" w:color="auto"/>
                                                                    <w:left w:val="none" w:sz="0" w:space="0" w:color="auto"/>
                                                                    <w:bottom w:val="none" w:sz="0" w:space="0" w:color="auto"/>
                                                                    <w:right w:val="none" w:sz="0" w:space="0" w:color="auto"/>
                                                                  </w:divBdr>
                                                                </w:div>
                                                              </w:divsChild>
                                                            </w:div>
                                                            <w:div w:id="2040279498">
                                                              <w:marLeft w:val="0"/>
                                                              <w:marRight w:val="0"/>
                                                              <w:marTop w:val="0"/>
                                                              <w:marBottom w:val="0"/>
                                                              <w:divBdr>
                                                                <w:top w:val="none" w:sz="0" w:space="0" w:color="auto"/>
                                                                <w:left w:val="none" w:sz="0" w:space="0" w:color="auto"/>
                                                                <w:bottom w:val="none" w:sz="0" w:space="0" w:color="auto"/>
                                                                <w:right w:val="none" w:sz="0" w:space="0" w:color="auto"/>
                                                              </w:divBdr>
                                                              <w:divsChild>
                                                                <w:div w:id="22289463">
                                                                  <w:marLeft w:val="0"/>
                                                                  <w:marRight w:val="120"/>
                                                                  <w:marTop w:val="0"/>
                                                                  <w:marBottom w:val="0"/>
                                                                  <w:divBdr>
                                                                    <w:top w:val="none" w:sz="0" w:space="0" w:color="auto"/>
                                                                    <w:left w:val="none" w:sz="0" w:space="0" w:color="auto"/>
                                                                    <w:bottom w:val="none" w:sz="0" w:space="0" w:color="auto"/>
                                                                    <w:right w:val="none" w:sz="0" w:space="0" w:color="auto"/>
                                                                  </w:divBdr>
                                                                </w:div>
                                                                <w:div w:id="18631985">
                                                                  <w:marLeft w:val="0"/>
                                                                  <w:marRight w:val="0"/>
                                                                  <w:marTop w:val="0"/>
                                                                  <w:marBottom w:val="0"/>
                                                                  <w:divBdr>
                                                                    <w:top w:val="none" w:sz="0" w:space="0" w:color="auto"/>
                                                                    <w:left w:val="none" w:sz="0" w:space="0" w:color="auto"/>
                                                                    <w:bottom w:val="none" w:sz="0" w:space="0" w:color="auto"/>
                                                                    <w:right w:val="none" w:sz="0" w:space="0" w:color="auto"/>
                                                                  </w:divBdr>
                                                                </w:div>
                                                              </w:divsChild>
                                                            </w:div>
                                                            <w:div w:id="379288354">
                                                              <w:marLeft w:val="0"/>
                                                              <w:marRight w:val="0"/>
                                                              <w:marTop w:val="0"/>
                                                              <w:marBottom w:val="0"/>
                                                              <w:divBdr>
                                                                <w:top w:val="none" w:sz="0" w:space="0" w:color="auto"/>
                                                                <w:left w:val="none" w:sz="0" w:space="0" w:color="auto"/>
                                                                <w:bottom w:val="none" w:sz="0" w:space="0" w:color="auto"/>
                                                                <w:right w:val="none" w:sz="0" w:space="0" w:color="auto"/>
                                                              </w:divBdr>
                                                              <w:divsChild>
                                                                <w:div w:id="738021384">
                                                                  <w:marLeft w:val="0"/>
                                                                  <w:marRight w:val="120"/>
                                                                  <w:marTop w:val="0"/>
                                                                  <w:marBottom w:val="0"/>
                                                                  <w:divBdr>
                                                                    <w:top w:val="none" w:sz="0" w:space="0" w:color="auto"/>
                                                                    <w:left w:val="none" w:sz="0" w:space="0" w:color="auto"/>
                                                                    <w:bottom w:val="none" w:sz="0" w:space="0" w:color="auto"/>
                                                                    <w:right w:val="none" w:sz="0" w:space="0" w:color="auto"/>
                                                                  </w:divBdr>
                                                                </w:div>
                                                                <w:div w:id="1414357580">
                                                                  <w:marLeft w:val="0"/>
                                                                  <w:marRight w:val="0"/>
                                                                  <w:marTop w:val="0"/>
                                                                  <w:marBottom w:val="0"/>
                                                                  <w:divBdr>
                                                                    <w:top w:val="none" w:sz="0" w:space="0" w:color="auto"/>
                                                                    <w:left w:val="none" w:sz="0" w:space="0" w:color="auto"/>
                                                                    <w:bottom w:val="none" w:sz="0" w:space="0" w:color="auto"/>
                                                                    <w:right w:val="none" w:sz="0" w:space="0" w:color="auto"/>
                                                                  </w:divBdr>
                                                                </w:div>
                                                              </w:divsChild>
                                                            </w:div>
                                                            <w:div w:id="298849522">
                                                              <w:marLeft w:val="0"/>
                                                              <w:marRight w:val="0"/>
                                                              <w:marTop w:val="0"/>
                                                              <w:marBottom w:val="0"/>
                                                              <w:divBdr>
                                                                <w:top w:val="none" w:sz="0" w:space="0" w:color="auto"/>
                                                                <w:left w:val="none" w:sz="0" w:space="0" w:color="auto"/>
                                                                <w:bottom w:val="none" w:sz="0" w:space="0" w:color="auto"/>
                                                                <w:right w:val="none" w:sz="0" w:space="0" w:color="auto"/>
                                                              </w:divBdr>
                                                              <w:divsChild>
                                                                <w:div w:id="2099331297">
                                                                  <w:marLeft w:val="0"/>
                                                                  <w:marRight w:val="120"/>
                                                                  <w:marTop w:val="0"/>
                                                                  <w:marBottom w:val="0"/>
                                                                  <w:divBdr>
                                                                    <w:top w:val="none" w:sz="0" w:space="0" w:color="auto"/>
                                                                    <w:left w:val="none" w:sz="0" w:space="0" w:color="auto"/>
                                                                    <w:bottom w:val="none" w:sz="0" w:space="0" w:color="auto"/>
                                                                    <w:right w:val="none" w:sz="0" w:space="0" w:color="auto"/>
                                                                  </w:divBdr>
                                                                </w:div>
                                                                <w:div w:id="145367600">
                                                                  <w:marLeft w:val="0"/>
                                                                  <w:marRight w:val="0"/>
                                                                  <w:marTop w:val="0"/>
                                                                  <w:marBottom w:val="0"/>
                                                                  <w:divBdr>
                                                                    <w:top w:val="none" w:sz="0" w:space="0" w:color="auto"/>
                                                                    <w:left w:val="none" w:sz="0" w:space="0" w:color="auto"/>
                                                                    <w:bottom w:val="none" w:sz="0" w:space="0" w:color="auto"/>
                                                                    <w:right w:val="none" w:sz="0" w:space="0" w:color="auto"/>
                                                                  </w:divBdr>
                                                                </w:div>
                                                              </w:divsChild>
                                                            </w:div>
                                                            <w:div w:id="78799190">
                                                              <w:marLeft w:val="0"/>
                                                              <w:marRight w:val="0"/>
                                                              <w:marTop w:val="0"/>
                                                              <w:marBottom w:val="0"/>
                                                              <w:divBdr>
                                                                <w:top w:val="none" w:sz="0" w:space="0" w:color="auto"/>
                                                                <w:left w:val="none" w:sz="0" w:space="0" w:color="auto"/>
                                                                <w:bottom w:val="none" w:sz="0" w:space="0" w:color="auto"/>
                                                                <w:right w:val="none" w:sz="0" w:space="0" w:color="auto"/>
                                                              </w:divBdr>
                                                              <w:divsChild>
                                                                <w:div w:id="140276601">
                                                                  <w:marLeft w:val="0"/>
                                                                  <w:marRight w:val="120"/>
                                                                  <w:marTop w:val="0"/>
                                                                  <w:marBottom w:val="0"/>
                                                                  <w:divBdr>
                                                                    <w:top w:val="none" w:sz="0" w:space="0" w:color="auto"/>
                                                                    <w:left w:val="none" w:sz="0" w:space="0" w:color="auto"/>
                                                                    <w:bottom w:val="none" w:sz="0" w:space="0" w:color="auto"/>
                                                                    <w:right w:val="none" w:sz="0" w:space="0" w:color="auto"/>
                                                                  </w:divBdr>
                                                                </w:div>
                                                                <w:div w:id="622152472">
                                                                  <w:marLeft w:val="0"/>
                                                                  <w:marRight w:val="0"/>
                                                                  <w:marTop w:val="0"/>
                                                                  <w:marBottom w:val="0"/>
                                                                  <w:divBdr>
                                                                    <w:top w:val="none" w:sz="0" w:space="0" w:color="auto"/>
                                                                    <w:left w:val="none" w:sz="0" w:space="0" w:color="auto"/>
                                                                    <w:bottom w:val="none" w:sz="0" w:space="0" w:color="auto"/>
                                                                    <w:right w:val="none" w:sz="0" w:space="0" w:color="auto"/>
                                                                  </w:divBdr>
                                                                </w:div>
                                                              </w:divsChild>
                                                            </w:div>
                                                            <w:div w:id="1545215899">
                                                              <w:marLeft w:val="0"/>
                                                              <w:marRight w:val="0"/>
                                                              <w:marTop w:val="0"/>
                                                              <w:marBottom w:val="0"/>
                                                              <w:divBdr>
                                                                <w:top w:val="none" w:sz="0" w:space="0" w:color="auto"/>
                                                                <w:left w:val="none" w:sz="0" w:space="0" w:color="auto"/>
                                                                <w:bottom w:val="none" w:sz="0" w:space="0" w:color="auto"/>
                                                                <w:right w:val="none" w:sz="0" w:space="0" w:color="auto"/>
                                                              </w:divBdr>
                                                              <w:divsChild>
                                                                <w:div w:id="1286081341">
                                                                  <w:marLeft w:val="0"/>
                                                                  <w:marRight w:val="120"/>
                                                                  <w:marTop w:val="0"/>
                                                                  <w:marBottom w:val="0"/>
                                                                  <w:divBdr>
                                                                    <w:top w:val="none" w:sz="0" w:space="0" w:color="auto"/>
                                                                    <w:left w:val="none" w:sz="0" w:space="0" w:color="auto"/>
                                                                    <w:bottom w:val="none" w:sz="0" w:space="0" w:color="auto"/>
                                                                    <w:right w:val="none" w:sz="0" w:space="0" w:color="auto"/>
                                                                  </w:divBdr>
                                                                </w:div>
                                                                <w:div w:id="835878596">
                                                                  <w:marLeft w:val="0"/>
                                                                  <w:marRight w:val="0"/>
                                                                  <w:marTop w:val="0"/>
                                                                  <w:marBottom w:val="0"/>
                                                                  <w:divBdr>
                                                                    <w:top w:val="none" w:sz="0" w:space="0" w:color="auto"/>
                                                                    <w:left w:val="none" w:sz="0" w:space="0" w:color="auto"/>
                                                                    <w:bottom w:val="none" w:sz="0" w:space="0" w:color="auto"/>
                                                                    <w:right w:val="none" w:sz="0" w:space="0" w:color="auto"/>
                                                                  </w:divBdr>
                                                                </w:div>
                                                              </w:divsChild>
                                                            </w:div>
                                                            <w:div w:id="1928807099">
                                                              <w:marLeft w:val="0"/>
                                                              <w:marRight w:val="0"/>
                                                              <w:marTop w:val="0"/>
                                                              <w:marBottom w:val="0"/>
                                                              <w:divBdr>
                                                                <w:top w:val="none" w:sz="0" w:space="0" w:color="auto"/>
                                                                <w:left w:val="none" w:sz="0" w:space="0" w:color="auto"/>
                                                                <w:bottom w:val="none" w:sz="0" w:space="0" w:color="auto"/>
                                                                <w:right w:val="none" w:sz="0" w:space="0" w:color="auto"/>
                                                              </w:divBdr>
                                                              <w:divsChild>
                                                                <w:div w:id="452291897">
                                                                  <w:marLeft w:val="0"/>
                                                                  <w:marRight w:val="120"/>
                                                                  <w:marTop w:val="0"/>
                                                                  <w:marBottom w:val="0"/>
                                                                  <w:divBdr>
                                                                    <w:top w:val="none" w:sz="0" w:space="0" w:color="auto"/>
                                                                    <w:left w:val="none" w:sz="0" w:space="0" w:color="auto"/>
                                                                    <w:bottom w:val="none" w:sz="0" w:space="0" w:color="auto"/>
                                                                    <w:right w:val="none" w:sz="0" w:space="0" w:color="auto"/>
                                                                  </w:divBdr>
                                                                </w:div>
                                                                <w:div w:id="1116414034">
                                                                  <w:marLeft w:val="0"/>
                                                                  <w:marRight w:val="0"/>
                                                                  <w:marTop w:val="0"/>
                                                                  <w:marBottom w:val="0"/>
                                                                  <w:divBdr>
                                                                    <w:top w:val="none" w:sz="0" w:space="0" w:color="auto"/>
                                                                    <w:left w:val="none" w:sz="0" w:space="0" w:color="auto"/>
                                                                    <w:bottom w:val="none" w:sz="0" w:space="0" w:color="auto"/>
                                                                    <w:right w:val="none" w:sz="0" w:space="0" w:color="auto"/>
                                                                  </w:divBdr>
                                                                </w:div>
                                                              </w:divsChild>
                                                            </w:div>
                                                            <w:div w:id="645354273">
                                                              <w:marLeft w:val="0"/>
                                                              <w:marRight w:val="0"/>
                                                              <w:marTop w:val="0"/>
                                                              <w:marBottom w:val="0"/>
                                                              <w:divBdr>
                                                                <w:top w:val="none" w:sz="0" w:space="0" w:color="auto"/>
                                                                <w:left w:val="none" w:sz="0" w:space="0" w:color="auto"/>
                                                                <w:bottom w:val="none" w:sz="0" w:space="0" w:color="auto"/>
                                                                <w:right w:val="none" w:sz="0" w:space="0" w:color="auto"/>
                                                              </w:divBdr>
                                                              <w:divsChild>
                                                                <w:div w:id="314530610">
                                                                  <w:marLeft w:val="0"/>
                                                                  <w:marRight w:val="120"/>
                                                                  <w:marTop w:val="0"/>
                                                                  <w:marBottom w:val="0"/>
                                                                  <w:divBdr>
                                                                    <w:top w:val="none" w:sz="0" w:space="0" w:color="auto"/>
                                                                    <w:left w:val="none" w:sz="0" w:space="0" w:color="auto"/>
                                                                    <w:bottom w:val="none" w:sz="0" w:space="0" w:color="auto"/>
                                                                    <w:right w:val="none" w:sz="0" w:space="0" w:color="auto"/>
                                                                  </w:divBdr>
                                                                </w:div>
                                                                <w:div w:id="650911180">
                                                                  <w:marLeft w:val="0"/>
                                                                  <w:marRight w:val="0"/>
                                                                  <w:marTop w:val="0"/>
                                                                  <w:marBottom w:val="0"/>
                                                                  <w:divBdr>
                                                                    <w:top w:val="none" w:sz="0" w:space="0" w:color="auto"/>
                                                                    <w:left w:val="none" w:sz="0" w:space="0" w:color="auto"/>
                                                                    <w:bottom w:val="none" w:sz="0" w:space="0" w:color="auto"/>
                                                                    <w:right w:val="none" w:sz="0" w:space="0" w:color="auto"/>
                                                                  </w:divBdr>
                                                                </w:div>
                                                              </w:divsChild>
                                                            </w:div>
                                                            <w:div w:id="373962842">
                                                              <w:marLeft w:val="0"/>
                                                              <w:marRight w:val="0"/>
                                                              <w:marTop w:val="0"/>
                                                              <w:marBottom w:val="0"/>
                                                              <w:divBdr>
                                                                <w:top w:val="none" w:sz="0" w:space="0" w:color="auto"/>
                                                                <w:left w:val="none" w:sz="0" w:space="0" w:color="auto"/>
                                                                <w:bottom w:val="none" w:sz="0" w:space="0" w:color="auto"/>
                                                                <w:right w:val="none" w:sz="0" w:space="0" w:color="auto"/>
                                                              </w:divBdr>
                                                              <w:divsChild>
                                                                <w:div w:id="1178085426">
                                                                  <w:marLeft w:val="0"/>
                                                                  <w:marRight w:val="120"/>
                                                                  <w:marTop w:val="0"/>
                                                                  <w:marBottom w:val="0"/>
                                                                  <w:divBdr>
                                                                    <w:top w:val="none" w:sz="0" w:space="0" w:color="auto"/>
                                                                    <w:left w:val="none" w:sz="0" w:space="0" w:color="auto"/>
                                                                    <w:bottom w:val="none" w:sz="0" w:space="0" w:color="auto"/>
                                                                    <w:right w:val="none" w:sz="0" w:space="0" w:color="auto"/>
                                                                  </w:divBdr>
                                                                </w:div>
                                                                <w:div w:id="354622536">
                                                                  <w:marLeft w:val="0"/>
                                                                  <w:marRight w:val="0"/>
                                                                  <w:marTop w:val="0"/>
                                                                  <w:marBottom w:val="0"/>
                                                                  <w:divBdr>
                                                                    <w:top w:val="none" w:sz="0" w:space="0" w:color="auto"/>
                                                                    <w:left w:val="none" w:sz="0" w:space="0" w:color="auto"/>
                                                                    <w:bottom w:val="none" w:sz="0" w:space="0" w:color="auto"/>
                                                                    <w:right w:val="none" w:sz="0" w:space="0" w:color="auto"/>
                                                                  </w:divBdr>
                                                                </w:div>
                                                              </w:divsChild>
                                                            </w:div>
                                                            <w:div w:id="739015600">
                                                              <w:marLeft w:val="0"/>
                                                              <w:marRight w:val="0"/>
                                                              <w:marTop w:val="0"/>
                                                              <w:marBottom w:val="0"/>
                                                              <w:divBdr>
                                                                <w:top w:val="none" w:sz="0" w:space="0" w:color="auto"/>
                                                                <w:left w:val="none" w:sz="0" w:space="0" w:color="auto"/>
                                                                <w:bottom w:val="none" w:sz="0" w:space="0" w:color="auto"/>
                                                                <w:right w:val="none" w:sz="0" w:space="0" w:color="auto"/>
                                                              </w:divBdr>
                                                              <w:divsChild>
                                                                <w:div w:id="1690834475">
                                                                  <w:marLeft w:val="0"/>
                                                                  <w:marRight w:val="120"/>
                                                                  <w:marTop w:val="0"/>
                                                                  <w:marBottom w:val="0"/>
                                                                  <w:divBdr>
                                                                    <w:top w:val="none" w:sz="0" w:space="0" w:color="auto"/>
                                                                    <w:left w:val="none" w:sz="0" w:space="0" w:color="auto"/>
                                                                    <w:bottom w:val="none" w:sz="0" w:space="0" w:color="auto"/>
                                                                    <w:right w:val="none" w:sz="0" w:space="0" w:color="auto"/>
                                                                  </w:divBdr>
                                                                </w:div>
                                                                <w:div w:id="270016705">
                                                                  <w:marLeft w:val="0"/>
                                                                  <w:marRight w:val="0"/>
                                                                  <w:marTop w:val="0"/>
                                                                  <w:marBottom w:val="0"/>
                                                                  <w:divBdr>
                                                                    <w:top w:val="none" w:sz="0" w:space="0" w:color="auto"/>
                                                                    <w:left w:val="none" w:sz="0" w:space="0" w:color="auto"/>
                                                                    <w:bottom w:val="none" w:sz="0" w:space="0" w:color="auto"/>
                                                                    <w:right w:val="none" w:sz="0" w:space="0" w:color="auto"/>
                                                                  </w:divBdr>
                                                                </w:div>
                                                              </w:divsChild>
                                                            </w:div>
                                                            <w:div w:id="1423646050">
                                                              <w:marLeft w:val="0"/>
                                                              <w:marRight w:val="0"/>
                                                              <w:marTop w:val="0"/>
                                                              <w:marBottom w:val="0"/>
                                                              <w:divBdr>
                                                                <w:top w:val="none" w:sz="0" w:space="0" w:color="auto"/>
                                                                <w:left w:val="none" w:sz="0" w:space="0" w:color="auto"/>
                                                                <w:bottom w:val="none" w:sz="0" w:space="0" w:color="auto"/>
                                                                <w:right w:val="none" w:sz="0" w:space="0" w:color="auto"/>
                                                              </w:divBdr>
                                                              <w:divsChild>
                                                                <w:div w:id="882328665">
                                                                  <w:marLeft w:val="0"/>
                                                                  <w:marRight w:val="120"/>
                                                                  <w:marTop w:val="0"/>
                                                                  <w:marBottom w:val="0"/>
                                                                  <w:divBdr>
                                                                    <w:top w:val="none" w:sz="0" w:space="0" w:color="auto"/>
                                                                    <w:left w:val="none" w:sz="0" w:space="0" w:color="auto"/>
                                                                    <w:bottom w:val="none" w:sz="0" w:space="0" w:color="auto"/>
                                                                    <w:right w:val="none" w:sz="0" w:space="0" w:color="auto"/>
                                                                  </w:divBdr>
                                                                </w:div>
                                                                <w:div w:id="384110298">
                                                                  <w:marLeft w:val="0"/>
                                                                  <w:marRight w:val="0"/>
                                                                  <w:marTop w:val="0"/>
                                                                  <w:marBottom w:val="0"/>
                                                                  <w:divBdr>
                                                                    <w:top w:val="none" w:sz="0" w:space="0" w:color="auto"/>
                                                                    <w:left w:val="none" w:sz="0" w:space="0" w:color="auto"/>
                                                                    <w:bottom w:val="none" w:sz="0" w:space="0" w:color="auto"/>
                                                                    <w:right w:val="none" w:sz="0" w:space="0" w:color="auto"/>
                                                                  </w:divBdr>
                                                                </w:div>
                                                              </w:divsChild>
                                                            </w:div>
                                                            <w:div w:id="630333069">
                                                              <w:marLeft w:val="0"/>
                                                              <w:marRight w:val="0"/>
                                                              <w:marTop w:val="0"/>
                                                              <w:marBottom w:val="0"/>
                                                              <w:divBdr>
                                                                <w:top w:val="none" w:sz="0" w:space="0" w:color="auto"/>
                                                                <w:left w:val="none" w:sz="0" w:space="0" w:color="auto"/>
                                                                <w:bottom w:val="none" w:sz="0" w:space="0" w:color="auto"/>
                                                                <w:right w:val="none" w:sz="0" w:space="0" w:color="auto"/>
                                                              </w:divBdr>
                                                              <w:divsChild>
                                                                <w:div w:id="1439834297">
                                                                  <w:marLeft w:val="0"/>
                                                                  <w:marRight w:val="120"/>
                                                                  <w:marTop w:val="0"/>
                                                                  <w:marBottom w:val="0"/>
                                                                  <w:divBdr>
                                                                    <w:top w:val="none" w:sz="0" w:space="0" w:color="auto"/>
                                                                    <w:left w:val="none" w:sz="0" w:space="0" w:color="auto"/>
                                                                    <w:bottom w:val="none" w:sz="0" w:space="0" w:color="auto"/>
                                                                    <w:right w:val="none" w:sz="0" w:space="0" w:color="auto"/>
                                                                  </w:divBdr>
                                                                </w:div>
                                                                <w:div w:id="1508784323">
                                                                  <w:marLeft w:val="0"/>
                                                                  <w:marRight w:val="0"/>
                                                                  <w:marTop w:val="0"/>
                                                                  <w:marBottom w:val="0"/>
                                                                  <w:divBdr>
                                                                    <w:top w:val="none" w:sz="0" w:space="0" w:color="auto"/>
                                                                    <w:left w:val="none" w:sz="0" w:space="0" w:color="auto"/>
                                                                    <w:bottom w:val="none" w:sz="0" w:space="0" w:color="auto"/>
                                                                    <w:right w:val="none" w:sz="0" w:space="0" w:color="auto"/>
                                                                  </w:divBdr>
                                                                </w:div>
                                                              </w:divsChild>
                                                            </w:div>
                                                            <w:div w:id="972367929">
                                                              <w:marLeft w:val="0"/>
                                                              <w:marRight w:val="0"/>
                                                              <w:marTop w:val="0"/>
                                                              <w:marBottom w:val="0"/>
                                                              <w:divBdr>
                                                                <w:top w:val="none" w:sz="0" w:space="0" w:color="auto"/>
                                                                <w:left w:val="none" w:sz="0" w:space="0" w:color="auto"/>
                                                                <w:bottom w:val="none" w:sz="0" w:space="0" w:color="auto"/>
                                                                <w:right w:val="none" w:sz="0" w:space="0" w:color="auto"/>
                                                              </w:divBdr>
                                                              <w:divsChild>
                                                                <w:div w:id="686296612">
                                                                  <w:marLeft w:val="0"/>
                                                                  <w:marRight w:val="120"/>
                                                                  <w:marTop w:val="0"/>
                                                                  <w:marBottom w:val="0"/>
                                                                  <w:divBdr>
                                                                    <w:top w:val="none" w:sz="0" w:space="0" w:color="auto"/>
                                                                    <w:left w:val="none" w:sz="0" w:space="0" w:color="auto"/>
                                                                    <w:bottom w:val="none" w:sz="0" w:space="0" w:color="auto"/>
                                                                    <w:right w:val="none" w:sz="0" w:space="0" w:color="auto"/>
                                                                  </w:divBdr>
                                                                </w:div>
                                                                <w:div w:id="372389807">
                                                                  <w:marLeft w:val="0"/>
                                                                  <w:marRight w:val="0"/>
                                                                  <w:marTop w:val="0"/>
                                                                  <w:marBottom w:val="0"/>
                                                                  <w:divBdr>
                                                                    <w:top w:val="none" w:sz="0" w:space="0" w:color="auto"/>
                                                                    <w:left w:val="none" w:sz="0" w:space="0" w:color="auto"/>
                                                                    <w:bottom w:val="none" w:sz="0" w:space="0" w:color="auto"/>
                                                                    <w:right w:val="none" w:sz="0" w:space="0" w:color="auto"/>
                                                                  </w:divBdr>
                                                                </w:div>
                                                              </w:divsChild>
                                                            </w:div>
                                                            <w:div w:id="71970715">
                                                              <w:marLeft w:val="0"/>
                                                              <w:marRight w:val="0"/>
                                                              <w:marTop w:val="0"/>
                                                              <w:marBottom w:val="0"/>
                                                              <w:divBdr>
                                                                <w:top w:val="none" w:sz="0" w:space="0" w:color="auto"/>
                                                                <w:left w:val="none" w:sz="0" w:space="0" w:color="auto"/>
                                                                <w:bottom w:val="none" w:sz="0" w:space="0" w:color="auto"/>
                                                                <w:right w:val="none" w:sz="0" w:space="0" w:color="auto"/>
                                                              </w:divBdr>
                                                              <w:divsChild>
                                                                <w:div w:id="504899784">
                                                                  <w:marLeft w:val="0"/>
                                                                  <w:marRight w:val="120"/>
                                                                  <w:marTop w:val="0"/>
                                                                  <w:marBottom w:val="0"/>
                                                                  <w:divBdr>
                                                                    <w:top w:val="none" w:sz="0" w:space="0" w:color="auto"/>
                                                                    <w:left w:val="none" w:sz="0" w:space="0" w:color="auto"/>
                                                                    <w:bottom w:val="none" w:sz="0" w:space="0" w:color="auto"/>
                                                                    <w:right w:val="none" w:sz="0" w:space="0" w:color="auto"/>
                                                                  </w:divBdr>
                                                                </w:div>
                                                                <w:div w:id="660305435">
                                                                  <w:marLeft w:val="0"/>
                                                                  <w:marRight w:val="0"/>
                                                                  <w:marTop w:val="0"/>
                                                                  <w:marBottom w:val="0"/>
                                                                  <w:divBdr>
                                                                    <w:top w:val="none" w:sz="0" w:space="0" w:color="auto"/>
                                                                    <w:left w:val="none" w:sz="0" w:space="0" w:color="auto"/>
                                                                    <w:bottom w:val="none" w:sz="0" w:space="0" w:color="auto"/>
                                                                    <w:right w:val="none" w:sz="0" w:space="0" w:color="auto"/>
                                                                  </w:divBdr>
                                                                </w:div>
                                                              </w:divsChild>
                                                            </w:div>
                                                            <w:div w:id="917978536">
                                                              <w:marLeft w:val="0"/>
                                                              <w:marRight w:val="0"/>
                                                              <w:marTop w:val="0"/>
                                                              <w:marBottom w:val="0"/>
                                                              <w:divBdr>
                                                                <w:top w:val="none" w:sz="0" w:space="0" w:color="auto"/>
                                                                <w:left w:val="none" w:sz="0" w:space="0" w:color="auto"/>
                                                                <w:bottom w:val="none" w:sz="0" w:space="0" w:color="auto"/>
                                                                <w:right w:val="none" w:sz="0" w:space="0" w:color="auto"/>
                                                              </w:divBdr>
                                                              <w:divsChild>
                                                                <w:div w:id="1621255238">
                                                                  <w:marLeft w:val="0"/>
                                                                  <w:marRight w:val="120"/>
                                                                  <w:marTop w:val="0"/>
                                                                  <w:marBottom w:val="0"/>
                                                                  <w:divBdr>
                                                                    <w:top w:val="none" w:sz="0" w:space="0" w:color="auto"/>
                                                                    <w:left w:val="none" w:sz="0" w:space="0" w:color="auto"/>
                                                                    <w:bottom w:val="none" w:sz="0" w:space="0" w:color="auto"/>
                                                                    <w:right w:val="none" w:sz="0" w:space="0" w:color="auto"/>
                                                                  </w:divBdr>
                                                                </w:div>
                                                                <w:div w:id="1955210617">
                                                                  <w:marLeft w:val="0"/>
                                                                  <w:marRight w:val="0"/>
                                                                  <w:marTop w:val="0"/>
                                                                  <w:marBottom w:val="0"/>
                                                                  <w:divBdr>
                                                                    <w:top w:val="none" w:sz="0" w:space="0" w:color="auto"/>
                                                                    <w:left w:val="none" w:sz="0" w:space="0" w:color="auto"/>
                                                                    <w:bottom w:val="none" w:sz="0" w:space="0" w:color="auto"/>
                                                                    <w:right w:val="none" w:sz="0" w:space="0" w:color="auto"/>
                                                                  </w:divBdr>
                                                                </w:div>
                                                              </w:divsChild>
                                                            </w:div>
                                                            <w:div w:id="827743425">
                                                              <w:marLeft w:val="0"/>
                                                              <w:marRight w:val="0"/>
                                                              <w:marTop w:val="0"/>
                                                              <w:marBottom w:val="0"/>
                                                              <w:divBdr>
                                                                <w:top w:val="none" w:sz="0" w:space="0" w:color="auto"/>
                                                                <w:left w:val="none" w:sz="0" w:space="0" w:color="auto"/>
                                                                <w:bottom w:val="none" w:sz="0" w:space="0" w:color="auto"/>
                                                                <w:right w:val="none" w:sz="0" w:space="0" w:color="auto"/>
                                                              </w:divBdr>
                                                              <w:divsChild>
                                                                <w:div w:id="1758092480">
                                                                  <w:marLeft w:val="0"/>
                                                                  <w:marRight w:val="120"/>
                                                                  <w:marTop w:val="0"/>
                                                                  <w:marBottom w:val="0"/>
                                                                  <w:divBdr>
                                                                    <w:top w:val="none" w:sz="0" w:space="0" w:color="auto"/>
                                                                    <w:left w:val="none" w:sz="0" w:space="0" w:color="auto"/>
                                                                    <w:bottom w:val="none" w:sz="0" w:space="0" w:color="auto"/>
                                                                    <w:right w:val="none" w:sz="0" w:space="0" w:color="auto"/>
                                                                  </w:divBdr>
                                                                </w:div>
                                                                <w:div w:id="1157956152">
                                                                  <w:marLeft w:val="0"/>
                                                                  <w:marRight w:val="0"/>
                                                                  <w:marTop w:val="0"/>
                                                                  <w:marBottom w:val="0"/>
                                                                  <w:divBdr>
                                                                    <w:top w:val="none" w:sz="0" w:space="0" w:color="auto"/>
                                                                    <w:left w:val="none" w:sz="0" w:space="0" w:color="auto"/>
                                                                    <w:bottom w:val="none" w:sz="0" w:space="0" w:color="auto"/>
                                                                    <w:right w:val="none" w:sz="0" w:space="0" w:color="auto"/>
                                                                  </w:divBdr>
                                                                </w:div>
                                                              </w:divsChild>
                                                            </w:div>
                                                            <w:div w:id="681781413">
                                                              <w:marLeft w:val="0"/>
                                                              <w:marRight w:val="0"/>
                                                              <w:marTop w:val="0"/>
                                                              <w:marBottom w:val="0"/>
                                                              <w:divBdr>
                                                                <w:top w:val="none" w:sz="0" w:space="0" w:color="auto"/>
                                                                <w:left w:val="none" w:sz="0" w:space="0" w:color="auto"/>
                                                                <w:bottom w:val="none" w:sz="0" w:space="0" w:color="auto"/>
                                                                <w:right w:val="none" w:sz="0" w:space="0" w:color="auto"/>
                                                              </w:divBdr>
                                                              <w:divsChild>
                                                                <w:div w:id="2128769789">
                                                                  <w:marLeft w:val="0"/>
                                                                  <w:marRight w:val="120"/>
                                                                  <w:marTop w:val="0"/>
                                                                  <w:marBottom w:val="0"/>
                                                                  <w:divBdr>
                                                                    <w:top w:val="none" w:sz="0" w:space="0" w:color="auto"/>
                                                                    <w:left w:val="none" w:sz="0" w:space="0" w:color="auto"/>
                                                                    <w:bottom w:val="none" w:sz="0" w:space="0" w:color="auto"/>
                                                                    <w:right w:val="none" w:sz="0" w:space="0" w:color="auto"/>
                                                                  </w:divBdr>
                                                                </w:div>
                                                                <w:div w:id="2131700430">
                                                                  <w:marLeft w:val="0"/>
                                                                  <w:marRight w:val="0"/>
                                                                  <w:marTop w:val="0"/>
                                                                  <w:marBottom w:val="0"/>
                                                                  <w:divBdr>
                                                                    <w:top w:val="none" w:sz="0" w:space="0" w:color="auto"/>
                                                                    <w:left w:val="none" w:sz="0" w:space="0" w:color="auto"/>
                                                                    <w:bottom w:val="none" w:sz="0" w:space="0" w:color="auto"/>
                                                                    <w:right w:val="none" w:sz="0" w:space="0" w:color="auto"/>
                                                                  </w:divBdr>
                                                                </w:div>
                                                              </w:divsChild>
                                                            </w:div>
                                                            <w:div w:id="133568506">
                                                              <w:marLeft w:val="0"/>
                                                              <w:marRight w:val="0"/>
                                                              <w:marTop w:val="0"/>
                                                              <w:marBottom w:val="0"/>
                                                              <w:divBdr>
                                                                <w:top w:val="none" w:sz="0" w:space="0" w:color="auto"/>
                                                                <w:left w:val="none" w:sz="0" w:space="0" w:color="auto"/>
                                                                <w:bottom w:val="none" w:sz="0" w:space="0" w:color="auto"/>
                                                                <w:right w:val="none" w:sz="0" w:space="0" w:color="auto"/>
                                                              </w:divBdr>
                                                              <w:divsChild>
                                                                <w:div w:id="1541432748">
                                                                  <w:marLeft w:val="0"/>
                                                                  <w:marRight w:val="120"/>
                                                                  <w:marTop w:val="0"/>
                                                                  <w:marBottom w:val="0"/>
                                                                  <w:divBdr>
                                                                    <w:top w:val="none" w:sz="0" w:space="0" w:color="auto"/>
                                                                    <w:left w:val="none" w:sz="0" w:space="0" w:color="auto"/>
                                                                    <w:bottom w:val="none" w:sz="0" w:space="0" w:color="auto"/>
                                                                    <w:right w:val="none" w:sz="0" w:space="0" w:color="auto"/>
                                                                  </w:divBdr>
                                                                </w:div>
                                                                <w:div w:id="212424797">
                                                                  <w:marLeft w:val="0"/>
                                                                  <w:marRight w:val="0"/>
                                                                  <w:marTop w:val="0"/>
                                                                  <w:marBottom w:val="0"/>
                                                                  <w:divBdr>
                                                                    <w:top w:val="none" w:sz="0" w:space="0" w:color="auto"/>
                                                                    <w:left w:val="none" w:sz="0" w:space="0" w:color="auto"/>
                                                                    <w:bottom w:val="none" w:sz="0" w:space="0" w:color="auto"/>
                                                                    <w:right w:val="none" w:sz="0" w:space="0" w:color="auto"/>
                                                                  </w:divBdr>
                                                                </w:div>
                                                              </w:divsChild>
                                                            </w:div>
                                                            <w:div w:id="717362274">
                                                              <w:marLeft w:val="0"/>
                                                              <w:marRight w:val="0"/>
                                                              <w:marTop w:val="0"/>
                                                              <w:marBottom w:val="0"/>
                                                              <w:divBdr>
                                                                <w:top w:val="none" w:sz="0" w:space="0" w:color="auto"/>
                                                                <w:left w:val="none" w:sz="0" w:space="0" w:color="auto"/>
                                                                <w:bottom w:val="none" w:sz="0" w:space="0" w:color="auto"/>
                                                                <w:right w:val="none" w:sz="0" w:space="0" w:color="auto"/>
                                                              </w:divBdr>
                                                              <w:divsChild>
                                                                <w:div w:id="1943680001">
                                                                  <w:marLeft w:val="0"/>
                                                                  <w:marRight w:val="120"/>
                                                                  <w:marTop w:val="0"/>
                                                                  <w:marBottom w:val="0"/>
                                                                  <w:divBdr>
                                                                    <w:top w:val="none" w:sz="0" w:space="0" w:color="auto"/>
                                                                    <w:left w:val="none" w:sz="0" w:space="0" w:color="auto"/>
                                                                    <w:bottom w:val="none" w:sz="0" w:space="0" w:color="auto"/>
                                                                    <w:right w:val="none" w:sz="0" w:space="0" w:color="auto"/>
                                                                  </w:divBdr>
                                                                </w:div>
                                                                <w:div w:id="798499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791589929">
      <w:bodyDiv w:val="1"/>
      <w:marLeft w:val="0"/>
      <w:marRight w:val="0"/>
      <w:marTop w:val="0"/>
      <w:marBottom w:val="0"/>
      <w:divBdr>
        <w:top w:val="none" w:sz="0" w:space="0" w:color="auto"/>
        <w:left w:val="none" w:sz="0" w:space="0" w:color="auto"/>
        <w:bottom w:val="none" w:sz="0" w:space="0" w:color="auto"/>
        <w:right w:val="none" w:sz="0" w:space="0" w:color="auto"/>
      </w:divBdr>
      <w:divsChild>
        <w:div w:id="779109934">
          <w:marLeft w:val="0"/>
          <w:marRight w:val="0"/>
          <w:marTop w:val="0"/>
          <w:marBottom w:val="0"/>
          <w:divBdr>
            <w:top w:val="none" w:sz="0" w:space="0" w:color="auto"/>
            <w:left w:val="none" w:sz="0" w:space="0" w:color="auto"/>
            <w:bottom w:val="none" w:sz="0" w:space="0" w:color="auto"/>
            <w:right w:val="none" w:sz="0" w:space="0" w:color="auto"/>
          </w:divBdr>
        </w:div>
      </w:divsChild>
    </w:div>
    <w:div w:id="1826890653">
      <w:bodyDiv w:val="1"/>
      <w:marLeft w:val="0"/>
      <w:marRight w:val="0"/>
      <w:marTop w:val="0"/>
      <w:marBottom w:val="0"/>
      <w:divBdr>
        <w:top w:val="none" w:sz="0" w:space="0" w:color="auto"/>
        <w:left w:val="none" w:sz="0" w:space="0" w:color="auto"/>
        <w:bottom w:val="none" w:sz="0" w:space="0" w:color="auto"/>
        <w:right w:val="none" w:sz="0" w:space="0" w:color="auto"/>
      </w:divBdr>
      <w:divsChild>
        <w:div w:id="2139184331">
          <w:marLeft w:val="0"/>
          <w:marRight w:val="0"/>
          <w:marTop w:val="0"/>
          <w:marBottom w:val="0"/>
          <w:divBdr>
            <w:top w:val="none" w:sz="0" w:space="0" w:color="auto"/>
            <w:left w:val="none" w:sz="0" w:space="0" w:color="auto"/>
            <w:bottom w:val="none" w:sz="0" w:space="0" w:color="auto"/>
            <w:right w:val="none" w:sz="0" w:space="0" w:color="auto"/>
          </w:divBdr>
          <w:divsChild>
            <w:div w:id="57940760">
              <w:marLeft w:val="0"/>
              <w:marRight w:val="0"/>
              <w:marTop w:val="0"/>
              <w:marBottom w:val="0"/>
              <w:divBdr>
                <w:top w:val="none" w:sz="0" w:space="0" w:color="auto"/>
                <w:left w:val="none" w:sz="0" w:space="0" w:color="auto"/>
                <w:bottom w:val="none" w:sz="0" w:space="0" w:color="auto"/>
                <w:right w:val="none" w:sz="0" w:space="0" w:color="auto"/>
              </w:divBdr>
              <w:divsChild>
                <w:div w:id="107823333">
                  <w:marLeft w:val="0"/>
                  <w:marRight w:val="0"/>
                  <w:marTop w:val="0"/>
                  <w:marBottom w:val="0"/>
                  <w:divBdr>
                    <w:top w:val="none" w:sz="0" w:space="0" w:color="auto"/>
                    <w:left w:val="none" w:sz="0" w:space="0" w:color="auto"/>
                    <w:bottom w:val="none" w:sz="0" w:space="0" w:color="auto"/>
                    <w:right w:val="none" w:sz="0" w:space="0" w:color="auto"/>
                  </w:divBdr>
                </w:div>
                <w:div w:id="823474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5948499">
      <w:bodyDiv w:val="1"/>
      <w:marLeft w:val="0"/>
      <w:marRight w:val="0"/>
      <w:marTop w:val="0"/>
      <w:marBottom w:val="0"/>
      <w:divBdr>
        <w:top w:val="none" w:sz="0" w:space="0" w:color="auto"/>
        <w:left w:val="none" w:sz="0" w:space="0" w:color="auto"/>
        <w:bottom w:val="none" w:sz="0" w:space="0" w:color="auto"/>
        <w:right w:val="none" w:sz="0" w:space="0" w:color="auto"/>
      </w:divBdr>
    </w:div>
    <w:div w:id="1841037960">
      <w:bodyDiv w:val="1"/>
      <w:marLeft w:val="0"/>
      <w:marRight w:val="0"/>
      <w:marTop w:val="0"/>
      <w:marBottom w:val="0"/>
      <w:divBdr>
        <w:top w:val="none" w:sz="0" w:space="0" w:color="auto"/>
        <w:left w:val="none" w:sz="0" w:space="0" w:color="auto"/>
        <w:bottom w:val="none" w:sz="0" w:space="0" w:color="auto"/>
        <w:right w:val="none" w:sz="0" w:space="0" w:color="auto"/>
      </w:divBdr>
      <w:divsChild>
        <w:div w:id="468086488">
          <w:marLeft w:val="0"/>
          <w:marRight w:val="0"/>
          <w:marTop w:val="0"/>
          <w:marBottom w:val="166"/>
          <w:divBdr>
            <w:top w:val="none" w:sz="0" w:space="0" w:color="auto"/>
            <w:left w:val="none" w:sz="0" w:space="0" w:color="auto"/>
            <w:bottom w:val="none" w:sz="0" w:space="0" w:color="auto"/>
            <w:right w:val="none" w:sz="0" w:space="0" w:color="auto"/>
          </w:divBdr>
          <w:divsChild>
            <w:div w:id="115102830">
              <w:marLeft w:val="0"/>
              <w:marRight w:val="0"/>
              <w:marTop w:val="166"/>
              <w:marBottom w:val="166"/>
              <w:divBdr>
                <w:top w:val="none" w:sz="0" w:space="0" w:color="auto"/>
                <w:left w:val="none" w:sz="0" w:space="0" w:color="auto"/>
                <w:bottom w:val="none" w:sz="0" w:space="0" w:color="auto"/>
                <w:right w:val="none" w:sz="0" w:space="0" w:color="auto"/>
              </w:divBdr>
              <w:divsChild>
                <w:div w:id="1008554447">
                  <w:marLeft w:val="0"/>
                  <w:marRight w:val="0"/>
                  <w:marTop w:val="0"/>
                  <w:marBottom w:val="0"/>
                  <w:divBdr>
                    <w:top w:val="none" w:sz="0" w:space="0" w:color="auto"/>
                    <w:left w:val="none" w:sz="0" w:space="0" w:color="auto"/>
                    <w:bottom w:val="none" w:sz="0" w:space="0" w:color="auto"/>
                    <w:right w:val="none" w:sz="0" w:space="0" w:color="auto"/>
                  </w:divBdr>
                </w:div>
              </w:divsChild>
            </w:div>
            <w:div w:id="395858871">
              <w:marLeft w:val="0"/>
              <w:marRight w:val="0"/>
              <w:marTop w:val="166"/>
              <w:marBottom w:val="166"/>
              <w:divBdr>
                <w:top w:val="none" w:sz="0" w:space="0" w:color="auto"/>
                <w:left w:val="none" w:sz="0" w:space="0" w:color="auto"/>
                <w:bottom w:val="none" w:sz="0" w:space="0" w:color="auto"/>
                <w:right w:val="none" w:sz="0" w:space="0" w:color="auto"/>
              </w:divBdr>
              <w:divsChild>
                <w:div w:id="431168164">
                  <w:marLeft w:val="0"/>
                  <w:marRight w:val="0"/>
                  <w:marTop w:val="0"/>
                  <w:marBottom w:val="0"/>
                  <w:divBdr>
                    <w:top w:val="none" w:sz="0" w:space="0" w:color="auto"/>
                    <w:left w:val="none" w:sz="0" w:space="0" w:color="auto"/>
                    <w:bottom w:val="none" w:sz="0" w:space="0" w:color="auto"/>
                    <w:right w:val="none" w:sz="0" w:space="0" w:color="auto"/>
                  </w:divBdr>
                </w:div>
                <w:div w:id="2054961460">
                  <w:marLeft w:val="0"/>
                  <w:marRight w:val="0"/>
                  <w:marTop w:val="166"/>
                  <w:marBottom w:val="166"/>
                  <w:divBdr>
                    <w:top w:val="none" w:sz="0" w:space="0" w:color="auto"/>
                    <w:left w:val="none" w:sz="0" w:space="0" w:color="auto"/>
                    <w:bottom w:val="none" w:sz="0" w:space="0" w:color="auto"/>
                    <w:right w:val="none" w:sz="0" w:space="0" w:color="auto"/>
                  </w:divBdr>
                  <w:divsChild>
                    <w:div w:id="378286133">
                      <w:marLeft w:val="0"/>
                      <w:marRight w:val="0"/>
                      <w:marTop w:val="0"/>
                      <w:marBottom w:val="0"/>
                      <w:divBdr>
                        <w:top w:val="none" w:sz="0" w:space="0" w:color="auto"/>
                        <w:left w:val="none" w:sz="0" w:space="0" w:color="auto"/>
                        <w:bottom w:val="none" w:sz="0" w:space="0" w:color="auto"/>
                        <w:right w:val="none" w:sz="0" w:space="0" w:color="auto"/>
                      </w:divBdr>
                    </w:div>
                    <w:div w:id="23991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5967126">
              <w:marLeft w:val="0"/>
              <w:marRight w:val="0"/>
              <w:marTop w:val="332"/>
              <w:marBottom w:val="332"/>
              <w:divBdr>
                <w:top w:val="single" w:sz="6" w:space="5" w:color="EAC3AF"/>
                <w:left w:val="single" w:sz="6" w:space="8" w:color="EAC3AF"/>
                <w:bottom w:val="single" w:sz="6" w:space="5" w:color="EAC3AF"/>
                <w:right w:val="single" w:sz="6" w:space="8" w:color="EAC3AF"/>
              </w:divBdr>
              <w:divsChild>
                <w:div w:id="305165995">
                  <w:marLeft w:val="0"/>
                  <w:marRight w:val="0"/>
                  <w:marTop w:val="0"/>
                  <w:marBottom w:val="0"/>
                  <w:divBdr>
                    <w:top w:val="none" w:sz="0" w:space="0" w:color="auto"/>
                    <w:left w:val="none" w:sz="0" w:space="0" w:color="auto"/>
                    <w:bottom w:val="none" w:sz="0" w:space="0" w:color="auto"/>
                    <w:right w:val="none" w:sz="0" w:space="0" w:color="auto"/>
                  </w:divBdr>
                  <w:divsChild>
                    <w:div w:id="1122312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0091648">
          <w:marLeft w:val="0"/>
          <w:marRight w:val="0"/>
          <w:marTop w:val="0"/>
          <w:marBottom w:val="0"/>
          <w:divBdr>
            <w:top w:val="none" w:sz="0" w:space="0" w:color="auto"/>
            <w:left w:val="none" w:sz="0" w:space="0" w:color="auto"/>
            <w:bottom w:val="none" w:sz="0" w:space="0" w:color="auto"/>
            <w:right w:val="none" w:sz="0" w:space="0" w:color="auto"/>
          </w:divBdr>
          <w:divsChild>
            <w:div w:id="182785840">
              <w:marLeft w:val="0"/>
              <w:marRight w:val="0"/>
              <w:marTop w:val="0"/>
              <w:marBottom w:val="0"/>
              <w:divBdr>
                <w:top w:val="none" w:sz="0" w:space="0" w:color="auto"/>
                <w:left w:val="none" w:sz="0" w:space="0" w:color="auto"/>
                <w:bottom w:val="none" w:sz="0" w:space="0" w:color="auto"/>
                <w:right w:val="none" w:sz="0" w:space="0" w:color="auto"/>
              </w:divBdr>
            </w:div>
            <w:div w:id="218632567">
              <w:marLeft w:val="0"/>
              <w:marRight w:val="0"/>
              <w:marTop w:val="0"/>
              <w:marBottom w:val="0"/>
              <w:divBdr>
                <w:top w:val="none" w:sz="0" w:space="0" w:color="auto"/>
                <w:left w:val="none" w:sz="0" w:space="0" w:color="auto"/>
                <w:bottom w:val="none" w:sz="0" w:space="0" w:color="auto"/>
                <w:right w:val="none" w:sz="0" w:space="0" w:color="auto"/>
              </w:divBdr>
            </w:div>
            <w:div w:id="447087259">
              <w:marLeft w:val="0"/>
              <w:marRight w:val="0"/>
              <w:marTop w:val="0"/>
              <w:marBottom w:val="0"/>
              <w:divBdr>
                <w:top w:val="none" w:sz="0" w:space="0" w:color="auto"/>
                <w:left w:val="none" w:sz="0" w:space="0" w:color="auto"/>
                <w:bottom w:val="none" w:sz="0" w:space="0" w:color="auto"/>
                <w:right w:val="none" w:sz="0" w:space="0" w:color="auto"/>
              </w:divBdr>
            </w:div>
            <w:div w:id="1988514656">
              <w:marLeft w:val="0"/>
              <w:marRight w:val="0"/>
              <w:marTop w:val="0"/>
              <w:marBottom w:val="0"/>
              <w:divBdr>
                <w:top w:val="none" w:sz="0" w:space="0" w:color="auto"/>
                <w:left w:val="none" w:sz="0" w:space="0" w:color="auto"/>
                <w:bottom w:val="none" w:sz="0" w:space="0" w:color="auto"/>
                <w:right w:val="none" w:sz="0" w:space="0" w:color="auto"/>
              </w:divBdr>
            </w:div>
          </w:divsChild>
        </w:div>
        <w:div w:id="946274555">
          <w:marLeft w:val="0"/>
          <w:marRight w:val="0"/>
          <w:marTop w:val="0"/>
          <w:marBottom w:val="0"/>
          <w:divBdr>
            <w:top w:val="none" w:sz="0" w:space="0" w:color="auto"/>
            <w:left w:val="none" w:sz="0" w:space="0" w:color="auto"/>
            <w:bottom w:val="none" w:sz="0" w:space="0" w:color="auto"/>
            <w:right w:val="none" w:sz="0" w:space="0" w:color="auto"/>
          </w:divBdr>
        </w:div>
        <w:div w:id="1741902619">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529365501">
              <w:marLeft w:val="0"/>
              <w:marRight w:val="0"/>
              <w:marTop w:val="0"/>
              <w:marBottom w:val="332"/>
              <w:divBdr>
                <w:top w:val="none" w:sz="0" w:space="0" w:color="auto"/>
                <w:left w:val="none" w:sz="0" w:space="0" w:color="auto"/>
                <w:bottom w:val="none" w:sz="0" w:space="0" w:color="auto"/>
                <w:right w:val="none" w:sz="0" w:space="0" w:color="auto"/>
              </w:divBdr>
            </w:div>
            <w:div w:id="969290371">
              <w:marLeft w:val="0"/>
              <w:marRight w:val="0"/>
              <w:marTop w:val="0"/>
              <w:marBottom w:val="0"/>
              <w:divBdr>
                <w:top w:val="none" w:sz="0" w:space="0" w:color="auto"/>
                <w:left w:val="none" w:sz="0" w:space="0" w:color="auto"/>
                <w:bottom w:val="none" w:sz="0" w:space="0" w:color="auto"/>
                <w:right w:val="none" w:sz="0" w:space="0" w:color="auto"/>
              </w:divBdr>
              <w:divsChild>
                <w:div w:id="1604991826">
                  <w:marLeft w:val="0"/>
                  <w:marRight w:val="0"/>
                  <w:marTop w:val="0"/>
                  <w:marBottom w:val="0"/>
                  <w:divBdr>
                    <w:top w:val="none" w:sz="0" w:space="0" w:color="auto"/>
                    <w:left w:val="none" w:sz="0" w:space="0" w:color="auto"/>
                    <w:bottom w:val="none" w:sz="0" w:space="0" w:color="auto"/>
                    <w:right w:val="none" w:sz="0" w:space="0" w:color="auto"/>
                  </w:divBdr>
                </w:div>
                <w:div w:id="1179124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2137457">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659263581">
              <w:marLeft w:val="0"/>
              <w:marRight w:val="0"/>
              <w:marTop w:val="0"/>
              <w:marBottom w:val="0"/>
              <w:divBdr>
                <w:top w:val="none" w:sz="0" w:space="0" w:color="auto"/>
                <w:left w:val="none" w:sz="0" w:space="0" w:color="auto"/>
                <w:bottom w:val="none" w:sz="0" w:space="0" w:color="auto"/>
                <w:right w:val="none" w:sz="0" w:space="0" w:color="auto"/>
              </w:divBdr>
            </w:div>
            <w:div w:id="313221279">
              <w:marLeft w:val="0"/>
              <w:marRight w:val="0"/>
              <w:marTop w:val="0"/>
              <w:marBottom w:val="0"/>
              <w:divBdr>
                <w:top w:val="none" w:sz="0" w:space="0" w:color="auto"/>
                <w:left w:val="none" w:sz="0" w:space="0" w:color="auto"/>
                <w:bottom w:val="none" w:sz="0" w:space="0" w:color="auto"/>
                <w:right w:val="none" w:sz="0" w:space="0" w:color="auto"/>
              </w:divBdr>
            </w:div>
            <w:div w:id="1200511132">
              <w:marLeft w:val="0"/>
              <w:marRight w:val="0"/>
              <w:marTop w:val="166"/>
              <w:marBottom w:val="0"/>
              <w:divBdr>
                <w:top w:val="none" w:sz="0" w:space="0" w:color="auto"/>
                <w:left w:val="none" w:sz="0" w:space="0" w:color="auto"/>
                <w:bottom w:val="none" w:sz="0" w:space="0" w:color="auto"/>
                <w:right w:val="none" w:sz="0" w:space="0" w:color="auto"/>
              </w:divBdr>
            </w:div>
            <w:div w:id="1158113224">
              <w:marLeft w:val="0"/>
              <w:marRight w:val="0"/>
              <w:marTop w:val="332"/>
              <w:marBottom w:val="332"/>
              <w:divBdr>
                <w:top w:val="none" w:sz="0" w:space="0" w:color="auto"/>
                <w:left w:val="none" w:sz="0" w:space="0" w:color="auto"/>
                <w:bottom w:val="none" w:sz="0" w:space="0" w:color="auto"/>
                <w:right w:val="none" w:sz="0" w:space="0" w:color="auto"/>
              </w:divBdr>
              <w:divsChild>
                <w:div w:id="1911694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822803">
          <w:marLeft w:val="0"/>
          <w:marRight w:val="0"/>
          <w:marTop w:val="0"/>
          <w:marBottom w:val="0"/>
          <w:divBdr>
            <w:top w:val="none" w:sz="0" w:space="0" w:color="auto"/>
            <w:left w:val="none" w:sz="0" w:space="0" w:color="auto"/>
            <w:bottom w:val="none" w:sz="0" w:space="0" w:color="auto"/>
            <w:right w:val="none" w:sz="0" w:space="0" w:color="auto"/>
          </w:divBdr>
        </w:div>
        <w:div w:id="293103104">
          <w:marLeft w:val="0"/>
          <w:marRight w:val="0"/>
          <w:marTop w:val="0"/>
          <w:marBottom w:val="0"/>
          <w:divBdr>
            <w:top w:val="none" w:sz="0" w:space="0" w:color="auto"/>
            <w:left w:val="none" w:sz="0" w:space="0" w:color="auto"/>
            <w:bottom w:val="none" w:sz="0" w:space="0" w:color="auto"/>
            <w:right w:val="none" w:sz="0" w:space="0" w:color="auto"/>
          </w:divBdr>
        </w:div>
        <w:div w:id="861550467">
          <w:marLeft w:val="0"/>
          <w:marRight w:val="0"/>
          <w:marTop w:val="0"/>
          <w:marBottom w:val="0"/>
          <w:divBdr>
            <w:top w:val="none" w:sz="0" w:space="0" w:color="auto"/>
            <w:left w:val="none" w:sz="0" w:space="0" w:color="auto"/>
            <w:bottom w:val="none" w:sz="0" w:space="0" w:color="auto"/>
            <w:right w:val="none" w:sz="0" w:space="0" w:color="auto"/>
          </w:divBdr>
        </w:div>
        <w:div w:id="804154529">
          <w:marLeft w:val="0"/>
          <w:marRight w:val="0"/>
          <w:marTop w:val="0"/>
          <w:marBottom w:val="0"/>
          <w:divBdr>
            <w:top w:val="none" w:sz="0" w:space="0" w:color="auto"/>
            <w:left w:val="none" w:sz="0" w:space="0" w:color="auto"/>
            <w:bottom w:val="none" w:sz="0" w:space="0" w:color="auto"/>
            <w:right w:val="none" w:sz="0" w:space="0" w:color="auto"/>
          </w:divBdr>
        </w:div>
        <w:div w:id="129400597">
          <w:marLeft w:val="0"/>
          <w:marRight w:val="0"/>
          <w:marTop w:val="0"/>
          <w:marBottom w:val="0"/>
          <w:divBdr>
            <w:top w:val="none" w:sz="0" w:space="0" w:color="auto"/>
            <w:left w:val="none" w:sz="0" w:space="0" w:color="auto"/>
            <w:bottom w:val="none" w:sz="0" w:space="0" w:color="auto"/>
            <w:right w:val="none" w:sz="0" w:space="0" w:color="auto"/>
          </w:divBdr>
        </w:div>
      </w:divsChild>
    </w:div>
    <w:div w:id="1842351944">
      <w:bodyDiv w:val="1"/>
      <w:marLeft w:val="0"/>
      <w:marRight w:val="0"/>
      <w:marTop w:val="0"/>
      <w:marBottom w:val="0"/>
      <w:divBdr>
        <w:top w:val="none" w:sz="0" w:space="0" w:color="auto"/>
        <w:left w:val="none" w:sz="0" w:space="0" w:color="auto"/>
        <w:bottom w:val="none" w:sz="0" w:space="0" w:color="auto"/>
        <w:right w:val="none" w:sz="0" w:space="0" w:color="auto"/>
      </w:divBdr>
    </w:div>
    <w:div w:id="1847818861">
      <w:bodyDiv w:val="1"/>
      <w:marLeft w:val="0"/>
      <w:marRight w:val="0"/>
      <w:marTop w:val="0"/>
      <w:marBottom w:val="0"/>
      <w:divBdr>
        <w:top w:val="none" w:sz="0" w:space="0" w:color="auto"/>
        <w:left w:val="none" w:sz="0" w:space="0" w:color="auto"/>
        <w:bottom w:val="none" w:sz="0" w:space="0" w:color="auto"/>
        <w:right w:val="none" w:sz="0" w:space="0" w:color="auto"/>
      </w:divBdr>
      <w:divsChild>
        <w:div w:id="505168066">
          <w:marLeft w:val="0"/>
          <w:marRight w:val="0"/>
          <w:marTop w:val="0"/>
          <w:marBottom w:val="450"/>
          <w:divBdr>
            <w:top w:val="none" w:sz="0" w:space="0" w:color="auto"/>
            <w:left w:val="none" w:sz="0" w:space="0" w:color="auto"/>
            <w:bottom w:val="none" w:sz="0" w:space="0" w:color="auto"/>
            <w:right w:val="none" w:sz="0" w:space="0" w:color="auto"/>
          </w:divBdr>
          <w:divsChild>
            <w:div w:id="163788158">
              <w:marLeft w:val="0"/>
              <w:marRight w:val="0"/>
              <w:marTop w:val="0"/>
              <w:marBottom w:val="375"/>
              <w:divBdr>
                <w:top w:val="none" w:sz="0" w:space="0" w:color="auto"/>
                <w:left w:val="none" w:sz="0" w:space="0" w:color="auto"/>
                <w:bottom w:val="none" w:sz="0" w:space="0" w:color="auto"/>
                <w:right w:val="none" w:sz="0" w:space="0" w:color="auto"/>
              </w:divBdr>
              <w:divsChild>
                <w:div w:id="402606659">
                  <w:marLeft w:val="0"/>
                  <w:marRight w:val="0"/>
                  <w:marTop w:val="0"/>
                  <w:marBottom w:val="0"/>
                  <w:divBdr>
                    <w:top w:val="none" w:sz="0" w:space="0" w:color="auto"/>
                    <w:left w:val="none" w:sz="0" w:space="0" w:color="auto"/>
                    <w:bottom w:val="none" w:sz="0" w:space="0" w:color="auto"/>
                    <w:right w:val="none" w:sz="0" w:space="0" w:color="auto"/>
                  </w:divBdr>
                </w:div>
              </w:divsChild>
            </w:div>
            <w:div w:id="1582637266">
              <w:marLeft w:val="0"/>
              <w:marRight w:val="0"/>
              <w:marTop w:val="240"/>
              <w:marBottom w:val="480"/>
              <w:divBdr>
                <w:top w:val="none" w:sz="0" w:space="0" w:color="auto"/>
                <w:left w:val="none" w:sz="0" w:space="0" w:color="auto"/>
                <w:bottom w:val="none" w:sz="0" w:space="0" w:color="auto"/>
                <w:right w:val="none" w:sz="0" w:space="0" w:color="auto"/>
              </w:divBdr>
              <w:divsChild>
                <w:div w:id="666832476">
                  <w:marLeft w:val="0"/>
                  <w:marRight w:val="0"/>
                  <w:marTop w:val="0"/>
                  <w:marBottom w:val="0"/>
                  <w:divBdr>
                    <w:top w:val="single" w:sz="6" w:space="0" w:color="C6C6C6"/>
                    <w:left w:val="single" w:sz="6" w:space="0" w:color="C6C6C6"/>
                    <w:bottom w:val="single" w:sz="6" w:space="0" w:color="C6C6C6"/>
                    <w:right w:val="single" w:sz="6" w:space="0" w:color="C6C6C6"/>
                  </w:divBdr>
                </w:div>
                <w:div w:id="174915873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638950391">
          <w:marLeft w:val="0"/>
          <w:marRight w:val="0"/>
          <w:marTop w:val="0"/>
          <w:marBottom w:val="450"/>
          <w:divBdr>
            <w:top w:val="none" w:sz="0" w:space="0" w:color="auto"/>
            <w:left w:val="none" w:sz="0" w:space="0" w:color="auto"/>
            <w:bottom w:val="none" w:sz="0" w:space="0" w:color="auto"/>
            <w:right w:val="none" w:sz="0" w:space="0" w:color="auto"/>
          </w:divBdr>
          <w:divsChild>
            <w:div w:id="602423456">
              <w:marLeft w:val="0"/>
              <w:marRight w:val="0"/>
              <w:marTop w:val="0"/>
              <w:marBottom w:val="375"/>
              <w:divBdr>
                <w:top w:val="none" w:sz="0" w:space="0" w:color="auto"/>
                <w:left w:val="none" w:sz="0" w:space="0" w:color="auto"/>
                <w:bottom w:val="none" w:sz="0" w:space="0" w:color="auto"/>
                <w:right w:val="none" w:sz="0" w:space="0" w:color="auto"/>
              </w:divBdr>
              <w:divsChild>
                <w:div w:id="2023124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9479665">
          <w:marLeft w:val="0"/>
          <w:marRight w:val="0"/>
          <w:marTop w:val="0"/>
          <w:marBottom w:val="450"/>
          <w:divBdr>
            <w:top w:val="none" w:sz="0" w:space="0" w:color="auto"/>
            <w:left w:val="none" w:sz="0" w:space="0" w:color="auto"/>
            <w:bottom w:val="none" w:sz="0" w:space="0" w:color="auto"/>
            <w:right w:val="none" w:sz="0" w:space="0" w:color="auto"/>
          </w:divBdr>
          <w:divsChild>
            <w:div w:id="743920561">
              <w:marLeft w:val="0"/>
              <w:marRight w:val="0"/>
              <w:marTop w:val="0"/>
              <w:marBottom w:val="375"/>
              <w:divBdr>
                <w:top w:val="none" w:sz="0" w:space="0" w:color="auto"/>
                <w:left w:val="none" w:sz="0" w:space="0" w:color="auto"/>
                <w:bottom w:val="none" w:sz="0" w:space="0" w:color="auto"/>
                <w:right w:val="none" w:sz="0" w:space="0" w:color="auto"/>
              </w:divBdr>
              <w:divsChild>
                <w:div w:id="1535580576">
                  <w:marLeft w:val="0"/>
                  <w:marRight w:val="0"/>
                  <w:marTop w:val="0"/>
                  <w:marBottom w:val="0"/>
                  <w:divBdr>
                    <w:top w:val="none" w:sz="0" w:space="0" w:color="auto"/>
                    <w:left w:val="none" w:sz="0" w:space="0" w:color="auto"/>
                    <w:bottom w:val="none" w:sz="0" w:space="0" w:color="auto"/>
                    <w:right w:val="none" w:sz="0" w:space="0" w:color="auto"/>
                  </w:divBdr>
                </w:div>
              </w:divsChild>
            </w:div>
            <w:div w:id="1987279491">
              <w:marLeft w:val="0"/>
              <w:marRight w:val="0"/>
              <w:marTop w:val="0"/>
              <w:marBottom w:val="0"/>
              <w:divBdr>
                <w:top w:val="none" w:sz="0" w:space="0" w:color="auto"/>
                <w:left w:val="none" w:sz="0" w:space="0" w:color="auto"/>
                <w:bottom w:val="none" w:sz="0" w:space="0" w:color="auto"/>
                <w:right w:val="none" w:sz="0" w:space="0" w:color="auto"/>
              </w:divBdr>
              <w:divsChild>
                <w:div w:id="2083868594">
                  <w:marLeft w:val="0"/>
                  <w:marRight w:val="0"/>
                  <w:marTop w:val="240"/>
                  <w:marBottom w:val="480"/>
                  <w:divBdr>
                    <w:top w:val="none" w:sz="0" w:space="0" w:color="auto"/>
                    <w:left w:val="none" w:sz="0" w:space="0" w:color="auto"/>
                    <w:bottom w:val="none" w:sz="0" w:space="0" w:color="auto"/>
                    <w:right w:val="none" w:sz="0" w:space="0" w:color="auto"/>
                  </w:divBdr>
                  <w:divsChild>
                    <w:div w:id="931861682">
                      <w:marLeft w:val="0"/>
                      <w:marRight w:val="0"/>
                      <w:marTop w:val="0"/>
                      <w:marBottom w:val="0"/>
                      <w:divBdr>
                        <w:top w:val="single" w:sz="6" w:space="0" w:color="C6C6C6"/>
                        <w:left w:val="single" w:sz="6" w:space="0" w:color="C6C6C6"/>
                        <w:bottom w:val="single" w:sz="6" w:space="0" w:color="C6C6C6"/>
                        <w:right w:val="single" w:sz="6" w:space="0" w:color="C6C6C6"/>
                      </w:divBdr>
                    </w:div>
                    <w:div w:id="202219496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475340902">
              <w:marLeft w:val="0"/>
              <w:marRight w:val="0"/>
              <w:marTop w:val="0"/>
              <w:marBottom w:val="0"/>
              <w:divBdr>
                <w:top w:val="none" w:sz="0" w:space="0" w:color="auto"/>
                <w:left w:val="none" w:sz="0" w:space="0" w:color="auto"/>
                <w:bottom w:val="none" w:sz="0" w:space="0" w:color="auto"/>
                <w:right w:val="none" w:sz="0" w:space="0" w:color="auto"/>
              </w:divBdr>
              <w:divsChild>
                <w:div w:id="737702668">
                  <w:marLeft w:val="0"/>
                  <w:marRight w:val="0"/>
                  <w:marTop w:val="240"/>
                  <w:marBottom w:val="240"/>
                  <w:divBdr>
                    <w:top w:val="none" w:sz="0" w:space="0" w:color="auto"/>
                    <w:left w:val="none" w:sz="0" w:space="0" w:color="auto"/>
                    <w:bottom w:val="none" w:sz="0" w:space="0" w:color="auto"/>
                    <w:right w:val="none" w:sz="0" w:space="0" w:color="auto"/>
                  </w:divBdr>
                </w:div>
                <w:div w:id="887883984">
                  <w:marLeft w:val="0"/>
                  <w:marRight w:val="0"/>
                  <w:marTop w:val="240"/>
                  <w:marBottom w:val="240"/>
                  <w:divBdr>
                    <w:top w:val="none" w:sz="0" w:space="0" w:color="auto"/>
                    <w:left w:val="none" w:sz="0" w:space="0" w:color="auto"/>
                    <w:bottom w:val="none" w:sz="0" w:space="0" w:color="auto"/>
                    <w:right w:val="none" w:sz="0" w:space="0" w:color="auto"/>
                  </w:divBdr>
                </w:div>
              </w:divsChild>
            </w:div>
            <w:div w:id="1547714811">
              <w:marLeft w:val="0"/>
              <w:marRight w:val="0"/>
              <w:marTop w:val="0"/>
              <w:marBottom w:val="0"/>
              <w:divBdr>
                <w:top w:val="none" w:sz="0" w:space="0" w:color="auto"/>
                <w:left w:val="none" w:sz="0" w:space="0" w:color="auto"/>
                <w:bottom w:val="none" w:sz="0" w:space="0" w:color="auto"/>
                <w:right w:val="none" w:sz="0" w:space="0" w:color="auto"/>
              </w:divBdr>
              <w:divsChild>
                <w:div w:id="923606454">
                  <w:marLeft w:val="0"/>
                  <w:marRight w:val="0"/>
                  <w:marTop w:val="240"/>
                  <w:marBottom w:val="480"/>
                  <w:divBdr>
                    <w:top w:val="none" w:sz="0" w:space="0" w:color="auto"/>
                    <w:left w:val="none" w:sz="0" w:space="0" w:color="auto"/>
                    <w:bottom w:val="none" w:sz="0" w:space="0" w:color="auto"/>
                    <w:right w:val="none" w:sz="0" w:space="0" w:color="auto"/>
                  </w:divBdr>
                  <w:divsChild>
                    <w:div w:id="1258061016">
                      <w:marLeft w:val="0"/>
                      <w:marRight w:val="0"/>
                      <w:marTop w:val="0"/>
                      <w:marBottom w:val="0"/>
                      <w:divBdr>
                        <w:top w:val="single" w:sz="6" w:space="0" w:color="C6C6C6"/>
                        <w:left w:val="single" w:sz="6" w:space="0" w:color="C6C6C6"/>
                        <w:bottom w:val="single" w:sz="6" w:space="0" w:color="C6C6C6"/>
                        <w:right w:val="single" w:sz="6" w:space="0" w:color="C6C6C6"/>
                      </w:divBdr>
                    </w:div>
                    <w:div w:id="60184471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26433503">
              <w:marLeft w:val="0"/>
              <w:marRight w:val="0"/>
              <w:marTop w:val="0"/>
              <w:marBottom w:val="0"/>
              <w:divBdr>
                <w:top w:val="none" w:sz="0" w:space="0" w:color="auto"/>
                <w:left w:val="none" w:sz="0" w:space="0" w:color="auto"/>
                <w:bottom w:val="none" w:sz="0" w:space="0" w:color="auto"/>
                <w:right w:val="none" w:sz="0" w:space="0" w:color="auto"/>
              </w:divBdr>
            </w:div>
            <w:div w:id="286204520">
              <w:marLeft w:val="0"/>
              <w:marRight w:val="0"/>
              <w:marTop w:val="0"/>
              <w:marBottom w:val="0"/>
              <w:divBdr>
                <w:top w:val="none" w:sz="0" w:space="0" w:color="auto"/>
                <w:left w:val="none" w:sz="0" w:space="0" w:color="auto"/>
                <w:bottom w:val="none" w:sz="0" w:space="0" w:color="auto"/>
                <w:right w:val="none" w:sz="0" w:space="0" w:color="auto"/>
              </w:divBdr>
              <w:divsChild>
                <w:div w:id="1428185481">
                  <w:marLeft w:val="0"/>
                  <w:marRight w:val="0"/>
                  <w:marTop w:val="240"/>
                  <w:marBottom w:val="240"/>
                  <w:divBdr>
                    <w:top w:val="none" w:sz="0" w:space="0" w:color="auto"/>
                    <w:left w:val="none" w:sz="0" w:space="0" w:color="auto"/>
                    <w:bottom w:val="none" w:sz="0" w:space="0" w:color="auto"/>
                    <w:right w:val="none" w:sz="0" w:space="0" w:color="auto"/>
                  </w:divBdr>
                </w:div>
                <w:div w:id="2026905058">
                  <w:marLeft w:val="0"/>
                  <w:marRight w:val="0"/>
                  <w:marTop w:val="240"/>
                  <w:marBottom w:val="240"/>
                  <w:divBdr>
                    <w:top w:val="none" w:sz="0" w:space="0" w:color="auto"/>
                    <w:left w:val="none" w:sz="0" w:space="0" w:color="auto"/>
                    <w:bottom w:val="none" w:sz="0" w:space="0" w:color="auto"/>
                    <w:right w:val="none" w:sz="0" w:space="0" w:color="auto"/>
                  </w:divBdr>
                </w:div>
                <w:div w:id="2005469627">
                  <w:marLeft w:val="0"/>
                  <w:marRight w:val="0"/>
                  <w:marTop w:val="240"/>
                  <w:marBottom w:val="240"/>
                  <w:divBdr>
                    <w:top w:val="none" w:sz="0" w:space="0" w:color="auto"/>
                    <w:left w:val="none" w:sz="0" w:space="0" w:color="auto"/>
                    <w:bottom w:val="none" w:sz="0" w:space="0" w:color="auto"/>
                    <w:right w:val="none" w:sz="0" w:space="0" w:color="auto"/>
                  </w:divBdr>
                </w:div>
                <w:div w:id="1320111137">
                  <w:marLeft w:val="0"/>
                  <w:marRight w:val="0"/>
                  <w:marTop w:val="240"/>
                  <w:marBottom w:val="240"/>
                  <w:divBdr>
                    <w:top w:val="none" w:sz="0" w:space="0" w:color="auto"/>
                    <w:left w:val="none" w:sz="0" w:space="0" w:color="auto"/>
                    <w:bottom w:val="none" w:sz="0" w:space="0" w:color="auto"/>
                    <w:right w:val="none" w:sz="0" w:space="0" w:color="auto"/>
                  </w:divBdr>
                </w:div>
                <w:div w:id="474569729">
                  <w:marLeft w:val="0"/>
                  <w:marRight w:val="0"/>
                  <w:marTop w:val="240"/>
                  <w:marBottom w:val="240"/>
                  <w:divBdr>
                    <w:top w:val="none" w:sz="0" w:space="0" w:color="auto"/>
                    <w:left w:val="none" w:sz="0" w:space="0" w:color="auto"/>
                    <w:bottom w:val="none" w:sz="0" w:space="0" w:color="auto"/>
                    <w:right w:val="none" w:sz="0" w:space="0" w:color="auto"/>
                  </w:divBdr>
                </w:div>
                <w:div w:id="825240352">
                  <w:marLeft w:val="0"/>
                  <w:marRight w:val="0"/>
                  <w:marTop w:val="240"/>
                  <w:marBottom w:val="240"/>
                  <w:divBdr>
                    <w:top w:val="none" w:sz="0" w:space="0" w:color="auto"/>
                    <w:left w:val="none" w:sz="0" w:space="0" w:color="auto"/>
                    <w:bottom w:val="none" w:sz="0" w:space="0" w:color="auto"/>
                    <w:right w:val="none" w:sz="0" w:space="0" w:color="auto"/>
                  </w:divBdr>
                </w:div>
                <w:div w:id="100271024">
                  <w:marLeft w:val="0"/>
                  <w:marRight w:val="0"/>
                  <w:marTop w:val="240"/>
                  <w:marBottom w:val="240"/>
                  <w:divBdr>
                    <w:top w:val="none" w:sz="0" w:space="0" w:color="auto"/>
                    <w:left w:val="none" w:sz="0" w:space="0" w:color="auto"/>
                    <w:bottom w:val="none" w:sz="0" w:space="0" w:color="auto"/>
                    <w:right w:val="none" w:sz="0" w:space="0" w:color="auto"/>
                  </w:divBdr>
                </w:div>
                <w:div w:id="2117672258">
                  <w:marLeft w:val="0"/>
                  <w:marRight w:val="0"/>
                  <w:marTop w:val="240"/>
                  <w:marBottom w:val="240"/>
                  <w:divBdr>
                    <w:top w:val="none" w:sz="0" w:space="0" w:color="auto"/>
                    <w:left w:val="none" w:sz="0" w:space="0" w:color="auto"/>
                    <w:bottom w:val="none" w:sz="0" w:space="0" w:color="auto"/>
                    <w:right w:val="none" w:sz="0" w:space="0" w:color="auto"/>
                  </w:divBdr>
                </w:div>
                <w:div w:id="73356057">
                  <w:marLeft w:val="0"/>
                  <w:marRight w:val="0"/>
                  <w:marTop w:val="240"/>
                  <w:marBottom w:val="480"/>
                  <w:divBdr>
                    <w:top w:val="none" w:sz="0" w:space="0" w:color="auto"/>
                    <w:left w:val="none" w:sz="0" w:space="0" w:color="auto"/>
                    <w:bottom w:val="none" w:sz="0" w:space="0" w:color="auto"/>
                    <w:right w:val="none" w:sz="0" w:space="0" w:color="auto"/>
                  </w:divBdr>
                  <w:divsChild>
                    <w:div w:id="19670134">
                      <w:marLeft w:val="0"/>
                      <w:marRight w:val="0"/>
                      <w:marTop w:val="0"/>
                      <w:marBottom w:val="0"/>
                      <w:divBdr>
                        <w:top w:val="single" w:sz="6" w:space="0" w:color="C6C6C6"/>
                        <w:left w:val="single" w:sz="6" w:space="0" w:color="C6C6C6"/>
                        <w:bottom w:val="single" w:sz="6" w:space="0" w:color="C6C6C6"/>
                        <w:right w:val="single" w:sz="6" w:space="0" w:color="C6C6C6"/>
                      </w:divBdr>
                    </w:div>
                    <w:div w:id="165198261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313142164">
          <w:marLeft w:val="0"/>
          <w:marRight w:val="0"/>
          <w:marTop w:val="0"/>
          <w:marBottom w:val="450"/>
          <w:divBdr>
            <w:top w:val="none" w:sz="0" w:space="0" w:color="auto"/>
            <w:left w:val="none" w:sz="0" w:space="0" w:color="auto"/>
            <w:bottom w:val="none" w:sz="0" w:space="0" w:color="auto"/>
            <w:right w:val="none" w:sz="0" w:space="0" w:color="auto"/>
          </w:divBdr>
          <w:divsChild>
            <w:div w:id="957031775">
              <w:marLeft w:val="0"/>
              <w:marRight w:val="0"/>
              <w:marTop w:val="0"/>
              <w:marBottom w:val="375"/>
              <w:divBdr>
                <w:top w:val="none" w:sz="0" w:space="0" w:color="auto"/>
                <w:left w:val="none" w:sz="0" w:space="0" w:color="auto"/>
                <w:bottom w:val="none" w:sz="0" w:space="0" w:color="auto"/>
                <w:right w:val="none" w:sz="0" w:space="0" w:color="auto"/>
              </w:divBdr>
              <w:divsChild>
                <w:div w:id="909120818">
                  <w:marLeft w:val="0"/>
                  <w:marRight w:val="0"/>
                  <w:marTop w:val="0"/>
                  <w:marBottom w:val="0"/>
                  <w:divBdr>
                    <w:top w:val="none" w:sz="0" w:space="0" w:color="auto"/>
                    <w:left w:val="none" w:sz="0" w:space="0" w:color="auto"/>
                    <w:bottom w:val="none" w:sz="0" w:space="0" w:color="auto"/>
                    <w:right w:val="none" w:sz="0" w:space="0" w:color="auto"/>
                  </w:divBdr>
                </w:div>
              </w:divsChild>
            </w:div>
            <w:div w:id="1399016078">
              <w:marLeft w:val="0"/>
              <w:marRight w:val="0"/>
              <w:marTop w:val="0"/>
              <w:marBottom w:val="0"/>
              <w:divBdr>
                <w:top w:val="none" w:sz="0" w:space="0" w:color="auto"/>
                <w:left w:val="none" w:sz="0" w:space="0" w:color="auto"/>
                <w:bottom w:val="none" w:sz="0" w:space="0" w:color="auto"/>
                <w:right w:val="none" w:sz="0" w:space="0" w:color="auto"/>
              </w:divBdr>
            </w:div>
            <w:div w:id="1498109050">
              <w:marLeft w:val="0"/>
              <w:marRight w:val="0"/>
              <w:marTop w:val="0"/>
              <w:marBottom w:val="0"/>
              <w:divBdr>
                <w:top w:val="none" w:sz="0" w:space="0" w:color="auto"/>
                <w:left w:val="none" w:sz="0" w:space="0" w:color="auto"/>
                <w:bottom w:val="none" w:sz="0" w:space="0" w:color="auto"/>
                <w:right w:val="none" w:sz="0" w:space="0" w:color="auto"/>
              </w:divBdr>
              <w:divsChild>
                <w:div w:id="1549489871">
                  <w:marLeft w:val="0"/>
                  <w:marRight w:val="0"/>
                  <w:marTop w:val="240"/>
                  <w:marBottom w:val="480"/>
                  <w:divBdr>
                    <w:top w:val="none" w:sz="0" w:space="0" w:color="auto"/>
                    <w:left w:val="none" w:sz="0" w:space="0" w:color="auto"/>
                    <w:bottom w:val="none" w:sz="0" w:space="0" w:color="auto"/>
                    <w:right w:val="none" w:sz="0" w:space="0" w:color="auto"/>
                  </w:divBdr>
                  <w:divsChild>
                    <w:div w:id="862405104">
                      <w:marLeft w:val="0"/>
                      <w:marRight w:val="0"/>
                      <w:marTop w:val="0"/>
                      <w:marBottom w:val="0"/>
                      <w:divBdr>
                        <w:top w:val="single" w:sz="6" w:space="0" w:color="C6C6C6"/>
                        <w:left w:val="single" w:sz="6" w:space="0" w:color="C6C6C6"/>
                        <w:bottom w:val="single" w:sz="6" w:space="0" w:color="C6C6C6"/>
                        <w:right w:val="single" w:sz="6" w:space="0" w:color="C6C6C6"/>
                      </w:divBdr>
                    </w:div>
                    <w:div w:id="1065180959">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509880200">
              <w:marLeft w:val="0"/>
              <w:marRight w:val="0"/>
              <w:marTop w:val="0"/>
              <w:marBottom w:val="0"/>
              <w:divBdr>
                <w:top w:val="none" w:sz="0" w:space="0" w:color="auto"/>
                <w:left w:val="none" w:sz="0" w:space="0" w:color="auto"/>
                <w:bottom w:val="none" w:sz="0" w:space="0" w:color="auto"/>
                <w:right w:val="none" w:sz="0" w:space="0" w:color="auto"/>
              </w:divBdr>
              <w:divsChild>
                <w:div w:id="1851093281">
                  <w:marLeft w:val="0"/>
                  <w:marRight w:val="0"/>
                  <w:marTop w:val="240"/>
                  <w:marBottom w:val="480"/>
                  <w:divBdr>
                    <w:top w:val="none" w:sz="0" w:space="0" w:color="auto"/>
                    <w:left w:val="none" w:sz="0" w:space="0" w:color="auto"/>
                    <w:bottom w:val="none" w:sz="0" w:space="0" w:color="auto"/>
                    <w:right w:val="none" w:sz="0" w:space="0" w:color="auto"/>
                  </w:divBdr>
                  <w:divsChild>
                    <w:div w:id="1981229204">
                      <w:marLeft w:val="0"/>
                      <w:marRight w:val="0"/>
                      <w:marTop w:val="0"/>
                      <w:marBottom w:val="0"/>
                      <w:divBdr>
                        <w:top w:val="single" w:sz="6" w:space="0" w:color="C6C6C6"/>
                        <w:left w:val="single" w:sz="6" w:space="0" w:color="C6C6C6"/>
                        <w:bottom w:val="single" w:sz="6" w:space="0" w:color="C6C6C6"/>
                        <w:right w:val="single" w:sz="6" w:space="0" w:color="C6C6C6"/>
                      </w:divBdr>
                    </w:div>
                    <w:div w:id="108665418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483394116">
          <w:marLeft w:val="0"/>
          <w:marRight w:val="0"/>
          <w:marTop w:val="0"/>
          <w:marBottom w:val="450"/>
          <w:divBdr>
            <w:top w:val="none" w:sz="0" w:space="0" w:color="auto"/>
            <w:left w:val="none" w:sz="0" w:space="0" w:color="auto"/>
            <w:bottom w:val="none" w:sz="0" w:space="0" w:color="auto"/>
            <w:right w:val="none" w:sz="0" w:space="0" w:color="auto"/>
          </w:divBdr>
          <w:divsChild>
            <w:div w:id="1964146074">
              <w:marLeft w:val="0"/>
              <w:marRight w:val="0"/>
              <w:marTop w:val="0"/>
              <w:marBottom w:val="375"/>
              <w:divBdr>
                <w:top w:val="none" w:sz="0" w:space="0" w:color="auto"/>
                <w:left w:val="none" w:sz="0" w:space="0" w:color="auto"/>
                <w:bottom w:val="none" w:sz="0" w:space="0" w:color="auto"/>
                <w:right w:val="none" w:sz="0" w:space="0" w:color="auto"/>
              </w:divBdr>
              <w:divsChild>
                <w:div w:id="1829445881">
                  <w:marLeft w:val="0"/>
                  <w:marRight w:val="0"/>
                  <w:marTop w:val="0"/>
                  <w:marBottom w:val="0"/>
                  <w:divBdr>
                    <w:top w:val="none" w:sz="0" w:space="0" w:color="auto"/>
                    <w:left w:val="none" w:sz="0" w:space="0" w:color="auto"/>
                    <w:bottom w:val="none" w:sz="0" w:space="0" w:color="auto"/>
                    <w:right w:val="none" w:sz="0" w:space="0" w:color="auto"/>
                  </w:divBdr>
                </w:div>
              </w:divsChild>
            </w:div>
            <w:div w:id="1509323194">
              <w:marLeft w:val="0"/>
              <w:marRight w:val="0"/>
              <w:marTop w:val="240"/>
              <w:marBottom w:val="480"/>
              <w:divBdr>
                <w:top w:val="none" w:sz="0" w:space="0" w:color="auto"/>
                <w:left w:val="none" w:sz="0" w:space="0" w:color="auto"/>
                <w:bottom w:val="none" w:sz="0" w:space="0" w:color="auto"/>
                <w:right w:val="none" w:sz="0" w:space="0" w:color="auto"/>
              </w:divBdr>
              <w:divsChild>
                <w:div w:id="2070498678">
                  <w:marLeft w:val="0"/>
                  <w:marRight w:val="0"/>
                  <w:marTop w:val="0"/>
                  <w:marBottom w:val="0"/>
                  <w:divBdr>
                    <w:top w:val="single" w:sz="6" w:space="0" w:color="C6C6C6"/>
                    <w:left w:val="single" w:sz="6" w:space="0" w:color="C6C6C6"/>
                    <w:bottom w:val="single" w:sz="6" w:space="0" w:color="C6C6C6"/>
                    <w:right w:val="single" w:sz="6" w:space="0" w:color="C6C6C6"/>
                  </w:divBdr>
                </w:div>
                <w:div w:id="148073006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852992324">
      <w:bodyDiv w:val="1"/>
      <w:marLeft w:val="0"/>
      <w:marRight w:val="0"/>
      <w:marTop w:val="0"/>
      <w:marBottom w:val="0"/>
      <w:divBdr>
        <w:top w:val="none" w:sz="0" w:space="0" w:color="auto"/>
        <w:left w:val="none" w:sz="0" w:space="0" w:color="auto"/>
        <w:bottom w:val="none" w:sz="0" w:space="0" w:color="auto"/>
        <w:right w:val="none" w:sz="0" w:space="0" w:color="auto"/>
      </w:divBdr>
      <w:divsChild>
        <w:div w:id="596523335">
          <w:marLeft w:val="0"/>
          <w:marRight w:val="0"/>
          <w:marTop w:val="0"/>
          <w:marBottom w:val="0"/>
          <w:divBdr>
            <w:top w:val="none" w:sz="0" w:space="0" w:color="auto"/>
            <w:left w:val="none" w:sz="0" w:space="0" w:color="auto"/>
            <w:bottom w:val="none" w:sz="0" w:space="0" w:color="auto"/>
            <w:right w:val="none" w:sz="0" w:space="0" w:color="auto"/>
          </w:divBdr>
        </w:div>
      </w:divsChild>
    </w:div>
    <w:div w:id="1860393224">
      <w:bodyDiv w:val="1"/>
      <w:marLeft w:val="0"/>
      <w:marRight w:val="0"/>
      <w:marTop w:val="0"/>
      <w:marBottom w:val="0"/>
      <w:divBdr>
        <w:top w:val="none" w:sz="0" w:space="0" w:color="auto"/>
        <w:left w:val="none" w:sz="0" w:space="0" w:color="auto"/>
        <w:bottom w:val="none" w:sz="0" w:space="0" w:color="auto"/>
        <w:right w:val="none" w:sz="0" w:space="0" w:color="auto"/>
      </w:divBdr>
    </w:div>
    <w:div w:id="1867136106">
      <w:bodyDiv w:val="1"/>
      <w:marLeft w:val="0"/>
      <w:marRight w:val="0"/>
      <w:marTop w:val="0"/>
      <w:marBottom w:val="0"/>
      <w:divBdr>
        <w:top w:val="none" w:sz="0" w:space="0" w:color="auto"/>
        <w:left w:val="none" w:sz="0" w:space="0" w:color="auto"/>
        <w:bottom w:val="none" w:sz="0" w:space="0" w:color="auto"/>
        <w:right w:val="none" w:sz="0" w:space="0" w:color="auto"/>
      </w:divBdr>
      <w:divsChild>
        <w:div w:id="1580677743">
          <w:marLeft w:val="0"/>
          <w:marRight w:val="0"/>
          <w:marTop w:val="0"/>
          <w:marBottom w:val="0"/>
          <w:divBdr>
            <w:top w:val="none" w:sz="0" w:space="0" w:color="auto"/>
            <w:left w:val="none" w:sz="0" w:space="0" w:color="auto"/>
            <w:bottom w:val="none" w:sz="0" w:space="0" w:color="auto"/>
            <w:right w:val="none" w:sz="0" w:space="0" w:color="auto"/>
          </w:divBdr>
        </w:div>
        <w:div w:id="1173642336">
          <w:marLeft w:val="0"/>
          <w:marRight w:val="0"/>
          <w:marTop w:val="0"/>
          <w:marBottom w:val="0"/>
          <w:divBdr>
            <w:top w:val="none" w:sz="0" w:space="0" w:color="auto"/>
            <w:left w:val="none" w:sz="0" w:space="0" w:color="auto"/>
            <w:bottom w:val="none" w:sz="0" w:space="0" w:color="auto"/>
            <w:right w:val="none" w:sz="0" w:space="0" w:color="auto"/>
          </w:divBdr>
        </w:div>
        <w:div w:id="1721200363">
          <w:marLeft w:val="0"/>
          <w:marRight w:val="0"/>
          <w:marTop w:val="0"/>
          <w:marBottom w:val="0"/>
          <w:divBdr>
            <w:top w:val="none" w:sz="0" w:space="0" w:color="auto"/>
            <w:left w:val="none" w:sz="0" w:space="0" w:color="auto"/>
            <w:bottom w:val="none" w:sz="0" w:space="0" w:color="auto"/>
            <w:right w:val="none" w:sz="0" w:space="0" w:color="auto"/>
          </w:divBdr>
        </w:div>
        <w:div w:id="1422675442">
          <w:marLeft w:val="0"/>
          <w:marRight w:val="0"/>
          <w:marTop w:val="0"/>
          <w:marBottom w:val="0"/>
          <w:divBdr>
            <w:top w:val="none" w:sz="0" w:space="0" w:color="auto"/>
            <w:left w:val="none" w:sz="0" w:space="0" w:color="auto"/>
            <w:bottom w:val="none" w:sz="0" w:space="0" w:color="auto"/>
            <w:right w:val="none" w:sz="0" w:space="0" w:color="auto"/>
          </w:divBdr>
        </w:div>
        <w:div w:id="1791237905">
          <w:marLeft w:val="0"/>
          <w:marRight w:val="0"/>
          <w:marTop w:val="0"/>
          <w:marBottom w:val="0"/>
          <w:divBdr>
            <w:top w:val="none" w:sz="0" w:space="0" w:color="auto"/>
            <w:left w:val="none" w:sz="0" w:space="0" w:color="auto"/>
            <w:bottom w:val="none" w:sz="0" w:space="0" w:color="auto"/>
            <w:right w:val="none" w:sz="0" w:space="0" w:color="auto"/>
          </w:divBdr>
        </w:div>
        <w:div w:id="1432165140">
          <w:marLeft w:val="0"/>
          <w:marRight w:val="0"/>
          <w:marTop w:val="0"/>
          <w:marBottom w:val="0"/>
          <w:divBdr>
            <w:top w:val="none" w:sz="0" w:space="0" w:color="auto"/>
            <w:left w:val="none" w:sz="0" w:space="0" w:color="auto"/>
            <w:bottom w:val="none" w:sz="0" w:space="0" w:color="auto"/>
            <w:right w:val="none" w:sz="0" w:space="0" w:color="auto"/>
          </w:divBdr>
        </w:div>
        <w:div w:id="1302468148">
          <w:marLeft w:val="0"/>
          <w:marRight w:val="0"/>
          <w:marTop w:val="0"/>
          <w:marBottom w:val="0"/>
          <w:divBdr>
            <w:top w:val="none" w:sz="0" w:space="0" w:color="auto"/>
            <w:left w:val="none" w:sz="0" w:space="0" w:color="auto"/>
            <w:bottom w:val="none" w:sz="0" w:space="0" w:color="auto"/>
            <w:right w:val="none" w:sz="0" w:space="0" w:color="auto"/>
          </w:divBdr>
        </w:div>
        <w:div w:id="1724065284">
          <w:marLeft w:val="0"/>
          <w:marRight w:val="0"/>
          <w:marTop w:val="0"/>
          <w:marBottom w:val="0"/>
          <w:divBdr>
            <w:top w:val="none" w:sz="0" w:space="0" w:color="auto"/>
            <w:left w:val="none" w:sz="0" w:space="0" w:color="auto"/>
            <w:bottom w:val="none" w:sz="0" w:space="0" w:color="auto"/>
            <w:right w:val="none" w:sz="0" w:space="0" w:color="auto"/>
          </w:divBdr>
        </w:div>
        <w:div w:id="125199491">
          <w:marLeft w:val="0"/>
          <w:marRight w:val="0"/>
          <w:marTop w:val="0"/>
          <w:marBottom w:val="0"/>
          <w:divBdr>
            <w:top w:val="none" w:sz="0" w:space="0" w:color="auto"/>
            <w:left w:val="none" w:sz="0" w:space="0" w:color="auto"/>
            <w:bottom w:val="none" w:sz="0" w:space="0" w:color="auto"/>
            <w:right w:val="none" w:sz="0" w:space="0" w:color="auto"/>
          </w:divBdr>
        </w:div>
        <w:div w:id="358506419">
          <w:marLeft w:val="0"/>
          <w:marRight w:val="0"/>
          <w:marTop w:val="0"/>
          <w:marBottom w:val="0"/>
          <w:divBdr>
            <w:top w:val="none" w:sz="0" w:space="0" w:color="auto"/>
            <w:left w:val="none" w:sz="0" w:space="0" w:color="auto"/>
            <w:bottom w:val="none" w:sz="0" w:space="0" w:color="auto"/>
            <w:right w:val="none" w:sz="0" w:space="0" w:color="auto"/>
          </w:divBdr>
        </w:div>
        <w:div w:id="1904678116">
          <w:marLeft w:val="0"/>
          <w:marRight w:val="0"/>
          <w:marTop w:val="0"/>
          <w:marBottom w:val="0"/>
          <w:divBdr>
            <w:top w:val="none" w:sz="0" w:space="0" w:color="auto"/>
            <w:left w:val="none" w:sz="0" w:space="0" w:color="auto"/>
            <w:bottom w:val="none" w:sz="0" w:space="0" w:color="auto"/>
            <w:right w:val="none" w:sz="0" w:space="0" w:color="auto"/>
          </w:divBdr>
        </w:div>
      </w:divsChild>
    </w:div>
    <w:div w:id="1873489937">
      <w:bodyDiv w:val="1"/>
      <w:marLeft w:val="0"/>
      <w:marRight w:val="0"/>
      <w:marTop w:val="0"/>
      <w:marBottom w:val="0"/>
      <w:divBdr>
        <w:top w:val="none" w:sz="0" w:space="0" w:color="auto"/>
        <w:left w:val="none" w:sz="0" w:space="0" w:color="auto"/>
        <w:bottom w:val="none" w:sz="0" w:space="0" w:color="auto"/>
        <w:right w:val="none" w:sz="0" w:space="0" w:color="auto"/>
      </w:divBdr>
      <w:divsChild>
        <w:div w:id="1775129312">
          <w:marLeft w:val="0"/>
          <w:marRight w:val="0"/>
          <w:marTop w:val="0"/>
          <w:marBottom w:val="450"/>
          <w:divBdr>
            <w:top w:val="none" w:sz="0" w:space="0" w:color="auto"/>
            <w:left w:val="none" w:sz="0" w:space="0" w:color="auto"/>
            <w:bottom w:val="none" w:sz="0" w:space="0" w:color="auto"/>
            <w:right w:val="none" w:sz="0" w:space="0" w:color="auto"/>
          </w:divBdr>
          <w:divsChild>
            <w:div w:id="36902509">
              <w:marLeft w:val="0"/>
              <w:marRight w:val="0"/>
              <w:marTop w:val="0"/>
              <w:marBottom w:val="375"/>
              <w:divBdr>
                <w:top w:val="none" w:sz="0" w:space="0" w:color="auto"/>
                <w:left w:val="none" w:sz="0" w:space="0" w:color="auto"/>
                <w:bottom w:val="none" w:sz="0" w:space="0" w:color="auto"/>
                <w:right w:val="none" w:sz="0" w:space="0" w:color="auto"/>
              </w:divBdr>
              <w:divsChild>
                <w:div w:id="1483810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3334518">
          <w:marLeft w:val="0"/>
          <w:marRight w:val="0"/>
          <w:marTop w:val="0"/>
          <w:marBottom w:val="450"/>
          <w:divBdr>
            <w:top w:val="none" w:sz="0" w:space="0" w:color="auto"/>
            <w:left w:val="none" w:sz="0" w:space="0" w:color="auto"/>
            <w:bottom w:val="none" w:sz="0" w:space="0" w:color="auto"/>
            <w:right w:val="none" w:sz="0" w:space="0" w:color="auto"/>
          </w:divBdr>
          <w:divsChild>
            <w:div w:id="1987583135">
              <w:marLeft w:val="0"/>
              <w:marRight w:val="0"/>
              <w:marTop w:val="0"/>
              <w:marBottom w:val="375"/>
              <w:divBdr>
                <w:top w:val="none" w:sz="0" w:space="0" w:color="auto"/>
                <w:left w:val="none" w:sz="0" w:space="0" w:color="auto"/>
                <w:bottom w:val="none" w:sz="0" w:space="0" w:color="auto"/>
                <w:right w:val="none" w:sz="0" w:space="0" w:color="auto"/>
              </w:divBdr>
              <w:divsChild>
                <w:div w:id="2130273430">
                  <w:marLeft w:val="0"/>
                  <w:marRight w:val="0"/>
                  <w:marTop w:val="0"/>
                  <w:marBottom w:val="0"/>
                  <w:divBdr>
                    <w:top w:val="none" w:sz="0" w:space="0" w:color="auto"/>
                    <w:left w:val="none" w:sz="0" w:space="0" w:color="auto"/>
                    <w:bottom w:val="none" w:sz="0" w:space="0" w:color="auto"/>
                    <w:right w:val="none" w:sz="0" w:space="0" w:color="auto"/>
                  </w:divBdr>
                </w:div>
              </w:divsChild>
            </w:div>
            <w:div w:id="125391478">
              <w:marLeft w:val="0"/>
              <w:marRight w:val="0"/>
              <w:marTop w:val="240"/>
              <w:marBottom w:val="240"/>
              <w:divBdr>
                <w:top w:val="none" w:sz="0" w:space="0" w:color="auto"/>
                <w:left w:val="none" w:sz="0" w:space="0" w:color="auto"/>
                <w:bottom w:val="none" w:sz="0" w:space="0" w:color="auto"/>
                <w:right w:val="none" w:sz="0" w:space="0" w:color="auto"/>
              </w:divBdr>
            </w:div>
          </w:divsChild>
        </w:div>
        <w:div w:id="388111826">
          <w:marLeft w:val="0"/>
          <w:marRight w:val="0"/>
          <w:marTop w:val="0"/>
          <w:marBottom w:val="450"/>
          <w:divBdr>
            <w:top w:val="none" w:sz="0" w:space="0" w:color="auto"/>
            <w:left w:val="none" w:sz="0" w:space="0" w:color="auto"/>
            <w:bottom w:val="none" w:sz="0" w:space="0" w:color="auto"/>
            <w:right w:val="none" w:sz="0" w:space="0" w:color="auto"/>
          </w:divBdr>
          <w:divsChild>
            <w:div w:id="486019771">
              <w:marLeft w:val="0"/>
              <w:marRight w:val="0"/>
              <w:marTop w:val="0"/>
              <w:marBottom w:val="375"/>
              <w:divBdr>
                <w:top w:val="none" w:sz="0" w:space="0" w:color="auto"/>
                <w:left w:val="none" w:sz="0" w:space="0" w:color="auto"/>
                <w:bottom w:val="none" w:sz="0" w:space="0" w:color="auto"/>
                <w:right w:val="none" w:sz="0" w:space="0" w:color="auto"/>
              </w:divBdr>
              <w:divsChild>
                <w:div w:id="739526708">
                  <w:marLeft w:val="0"/>
                  <w:marRight w:val="0"/>
                  <w:marTop w:val="0"/>
                  <w:marBottom w:val="0"/>
                  <w:divBdr>
                    <w:top w:val="none" w:sz="0" w:space="0" w:color="auto"/>
                    <w:left w:val="none" w:sz="0" w:space="0" w:color="auto"/>
                    <w:bottom w:val="none" w:sz="0" w:space="0" w:color="auto"/>
                    <w:right w:val="none" w:sz="0" w:space="0" w:color="auto"/>
                  </w:divBdr>
                </w:div>
              </w:divsChild>
            </w:div>
            <w:div w:id="687564148">
              <w:marLeft w:val="0"/>
              <w:marRight w:val="0"/>
              <w:marTop w:val="240"/>
              <w:marBottom w:val="240"/>
              <w:divBdr>
                <w:top w:val="none" w:sz="0" w:space="0" w:color="auto"/>
                <w:left w:val="none" w:sz="0" w:space="0" w:color="auto"/>
                <w:bottom w:val="none" w:sz="0" w:space="0" w:color="auto"/>
                <w:right w:val="none" w:sz="0" w:space="0" w:color="auto"/>
              </w:divBdr>
            </w:div>
            <w:div w:id="693845220">
              <w:marLeft w:val="0"/>
              <w:marRight w:val="0"/>
              <w:marTop w:val="240"/>
              <w:marBottom w:val="240"/>
              <w:divBdr>
                <w:top w:val="none" w:sz="0" w:space="0" w:color="auto"/>
                <w:left w:val="none" w:sz="0" w:space="0" w:color="auto"/>
                <w:bottom w:val="none" w:sz="0" w:space="0" w:color="auto"/>
                <w:right w:val="none" w:sz="0" w:space="0" w:color="auto"/>
              </w:divBdr>
            </w:div>
            <w:div w:id="2116055553">
              <w:marLeft w:val="0"/>
              <w:marRight w:val="0"/>
              <w:marTop w:val="240"/>
              <w:marBottom w:val="240"/>
              <w:divBdr>
                <w:top w:val="none" w:sz="0" w:space="0" w:color="auto"/>
                <w:left w:val="none" w:sz="0" w:space="0" w:color="auto"/>
                <w:bottom w:val="none" w:sz="0" w:space="0" w:color="auto"/>
                <w:right w:val="none" w:sz="0" w:space="0" w:color="auto"/>
              </w:divBdr>
            </w:div>
            <w:div w:id="1867209124">
              <w:marLeft w:val="0"/>
              <w:marRight w:val="0"/>
              <w:marTop w:val="240"/>
              <w:marBottom w:val="480"/>
              <w:divBdr>
                <w:top w:val="none" w:sz="0" w:space="0" w:color="auto"/>
                <w:left w:val="none" w:sz="0" w:space="0" w:color="auto"/>
                <w:bottom w:val="none" w:sz="0" w:space="0" w:color="auto"/>
                <w:right w:val="none" w:sz="0" w:space="0" w:color="auto"/>
              </w:divBdr>
              <w:divsChild>
                <w:div w:id="1276669589">
                  <w:marLeft w:val="0"/>
                  <w:marRight w:val="0"/>
                  <w:marTop w:val="0"/>
                  <w:marBottom w:val="0"/>
                  <w:divBdr>
                    <w:top w:val="none" w:sz="0" w:space="0" w:color="auto"/>
                    <w:left w:val="none" w:sz="0" w:space="0" w:color="auto"/>
                    <w:bottom w:val="dotted" w:sz="6" w:space="6" w:color="999999"/>
                    <w:right w:val="none" w:sz="0" w:space="0" w:color="auto"/>
                  </w:divBdr>
                </w:div>
                <w:div w:id="1723211688">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 w:id="171729372">
          <w:marLeft w:val="0"/>
          <w:marRight w:val="0"/>
          <w:marTop w:val="0"/>
          <w:marBottom w:val="450"/>
          <w:divBdr>
            <w:top w:val="none" w:sz="0" w:space="0" w:color="auto"/>
            <w:left w:val="none" w:sz="0" w:space="0" w:color="auto"/>
            <w:bottom w:val="none" w:sz="0" w:space="0" w:color="auto"/>
            <w:right w:val="none" w:sz="0" w:space="0" w:color="auto"/>
          </w:divBdr>
          <w:divsChild>
            <w:div w:id="1352493965">
              <w:marLeft w:val="0"/>
              <w:marRight w:val="0"/>
              <w:marTop w:val="0"/>
              <w:marBottom w:val="375"/>
              <w:divBdr>
                <w:top w:val="none" w:sz="0" w:space="0" w:color="auto"/>
                <w:left w:val="none" w:sz="0" w:space="0" w:color="auto"/>
                <w:bottom w:val="none" w:sz="0" w:space="0" w:color="auto"/>
                <w:right w:val="none" w:sz="0" w:space="0" w:color="auto"/>
              </w:divBdr>
              <w:divsChild>
                <w:div w:id="491260097">
                  <w:marLeft w:val="0"/>
                  <w:marRight w:val="0"/>
                  <w:marTop w:val="0"/>
                  <w:marBottom w:val="0"/>
                  <w:divBdr>
                    <w:top w:val="none" w:sz="0" w:space="0" w:color="auto"/>
                    <w:left w:val="none" w:sz="0" w:space="0" w:color="auto"/>
                    <w:bottom w:val="none" w:sz="0" w:space="0" w:color="auto"/>
                    <w:right w:val="none" w:sz="0" w:space="0" w:color="auto"/>
                  </w:divBdr>
                </w:div>
              </w:divsChild>
            </w:div>
            <w:div w:id="345521620">
              <w:marLeft w:val="0"/>
              <w:marRight w:val="0"/>
              <w:marTop w:val="240"/>
              <w:marBottom w:val="480"/>
              <w:divBdr>
                <w:top w:val="none" w:sz="0" w:space="0" w:color="auto"/>
                <w:left w:val="none" w:sz="0" w:space="0" w:color="auto"/>
                <w:bottom w:val="none" w:sz="0" w:space="0" w:color="auto"/>
                <w:right w:val="none" w:sz="0" w:space="0" w:color="auto"/>
              </w:divBdr>
              <w:divsChild>
                <w:div w:id="1727559510">
                  <w:marLeft w:val="0"/>
                  <w:marRight w:val="0"/>
                  <w:marTop w:val="0"/>
                  <w:marBottom w:val="0"/>
                  <w:divBdr>
                    <w:top w:val="single" w:sz="6" w:space="0" w:color="C6C6C6"/>
                    <w:left w:val="single" w:sz="6" w:space="0" w:color="C6C6C6"/>
                    <w:bottom w:val="single" w:sz="6" w:space="0" w:color="C6C6C6"/>
                    <w:right w:val="single" w:sz="6" w:space="0" w:color="C6C6C6"/>
                  </w:divBdr>
                </w:div>
                <w:div w:id="1539391489">
                  <w:marLeft w:val="0"/>
                  <w:marRight w:val="0"/>
                  <w:marTop w:val="0"/>
                  <w:marBottom w:val="0"/>
                  <w:divBdr>
                    <w:top w:val="none" w:sz="0" w:space="0" w:color="auto"/>
                    <w:left w:val="none" w:sz="0" w:space="0" w:color="auto"/>
                    <w:bottom w:val="dotted" w:sz="6" w:space="6" w:color="999999"/>
                    <w:right w:val="none" w:sz="0" w:space="0" w:color="auto"/>
                  </w:divBdr>
                </w:div>
              </w:divsChild>
            </w:div>
            <w:div w:id="1917209232">
              <w:marLeft w:val="0"/>
              <w:marRight w:val="0"/>
              <w:marTop w:val="240"/>
              <w:marBottom w:val="480"/>
              <w:divBdr>
                <w:top w:val="none" w:sz="0" w:space="0" w:color="auto"/>
                <w:left w:val="none" w:sz="0" w:space="0" w:color="auto"/>
                <w:bottom w:val="none" w:sz="0" w:space="0" w:color="auto"/>
                <w:right w:val="none" w:sz="0" w:space="0" w:color="auto"/>
              </w:divBdr>
              <w:divsChild>
                <w:div w:id="2004121737">
                  <w:marLeft w:val="0"/>
                  <w:marRight w:val="0"/>
                  <w:marTop w:val="0"/>
                  <w:marBottom w:val="0"/>
                  <w:divBdr>
                    <w:top w:val="none" w:sz="0" w:space="0" w:color="auto"/>
                    <w:left w:val="none" w:sz="0" w:space="0" w:color="auto"/>
                    <w:bottom w:val="dotted" w:sz="6" w:space="6" w:color="999999"/>
                    <w:right w:val="none" w:sz="0" w:space="0" w:color="auto"/>
                  </w:divBdr>
                </w:div>
                <w:div w:id="916594830">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 w:id="163740301">
          <w:marLeft w:val="0"/>
          <w:marRight w:val="0"/>
          <w:marTop w:val="0"/>
          <w:marBottom w:val="450"/>
          <w:divBdr>
            <w:top w:val="none" w:sz="0" w:space="0" w:color="auto"/>
            <w:left w:val="none" w:sz="0" w:space="0" w:color="auto"/>
            <w:bottom w:val="none" w:sz="0" w:space="0" w:color="auto"/>
            <w:right w:val="none" w:sz="0" w:space="0" w:color="auto"/>
          </w:divBdr>
          <w:divsChild>
            <w:div w:id="1868564848">
              <w:marLeft w:val="0"/>
              <w:marRight w:val="0"/>
              <w:marTop w:val="0"/>
              <w:marBottom w:val="375"/>
              <w:divBdr>
                <w:top w:val="none" w:sz="0" w:space="0" w:color="auto"/>
                <w:left w:val="none" w:sz="0" w:space="0" w:color="auto"/>
                <w:bottom w:val="none" w:sz="0" w:space="0" w:color="auto"/>
                <w:right w:val="none" w:sz="0" w:space="0" w:color="auto"/>
              </w:divBdr>
              <w:divsChild>
                <w:div w:id="1212423366">
                  <w:marLeft w:val="0"/>
                  <w:marRight w:val="0"/>
                  <w:marTop w:val="0"/>
                  <w:marBottom w:val="0"/>
                  <w:divBdr>
                    <w:top w:val="none" w:sz="0" w:space="0" w:color="auto"/>
                    <w:left w:val="none" w:sz="0" w:space="0" w:color="auto"/>
                    <w:bottom w:val="none" w:sz="0" w:space="0" w:color="auto"/>
                    <w:right w:val="none" w:sz="0" w:space="0" w:color="auto"/>
                  </w:divBdr>
                </w:div>
              </w:divsChild>
            </w:div>
            <w:div w:id="1658075395">
              <w:marLeft w:val="0"/>
              <w:marRight w:val="0"/>
              <w:marTop w:val="240"/>
              <w:marBottom w:val="480"/>
              <w:divBdr>
                <w:top w:val="none" w:sz="0" w:space="0" w:color="auto"/>
                <w:left w:val="none" w:sz="0" w:space="0" w:color="auto"/>
                <w:bottom w:val="none" w:sz="0" w:space="0" w:color="auto"/>
                <w:right w:val="none" w:sz="0" w:space="0" w:color="auto"/>
              </w:divBdr>
              <w:divsChild>
                <w:div w:id="577791765">
                  <w:marLeft w:val="0"/>
                  <w:marRight w:val="0"/>
                  <w:marTop w:val="0"/>
                  <w:marBottom w:val="0"/>
                  <w:divBdr>
                    <w:top w:val="single" w:sz="6" w:space="0" w:color="C6C6C6"/>
                    <w:left w:val="single" w:sz="6" w:space="0" w:color="C6C6C6"/>
                    <w:bottom w:val="single" w:sz="6" w:space="0" w:color="C6C6C6"/>
                    <w:right w:val="single" w:sz="6" w:space="0" w:color="C6C6C6"/>
                  </w:divBdr>
                </w:div>
                <w:div w:id="1177813842">
                  <w:marLeft w:val="0"/>
                  <w:marRight w:val="0"/>
                  <w:marTop w:val="0"/>
                  <w:marBottom w:val="0"/>
                  <w:divBdr>
                    <w:top w:val="none" w:sz="0" w:space="0" w:color="auto"/>
                    <w:left w:val="none" w:sz="0" w:space="0" w:color="auto"/>
                    <w:bottom w:val="dotted" w:sz="6" w:space="6" w:color="999999"/>
                    <w:right w:val="none" w:sz="0" w:space="0" w:color="auto"/>
                  </w:divBdr>
                </w:div>
              </w:divsChild>
            </w:div>
            <w:div w:id="774985507">
              <w:marLeft w:val="0"/>
              <w:marRight w:val="0"/>
              <w:marTop w:val="0"/>
              <w:marBottom w:val="0"/>
              <w:divBdr>
                <w:top w:val="none" w:sz="0" w:space="0" w:color="auto"/>
                <w:left w:val="none" w:sz="0" w:space="0" w:color="auto"/>
                <w:bottom w:val="none" w:sz="0" w:space="0" w:color="auto"/>
                <w:right w:val="none" w:sz="0" w:space="0" w:color="auto"/>
              </w:divBdr>
            </w:div>
            <w:div w:id="1730497260">
              <w:marLeft w:val="0"/>
              <w:marRight w:val="0"/>
              <w:marTop w:val="0"/>
              <w:marBottom w:val="0"/>
              <w:divBdr>
                <w:top w:val="none" w:sz="0" w:space="0" w:color="auto"/>
                <w:left w:val="none" w:sz="0" w:space="0" w:color="auto"/>
                <w:bottom w:val="none" w:sz="0" w:space="0" w:color="auto"/>
                <w:right w:val="none" w:sz="0" w:space="0" w:color="auto"/>
              </w:divBdr>
              <w:divsChild>
                <w:div w:id="2146964917">
                  <w:marLeft w:val="0"/>
                  <w:marRight w:val="0"/>
                  <w:marTop w:val="240"/>
                  <w:marBottom w:val="480"/>
                  <w:divBdr>
                    <w:top w:val="none" w:sz="0" w:space="0" w:color="auto"/>
                    <w:left w:val="none" w:sz="0" w:space="0" w:color="auto"/>
                    <w:bottom w:val="none" w:sz="0" w:space="0" w:color="auto"/>
                    <w:right w:val="none" w:sz="0" w:space="0" w:color="auto"/>
                  </w:divBdr>
                  <w:divsChild>
                    <w:div w:id="752240964">
                      <w:marLeft w:val="0"/>
                      <w:marRight w:val="0"/>
                      <w:marTop w:val="0"/>
                      <w:marBottom w:val="0"/>
                      <w:divBdr>
                        <w:top w:val="single" w:sz="6" w:space="0" w:color="C6C6C6"/>
                        <w:left w:val="single" w:sz="6" w:space="0" w:color="C6C6C6"/>
                        <w:bottom w:val="single" w:sz="6" w:space="0" w:color="C6C6C6"/>
                        <w:right w:val="single" w:sz="6" w:space="0" w:color="C6C6C6"/>
                      </w:divBdr>
                    </w:div>
                    <w:div w:id="1399209158">
                      <w:marLeft w:val="0"/>
                      <w:marRight w:val="0"/>
                      <w:marTop w:val="0"/>
                      <w:marBottom w:val="0"/>
                      <w:divBdr>
                        <w:top w:val="none" w:sz="0" w:space="0" w:color="auto"/>
                        <w:left w:val="none" w:sz="0" w:space="0" w:color="auto"/>
                        <w:bottom w:val="dotted" w:sz="6" w:space="6" w:color="999999"/>
                        <w:right w:val="none" w:sz="0" w:space="0" w:color="auto"/>
                      </w:divBdr>
                    </w:div>
                  </w:divsChild>
                </w:div>
                <w:div w:id="1131484835">
                  <w:marLeft w:val="0"/>
                  <w:marRight w:val="0"/>
                  <w:marTop w:val="240"/>
                  <w:marBottom w:val="480"/>
                  <w:divBdr>
                    <w:top w:val="none" w:sz="0" w:space="0" w:color="auto"/>
                    <w:left w:val="none" w:sz="0" w:space="0" w:color="auto"/>
                    <w:bottom w:val="none" w:sz="0" w:space="0" w:color="auto"/>
                    <w:right w:val="none" w:sz="0" w:space="0" w:color="auto"/>
                  </w:divBdr>
                  <w:divsChild>
                    <w:div w:id="738672513">
                      <w:marLeft w:val="0"/>
                      <w:marRight w:val="0"/>
                      <w:marTop w:val="0"/>
                      <w:marBottom w:val="0"/>
                      <w:divBdr>
                        <w:top w:val="single" w:sz="6" w:space="0" w:color="C6C6C6"/>
                        <w:left w:val="single" w:sz="6" w:space="0" w:color="C6C6C6"/>
                        <w:bottom w:val="single" w:sz="6" w:space="0" w:color="C6C6C6"/>
                        <w:right w:val="single" w:sz="6" w:space="0" w:color="C6C6C6"/>
                      </w:divBdr>
                    </w:div>
                    <w:div w:id="151973047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76216463">
              <w:marLeft w:val="0"/>
              <w:marRight w:val="0"/>
              <w:marTop w:val="0"/>
              <w:marBottom w:val="0"/>
              <w:divBdr>
                <w:top w:val="none" w:sz="0" w:space="0" w:color="auto"/>
                <w:left w:val="none" w:sz="0" w:space="0" w:color="auto"/>
                <w:bottom w:val="none" w:sz="0" w:space="0" w:color="auto"/>
                <w:right w:val="none" w:sz="0" w:space="0" w:color="auto"/>
              </w:divBdr>
              <w:divsChild>
                <w:div w:id="1874616183">
                  <w:marLeft w:val="0"/>
                  <w:marRight w:val="0"/>
                  <w:marTop w:val="240"/>
                  <w:marBottom w:val="480"/>
                  <w:divBdr>
                    <w:top w:val="none" w:sz="0" w:space="0" w:color="auto"/>
                    <w:left w:val="none" w:sz="0" w:space="0" w:color="auto"/>
                    <w:bottom w:val="none" w:sz="0" w:space="0" w:color="auto"/>
                    <w:right w:val="none" w:sz="0" w:space="0" w:color="auto"/>
                  </w:divBdr>
                  <w:divsChild>
                    <w:div w:id="1464348097">
                      <w:marLeft w:val="0"/>
                      <w:marRight w:val="0"/>
                      <w:marTop w:val="0"/>
                      <w:marBottom w:val="0"/>
                      <w:divBdr>
                        <w:top w:val="none" w:sz="0" w:space="0" w:color="auto"/>
                        <w:left w:val="none" w:sz="0" w:space="0" w:color="auto"/>
                        <w:bottom w:val="dotted" w:sz="6" w:space="6" w:color="999999"/>
                        <w:right w:val="none" w:sz="0" w:space="0" w:color="auto"/>
                      </w:divBdr>
                    </w:div>
                    <w:div w:id="1944609742">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565019882">
                  <w:marLeft w:val="0"/>
                  <w:marRight w:val="0"/>
                  <w:marTop w:val="240"/>
                  <w:marBottom w:val="480"/>
                  <w:divBdr>
                    <w:top w:val="none" w:sz="0" w:space="0" w:color="auto"/>
                    <w:left w:val="none" w:sz="0" w:space="0" w:color="auto"/>
                    <w:bottom w:val="none" w:sz="0" w:space="0" w:color="auto"/>
                    <w:right w:val="none" w:sz="0" w:space="0" w:color="auto"/>
                  </w:divBdr>
                  <w:divsChild>
                    <w:div w:id="1391924681">
                      <w:marLeft w:val="0"/>
                      <w:marRight w:val="0"/>
                      <w:marTop w:val="0"/>
                      <w:marBottom w:val="0"/>
                      <w:divBdr>
                        <w:top w:val="single" w:sz="6" w:space="0" w:color="C6C6C6"/>
                        <w:left w:val="single" w:sz="6" w:space="0" w:color="C6C6C6"/>
                        <w:bottom w:val="single" w:sz="6" w:space="0" w:color="C6C6C6"/>
                        <w:right w:val="single" w:sz="6" w:space="0" w:color="C6C6C6"/>
                      </w:divBdr>
                    </w:div>
                    <w:div w:id="1451777029">
                      <w:marLeft w:val="0"/>
                      <w:marRight w:val="0"/>
                      <w:marTop w:val="0"/>
                      <w:marBottom w:val="0"/>
                      <w:divBdr>
                        <w:top w:val="none" w:sz="0" w:space="0" w:color="auto"/>
                        <w:left w:val="none" w:sz="0" w:space="0" w:color="auto"/>
                        <w:bottom w:val="dotted" w:sz="6" w:space="6" w:color="999999"/>
                        <w:right w:val="none" w:sz="0" w:space="0" w:color="auto"/>
                      </w:divBdr>
                    </w:div>
                  </w:divsChild>
                </w:div>
                <w:div w:id="1451390586">
                  <w:marLeft w:val="0"/>
                  <w:marRight w:val="0"/>
                  <w:marTop w:val="240"/>
                  <w:marBottom w:val="480"/>
                  <w:divBdr>
                    <w:top w:val="none" w:sz="0" w:space="0" w:color="auto"/>
                    <w:left w:val="none" w:sz="0" w:space="0" w:color="auto"/>
                    <w:bottom w:val="none" w:sz="0" w:space="0" w:color="auto"/>
                    <w:right w:val="none" w:sz="0" w:space="0" w:color="auto"/>
                  </w:divBdr>
                  <w:divsChild>
                    <w:div w:id="1339694367">
                      <w:marLeft w:val="0"/>
                      <w:marRight w:val="0"/>
                      <w:marTop w:val="0"/>
                      <w:marBottom w:val="0"/>
                      <w:divBdr>
                        <w:top w:val="single" w:sz="6" w:space="0" w:color="C6C6C6"/>
                        <w:left w:val="single" w:sz="6" w:space="0" w:color="C6C6C6"/>
                        <w:bottom w:val="single" w:sz="6" w:space="0" w:color="C6C6C6"/>
                        <w:right w:val="single" w:sz="6" w:space="0" w:color="C6C6C6"/>
                      </w:divBdr>
                    </w:div>
                    <w:div w:id="91347200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810828040">
          <w:marLeft w:val="0"/>
          <w:marRight w:val="0"/>
          <w:marTop w:val="0"/>
          <w:marBottom w:val="450"/>
          <w:divBdr>
            <w:top w:val="none" w:sz="0" w:space="0" w:color="auto"/>
            <w:left w:val="none" w:sz="0" w:space="0" w:color="auto"/>
            <w:bottom w:val="none" w:sz="0" w:space="0" w:color="auto"/>
            <w:right w:val="none" w:sz="0" w:space="0" w:color="auto"/>
          </w:divBdr>
          <w:divsChild>
            <w:div w:id="2103184559">
              <w:marLeft w:val="0"/>
              <w:marRight w:val="0"/>
              <w:marTop w:val="0"/>
              <w:marBottom w:val="375"/>
              <w:divBdr>
                <w:top w:val="none" w:sz="0" w:space="0" w:color="auto"/>
                <w:left w:val="none" w:sz="0" w:space="0" w:color="auto"/>
                <w:bottom w:val="none" w:sz="0" w:space="0" w:color="auto"/>
                <w:right w:val="none" w:sz="0" w:space="0" w:color="auto"/>
              </w:divBdr>
              <w:divsChild>
                <w:div w:id="656036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6790588">
      <w:bodyDiv w:val="1"/>
      <w:marLeft w:val="0"/>
      <w:marRight w:val="0"/>
      <w:marTop w:val="0"/>
      <w:marBottom w:val="0"/>
      <w:divBdr>
        <w:top w:val="none" w:sz="0" w:space="0" w:color="auto"/>
        <w:left w:val="none" w:sz="0" w:space="0" w:color="auto"/>
        <w:bottom w:val="none" w:sz="0" w:space="0" w:color="auto"/>
        <w:right w:val="none" w:sz="0" w:space="0" w:color="auto"/>
      </w:divBdr>
      <w:divsChild>
        <w:div w:id="540020983">
          <w:marLeft w:val="0"/>
          <w:marRight w:val="0"/>
          <w:marTop w:val="0"/>
          <w:marBottom w:val="0"/>
          <w:divBdr>
            <w:top w:val="none" w:sz="0" w:space="0" w:color="auto"/>
            <w:left w:val="none" w:sz="0" w:space="0" w:color="auto"/>
            <w:bottom w:val="none" w:sz="0" w:space="0" w:color="auto"/>
            <w:right w:val="none" w:sz="0" w:space="0" w:color="auto"/>
          </w:divBdr>
          <w:divsChild>
            <w:div w:id="1091046231">
              <w:marLeft w:val="0"/>
              <w:marRight w:val="0"/>
              <w:marTop w:val="0"/>
              <w:marBottom w:val="0"/>
              <w:divBdr>
                <w:top w:val="none" w:sz="0" w:space="0" w:color="auto"/>
                <w:left w:val="none" w:sz="0" w:space="0" w:color="auto"/>
                <w:bottom w:val="none" w:sz="0" w:space="0" w:color="auto"/>
                <w:right w:val="none" w:sz="0" w:space="0" w:color="auto"/>
              </w:divBdr>
            </w:div>
            <w:div w:id="2033604105">
              <w:marLeft w:val="0"/>
              <w:marRight w:val="0"/>
              <w:marTop w:val="0"/>
              <w:marBottom w:val="240"/>
              <w:divBdr>
                <w:top w:val="none" w:sz="0" w:space="0" w:color="auto"/>
                <w:left w:val="none" w:sz="0" w:space="0" w:color="auto"/>
                <w:bottom w:val="none" w:sz="0" w:space="0" w:color="auto"/>
                <w:right w:val="none" w:sz="0" w:space="0" w:color="auto"/>
              </w:divBdr>
            </w:div>
            <w:div w:id="1891724304">
              <w:marLeft w:val="0"/>
              <w:marRight w:val="0"/>
              <w:marTop w:val="120"/>
              <w:marBottom w:val="0"/>
              <w:divBdr>
                <w:top w:val="none" w:sz="0" w:space="0" w:color="auto"/>
                <w:left w:val="none" w:sz="0" w:space="0" w:color="auto"/>
                <w:bottom w:val="none" w:sz="0" w:space="0" w:color="auto"/>
                <w:right w:val="none" w:sz="0" w:space="0" w:color="auto"/>
              </w:divBdr>
              <w:divsChild>
                <w:div w:id="1443067331">
                  <w:marLeft w:val="0"/>
                  <w:marRight w:val="0"/>
                  <w:marTop w:val="0"/>
                  <w:marBottom w:val="120"/>
                  <w:divBdr>
                    <w:top w:val="none" w:sz="0" w:space="0" w:color="auto"/>
                    <w:left w:val="none" w:sz="0" w:space="0" w:color="auto"/>
                    <w:bottom w:val="none" w:sz="0" w:space="0" w:color="auto"/>
                    <w:right w:val="none" w:sz="0" w:space="0" w:color="auto"/>
                  </w:divBdr>
                  <w:divsChild>
                    <w:div w:id="1616399762">
                      <w:marLeft w:val="0"/>
                      <w:marRight w:val="0"/>
                      <w:marTop w:val="0"/>
                      <w:marBottom w:val="0"/>
                      <w:divBdr>
                        <w:top w:val="none" w:sz="0" w:space="0" w:color="auto"/>
                        <w:left w:val="none" w:sz="0" w:space="0" w:color="auto"/>
                        <w:bottom w:val="none" w:sz="0" w:space="0" w:color="auto"/>
                        <w:right w:val="none" w:sz="0" w:space="0" w:color="auto"/>
                      </w:divBdr>
                    </w:div>
                    <w:div w:id="1900243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7735548">
              <w:marLeft w:val="0"/>
              <w:marRight w:val="0"/>
              <w:marTop w:val="0"/>
              <w:marBottom w:val="0"/>
              <w:divBdr>
                <w:top w:val="none" w:sz="0" w:space="0" w:color="auto"/>
                <w:left w:val="none" w:sz="0" w:space="0" w:color="auto"/>
                <w:bottom w:val="none" w:sz="0" w:space="0" w:color="auto"/>
                <w:right w:val="none" w:sz="0" w:space="0" w:color="auto"/>
              </w:divBdr>
            </w:div>
          </w:divsChild>
        </w:div>
        <w:div w:id="325717954">
          <w:marLeft w:val="0"/>
          <w:marRight w:val="0"/>
          <w:marTop w:val="0"/>
          <w:marBottom w:val="0"/>
          <w:divBdr>
            <w:top w:val="none" w:sz="0" w:space="0" w:color="auto"/>
            <w:left w:val="none" w:sz="0" w:space="0" w:color="auto"/>
            <w:bottom w:val="none" w:sz="0" w:space="0" w:color="auto"/>
            <w:right w:val="none" w:sz="0" w:space="0" w:color="auto"/>
          </w:divBdr>
        </w:div>
        <w:div w:id="1719430883">
          <w:marLeft w:val="0"/>
          <w:marRight w:val="0"/>
          <w:marTop w:val="0"/>
          <w:marBottom w:val="0"/>
          <w:divBdr>
            <w:top w:val="none" w:sz="0" w:space="0" w:color="auto"/>
            <w:left w:val="none" w:sz="0" w:space="0" w:color="auto"/>
            <w:bottom w:val="none" w:sz="0" w:space="0" w:color="auto"/>
            <w:right w:val="none" w:sz="0" w:space="0" w:color="auto"/>
          </w:divBdr>
          <w:divsChild>
            <w:div w:id="1719552685">
              <w:marLeft w:val="0"/>
              <w:marRight w:val="0"/>
              <w:marTop w:val="0"/>
              <w:marBottom w:val="0"/>
              <w:divBdr>
                <w:top w:val="none" w:sz="0" w:space="0" w:color="auto"/>
                <w:left w:val="none" w:sz="0" w:space="0" w:color="auto"/>
                <w:bottom w:val="none" w:sz="0" w:space="0" w:color="auto"/>
                <w:right w:val="none" w:sz="0" w:space="0" w:color="auto"/>
              </w:divBdr>
              <w:divsChild>
                <w:div w:id="619994111">
                  <w:marLeft w:val="0"/>
                  <w:marRight w:val="0"/>
                  <w:marTop w:val="0"/>
                  <w:marBottom w:val="0"/>
                  <w:divBdr>
                    <w:top w:val="none" w:sz="0" w:space="0" w:color="auto"/>
                    <w:left w:val="none" w:sz="0" w:space="0" w:color="auto"/>
                    <w:bottom w:val="none" w:sz="0" w:space="0" w:color="auto"/>
                    <w:right w:val="none" w:sz="0" w:space="0" w:color="auto"/>
                  </w:divBdr>
                  <w:divsChild>
                    <w:div w:id="194006746">
                      <w:marLeft w:val="0"/>
                      <w:marRight w:val="0"/>
                      <w:marTop w:val="0"/>
                      <w:marBottom w:val="0"/>
                      <w:divBdr>
                        <w:top w:val="none" w:sz="0" w:space="0" w:color="auto"/>
                        <w:left w:val="none" w:sz="0" w:space="0" w:color="auto"/>
                        <w:bottom w:val="none" w:sz="0" w:space="0" w:color="auto"/>
                        <w:right w:val="none" w:sz="0" w:space="0" w:color="auto"/>
                      </w:divBdr>
                      <w:divsChild>
                        <w:div w:id="2041323466">
                          <w:marLeft w:val="0"/>
                          <w:marRight w:val="0"/>
                          <w:marTop w:val="0"/>
                          <w:marBottom w:val="0"/>
                          <w:divBdr>
                            <w:top w:val="none" w:sz="0" w:space="0" w:color="auto"/>
                            <w:left w:val="none" w:sz="0" w:space="0" w:color="auto"/>
                            <w:bottom w:val="none" w:sz="0" w:space="0" w:color="auto"/>
                            <w:right w:val="none" w:sz="0" w:space="0" w:color="auto"/>
                          </w:divBdr>
                          <w:divsChild>
                            <w:div w:id="1700425350">
                              <w:marLeft w:val="0"/>
                              <w:marRight w:val="0"/>
                              <w:marTop w:val="0"/>
                              <w:marBottom w:val="0"/>
                              <w:divBdr>
                                <w:top w:val="none" w:sz="0" w:space="0" w:color="auto"/>
                                <w:left w:val="none" w:sz="0" w:space="0" w:color="auto"/>
                                <w:bottom w:val="none" w:sz="0" w:space="0" w:color="auto"/>
                                <w:right w:val="none" w:sz="0" w:space="0" w:color="auto"/>
                              </w:divBdr>
                              <w:divsChild>
                                <w:div w:id="1534609676">
                                  <w:marLeft w:val="0"/>
                                  <w:marRight w:val="0"/>
                                  <w:marTop w:val="0"/>
                                  <w:marBottom w:val="0"/>
                                  <w:divBdr>
                                    <w:top w:val="none" w:sz="0" w:space="0" w:color="auto"/>
                                    <w:left w:val="none" w:sz="0" w:space="0" w:color="auto"/>
                                    <w:bottom w:val="none" w:sz="0" w:space="0" w:color="auto"/>
                                    <w:right w:val="none" w:sz="0" w:space="0" w:color="auto"/>
                                  </w:divBdr>
                                  <w:divsChild>
                                    <w:div w:id="408039923">
                                      <w:marLeft w:val="0"/>
                                      <w:marRight w:val="0"/>
                                      <w:marTop w:val="0"/>
                                      <w:marBottom w:val="0"/>
                                      <w:divBdr>
                                        <w:top w:val="none" w:sz="0" w:space="0" w:color="auto"/>
                                        <w:left w:val="none" w:sz="0" w:space="0" w:color="auto"/>
                                        <w:bottom w:val="none" w:sz="0" w:space="0" w:color="auto"/>
                                        <w:right w:val="none" w:sz="0" w:space="0" w:color="auto"/>
                                      </w:divBdr>
                                      <w:divsChild>
                                        <w:div w:id="1693458368">
                                          <w:marLeft w:val="0"/>
                                          <w:marRight w:val="0"/>
                                          <w:marTop w:val="0"/>
                                          <w:marBottom w:val="0"/>
                                          <w:divBdr>
                                            <w:top w:val="none" w:sz="0" w:space="0" w:color="auto"/>
                                            <w:left w:val="none" w:sz="0" w:space="0" w:color="auto"/>
                                            <w:bottom w:val="none" w:sz="0" w:space="0" w:color="auto"/>
                                            <w:right w:val="none" w:sz="0" w:space="0" w:color="auto"/>
                                          </w:divBdr>
                                          <w:divsChild>
                                            <w:div w:id="360016192">
                                              <w:marLeft w:val="0"/>
                                              <w:marRight w:val="0"/>
                                              <w:marTop w:val="0"/>
                                              <w:marBottom w:val="0"/>
                                              <w:divBdr>
                                                <w:top w:val="none" w:sz="0" w:space="0" w:color="auto"/>
                                                <w:left w:val="none" w:sz="0" w:space="0" w:color="auto"/>
                                                <w:bottom w:val="none" w:sz="0" w:space="0" w:color="auto"/>
                                                <w:right w:val="none" w:sz="0" w:space="0" w:color="auto"/>
                                              </w:divBdr>
                                              <w:divsChild>
                                                <w:div w:id="90855958">
                                                  <w:marLeft w:val="0"/>
                                                  <w:marRight w:val="0"/>
                                                  <w:marTop w:val="0"/>
                                                  <w:marBottom w:val="0"/>
                                                  <w:divBdr>
                                                    <w:top w:val="none" w:sz="0" w:space="0" w:color="auto"/>
                                                    <w:left w:val="none" w:sz="0" w:space="0" w:color="auto"/>
                                                    <w:bottom w:val="none" w:sz="0" w:space="0" w:color="auto"/>
                                                    <w:right w:val="none" w:sz="0" w:space="0" w:color="auto"/>
                                                  </w:divBdr>
                                                </w:div>
                                                <w:div w:id="486214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31780006">
                              <w:marLeft w:val="0"/>
                              <w:marRight w:val="0"/>
                              <w:marTop w:val="0"/>
                              <w:marBottom w:val="0"/>
                              <w:divBdr>
                                <w:top w:val="none" w:sz="0" w:space="0" w:color="auto"/>
                                <w:left w:val="none" w:sz="0" w:space="0" w:color="auto"/>
                                <w:bottom w:val="none" w:sz="0" w:space="0" w:color="auto"/>
                                <w:right w:val="none" w:sz="0" w:space="0" w:color="auto"/>
                              </w:divBdr>
                              <w:divsChild>
                                <w:div w:id="953973833">
                                  <w:marLeft w:val="0"/>
                                  <w:marRight w:val="0"/>
                                  <w:marTop w:val="0"/>
                                  <w:marBottom w:val="0"/>
                                  <w:divBdr>
                                    <w:top w:val="none" w:sz="0" w:space="0" w:color="auto"/>
                                    <w:left w:val="none" w:sz="0" w:space="0" w:color="auto"/>
                                    <w:bottom w:val="none" w:sz="0" w:space="0" w:color="auto"/>
                                    <w:right w:val="none" w:sz="0" w:space="0" w:color="auto"/>
                                  </w:divBdr>
                                  <w:divsChild>
                                    <w:div w:id="1746342781">
                                      <w:marLeft w:val="0"/>
                                      <w:marRight w:val="0"/>
                                      <w:marTop w:val="0"/>
                                      <w:marBottom w:val="0"/>
                                      <w:divBdr>
                                        <w:top w:val="none" w:sz="0" w:space="0" w:color="auto"/>
                                        <w:left w:val="none" w:sz="0" w:space="0" w:color="auto"/>
                                        <w:bottom w:val="none" w:sz="0" w:space="0" w:color="auto"/>
                                        <w:right w:val="none" w:sz="0" w:space="0" w:color="auto"/>
                                      </w:divBdr>
                                      <w:divsChild>
                                        <w:div w:id="132452879">
                                          <w:marLeft w:val="0"/>
                                          <w:marRight w:val="0"/>
                                          <w:marTop w:val="0"/>
                                          <w:marBottom w:val="0"/>
                                          <w:divBdr>
                                            <w:top w:val="none" w:sz="0" w:space="0" w:color="auto"/>
                                            <w:left w:val="none" w:sz="0" w:space="0" w:color="auto"/>
                                            <w:bottom w:val="none" w:sz="0" w:space="0" w:color="auto"/>
                                            <w:right w:val="none" w:sz="0" w:space="0" w:color="auto"/>
                                          </w:divBdr>
                                          <w:divsChild>
                                            <w:div w:id="1148090640">
                                              <w:marLeft w:val="0"/>
                                              <w:marRight w:val="0"/>
                                              <w:marTop w:val="0"/>
                                              <w:marBottom w:val="0"/>
                                              <w:divBdr>
                                                <w:top w:val="none" w:sz="0" w:space="0" w:color="auto"/>
                                                <w:left w:val="none" w:sz="0" w:space="0" w:color="auto"/>
                                                <w:bottom w:val="none" w:sz="0" w:space="0" w:color="auto"/>
                                                <w:right w:val="none" w:sz="0" w:space="0" w:color="auto"/>
                                              </w:divBdr>
                                              <w:divsChild>
                                                <w:div w:id="1053122321">
                                                  <w:marLeft w:val="0"/>
                                                  <w:marRight w:val="0"/>
                                                  <w:marTop w:val="0"/>
                                                  <w:marBottom w:val="0"/>
                                                  <w:divBdr>
                                                    <w:top w:val="none" w:sz="0" w:space="0" w:color="auto"/>
                                                    <w:left w:val="none" w:sz="0" w:space="0" w:color="auto"/>
                                                    <w:bottom w:val="none" w:sz="0" w:space="0" w:color="auto"/>
                                                    <w:right w:val="none" w:sz="0" w:space="0" w:color="auto"/>
                                                  </w:divBdr>
                                                  <w:divsChild>
                                                    <w:div w:id="716584915">
                                                      <w:marLeft w:val="0"/>
                                                      <w:marRight w:val="0"/>
                                                      <w:marTop w:val="0"/>
                                                      <w:marBottom w:val="0"/>
                                                      <w:divBdr>
                                                        <w:top w:val="none" w:sz="0" w:space="0" w:color="auto"/>
                                                        <w:left w:val="none" w:sz="0" w:space="0" w:color="auto"/>
                                                        <w:bottom w:val="none" w:sz="0" w:space="0" w:color="auto"/>
                                                        <w:right w:val="none" w:sz="0" w:space="0" w:color="auto"/>
                                                      </w:divBdr>
                                                      <w:divsChild>
                                                        <w:div w:id="340664046">
                                                          <w:marLeft w:val="0"/>
                                                          <w:marRight w:val="0"/>
                                                          <w:marTop w:val="0"/>
                                                          <w:marBottom w:val="0"/>
                                                          <w:divBdr>
                                                            <w:top w:val="none" w:sz="0" w:space="0" w:color="auto"/>
                                                            <w:left w:val="none" w:sz="0" w:space="0" w:color="auto"/>
                                                            <w:bottom w:val="none" w:sz="0" w:space="0" w:color="auto"/>
                                                            <w:right w:val="none" w:sz="0" w:space="0" w:color="auto"/>
                                                          </w:divBdr>
                                                          <w:divsChild>
                                                            <w:div w:id="642854307">
                                                              <w:marLeft w:val="0"/>
                                                              <w:marRight w:val="0"/>
                                                              <w:marTop w:val="0"/>
                                                              <w:marBottom w:val="0"/>
                                                              <w:divBdr>
                                                                <w:top w:val="single" w:sz="2" w:space="0" w:color="E3E3E3"/>
                                                                <w:left w:val="single" w:sz="2" w:space="0" w:color="E3E3E3"/>
                                                                <w:bottom w:val="single" w:sz="2" w:space="0" w:color="E3E3E3"/>
                                                                <w:right w:val="single" w:sz="2" w:space="0" w:color="E3E3E3"/>
                                                              </w:divBdr>
                                                              <w:divsChild>
                                                                <w:div w:id="271013118">
                                                                  <w:marLeft w:val="0"/>
                                                                  <w:marRight w:val="0"/>
                                                                  <w:marTop w:val="0"/>
                                                                  <w:marBottom w:val="0"/>
                                                                  <w:divBdr>
                                                                    <w:top w:val="none" w:sz="0" w:space="0" w:color="auto"/>
                                                                    <w:left w:val="none" w:sz="0" w:space="0" w:color="auto"/>
                                                                    <w:bottom w:val="none" w:sz="0" w:space="0" w:color="auto"/>
                                                                    <w:right w:val="none" w:sz="0" w:space="0" w:color="auto"/>
                                                                  </w:divBdr>
                                                                  <w:divsChild>
                                                                    <w:div w:id="1943148759">
                                                                      <w:marLeft w:val="0"/>
                                                                      <w:marRight w:val="0"/>
                                                                      <w:marTop w:val="0"/>
                                                                      <w:marBottom w:val="0"/>
                                                                      <w:divBdr>
                                                                        <w:top w:val="none" w:sz="0" w:space="0" w:color="auto"/>
                                                                        <w:left w:val="none" w:sz="0" w:space="0" w:color="auto"/>
                                                                        <w:bottom w:val="none" w:sz="0" w:space="0" w:color="auto"/>
                                                                        <w:right w:val="none" w:sz="0" w:space="0" w:color="auto"/>
                                                                      </w:divBdr>
                                                                      <w:divsChild>
                                                                        <w:div w:id="1328706314">
                                                                          <w:marLeft w:val="0"/>
                                                                          <w:marRight w:val="0"/>
                                                                          <w:marTop w:val="0"/>
                                                                          <w:marBottom w:val="0"/>
                                                                          <w:divBdr>
                                                                            <w:top w:val="none" w:sz="0" w:space="0" w:color="auto"/>
                                                                            <w:left w:val="none" w:sz="0" w:space="0" w:color="auto"/>
                                                                            <w:bottom w:val="none" w:sz="0" w:space="0" w:color="auto"/>
                                                                            <w:right w:val="none" w:sz="0" w:space="0" w:color="auto"/>
                                                                          </w:divBdr>
                                                                          <w:divsChild>
                                                                            <w:div w:id="899750311">
                                                                              <w:marLeft w:val="0"/>
                                                                              <w:marRight w:val="0"/>
                                                                              <w:marTop w:val="0"/>
                                                                              <w:marBottom w:val="0"/>
                                                                              <w:divBdr>
                                                                                <w:top w:val="none" w:sz="0" w:space="0" w:color="auto"/>
                                                                                <w:left w:val="none" w:sz="0" w:space="0" w:color="auto"/>
                                                                                <w:bottom w:val="none" w:sz="0" w:space="0" w:color="auto"/>
                                                                                <w:right w:val="none" w:sz="0" w:space="0" w:color="auto"/>
                                                                              </w:divBdr>
                                                                              <w:divsChild>
                                                                                <w:div w:id="269513330">
                                                                                  <w:marLeft w:val="0"/>
                                                                                  <w:marRight w:val="0"/>
                                                                                  <w:marTop w:val="0"/>
                                                                                  <w:marBottom w:val="0"/>
                                                                                  <w:divBdr>
                                                                                    <w:top w:val="none" w:sz="0" w:space="0" w:color="auto"/>
                                                                                    <w:left w:val="none" w:sz="0" w:space="0" w:color="auto"/>
                                                                                    <w:bottom w:val="none" w:sz="0" w:space="0" w:color="auto"/>
                                                                                    <w:right w:val="none" w:sz="0" w:space="0" w:color="auto"/>
                                                                                  </w:divBdr>
                                                                                  <w:divsChild>
                                                                                    <w:div w:id="737093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8909716">
                                                                              <w:marLeft w:val="0"/>
                                                                              <w:marRight w:val="0"/>
                                                                              <w:marTop w:val="0"/>
                                                                              <w:marBottom w:val="0"/>
                                                                              <w:divBdr>
                                                                                <w:top w:val="none" w:sz="0" w:space="0" w:color="auto"/>
                                                                                <w:left w:val="none" w:sz="0" w:space="0" w:color="auto"/>
                                                                                <w:bottom w:val="none" w:sz="0" w:space="0" w:color="auto"/>
                                                                                <w:right w:val="none" w:sz="0" w:space="0" w:color="auto"/>
                                                                              </w:divBdr>
                                                                              <w:divsChild>
                                                                                <w:div w:id="475072408">
                                                                                  <w:marLeft w:val="0"/>
                                                                                  <w:marRight w:val="0"/>
                                                                                  <w:marTop w:val="0"/>
                                                                                  <w:marBottom w:val="0"/>
                                                                                  <w:divBdr>
                                                                                    <w:top w:val="none" w:sz="0" w:space="0" w:color="auto"/>
                                                                                    <w:left w:val="none" w:sz="0" w:space="0" w:color="auto"/>
                                                                                    <w:bottom w:val="none" w:sz="0" w:space="0" w:color="auto"/>
                                                                                    <w:right w:val="none" w:sz="0" w:space="0" w:color="auto"/>
                                                                                  </w:divBdr>
                                                                                  <w:divsChild>
                                                                                    <w:div w:id="986592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20820579">
                                                              <w:marLeft w:val="0"/>
                                                              <w:marRight w:val="0"/>
                                                              <w:marTop w:val="0"/>
                                                              <w:marBottom w:val="0"/>
                                                              <w:divBdr>
                                                                <w:top w:val="single" w:sz="2" w:space="0" w:color="E3E3E3"/>
                                                                <w:left w:val="single" w:sz="2" w:space="0" w:color="E3E3E3"/>
                                                                <w:bottom w:val="single" w:sz="2" w:space="0" w:color="E3E3E3"/>
                                                                <w:right w:val="single" w:sz="2" w:space="0" w:color="E3E3E3"/>
                                                              </w:divBdr>
                                                              <w:divsChild>
                                                                <w:div w:id="134639836">
                                                                  <w:marLeft w:val="0"/>
                                                                  <w:marRight w:val="0"/>
                                                                  <w:marTop w:val="0"/>
                                                                  <w:marBottom w:val="0"/>
                                                                  <w:divBdr>
                                                                    <w:top w:val="none" w:sz="0" w:space="0" w:color="auto"/>
                                                                    <w:left w:val="none" w:sz="0" w:space="0" w:color="auto"/>
                                                                    <w:bottom w:val="none" w:sz="0" w:space="0" w:color="auto"/>
                                                                    <w:right w:val="none" w:sz="0" w:space="0" w:color="auto"/>
                                                                  </w:divBdr>
                                                                  <w:divsChild>
                                                                    <w:div w:id="308291860">
                                                                      <w:marLeft w:val="0"/>
                                                                      <w:marRight w:val="0"/>
                                                                      <w:marTop w:val="0"/>
                                                                      <w:marBottom w:val="0"/>
                                                                      <w:divBdr>
                                                                        <w:top w:val="none" w:sz="0" w:space="0" w:color="auto"/>
                                                                        <w:left w:val="none" w:sz="0" w:space="0" w:color="auto"/>
                                                                        <w:bottom w:val="none" w:sz="0" w:space="0" w:color="auto"/>
                                                                        <w:right w:val="none" w:sz="0" w:space="0" w:color="auto"/>
                                                                      </w:divBdr>
                                                                      <w:divsChild>
                                                                        <w:div w:id="903446144">
                                                                          <w:marLeft w:val="0"/>
                                                                          <w:marRight w:val="0"/>
                                                                          <w:marTop w:val="0"/>
                                                                          <w:marBottom w:val="0"/>
                                                                          <w:divBdr>
                                                                            <w:top w:val="none" w:sz="0" w:space="0" w:color="auto"/>
                                                                            <w:left w:val="none" w:sz="0" w:space="0" w:color="auto"/>
                                                                            <w:bottom w:val="none" w:sz="0" w:space="0" w:color="auto"/>
                                                                            <w:right w:val="none" w:sz="0" w:space="0" w:color="auto"/>
                                                                          </w:divBdr>
                                                                          <w:divsChild>
                                                                            <w:div w:id="1890989920">
                                                                              <w:marLeft w:val="0"/>
                                                                              <w:marRight w:val="0"/>
                                                                              <w:marTop w:val="0"/>
                                                                              <w:marBottom w:val="0"/>
                                                                              <w:divBdr>
                                                                                <w:top w:val="none" w:sz="0" w:space="0" w:color="auto"/>
                                                                                <w:left w:val="none" w:sz="0" w:space="0" w:color="auto"/>
                                                                                <w:bottom w:val="none" w:sz="0" w:space="0" w:color="auto"/>
                                                                                <w:right w:val="none" w:sz="0" w:space="0" w:color="auto"/>
                                                                              </w:divBdr>
                                                                              <w:divsChild>
                                                                                <w:div w:id="1202011673">
                                                                                  <w:marLeft w:val="0"/>
                                                                                  <w:marRight w:val="0"/>
                                                                                  <w:marTop w:val="0"/>
                                                                                  <w:marBottom w:val="0"/>
                                                                                  <w:divBdr>
                                                                                    <w:top w:val="none" w:sz="0" w:space="0" w:color="auto"/>
                                                                                    <w:left w:val="none" w:sz="0" w:space="0" w:color="auto"/>
                                                                                    <w:bottom w:val="none" w:sz="0" w:space="0" w:color="auto"/>
                                                                                    <w:right w:val="none" w:sz="0" w:space="0" w:color="auto"/>
                                                                                  </w:divBdr>
                                                                                  <w:divsChild>
                                                                                    <w:div w:id="1320427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9333744">
                                                                              <w:marLeft w:val="0"/>
                                                                              <w:marRight w:val="0"/>
                                                                              <w:marTop w:val="0"/>
                                                                              <w:marBottom w:val="0"/>
                                                                              <w:divBdr>
                                                                                <w:top w:val="none" w:sz="0" w:space="0" w:color="auto"/>
                                                                                <w:left w:val="none" w:sz="0" w:space="0" w:color="auto"/>
                                                                                <w:bottom w:val="none" w:sz="0" w:space="0" w:color="auto"/>
                                                                                <w:right w:val="none" w:sz="0" w:space="0" w:color="auto"/>
                                                                              </w:divBdr>
                                                                              <w:divsChild>
                                                                                <w:div w:id="1325009106">
                                                                                  <w:marLeft w:val="0"/>
                                                                                  <w:marRight w:val="0"/>
                                                                                  <w:marTop w:val="0"/>
                                                                                  <w:marBottom w:val="0"/>
                                                                                  <w:divBdr>
                                                                                    <w:top w:val="none" w:sz="0" w:space="0" w:color="auto"/>
                                                                                    <w:left w:val="none" w:sz="0" w:space="0" w:color="auto"/>
                                                                                    <w:bottom w:val="none" w:sz="0" w:space="0" w:color="auto"/>
                                                                                    <w:right w:val="none" w:sz="0" w:space="0" w:color="auto"/>
                                                                                  </w:divBdr>
                                                                                  <w:divsChild>
                                                                                    <w:div w:id="54934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88650458">
                                                              <w:marLeft w:val="0"/>
                                                              <w:marRight w:val="0"/>
                                                              <w:marTop w:val="0"/>
                                                              <w:marBottom w:val="0"/>
                                                              <w:divBdr>
                                                                <w:top w:val="none" w:sz="0" w:space="0" w:color="auto"/>
                                                                <w:left w:val="none" w:sz="0" w:space="0" w:color="auto"/>
                                                                <w:bottom w:val="none" w:sz="0" w:space="0" w:color="auto"/>
                                                                <w:right w:val="none" w:sz="0" w:space="0" w:color="auto"/>
                                                              </w:divBdr>
                                                              <w:divsChild>
                                                                <w:div w:id="1720670605">
                                                                  <w:marLeft w:val="0"/>
                                                                  <w:marRight w:val="0"/>
                                                                  <w:marTop w:val="0"/>
                                                                  <w:marBottom w:val="0"/>
                                                                  <w:divBdr>
                                                                    <w:top w:val="none" w:sz="0" w:space="0" w:color="auto"/>
                                                                    <w:left w:val="none" w:sz="0" w:space="0" w:color="auto"/>
                                                                    <w:bottom w:val="none" w:sz="0" w:space="0" w:color="auto"/>
                                                                    <w:right w:val="none" w:sz="0" w:space="0" w:color="auto"/>
                                                                  </w:divBdr>
                                                                </w:div>
                                                                <w:div w:id="200945737">
                                                                  <w:marLeft w:val="0"/>
                                                                  <w:marRight w:val="0"/>
                                                                  <w:marTop w:val="0"/>
                                                                  <w:marBottom w:val="0"/>
                                                                  <w:divBdr>
                                                                    <w:top w:val="none" w:sz="0" w:space="0" w:color="auto"/>
                                                                    <w:left w:val="none" w:sz="0" w:space="0" w:color="auto"/>
                                                                    <w:bottom w:val="none" w:sz="0" w:space="0" w:color="auto"/>
                                                                    <w:right w:val="none" w:sz="0" w:space="0" w:color="auto"/>
                                                                  </w:divBdr>
                                                                </w:div>
                                                              </w:divsChild>
                                                            </w:div>
                                                            <w:div w:id="1093166935">
                                                              <w:marLeft w:val="0"/>
                                                              <w:marRight w:val="0"/>
                                                              <w:marTop w:val="0"/>
                                                              <w:marBottom w:val="0"/>
                                                              <w:divBdr>
                                                                <w:top w:val="none" w:sz="0" w:space="0" w:color="auto"/>
                                                                <w:left w:val="none" w:sz="0" w:space="0" w:color="auto"/>
                                                                <w:bottom w:val="none" w:sz="0" w:space="0" w:color="auto"/>
                                                                <w:right w:val="none" w:sz="0" w:space="0" w:color="auto"/>
                                                              </w:divBdr>
                                                              <w:divsChild>
                                                                <w:div w:id="627048522">
                                                                  <w:marLeft w:val="0"/>
                                                                  <w:marRight w:val="0"/>
                                                                  <w:marTop w:val="0"/>
                                                                  <w:marBottom w:val="0"/>
                                                                  <w:divBdr>
                                                                    <w:top w:val="none" w:sz="0" w:space="0" w:color="auto"/>
                                                                    <w:left w:val="none" w:sz="0" w:space="0" w:color="auto"/>
                                                                    <w:bottom w:val="none" w:sz="0" w:space="0" w:color="auto"/>
                                                                    <w:right w:val="none" w:sz="0" w:space="0" w:color="auto"/>
                                                                  </w:divBdr>
                                                                </w:div>
                                                                <w:div w:id="481121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2963217">
                                              <w:marLeft w:val="0"/>
                                              <w:marRight w:val="0"/>
                                              <w:marTop w:val="0"/>
                                              <w:marBottom w:val="0"/>
                                              <w:divBdr>
                                                <w:top w:val="none" w:sz="0" w:space="0" w:color="auto"/>
                                                <w:left w:val="none" w:sz="0" w:space="0" w:color="auto"/>
                                                <w:bottom w:val="none" w:sz="0" w:space="0" w:color="auto"/>
                                                <w:right w:val="none" w:sz="0" w:space="0" w:color="auto"/>
                                              </w:divBdr>
                                              <w:divsChild>
                                                <w:div w:id="1338264888">
                                                  <w:marLeft w:val="0"/>
                                                  <w:marRight w:val="0"/>
                                                  <w:marTop w:val="0"/>
                                                  <w:marBottom w:val="0"/>
                                                  <w:divBdr>
                                                    <w:top w:val="none" w:sz="0" w:space="0" w:color="auto"/>
                                                    <w:left w:val="none" w:sz="0" w:space="0" w:color="auto"/>
                                                    <w:bottom w:val="none" w:sz="0" w:space="0" w:color="auto"/>
                                                    <w:right w:val="none" w:sz="0" w:space="0" w:color="auto"/>
                                                  </w:divBdr>
                                                  <w:divsChild>
                                                    <w:div w:id="1591814576">
                                                      <w:marLeft w:val="0"/>
                                                      <w:marRight w:val="0"/>
                                                      <w:marTop w:val="0"/>
                                                      <w:marBottom w:val="0"/>
                                                      <w:divBdr>
                                                        <w:top w:val="none" w:sz="0" w:space="0" w:color="auto"/>
                                                        <w:left w:val="none" w:sz="0" w:space="0" w:color="auto"/>
                                                        <w:bottom w:val="none" w:sz="0" w:space="0" w:color="auto"/>
                                                        <w:right w:val="none" w:sz="0" w:space="0" w:color="auto"/>
                                                      </w:divBdr>
                                                      <w:divsChild>
                                                        <w:div w:id="1623686349">
                                                          <w:marLeft w:val="0"/>
                                                          <w:marRight w:val="0"/>
                                                          <w:marTop w:val="0"/>
                                                          <w:marBottom w:val="0"/>
                                                          <w:divBdr>
                                                            <w:top w:val="none" w:sz="0" w:space="0" w:color="auto"/>
                                                            <w:left w:val="none" w:sz="0" w:space="0" w:color="auto"/>
                                                            <w:bottom w:val="none" w:sz="0" w:space="0" w:color="auto"/>
                                                            <w:right w:val="none" w:sz="0" w:space="0" w:color="auto"/>
                                                          </w:divBdr>
                                                          <w:divsChild>
                                                            <w:div w:id="1586187595">
                                                              <w:marLeft w:val="0"/>
                                                              <w:marRight w:val="0"/>
                                                              <w:marTop w:val="0"/>
                                                              <w:marBottom w:val="0"/>
                                                              <w:divBdr>
                                                                <w:top w:val="none" w:sz="0" w:space="0" w:color="auto"/>
                                                                <w:left w:val="none" w:sz="0" w:space="0" w:color="auto"/>
                                                                <w:bottom w:val="none" w:sz="0" w:space="0" w:color="auto"/>
                                                                <w:right w:val="none" w:sz="0" w:space="0" w:color="auto"/>
                                                              </w:divBdr>
                                                              <w:divsChild>
                                                                <w:div w:id="354037225">
                                                                  <w:marLeft w:val="0"/>
                                                                  <w:marRight w:val="0"/>
                                                                  <w:marTop w:val="0"/>
                                                                  <w:marBottom w:val="0"/>
                                                                  <w:divBdr>
                                                                    <w:top w:val="none" w:sz="0" w:space="0" w:color="auto"/>
                                                                    <w:left w:val="none" w:sz="0" w:space="0" w:color="auto"/>
                                                                    <w:bottom w:val="none" w:sz="0" w:space="0" w:color="auto"/>
                                                                    <w:right w:val="none" w:sz="0" w:space="0" w:color="auto"/>
                                                                  </w:divBdr>
                                                                </w:div>
                                                                <w:div w:id="1762486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71924759">
                                              <w:marLeft w:val="0"/>
                                              <w:marRight w:val="0"/>
                                              <w:marTop w:val="0"/>
                                              <w:marBottom w:val="0"/>
                                              <w:divBdr>
                                                <w:top w:val="none" w:sz="0" w:space="0" w:color="auto"/>
                                                <w:left w:val="none" w:sz="0" w:space="0" w:color="auto"/>
                                                <w:bottom w:val="none" w:sz="0" w:space="0" w:color="auto"/>
                                                <w:right w:val="none" w:sz="0" w:space="0" w:color="auto"/>
                                              </w:divBdr>
                                              <w:divsChild>
                                                <w:div w:id="579949400">
                                                  <w:marLeft w:val="0"/>
                                                  <w:marRight w:val="0"/>
                                                  <w:marTop w:val="0"/>
                                                  <w:marBottom w:val="0"/>
                                                  <w:divBdr>
                                                    <w:top w:val="none" w:sz="0" w:space="0" w:color="auto"/>
                                                    <w:left w:val="none" w:sz="0" w:space="0" w:color="auto"/>
                                                    <w:bottom w:val="none" w:sz="0" w:space="0" w:color="auto"/>
                                                    <w:right w:val="none" w:sz="0" w:space="0" w:color="auto"/>
                                                  </w:divBdr>
                                                  <w:divsChild>
                                                    <w:div w:id="2020037502">
                                                      <w:marLeft w:val="0"/>
                                                      <w:marRight w:val="0"/>
                                                      <w:marTop w:val="0"/>
                                                      <w:marBottom w:val="0"/>
                                                      <w:divBdr>
                                                        <w:top w:val="none" w:sz="0" w:space="0" w:color="auto"/>
                                                        <w:left w:val="none" w:sz="0" w:space="0" w:color="auto"/>
                                                        <w:bottom w:val="none" w:sz="0" w:space="0" w:color="auto"/>
                                                        <w:right w:val="none" w:sz="0" w:space="0" w:color="auto"/>
                                                      </w:divBdr>
                                                      <w:divsChild>
                                                        <w:div w:id="1406419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4416514">
                                              <w:marLeft w:val="0"/>
                                              <w:marRight w:val="0"/>
                                              <w:marTop w:val="0"/>
                                              <w:marBottom w:val="0"/>
                                              <w:divBdr>
                                                <w:top w:val="none" w:sz="0" w:space="0" w:color="auto"/>
                                                <w:left w:val="none" w:sz="0" w:space="0" w:color="auto"/>
                                                <w:bottom w:val="none" w:sz="0" w:space="0" w:color="auto"/>
                                                <w:right w:val="none" w:sz="0" w:space="0" w:color="auto"/>
                                              </w:divBdr>
                                              <w:divsChild>
                                                <w:div w:id="1729064147">
                                                  <w:marLeft w:val="0"/>
                                                  <w:marRight w:val="0"/>
                                                  <w:marTop w:val="0"/>
                                                  <w:marBottom w:val="0"/>
                                                  <w:divBdr>
                                                    <w:top w:val="none" w:sz="0" w:space="0" w:color="auto"/>
                                                    <w:left w:val="none" w:sz="0" w:space="0" w:color="auto"/>
                                                    <w:bottom w:val="none" w:sz="0" w:space="0" w:color="auto"/>
                                                    <w:right w:val="none" w:sz="0" w:space="0" w:color="auto"/>
                                                  </w:divBdr>
                                                  <w:divsChild>
                                                    <w:div w:id="553464107">
                                                      <w:marLeft w:val="0"/>
                                                      <w:marRight w:val="0"/>
                                                      <w:marTop w:val="0"/>
                                                      <w:marBottom w:val="0"/>
                                                      <w:divBdr>
                                                        <w:top w:val="none" w:sz="0" w:space="0" w:color="auto"/>
                                                        <w:left w:val="none" w:sz="0" w:space="0" w:color="auto"/>
                                                        <w:bottom w:val="none" w:sz="0" w:space="0" w:color="auto"/>
                                                        <w:right w:val="none" w:sz="0" w:space="0" w:color="auto"/>
                                                      </w:divBdr>
                                                      <w:divsChild>
                                                        <w:div w:id="641081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3328478">
                              <w:marLeft w:val="0"/>
                              <w:marRight w:val="0"/>
                              <w:marTop w:val="0"/>
                              <w:marBottom w:val="0"/>
                              <w:divBdr>
                                <w:top w:val="none" w:sz="0" w:space="0" w:color="auto"/>
                                <w:left w:val="none" w:sz="0" w:space="0" w:color="auto"/>
                                <w:bottom w:val="none" w:sz="0" w:space="0" w:color="auto"/>
                                <w:right w:val="none" w:sz="0" w:space="0" w:color="auto"/>
                              </w:divBdr>
                              <w:divsChild>
                                <w:div w:id="58671636">
                                  <w:marLeft w:val="0"/>
                                  <w:marRight w:val="0"/>
                                  <w:marTop w:val="0"/>
                                  <w:marBottom w:val="0"/>
                                  <w:divBdr>
                                    <w:top w:val="none" w:sz="0" w:space="0" w:color="auto"/>
                                    <w:left w:val="none" w:sz="0" w:space="0" w:color="auto"/>
                                    <w:bottom w:val="none" w:sz="0" w:space="0" w:color="auto"/>
                                    <w:right w:val="none" w:sz="0" w:space="0" w:color="auto"/>
                                  </w:divBdr>
                                  <w:divsChild>
                                    <w:div w:id="1327005558">
                                      <w:marLeft w:val="0"/>
                                      <w:marRight w:val="0"/>
                                      <w:marTop w:val="0"/>
                                      <w:marBottom w:val="0"/>
                                      <w:divBdr>
                                        <w:top w:val="none" w:sz="0" w:space="0" w:color="auto"/>
                                        <w:left w:val="none" w:sz="0" w:space="0" w:color="auto"/>
                                        <w:bottom w:val="none" w:sz="0" w:space="0" w:color="auto"/>
                                        <w:right w:val="none" w:sz="0" w:space="0" w:color="auto"/>
                                      </w:divBdr>
                                      <w:divsChild>
                                        <w:div w:id="1662732672">
                                          <w:marLeft w:val="0"/>
                                          <w:marRight w:val="0"/>
                                          <w:marTop w:val="0"/>
                                          <w:marBottom w:val="0"/>
                                          <w:divBdr>
                                            <w:top w:val="none" w:sz="0" w:space="0" w:color="auto"/>
                                            <w:left w:val="none" w:sz="0" w:space="0" w:color="auto"/>
                                            <w:bottom w:val="none" w:sz="0" w:space="0" w:color="auto"/>
                                            <w:right w:val="none" w:sz="0" w:space="0" w:color="auto"/>
                                          </w:divBdr>
                                          <w:divsChild>
                                            <w:div w:id="730272088">
                                              <w:marLeft w:val="0"/>
                                              <w:marRight w:val="0"/>
                                              <w:marTop w:val="0"/>
                                              <w:marBottom w:val="0"/>
                                              <w:divBdr>
                                                <w:top w:val="none" w:sz="0" w:space="0" w:color="auto"/>
                                                <w:left w:val="none" w:sz="0" w:space="0" w:color="auto"/>
                                                <w:bottom w:val="none" w:sz="0" w:space="0" w:color="auto"/>
                                                <w:right w:val="none" w:sz="0" w:space="0" w:color="auto"/>
                                              </w:divBdr>
                                              <w:divsChild>
                                                <w:div w:id="1234270815">
                                                  <w:marLeft w:val="0"/>
                                                  <w:marRight w:val="0"/>
                                                  <w:marTop w:val="0"/>
                                                  <w:marBottom w:val="0"/>
                                                  <w:divBdr>
                                                    <w:top w:val="none" w:sz="0" w:space="0" w:color="auto"/>
                                                    <w:left w:val="none" w:sz="0" w:space="0" w:color="auto"/>
                                                    <w:bottom w:val="none" w:sz="0" w:space="0" w:color="auto"/>
                                                    <w:right w:val="none" w:sz="0" w:space="0" w:color="auto"/>
                                                  </w:divBdr>
                                                  <w:divsChild>
                                                    <w:div w:id="1352142467">
                                                      <w:marLeft w:val="0"/>
                                                      <w:marRight w:val="0"/>
                                                      <w:marTop w:val="0"/>
                                                      <w:marBottom w:val="0"/>
                                                      <w:divBdr>
                                                        <w:top w:val="none" w:sz="0" w:space="0" w:color="auto"/>
                                                        <w:left w:val="none" w:sz="0" w:space="0" w:color="auto"/>
                                                        <w:bottom w:val="none" w:sz="0" w:space="0" w:color="auto"/>
                                                        <w:right w:val="none" w:sz="0" w:space="0" w:color="auto"/>
                                                      </w:divBdr>
                                                      <w:divsChild>
                                                        <w:div w:id="749280624">
                                                          <w:marLeft w:val="0"/>
                                                          <w:marRight w:val="0"/>
                                                          <w:marTop w:val="0"/>
                                                          <w:marBottom w:val="0"/>
                                                          <w:divBdr>
                                                            <w:top w:val="none" w:sz="0" w:space="0" w:color="auto"/>
                                                            <w:left w:val="none" w:sz="0" w:space="0" w:color="auto"/>
                                                            <w:bottom w:val="none" w:sz="0" w:space="0" w:color="auto"/>
                                                            <w:right w:val="none" w:sz="0" w:space="0" w:color="auto"/>
                                                          </w:divBdr>
                                                          <w:divsChild>
                                                            <w:div w:id="1569027465">
                                                              <w:marLeft w:val="0"/>
                                                              <w:marRight w:val="0"/>
                                                              <w:marTop w:val="0"/>
                                                              <w:marBottom w:val="0"/>
                                                              <w:divBdr>
                                                                <w:top w:val="none" w:sz="0" w:space="0" w:color="auto"/>
                                                                <w:left w:val="none" w:sz="0" w:space="0" w:color="auto"/>
                                                                <w:bottom w:val="none" w:sz="0" w:space="0" w:color="auto"/>
                                                                <w:right w:val="none" w:sz="0" w:space="0" w:color="auto"/>
                                                              </w:divBdr>
                                                              <w:divsChild>
                                                                <w:div w:id="887254502">
                                                                  <w:marLeft w:val="0"/>
                                                                  <w:marRight w:val="0"/>
                                                                  <w:marTop w:val="0"/>
                                                                  <w:marBottom w:val="0"/>
                                                                  <w:divBdr>
                                                                    <w:top w:val="none" w:sz="0" w:space="0" w:color="auto"/>
                                                                    <w:left w:val="none" w:sz="0" w:space="0" w:color="auto"/>
                                                                    <w:bottom w:val="none" w:sz="0" w:space="0" w:color="auto"/>
                                                                    <w:right w:val="none" w:sz="0" w:space="0" w:color="auto"/>
                                                                  </w:divBdr>
                                                                </w:div>
                                                                <w:div w:id="752051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77246275">
                                              <w:marLeft w:val="0"/>
                                              <w:marRight w:val="0"/>
                                              <w:marTop w:val="0"/>
                                              <w:marBottom w:val="0"/>
                                              <w:divBdr>
                                                <w:top w:val="none" w:sz="0" w:space="0" w:color="auto"/>
                                                <w:left w:val="none" w:sz="0" w:space="0" w:color="auto"/>
                                                <w:bottom w:val="none" w:sz="0" w:space="0" w:color="auto"/>
                                                <w:right w:val="none" w:sz="0" w:space="0" w:color="auto"/>
                                              </w:divBdr>
                                              <w:divsChild>
                                                <w:div w:id="712657642">
                                                  <w:marLeft w:val="0"/>
                                                  <w:marRight w:val="0"/>
                                                  <w:marTop w:val="0"/>
                                                  <w:marBottom w:val="0"/>
                                                  <w:divBdr>
                                                    <w:top w:val="none" w:sz="0" w:space="0" w:color="auto"/>
                                                    <w:left w:val="none" w:sz="0" w:space="0" w:color="auto"/>
                                                    <w:bottom w:val="none" w:sz="0" w:space="0" w:color="auto"/>
                                                    <w:right w:val="none" w:sz="0" w:space="0" w:color="auto"/>
                                                  </w:divBdr>
                                                  <w:divsChild>
                                                    <w:div w:id="508446229">
                                                      <w:marLeft w:val="0"/>
                                                      <w:marRight w:val="0"/>
                                                      <w:marTop w:val="0"/>
                                                      <w:marBottom w:val="0"/>
                                                      <w:divBdr>
                                                        <w:top w:val="none" w:sz="0" w:space="0" w:color="auto"/>
                                                        <w:left w:val="none" w:sz="0" w:space="0" w:color="auto"/>
                                                        <w:bottom w:val="none" w:sz="0" w:space="0" w:color="auto"/>
                                                        <w:right w:val="none" w:sz="0" w:space="0" w:color="auto"/>
                                                      </w:divBdr>
                                                      <w:divsChild>
                                                        <w:div w:id="927228332">
                                                          <w:marLeft w:val="0"/>
                                                          <w:marRight w:val="0"/>
                                                          <w:marTop w:val="0"/>
                                                          <w:marBottom w:val="0"/>
                                                          <w:divBdr>
                                                            <w:top w:val="none" w:sz="0" w:space="0" w:color="auto"/>
                                                            <w:left w:val="none" w:sz="0" w:space="0" w:color="auto"/>
                                                            <w:bottom w:val="none" w:sz="0" w:space="0" w:color="auto"/>
                                                            <w:right w:val="none" w:sz="0" w:space="0" w:color="auto"/>
                                                          </w:divBdr>
                                                          <w:divsChild>
                                                            <w:div w:id="1886529005">
                                                              <w:marLeft w:val="0"/>
                                                              <w:marRight w:val="0"/>
                                                              <w:marTop w:val="0"/>
                                                              <w:marBottom w:val="0"/>
                                                              <w:divBdr>
                                                                <w:top w:val="single" w:sz="2" w:space="0" w:color="E3E3E3"/>
                                                                <w:left w:val="single" w:sz="2" w:space="0" w:color="E3E3E3"/>
                                                                <w:bottom w:val="single" w:sz="2" w:space="0" w:color="E3E3E3"/>
                                                                <w:right w:val="single" w:sz="2" w:space="0" w:color="E3E3E3"/>
                                                              </w:divBdr>
                                                              <w:divsChild>
                                                                <w:div w:id="876964584">
                                                                  <w:marLeft w:val="0"/>
                                                                  <w:marRight w:val="0"/>
                                                                  <w:marTop w:val="0"/>
                                                                  <w:marBottom w:val="0"/>
                                                                  <w:divBdr>
                                                                    <w:top w:val="none" w:sz="0" w:space="0" w:color="auto"/>
                                                                    <w:left w:val="none" w:sz="0" w:space="0" w:color="auto"/>
                                                                    <w:bottom w:val="none" w:sz="0" w:space="0" w:color="auto"/>
                                                                    <w:right w:val="none" w:sz="0" w:space="0" w:color="auto"/>
                                                                  </w:divBdr>
                                                                  <w:divsChild>
                                                                    <w:div w:id="560868086">
                                                                      <w:marLeft w:val="0"/>
                                                                      <w:marRight w:val="0"/>
                                                                      <w:marTop w:val="0"/>
                                                                      <w:marBottom w:val="0"/>
                                                                      <w:divBdr>
                                                                        <w:top w:val="none" w:sz="0" w:space="0" w:color="auto"/>
                                                                        <w:left w:val="none" w:sz="0" w:space="0" w:color="auto"/>
                                                                        <w:bottom w:val="none" w:sz="0" w:space="0" w:color="auto"/>
                                                                        <w:right w:val="none" w:sz="0" w:space="0" w:color="auto"/>
                                                                      </w:divBdr>
                                                                      <w:divsChild>
                                                                        <w:div w:id="104739314">
                                                                          <w:marLeft w:val="0"/>
                                                                          <w:marRight w:val="0"/>
                                                                          <w:marTop w:val="0"/>
                                                                          <w:marBottom w:val="0"/>
                                                                          <w:divBdr>
                                                                            <w:top w:val="none" w:sz="0" w:space="0" w:color="auto"/>
                                                                            <w:left w:val="none" w:sz="0" w:space="0" w:color="auto"/>
                                                                            <w:bottom w:val="none" w:sz="0" w:space="0" w:color="auto"/>
                                                                            <w:right w:val="none" w:sz="0" w:space="0" w:color="auto"/>
                                                                          </w:divBdr>
                                                                          <w:divsChild>
                                                                            <w:div w:id="1143237812">
                                                                              <w:marLeft w:val="0"/>
                                                                              <w:marRight w:val="0"/>
                                                                              <w:marTop w:val="0"/>
                                                                              <w:marBottom w:val="0"/>
                                                                              <w:divBdr>
                                                                                <w:top w:val="none" w:sz="0" w:space="0" w:color="auto"/>
                                                                                <w:left w:val="none" w:sz="0" w:space="0" w:color="auto"/>
                                                                                <w:bottom w:val="none" w:sz="0" w:space="0" w:color="auto"/>
                                                                                <w:right w:val="none" w:sz="0" w:space="0" w:color="auto"/>
                                                                              </w:divBdr>
                                                                              <w:divsChild>
                                                                                <w:div w:id="1481800067">
                                                                                  <w:marLeft w:val="0"/>
                                                                                  <w:marRight w:val="0"/>
                                                                                  <w:marTop w:val="0"/>
                                                                                  <w:marBottom w:val="0"/>
                                                                                  <w:divBdr>
                                                                                    <w:top w:val="none" w:sz="0" w:space="0" w:color="auto"/>
                                                                                    <w:left w:val="none" w:sz="0" w:space="0" w:color="auto"/>
                                                                                    <w:bottom w:val="none" w:sz="0" w:space="0" w:color="auto"/>
                                                                                    <w:right w:val="none" w:sz="0" w:space="0" w:color="auto"/>
                                                                                  </w:divBdr>
                                                                                  <w:divsChild>
                                                                                    <w:div w:id="1557817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7094659">
                                                                              <w:marLeft w:val="0"/>
                                                                              <w:marRight w:val="0"/>
                                                                              <w:marTop w:val="0"/>
                                                                              <w:marBottom w:val="0"/>
                                                                              <w:divBdr>
                                                                                <w:top w:val="none" w:sz="0" w:space="0" w:color="auto"/>
                                                                                <w:left w:val="none" w:sz="0" w:space="0" w:color="auto"/>
                                                                                <w:bottom w:val="none" w:sz="0" w:space="0" w:color="auto"/>
                                                                                <w:right w:val="none" w:sz="0" w:space="0" w:color="auto"/>
                                                                              </w:divBdr>
                                                                              <w:divsChild>
                                                                                <w:div w:id="1485468493">
                                                                                  <w:marLeft w:val="0"/>
                                                                                  <w:marRight w:val="0"/>
                                                                                  <w:marTop w:val="0"/>
                                                                                  <w:marBottom w:val="0"/>
                                                                                  <w:divBdr>
                                                                                    <w:top w:val="none" w:sz="0" w:space="0" w:color="auto"/>
                                                                                    <w:left w:val="none" w:sz="0" w:space="0" w:color="auto"/>
                                                                                    <w:bottom w:val="none" w:sz="0" w:space="0" w:color="auto"/>
                                                                                    <w:right w:val="none" w:sz="0" w:space="0" w:color="auto"/>
                                                                                  </w:divBdr>
                                                                                  <w:divsChild>
                                                                                    <w:div w:id="1271860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29201814">
                                                              <w:marLeft w:val="0"/>
                                                              <w:marRight w:val="0"/>
                                                              <w:marTop w:val="0"/>
                                                              <w:marBottom w:val="0"/>
                                                              <w:divBdr>
                                                                <w:top w:val="single" w:sz="2" w:space="0" w:color="E3E3E3"/>
                                                                <w:left w:val="single" w:sz="2" w:space="0" w:color="E3E3E3"/>
                                                                <w:bottom w:val="single" w:sz="2" w:space="0" w:color="E3E3E3"/>
                                                                <w:right w:val="single" w:sz="2" w:space="0" w:color="E3E3E3"/>
                                                              </w:divBdr>
                                                              <w:divsChild>
                                                                <w:div w:id="2128887461">
                                                                  <w:marLeft w:val="0"/>
                                                                  <w:marRight w:val="0"/>
                                                                  <w:marTop w:val="0"/>
                                                                  <w:marBottom w:val="0"/>
                                                                  <w:divBdr>
                                                                    <w:top w:val="none" w:sz="0" w:space="0" w:color="auto"/>
                                                                    <w:left w:val="none" w:sz="0" w:space="0" w:color="auto"/>
                                                                    <w:bottom w:val="none" w:sz="0" w:space="0" w:color="auto"/>
                                                                    <w:right w:val="none" w:sz="0" w:space="0" w:color="auto"/>
                                                                  </w:divBdr>
                                                                  <w:divsChild>
                                                                    <w:div w:id="291667486">
                                                                      <w:marLeft w:val="0"/>
                                                                      <w:marRight w:val="0"/>
                                                                      <w:marTop w:val="0"/>
                                                                      <w:marBottom w:val="0"/>
                                                                      <w:divBdr>
                                                                        <w:top w:val="none" w:sz="0" w:space="0" w:color="auto"/>
                                                                        <w:left w:val="none" w:sz="0" w:space="0" w:color="auto"/>
                                                                        <w:bottom w:val="none" w:sz="0" w:space="0" w:color="auto"/>
                                                                        <w:right w:val="none" w:sz="0" w:space="0" w:color="auto"/>
                                                                      </w:divBdr>
                                                                      <w:divsChild>
                                                                        <w:div w:id="1337154160">
                                                                          <w:marLeft w:val="0"/>
                                                                          <w:marRight w:val="0"/>
                                                                          <w:marTop w:val="0"/>
                                                                          <w:marBottom w:val="0"/>
                                                                          <w:divBdr>
                                                                            <w:top w:val="none" w:sz="0" w:space="0" w:color="auto"/>
                                                                            <w:left w:val="none" w:sz="0" w:space="0" w:color="auto"/>
                                                                            <w:bottom w:val="none" w:sz="0" w:space="0" w:color="auto"/>
                                                                            <w:right w:val="none" w:sz="0" w:space="0" w:color="auto"/>
                                                                          </w:divBdr>
                                                                          <w:divsChild>
                                                                            <w:div w:id="160313052">
                                                                              <w:marLeft w:val="0"/>
                                                                              <w:marRight w:val="0"/>
                                                                              <w:marTop w:val="0"/>
                                                                              <w:marBottom w:val="0"/>
                                                                              <w:divBdr>
                                                                                <w:top w:val="none" w:sz="0" w:space="0" w:color="auto"/>
                                                                                <w:left w:val="none" w:sz="0" w:space="0" w:color="auto"/>
                                                                                <w:bottom w:val="none" w:sz="0" w:space="0" w:color="auto"/>
                                                                                <w:right w:val="none" w:sz="0" w:space="0" w:color="auto"/>
                                                                              </w:divBdr>
                                                                              <w:divsChild>
                                                                                <w:div w:id="1276407796">
                                                                                  <w:marLeft w:val="0"/>
                                                                                  <w:marRight w:val="0"/>
                                                                                  <w:marTop w:val="0"/>
                                                                                  <w:marBottom w:val="0"/>
                                                                                  <w:divBdr>
                                                                                    <w:top w:val="none" w:sz="0" w:space="0" w:color="auto"/>
                                                                                    <w:left w:val="none" w:sz="0" w:space="0" w:color="auto"/>
                                                                                    <w:bottom w:val="none" w:sz="0" w:space="0" w:color="auto"/>
                                                                                    <w:right w:val="none" w:sz="0" w:space="0" w:color="auto"/>
                                                                                  </w:divBdr>
                                                                                  <w:divsChild>
                                                                                    <w:div w:id="2007899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1928842">
                                                                              <w:marLeft w:val="0"/>
                                                                              <w:marRight w:val="0"/>
                                                                              <w:marTop w:val="0"/>
                                                                              <w:marBottom w:val="0"/>
                                                                              <w:divBdr>
                                                                                <w:top w:val="none" w:sz="0" w:space="0" w:color="auto"/>
                                                                                <w:left w:val="none" w:sz="0" w:space="0" w:color="auto"/>
                                                                                <w:bottom w:val="none" w:sz="0" w:space="0" w:color="auto"/>
                                                                                <w:right w:val="none" w:sz="0" w:space="0" w:color="auto"/>
                                                                              </w:divBdr>
                                                                              <w:divsChild>
                                                                                <w:div w:id="2001078645">
                                                                                  <w:marLeft w:val="0"/>
                                                                                  <w:marRight w:val="0"/>
                                                                                  <w:marTop w:val="0"/>
                                                                                  <w:marBottom w:val="0"/>
                                                                                  <w:divBdr>
                                                                                    <w:top w:val="none" w:sz="0" w:space="0" w:color="auto"/>
                                                                                    <w:left w:val="none" w:sz="0" w:space="0" w:color="auto"/>
                                                                                    <w:bottom w:val="none" w:sz="0" w:space="0" w:color="auto"/>
                                                                                    <w:right w:val="none" w:sz="0" w:space="0" w:color="auto"/>
                                                                                  </w:divBdr>
                                                                                  <w:divsChild>
                                                                                    <w:div w:id="931622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7603979">
                                                              <w:marLeft w:val="0"/>
                                                              <w:marRight w:val="0"/>
                                                              <w:marTop w:val="0"/>
                                                              <w:marBottom w:val="0"/>
                                                              <w:divBdr>
                                                                <w:top w:val="none" w:sz="0" w:space="0" w:color="auto"/>
                                                                <w:left w:val="none" w:sz="0" w:space="0" w:color="auto"/>
                                                                <w:bottom w:val="none" w:sz="0" w:space="0" w:color="auto"/>
                                                                <w:right w:val="none" w:sz="0" w:space="0" w:color="auto"/>
                                                              </w:divBdr>
                                                              <w:divsChild>
                                                                <w:div w:id="451946327">
                                                                  <w:marLeft w:val="0"/>
                                                                  <w:marRight w:val="0"/>
                                                                  <w:marTop w:val="0"/>
                                                                  <w:marBottom w:val="0"/>
                                                                  <w:divBdr>
                                                                    <w:top w:val="none" w:sz="0" w:space="0" w:color="auto"/>
                                                                    <w:left w:val="none" w:sz="0" w:space="0" w:color="auto"/>
                                                                    <w:bottom w:val="none" w:sz="0" w:space="0" w:color="auto"/>
                                                                    <w:right w:val="none" w:sz="0" w:space="0" w:color="auto"/>
                                                                  </w:divBdr>
                                                                </w:div>
                                                                <w:div w:id="1325622902">
                                                                  <w:marLeft w:val="0"/>
                                                                  <w:marRight w:val="0"/>
                                                                  <w:marTop w:val="0"/>
                                                                  <w:marBottom w:val="0"/>
                                                                  <w:divBdr>
                                                                    <w:top w:val="none" w:sz="0" w:space="0" w:color="auto"/>
                                                                    <w:left w:val="none" w:sz="0" w:space="0" w:color="auto"/>
                                                                    <w:bottom w:val="none" w:sz="0" w:space="0" w:color="auto"/>
                                                                    <w:right w:val="none" w:sz="0" w:space="0" w:color="auto"/>
                                                                  </w:divBdr>
                                                                </w:div>
                                                              </w:divsChild>
                                                            </w:div>
                                                            <w:div w:id="262691299">
                                                              <w:marLeft w:val="0"/>
                                                              <w:marRight w:val="0"/>
                                                              <w:marTop w:val="0"/>
                                                              <w:marBottom w:val="0"/>
                                                              <w:divBdr>
                                                                <w:top w:val="none" w:sz="0" w:space="0" w:color="auto"/>
                                                                <w:left w:val="none" w:sz="0" w:space="0" w:color="auto"/>
                                                                <w:bottom w:val="none" w:sz="0" w:space="0" w:color="auto"/>
                                                                <w:right w:val="none" w:sz="0" w:space="0" w:color="auto"/>
                                                              </w:divBdr>
                                                              <w:divsChild>
                                                                <w:div w:id="237063091">
                                                                  <w:marLeft w:val="0"/>
                                                                  <w:marRight w:val="0"/>
                                                                  <w:marTop w:val="0"/>
                                                                  <w:marBottom w:val="0"/>
                                                                  <w:divBdr>
                                                                    <w:top w:val="none" w:sz="0" w:space="0" w:color="auto"/>
                                                                    <w:left w:val="none" w:sz="0" w:space="0" w:color="auto"/>
                                                                    <w:bottom w:val="none" w:sz="0" w:space="0" w:color="auto"/>
                                                                    <w:right w:val="none" w:sz="0" w:space="0" w:color="auto"/>
                                                                  </w:divBdr>
                                                                </w:div>
                                                                <w:div w:id="915744531">
                                                                  <w:marLeft w:val="0"/>
                                                                  <w:marRight w:val="0"/>
                                                                  <w:marTop w:val="0"/>
                                                                  <w:marBottom w:val="0"/>
                                                                  <w:divBdr>
                                                                    <w:top w:val="none" w:sz="0" w:space="0" w:color="auto"/>
                                                                    <w:left w:val="none" w:sz="0" w:space="0" w:color="auto"/>
                                                                    <w:bottom w:val="none" w:sz="0" w:space="0" w:color="auto"/>
                                                                    <w:right w:val="none" w:sz="0" w:space="0" w:color="auto"/>
                                                                  </w:divBdr>
                                                                </w:div>
                                                              </w:divsChild>
                                                            </w:div>
                                                            <w:div w:id="232087970">
                                                              <w:marLeft w:val="0"/>
                                                              <w:marRight w:val="0"/>
                                                              <w:marTop w:val="0"/>
                                                              <w:marBottom w:val="0"/>
                                                              <w:divBdr>
                                                                <w:top w:val="none" w:sz="0" w:space="0" w:color="auto"/>
                                                                <w:left w:val="none" w:sz="0" w:space="0" w:color="auto"/>
                                                                <w:bottom w:val="none" w:sz="0" w:space="0" w:color="auto"/>
                                                                <w:right w:val="none" w:sz="0" w:space="0" w:color="auto"/>
                                                              </w:divBdr>
                                                              <w:divsChild>
                                                                <w:div w:id="112750058">
                                                                  <w:marLeft w:val="0"/>
                                                                  <w:marRight w:val="0"/>
                                                                  <w:marTop w:val="0"/>
                                                                  <w:marBottom w:val="0"/>
                                                                  <w:divBdr>
                                                                    <w:top w:val="none" w:sz="0" w:space="0" w:color="auto"/>
                                                                    <w:left w:val="none" w:sz="0" w:space="0" w:color="auto"/>
                                                                    <w:bottom w:val="none" w:sz="0" w:space="0" w:color="auto"/>
                                                                    <w:right w:val="none" w:sz="0" w:space="0" w:color="auto"/>
                                                                  </w:divBdr>
                                                                </w:div>
                                                                <w:div w:id="1585872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62317196">
                                              <w:marLeft w:val="0"/>
                                              <w:marRight w:val="0"/>
                                              <w:marTop w:val="0"/>
                                              <w:marBottom w:val="0"/>
                                              <w:divBdr>
                                                <w:top w:val="none" w:sz="0" w:space="0" w:color="auto"/>
                                                <w:left w:val="none" w:sz="0" w:space="0" w:color="auto"/>
                                                <w:bottom w:val="none" w:sz="0" w:space="0" w:color="auto"/>
                                                <w:right w:val="none" w:sz="0" w:space="0" w:color="auto"/>
                                              </w:divBdr>
                                              <w:divsChild>
                                                <w:div w:id="1992639707">
                                                  <w:marLeft w:val="0"/>
                                                  <w:marRight w:val="0"/>
                                                  <w:marTop w:val="0"/>
                                                  <w:marBottom w:val="0"/>
                                                  <w:divBdr>
                                                    <w:top w:val="none" w:sz="0" w:space="0" w:color="auto"/>
                                                    <w:left w:val="none" w:sz="0" w:space="0" w:color="auto"/>
                                                    <w:bottom w:val="none" w:sz="0" w:space="0" w:color="auto"/>
                                                    <w:right w:val="none" w:sz="0" w:space="0" w:color="auto"/>
                                                  </w:divBdr>
                                                  <w:divsChild>
                                                    <w:div w:id="961377718">
                                                      <w:marLeft w:val="0"/>
                                                      <w:marRight w:val="0"/>
                                                      <w:marTop w:val="0"/>
                                                      <w:marBottom w:val="0"/>
                                                      <w:divBdr>
                                                        <w:top w:val="none" w:sz="0" w:space="0" w:color="auto"/>
                                                        <w:left w:val="none" w:sz="0" w:space="0" w:color="auto"/>
                                                        <w:bottom w:val="none" w:sz="0" w:space="0" w:color="auto"/>
                                                        <w:right w:val="none" w:sz="0" w:space="0" w:color="auto"/>
                                                      </w:divBdr>
                                                      <w:divsChild>
                                                        <w:div w:id="1192718072">
                                                          <w:marLeft w:val="0"/>
                                                          <w:marRight w:val="0"/>
                                                          <w:marTop w:val="0"/>
                                                          <w:marBottom w:val="0"/>
                                                          <w:divBdr>
                                                            <w:top w:val="none" w:sz="0" w:space="0" w:color="auto"/>
                                                            <w:left w:val="none" w:sz="0" w:space="0" w:color="auto"/>
                                                            <w:bottom w:val="none" w:sz="0" w:space="0" w:color="auto"/>
                                                            <w:right w:val="none" w:sz="0" w:space="0" w:color="auto"/>
                                                          </w:divBdr>
                                                          <w:divsChild>
                                                            <w:div w:id="2045907278">
                                                              <w:marLeft w:val="0"/>
                                                              <w:marRight w:val="0"/>
                                                              <w:marTop w:val="0"/>
                                                              <w:marBottom w:val="0"/>
                                                              <w:divBdr>
                                                                <w:top w:val="single" w:sz="2" w:space="0" w:color="E3E3E3"/>
                                                                <w:left w:val="single" w:sz="2" w:space="0" w:color="E3E3E3"/>
                                                                <w:bottom w:val="single" w:sz="2" w:space="0" w:color="E3E3E3"/>
                                                                <w:right w:val="single" w:sz="2" w:space="0" w:color="E3E3E3"/>
                                                              </w:divBdr>
                                                              <w:divsChild>
                                                                <w:div w:id="92090985">
                                                                  <w:marLeft w:val="0"/>
                                                                  <w:marRight w:val="0"/>
                                                                  <w:marTop w:val="0"/>
                                                                  <w:marBottom w:val="0"/>
                                                                  <w:divBdr>
                                                                    <w:top w:val="none" w:sz="0" w:space="0" w:color="auto"/>
                                                                    <w:left w:val="none" w:sz="0" w:space="0" w:color="auto"/>
                                                                    <w:bottom w:val="none" w:sz="0" w:space="0" w:color="auto"/>
                                                                    <w:right w:val="none" w:sz="0" w:space="0" w:color="auto"/>
                                                                  </w:divBdr>
                                                                  <w:divsChild>
                                                                    <w:div w:id="1729647528">
                                                                      <w:marLeft w:val="0"/>
                                                                      <w:marRight w:val="0"/>
                                                                      <w:marTop w:val="0"/>
                                                                      <w:marBottom w:val="0"/>
                                                                      <w:divBdr>
                                                                        <w:top w:val="none" w:sz="0" w:space="0" w:color="auto"/>
                                                                        <w:left w:val="none" w:sz="0" w:space="0" w:color="auto"/>
                                                                        <w:bottom w:val="none" w:sz="0" w:space="0" w:color="auto"/>
                                                                        <w:right w:val="none" w:sz="0" w:space="0" w:color="auto"/>
                                                                      </w:divBdr>
                                                                      <w:divsChild>
                                                                        <w:div w:id="1681195091">
                                                                          <w:marLeft w:val="0"/>
                                                                          <w:marRight w:val="0"/>
                                                                          <w:marTop w:val="0"/>
                                                                          <w:marBottom w:val="0"/>
                                                                          <w:divBdr>
                                                                            <w:top w:val="none" w:sz="0" w:space="0" w:color="auto"/>
                                                                            <w:left w:val="none" w:sz="0" w:space="0" w:color="auto"/>
                                                                            <w:bottom w:val="none" w:sz="0" w:space="0" w:color="auto"/>
                                                                            <w:right w:val="none" w:sz="0" w:space="0" w:color="auto"/>
                                                                          </w:divBdr>
                                                                          <w:divsChild>
                                                                            <w:div w:id="723871651">
                                                                              <w:marLeft w:val="0"/>
                                                                              <w:marRight w:val="0"/>
                                                                              <w:marTop w:val="0"/>
                                                                              <w:marBottom w:val="0"/>
                                                                              <w:divBdr>
                                                                                <w:top w:val="none" w:sz="0" w:space="0" w:color="auto"/>
                                                                                <w:left w:val="none" w:sz="0" w:space="0" w:color="auto"/>
                                                                                <w:bottom w:val="none" w:sz="0" w:space="0" w:color="auto"/>
                                                                                <w:right w:val="none" w:sz="0" w:space="0" w:color="auto"/>
                                                                              </w:divBdr>
                                                                              <w:divsChild>
                                                                                <w:div w:id="1860122038">
                                                                                  <w:marLeft w:val="0"/>
                                                                                  <w:marRight w:val="0"/>
                                                                                  <w:marTop w:val="0"/>
                                                                                  <w:marBottom w:val="0"/>
                                                                                  <w:divBdr>
                                                                                    <w:top w:val="none" w:sz="0" w:space="0" w:color="auto"/>
                                                                                    <w:left w:val="none" w:sz="0" w:space="0" w:color="auto"/>
                                                                                    <w:bottom w:val="none" w:sz="0" w:space="0" w:color="auto"/>
                                                                                    <w:right w:val="none" w:sz="0" w:space="0" w:color="auto"/>
                                                                                  </w:divBdr>
                                                                                  <w:divsChild>
                                                                                    <w:div w:id="1797259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7645445">
                                                                              <w:marLeft w:val="0"/>
                                                                              <w:marRight w:val="0"/>
                                                                              <w:marTop w:val="0"/>
                                                                              <w:marBottom w:val="0"/>
                                                                              <w:divBdr>
                                                                                <w:top w:val="none" w:sz="0" w:space="0" w:color="auto"/>
                                                                                <w:left w:val="none" w:sz="0" w:space="0" w:color="auto"/>
                                                                                <w:bottom w:val="none" w:sz="0" w:space="0" w:color="auto"/>
                                                                                <w:right w:val="none" w:sz="0" w:space="0" w:color="auto"/>
                                                                              </w:divBdr>
                                                                              <w:divsChild>
                                                                                <w:div w:id="300308279">
                                                                                  <w:marLeft w:val="0"/>
                                                                                  <w:marRight w:val="0"/>
                                                                                  <w:marTop w:val="0"/>
                                                                                  <w:marBottom w:val="0"/>
                                                                                  <w:divBdr>
                                                                                    <w:top w:val="none" w:sz="0" w:space="0" w:color="auto"/>
                                                                                    <w:left w:val="none" w:sz="0" w:space="0" w:color="auto"/>
                                                                                    <w:bottom w:val="none" w:sz="0" w:space="0" w:color="auto"/>
                                                                                    <w:right w:val="none" w:sz="0" w:space="0" w:color="auto"/>
                                                                                  </w:divBdr>
                                                                                  <w:divsChild>
                                                                                    <w:div w:id="101339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67730618">
                                                              <w:marLeft w:val="0"/>
                                                              <w:marRight w:val="0"/>
                                                              <w:marTop w:val="0"/>
                                                              <w:marBottom w:val="0"/>
                                                              <w:divBdr>
                                                                <w:top w:val="single" w:sz="2" w:space="0" w:color="E3E3E3"/>
                                                                <w:left w:val="single" w:sz="2" w:space="0" w:color="E3E3E3"/>
                                                                <w:bottom w:val="single" w:sz="2" w:space="0" w:color="E3E3E3"/>
                                                                <w:right w:val="single" w:sz="2" w:space="0" w:color="E3E3E3"/>
                                                              </w:divBdr>
                                                              <w:divsChild>
                                                                <w:div w:id="1845513550">
                                                                  <w:marLeft w:val="0"/>
                                                                  <w:marRight w:val="0"/>
                                                                  <w:marTop w:val="0"/>
                                                                  <w:marBottom w:val="0"/>
                                                                  <w:divBdr>
                                                                    <w:top w:val="none" w:sz="0" w:space="0" w:color="auto"/>
                                                                    <w:left w:val="none" w:sz="0" w:space="0" w:color="auto"/>
                                                                    <w:bottom w:val="none" w:sz="0" w:space="0" w:color="auto"/>
                                                                    <w:right w:val="none" w:sz="0" w:space="0" w:color="auto"/>
                                                                  </w:divBdr>
                                                                  <w:divsChild>
                                                                    <w:div w:id="1278877607">
                                                                      <w:marLeft w:val="0"/>
                                                                      <w:marRight w:val="0"/>
                                                                      <w:marTop w:val="0"/>
                                                                      <w:marBottom w:val="0"/>
                                                                      <w:divBdr>
                                                                        <w:top w:val="none" w:sz="0" w:space="0" w:color="auto"/>
                                                                        <w:left w:val="none" w:sz="0" w:space="0" w:color="auto"/>
                                                                        <w:bottom w:val="none" w:sz="0" w:space="0" w:color="auto"/>
                                                                        <w:right w:val="none" w:sz="0" w:space="0" w:color="auto"/>
                                                                      </w:divBdr>
                                                                      <w:divsChild>
                                                                        <w:div w:id="855844235">
                                                                          <w:marLeft w:val="0"/>
                                                                          <w:marRight w:val="0"/>
                                                                          <w:marTop w:val="0"/>
                                                                          <w:marBottom w:val="0"/>
                                                                          <w:divBdr>
                                                                            <w:top w:val="none" w:sz="0" w:space="0" w:color="auto"/>
                                                                            <w:left w:val="none" w:sz="0" w:space="0" w:color="auto"/>
                                                                            <w:bottom w:val="none" w:sz="0" w:space="0" w:color="auto"/>
                                                                            <w:right w:val="none" w:sz="0" w:space="0" w:color="auto"/>
                                                                          </w:divBdr>
                                                                          <w:divsChild>
                                                                            <w:div w:id="1514414811">
                                                                              <w:marLeft w:val="0"/>
                                                                              <w:marRight w:val="0"/>
                                                                              <w:marTop w:val="0"/>
                                                                              <w:marBottom w:val="0"/>
                                                                              <w:divBdr>
                                                                                <w:top w:val="none" w:sz="0" w:space="0" w:color="auto"/>
                                                                                <w:left w:val="none" w:sz="0" w:space="0" w:color="auto"/>
                                                                                <w:bottom w:val="none" w:sz="0" w:space="0" w:color="auto"/>
                                                                                <w:right w:val="none" w:sz="0" w:space="0" w:color="auto"/>
                                                                              </w:divBdr>
                                                                              <w:divsChild>
                                                                                <w:div w:id="469640073">
                                                                                  <w:marLeft w:val="0"/>
                                                                                  <w:marRight w:val="0"/>
                                                                                  <w:marTop w:val="0"/>
                                                                                  <w:marBottom w:val="0"/>
                                                                                  <w:divBdr>
                                                                                    <w:top w:val="none" w:sz="0" w:space="0" w:color="auto"/>
                                                                                    <w:left w:val="none" w:sz="0" w:space="0" w:color="auto"/>
                                                                                    <w:bottom w:val="none" w:sz="0" w:space="0" w:color="auto"/>
                                                                                    <w:right w:val="none" w:sz="0" w:space="0" w:color="auto"/>
                                                                                  </w:divBdr>
                                                                                  <w:divsChild>
                                                                                    <w:div w:id="2052148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0185837">
                                                                              <w:marLeft w:val="0"/>
                                                                              <w:marRight w:val="0"/>
                                                                              <w:marTop w:val="0"/>
                                                                              <w:marBottom w:val="0"/>
                                                                              <w:divBdr>
                                                                                <w:top w:val="none" w:sz="0" w:space="0" w:color="auto"/>
                                                                                <w:left w:val="none" w:sz="0" w:space="0" w:color="auto"/>
                                                                                <w:bottom w:val="none" w:sz="0" w:space="0" w:color="auto"/>
                                                                                <w:right w:val="none" w:sz="0" w:space="0" w:color="auto"/>
                                                                              </w:divBdr>
                                                                              <w:divsChild>
                                                                                <w:div w:id="309284130">
                                                                                  <w:marLeft w:val="0"/>
                                                                                  <w:marRight w:val="0"/>
                                                                                  <w:marTop w:val="0"/>
                                                                                  <w:marBottom w:val="0"/>
                                                                                  <w:divBdr>
                                                                                    <w:top w:val="none" w:sz="0" w:space="0" w:color="auto"/>
                                                                                    <w:left w:val="none" w:sz="0" w:space="0" w:color="auto"/>
                                                                                    <w:bottom w:val="none" w:sz="0" w:space="0" w:color="auto"/>
                                                                                    <w:right w:val="none" w:sz="0" w:space="0" w:color="auto"/>
                                                                                  </w:divBdr>
                                                                                  <w:divsChild>
                                                                                    <w:div w:id="1139684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47766664">
                                                              <w:marLeft w:val="0"/>
                                                              <w:marRight w:val="0"/>
                                                              <w:marTop w:val="0"/>
                                                              <w:marBottom w:val="0"/>
                                                              <w:divBdr>
                                                                <w:top w:val="none" w:sz="0" w:space="0" w:color="auto"/>
                                                                <w:left w:val="none" w:sz="0" w:space="0" w:color="auto"/>
                                                                <w:bottom w:val="none" w:sz="0" w:space="0" w:color="auto"/>
                                                                <w:right w:val="none" w:sz="0" w:space="0" w:color="auto"/>
                                                              </w:divBdr>
                                                              <w:divsChild>
                                                                <w:div w:id="1369913400">
                                                                  <w:marLeft w:val="0"/>
                                                                  <w:marRight w:val="0"/>
                                                                  <w:marTop w:val="0"/>
                                                                  <w:marBottom w:val="0"/>
                                                                  <w:divBdr>
                                                                    <w:top w:val="none" w:sz="0" w:space="0" w:color="auto"/>
                                                                    <w:left w:val="none" w:sz="0" w:space="0" w:color="auto"/>
                                                                    <w:bottom w:val="none" w:sz="0" w:space="0" w:color="auto"/>
                                                                    <w:right w:val="none" w:sz="0" w:space="0" w:color="auto"/>
                                                                  </w:divBdr>
                                                                  <w:divsChild>
                                                                    <w:div w:id="1508709929">
                                                                      <w:marLeft w:val="0"/>
                                                                      <w:marRight w:val="0"/>
                                                                      <w:marTop w:val="0"/>
                                                                      <w:marBottom w:val="0"/>
                                                                      <w:divBdr>
                                                                        <w:top w:val="none" w:sz="0" w:space="0" w:color="auto"/>
                                                                        <w:left w:val="none" w:sz="0" w:space="0" w:color="auto"/>
                                                                        <w:bottom w:val="none" w:sz="0" w:space="0" w:color="auto"/>
                                                                        <w:right w:val="none" w:sz="0" w:space="0" w:color="auto"/>
                                                                      </w:divBdr>
                                                                    </w:div>
                                                                    <w:div w:id="973754384">
                                                                      <w:marLeft w:val="0"/>
                                                                      <w:marRight w:val="0"/>
                                                                      <w:marTop w:val="0"/>
                                                                      <w:marBottom w:val="0"/>
                                                                      <w:divBdr>
                                                                        <w:top w:val="none" w:sz="0" w:space="0" w:color="auto"/>
                                                                        <w:left w:val="none" w:sz="0" w:space="0" w:color="auto"/>
                                                                        <w:bottom w:val="none" w:sz="0" w:space="0" w:color="auto"/>
                                                                        <w:right w:val="none" w:sz="0" w:space="0" w:color="auto"/>
                                                                      </w:divBdr>
                                                                    </w:div>
                                                                    <w:div w:id="1582595453">
                                                                      <w:marLeft w:val="0"/>
                                                                      <w:marRight w:val="0"/>
                                                                      <w:marTop w:val="0"/>
                                                                      <w:marBottom w:val="0"/>
                                                                      <w:divBdr>
                                                                        <w:top w:val="none" w:sz="0" w:space="0" w:color="auto"/>
                                                                        <w:left w:val="none" w:sz="0" w:space="0" w:color="auto"/>
                                                                        <w:bottom w:val="none" w:sz="0" w:space="0" w:color="auto"/>
                                                                        <w:right w:val="none" w:sz="0" w:space="0" w:color="auto"/>
                                                                      </w:divBdr>
                                                                      <w:divsChild>
                                                                        <w:div w:id="410854915">
                                                                          <w:marLeft w:val="0"/>
                                                                          <w:marRight w:val="0"/>
                                                                          <w:marTop w:val="0"/>
                                                                          <w:marBottom w:val="0"/>
                                                                          <w:divBdr>
                                                                            <w:top w:val="none" w:sz="0" w:space="0" w:color="auto"/>
                                                                            <w:left w:val="none" w:sz="0" w:space="0" w:color="auto"/>
                                                                            <w:bottom w:val="none" w:sz="0" w:space="0" w:color="auto"/>
                                                                            <w:right w:val="none" w:sz="0" w:space="0" w:color="auto"/>
                                                                          </w:divBdr>
                                                                          <w:divsChild>
                                                                            <w:div w:id="1264730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98394042">
                                                              <w:marLeft w:val="0"/>
                                                              <w:marRight w:val="0"/>
                                                              <w:marTop w:val="0"/>
                                                              <w:marBottom w:val="0"/>
                                                              <w:divBdr>
                                                                <w:top w:val="single" w:sz="2" w:space="0" w:color="E3E3E3"/>
                                                                <w:left w:val="single" w:sz="2" w:space="0" w:color="E3E3E3"/>
                                                                <w:bottom w:val="single" w:sz="2" w:space="0" w:color="E3E3E3"/>
                                                                <w:right w:val="single" w:sz="2" w:space="0" w:color="E3E3E3"/>
                                                              </w:divBdr>
                                                              <w:divsChild>
                                                                <w:div w:id="331419320">
                                                                  <w:marLeft w:val="0"/>
                                                                  <w:marRight w:val="0"/>
                                                                  <w:marTop w:val="0"/>
                                                                  <w:marBottom w:val="0"/>
                                                                  <w:divBdr>
                                                                    <w:top w:val="none" w:sz="0" w:space="0" w:color="auto"/>
                                                                    <w:left w:val="none" w:sz="0" w:space="0" w:color="auto"/>
                                                                    <w:bottom w:val="none" w:sz="0" w:space="0" w:color="auto"/>
                                                                    <w:right w:val="none" w:sz="0" w:space="0" w:color="auto"/>
                                                                  </w:divBdr>
                                                                  <w:divsChild>
                                                                    <w:div w:id="1493257035">
                                                                      <w:marLeft w:val="0"/>
                                                                      <w:marRight w:val="0"/>
                                                                      <w:marTop w:val="0"/>
                                                                      <w:marBottom w:val="0"/>
                                                                      <w:divBdr>
                                                                        <w:top w:val="none" w:sz="0" w:space="0" w:color="auto"/>
                                                                        <w:left w:val="none" w:sz="0" w:space="0" w:color="auto"/>
                                                                        <w:bottom w:val="none" w:sz="0" w:space="0" w:color="auto"/>
                                                                        <w:right w:val="none" w:sz="0" w:space="0" w:color="auto"/>
                                                                      </w:divBdr>
                                                                      <w:divsChild>
                                                                        <w:div w:id="1668359993">
                                                                          <w:marLeft w:val="0"/>
                                                                          <w:marRight w:val="0"/>
                                                                          <w:marTop w:val="0"/>
                                                                          <w:marBottom w:val="0"/>
                                                                          <w:divBdr>
                                                                            <w:top w:val="none" w:sz="0" w:space="0" w:color="auto"/>
                                                                            <w:left w:val="none" w:sz="0" w:space="0" w:color="auto"/>
                                                                            <w:bottom w:val="none" w:sz="0" w:space="0" w:color="auto"/>
                                                                            <w:right w:val="none" w:sz="0" w:space="0" w:color="auto"/>
                                                                          </w:divBdr>
                                                                          <w:divsChild>
                                                                            <w:div w:id="794441971">
                                                                              <w:marLeft w:val="0"/>
                                                                              <w:marRight w:val="0"/>
                                                                              <w:marTop w:val="0"/>
                                                                              <w:marBottom w:val="0"/>
                                                                              <w:divBdr>
                                                                                <w:top w:val="none" w:sz="0" w:space="0" w:color="auto"/>
                                                                                <w:left w:val="none" w:sz="0" w:space="0" w:color="auto"/>
                                                                                <w:bottom w:val="none" w:sz="0" w:space="0" w:color="auto"/>
                                                                                <w:right w:val="none" w:sz="0" w:space="0" w:color="auto"/>
                                                                              </w:divBdr>
                                                                              <w:divsChild>
                                                                                <w:div w:id="1799448141">
                                                                                  <w:marLeft w:val="0"/>
                                                                                  <w:marRight w:val="0"/>
                                                                                  <w:marTop w:val="0"/>
                                                                                  <w:marBottom w:val="0"/>
                                                                                  <w:divBdr>
                                                                                    <w:top w:val="none" w:sz="0" w:space="0" w:color="auto"/>
                                                                                    <w:left w:val="none" w:sz="0" w:space="0" w:color="auto"/>
                                                                                    <w:bottom w:val="none" w:sz="0" w:space="0" w:color="auto"/>
                                                                                    <w:right w:val="none" w:sz="0" w:space="0" w:color="auto"/>
                                                                                  </w:divBdr>
                                                                                  <w:divsChild>
                                                                                    <w:div w:id="1530141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32476329">
                                                              <w:marLeft w:val="0"/>
                                                              <w:marRight w:val="0"/>
                                                              <w:marTop w:val="0"/>
                                                              <w:marBottom w:val="0"/>
                                                              <w:divBdr>
                                                                <w:top w:val="single" w:sz="2" w:space="0" w:color="E3E3E3"/>
                                                                <w:left w:val="single" w:sz="2" w:space="0" w:color="E3E3E3"/>
                                                                <w:bottom w:val="single" w:sz="2" w:space="0" w:color="E3E3E3"/>
                                                                <w:right w:val="single" w:sz="2" w:space="0" w:color="E3E3E3"/>
                                                              </w:divBdr>
                                                              <w:divsChild>
                                                                <w:div w:id="465244291">
                                                                  <w:marLeft w:val="0"/>
                                                                  <w:marRight w:val="0"/>
                                                                  <w:marTop w:val="0"/>
                                                                  <w:marBottom w:val="0"/>
                                                                  <w:divBdr>
                                                                    <w:top w:val="none" w:sz="0" w:space="0" w:color="auto"/>
                                                                    <w:left w:val="none" w:sz="0" w:space="0" w:color="auto"/>
                                                                    <w:bottom w:val="none" w:sz="0" w:space="0" w:color="auto"/>
                                                                    <w:right w:val="none" w:sz="0" w:space="0" w:color="auto"/>
                                                                  </w:divBdr>
                                                                  <w:divsChild>
                                                                    <w:div w:id="751046247">
                                                                      <w:marLeft w:val="0"/>
                                                                      <w:marRight w:val="0"/>
                                                                      <w:marTop w:val="0"/>
                                                                      <w:marBottom w:val="0"/>
                                                                      <w:divBdr>
                                                                        <w:top w:val="none" w:sz="0" w:space="0" w:color="auto"/>
                                                                        <w:left w:val="none" w:sz="0" w:space="0" w:color="auto"/>
                                                                        <w:bottom w:val="none" w:sz="0" w:space="0" w:color="auto"/>
                                                                        <w:right w:val="none" w:sz="0" w:space="0" w:color="auto"/>
                                                                      </w:divBdr>
                                                                      <w:divsChild>
                                                                        <w:div w:id="2125994817">
                                                                          <w:marLeft w:val="0"/>
                                                                          <w:marRight w:val="0"/>
                                                                          <w:marTop w:val="0"/>
                                                                          <w:marBottom w:val="0"/>
                                                                          <w:divBdr>
                                                                            <w:top w:val="none" w:sz="0" w:space="0" w:color="auto"/>
                                                                            <w:left w:val="none" w:sz="0" w:space="0" w:color="auto"/>
                                                                            <w:bottom w:val="none" w:sz="0" w:space="0" w:color="auto"/>
                                                                            <w:right w:val="none" w:sz="0" w:space="0" w:color="auto"/>
                                                                          </w:divBdr>
                                                                          <w:divsChild>
                                                                            <w:div w:id="624700389">
                                                                              <w:marLeft w:val="0"/>
                                                                              <w:marRight w:val="0"/>
                                                                              <w:marTop w:val="0"/>
                                                                              <w:marBottom w:val="0"/>
                                                                              <w:divBdr>
                                                                                <w:top w:val="none" w:sz="0" w:space="0" w:color="auto"/>
                                                                                <w:left w:val="none" w:sz="0" w:space="0" w:color="auto"/>
                                                                                <w:bottom w:val="none" w:sz="0" w:space="0" w:color="auto"/>
                                                                                <w:right w:val="none" w:sz="0" w:space="0" w:color="auto"/>
                                                                              </w:divBdr>
                                                                              <w:divsChild>
                                                                                <w:div w:id="1879971933">
                                                                                  <w:marLeft w:val="0"/>
                                                                                  <w:marRight w:val="0"/>
                                                                                  <w:marTop w:val="0"/>
                                                                                  <w:marBottom w:val="0"/>
                                                                                  <w:divBdr>
                                                                                    <w:top w:val="none" w:sz="0" w:space="0" w:color="auto"/>
                                                                                    <w:left w:val="none" w:sz="0" w:space="0" w:color="auto"/>
                                                                                    <w:bottom w:val="none" w:sz="0" w:space="0" w:color="auto"/>
                                                                                    <w:right w:val="none" w:sz="0" w:space="0" w:color="auto"/>
                                                                                  </w:divBdr>
                                                                                  <w:divsChild>
                                                                                    <w:div w:id="1825272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22236142">
                                                              <w:marLeft w:val="0"/>
                                                              <w:marRight w:val="0"/>
                                                              <w:marTop w:val="0"/>
                                                              <w:marBottom w:val="0"/>
                                                              <w:divBdr>
                                                                <w:top w:val="single" w:sz="2" w:space="0" w:color="E3E3E3"/>
                                                                <w:left w:val="single" w:sz="2" w:space="0" w:color="E3E3E3"/>
                                                                <w:bottom w:val="single" w:sz="2" w:space="0" w:color="E3E3E3"/>
                                                                <w:right w:val="single" w:sz="2" w:space="0" w:color="E3E3E3"/>
                                                              </w:divBdr>
                                                              <w:divsChild>
                                                                <w:div w:id="399134484">
                                                                  <w:marLeft w:val="0"/>
                                                                  <w:marRight w:val="0"/>
                                                                  <w:marTop w:val="0"/>
                                                                  <w:marBottom w:val="0"/>
                                                                  <w:divBdr>
                                                                    <w:top w:val="none" w:sz="0" w:space="0" w:color="auto"/>
                                                                    <w:left w:val="none" w:sz="0" w:space="0" w:color="auto"/>
                                                                    <w:bottom w:val="none" w:sz="0" w:space="0" w:color="auto"/>
                                                                    <w:right w:val="none" w:sz="0" w:space="0" w:color="auto"/>
                                                                  </w:divBdr>
                                                                  <w:divsChild>
                                                                    <w:div w:id="760417281">
                                                                      <w:marLeft w:val="0"/>
                                                                      <w:marRight w:val="0"/>
                                                                      <w:marTop w:val="0"/>
                                                                      <w:marBottom w:val="0"/>
                                                                      <w:divBdr>
                                                                        <w:top w:val="none" w:sz="0" w:space="0" w:color="auto"/>
                                                                        <w:left w:val="none" w:sz="0" w:space="0" w:color="auto"/>
                                                                        <w:bottom w:val="none" w:sz="0" w:space="0" w:color="auto"/>
                                                                        <w:right w:val="none" w:sz="0" w:space="0" w:color="auto"/>
                                                                      </w:divBdr>
                                                                      <w:divsChild>
                                                                        <w:div w:id="23865441">
                                                                          <w:marLeft w:val="0"/>
                                                                          <w:marRight w:val="0"/>
                                                                          <w:marTop w:val="0"/>
                                                                          <w:marBottom w:val="0"/>
                                                                          <w:divBdr>
                                                                            <w:top w:val="none" w:sz="0" w:space="0" w:color="auto"/>
                                                                            <w:left w:val="none" w:sz="0" w:space="0" w:color="auto"/>
                                                                            <w:bottom w:val="none" w:sz="0" w:space="0" w:color="auto"/>
                                                                            <w:right w:val="none" w:sz="0" w:space="0" w:color="auto"/>
                                                                          </w:divBdr>
                                                                          <w:divsChild>
                                                                            <w:div w:id="1129737308">
                                                                              <w:marLeft w:val="0"/>
                                                                              <w:marRight w:val="0"/>
                                                                              <w:marTop w:val="0"/>
                                                                              <w:marBottom w:val="0"/>
                                                                              <w:divBdr>
                                                                                <w:top w:val="none" w:sz="0" w:space="0" w:color="auto"/>
                                                                                <w:left w:val="none" w:sz="0" w:space="0" w:color="auto"/>
                                                                                <w:bottom w:val="none" w:sz="0" w:space="0" w:color="auto"/>
                                                                                <w:right w:val="none" w:sz="0" w:space="0" w:color="auto"/>
                                                                              </w:divBdr>
                                                                              <w:divsChild>
                                                                                <w:div w:id="531385761">
                                                                                  <w:marLeft w:val="0"/>
                                                                                  <w:marRight w:val="0"/>
                                                                                  <w:marTop w:val="0"/>
                                                                                  <w:marBottom w:val="0"/>
                                                                                  <w:divBdr>
                                                                                    <w:top w:val="none" w:sz="0" w:space="0" w:color="auto"/>
                                                                                    <w:left w:val="none" w:sz="0" w:space="0" w:color="auto"/>
                                                                                    <w:bottom w:val="none" w:sz="0" w:space="0" w:color="auto"/>
                                                                                    <w:right w:val="none" w:sz="0" w:space="0" w:color="auto"/>
                                                                                  </w:divBdr>
                                                                                  <w:divsChild>
                                                                                    <w:div w:id="1136334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7057832">
                                                                              <w:marLeft w:val="0"/>
                                                                              <w:marRight w:val="0"/>
                                                                              <w:marTop w:val="0"/>
                                                                              <w:marBottom w:val="0"/>
                                                                              <w:divBdr>
                                                                                <w:top w:val="none" w:sz="0" w:space="0" w:color="auto"/>
                                                                                <w:left w:val="none" w:sz="0" w:space="0" w:color="auto"/>
                                                                                <w:bottom w:val="none" w:sz="0" w:space="0" w:color="auto"/>
                                                                                <w:right w:val="none" w:sz="0" w:space="0" w:color="auto"/>
                                                                              </w:divBdr>
                                                                              <w:divsChild>
                                                                                <w:div w:id="1027678743">
                                                                                  <w:marLeft w:val="0"/>
                                                                                  <w:marRight w:val="0"/>
                                                                                  <w:marTop w:val="0"/>
                                                                                  <w:marBottom w:val="0"/>
                                                                                  <w:divBdr>
                                                                                    <w:top w:val="none" w:sz="0" w:space="0" w:color="auto"/>
                                                                                    <w:left w:val="none" w:sz="0" w:space="0" w:color="auto"/>
                                                                                    <w:bottom w:val="none" w:sz="0" w:space="0" w:color="auto"/>
                                                                                    <w:right w:val="none" w:sz="0" w:space="0" w:color="auto"/>
                                                                                  </w:divBdr>
                                                                                  <w:divsChild>
                                                                                    <w:div w:id="1030496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4614451">
                                                              <w:marLeft w:val="0"/>
                                                              <w:marRight w:val="0"/>
                                                              <w:marTop w:val="0"/>
                                                              <w:marBottom w:val="0"/>
                                                              <w:divBdr>
                                                                <w:top w:val="single" w:sz="2" w:space="0" w:color="E3E3E3"/>
                                                                <w:left w:val="single" w:sz="2" w:space="0" w:color="E3E3E3"/>
                                                                <w:bottom w:val="single" w:sz="2" w:space="0" w:color="E3E3E3"/>
                                                                <w:right w:val="single" w:sz="2" w:space="0" w:color="E3E3E3"/>
                                                              </w:divBdr>
                                                              <w:divsChild>
                                                                <w:div w:id="558171033">
                                                                  <w:marLeft w:val="0"/>
                                                                  <w:marRight w:val="0"/>
                                                                  <w:marTop w:val="0"/>
                                                                  <w:marBottom w:val="0"/>
                                                                  <w:divBdr>
                                                                    <w:top w:val="none" w:sz="0" w:space="0" w:color="auto"/>
                                                                    <w:left w:val="none" w:sz="0" w:space="0" w:color="auto"/>
                                                                    <w:bottom w:val="none" w:sz="0" w:space="0" w:color="auto"/>
                                                                    <w:right w:val="none" w:sz="0" w:space="0" w:color="auto"/>
                                                                  </w:divBdr>
                                                                  <w:divsChild>
                                                                    <w:div w:id="1817448730">
                                                                      <w:marLeft w:val="0"/>
                                                                      <w:marRight w:val="0"/>
                                                                      <w:marTop w:val="0"/>
                                                                      <w:marBottom w:val="0"/>
                                                                      <w:divBdr>
                                                                        <w:top w:val="none" w:sz="0" w:space="0" w:color="auto"/>
                                                                        <w:left w:val="none" w:sz="0" w:space="0" w:color="auto"/>
                                                                        <w:bottom w:val="none" w:sz="0" w:space="0" w:color="auto"/>
                                                                        <w:right w:val="none" w:sz="0" w:space="0" w:color="auto"/>
                                                                      </w:divBdr>
                                                                      <w:divsChild>
                                                                        <w:div w:id="1660302486">
                                                                          <w:marLeft w:val="0"/>
                                                                          <w:marRight w:val="0"/>
                                                                          <w:marTop w:val="0"/>
                                                                          <w:marBottom w:val="0"/>
                                                                          <w:divBdr>
                                                                            <w:top w:val="none" w:sz="0" w:space="0" w:color="auto"/>
                                                                            <w:left w:val="none" w:sz="0" w:space="0" w:color="auto"/>
                                                                            <w:bottom w:val="none" w:sz="0" w:space="0" w:color="auto"/>
                                                                            <w:right w:val="none" w:sz="0" w:space="0" w:color="auto"/>
                                                                          </w:divBdr>
                                                                          <w:divsChild>
                                                                            <w:div w:id="1392383459">
                                                                              <w:marLeft w:val="0"/>
                                                                              <w:marRight w:val="0"/>
                                                                              <w:marTop w:val="0"/>
                                                                              <w:marBottom w:val="0"/>
                                                                              <w:divBdr>
                                                                                <w:top w:val="none" w:sz="0" w:space="0" w:color="auto"/>
                                                                                <w:left w:val="none" w:sz="0" w:space="0" w:color="auto"/>
                                                                                <w:bottom w:val="none" w:sz="0" w:space="0" w:color="auto"/>
                                                                                <w:right w:val="none" w:sz="0" w:space="0" w:color="auto"/>
                                                                              </w:divBdr>
                                                                              <w:divsChild>
                                                                                <w:div w:id="1021853652">
                                                                                  <w:marLeft w:val="0"/>
                                                                                  <w:marRight w:val="0"/>
                                                                                  <w:marTop w:val="0"/>
                                                                                  <w:marBottom w:val="0"/>
                                                                                  <w:divBdr>
                                                                                    <w:top w:val="none" w:sz="0" w:space="0" w:color="auto"/>
                                                                                    <w:left w:val="none" w:sz="0" w:space="0" w:color="auto"/>
                                                                                    <w:bottom w:val="none" w:sz="0" w:space="0" w:color="auto"/>
                                                                                    <w:right w:val="none" w:sz="0" w:space="0" w:color="auto"/>
                                                                                  </w:divBdr>
                                                                                  <w:divsChild>
                                                                                    <w:div w:id="513543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5982347">
                                                                              <w:marLeft w:val="0"/>
                                                                              <w:marRight w:val="0"/>
                                                                              <w:marTop w:val="0"/>
                                                                              <w:marBottom w:val="0"/>
                                                                              <w:divBdr>
                                                                                <w:top w:val="none" w:sz="0" w:space="0" w:color="auto"/>
                                                                                <w:left w:val="none" w:sz="0" w:space="0" w:color="auto"/>
                                                                                <w:bottom w:val="none" w:sz="0" w:space="0" w:color="auto"/>
                                                                                <w:right w:val="none" w:sz="0" w:space="0" w:color="auto"/>
                                                                              </w:divBdr>
                                                                              <w:divsChild>
                                                                                <w:div w:id="1073163462">
                                                                                  <w:marLeft w:val="0"/>
                                                                                  <w:marRight w:val="0"/>
                                                                                  <w:marTop w:val="0"/>
                                                                                  <w:marBottom w:val="0"/>
                                                                                  <w:divBdr>
                                                                                    <w:top w:val="none" w:sz="0" w:space="0" w:color="auto"/>
                                                                                    <w:left w:val="none" w:sz="0" w:space="0" w:color="auto"/>
                                                                                    <w:bottom w:val="none" w:sz="0" w:space="0" w:color="auto"/>
                                                                                    <w:right w:val="none" w:sz="0" w:space="0" w:color="auto"/>
                                                                                  </w:divBdr>
                                                                                  <w:divsChild>
                                                                                    <w:div w:id="1172380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88629942">
                                              <w:marLeft w:val="0"/>
                                              <w:marRight w:val="0"/>
                                              <w:marTop w:val="0"/>
                                              <w:marBottom w:val="0"/>
                                              <w:divBdr>
                                                <w:top w:val="none" w:sz="0" w:space="0" w:color="auto"/>
                                                <w:left w:val="none" w:sz="0" w:space="0" w:color="auto"/>
                                                <w:bottom w:val="none" w:sz="0" w:space="0" w:color="auto"/>
                                                <w:right w:val="none" w:sz="0" w:space="0" w:color="auto"/>
                                              </w:divBdr>
                                              <w:divsChild>
                                                <w:div w:id="1021128390">
                                                  <w:marLeft w:val="0"/>
                                                  <w:marRight w:val="0"/>
                                                  <w:marTop w:val="0"/>
                                                  <w:marBottom w:val="0"/>
                                                  <w:divBdr>
                                                    <w:top w:val="none" w:sz="0" w:space="0" w:color="auto"/>
                                                    <w:left w:val="none" w:sz="0" w:space="0" w:color="auto"/>
                                                    <w:bottom w:val="none" w:sz="0" w:space="0" w:color="auto"/>
                                                    <w:right w:val="none" w:sz="0" w:space="0" w:color="auto"/>
                                                  </w:divBdr>
                                                  <w:divsChild>
                                                    <w:div w:id="744380954">
                                                      <w:marLeft w:val="0"/>
                                                      <w:marRight w:val="0"/>
                                                      <w:marTop w:val="0"/>
                                                      <w:marBottom w:val="0"/>
                                                      <w:divBdr>
                                                        <w:top w:val="none" w:sz="0" w:space="0" w:color="auto"/>
                                                        <w:left w:val="none" w:sz="0" w:space="0" w:color="auto"/>
                                                        <w:bottom w:val="none" w:sz="0" w:space="0" w:color="auto"/>
                                                        <w:right w:val="none" w:sz="0" w:space="0" w:color="auto"/>
                                                      </w:divBdr>
                                                      <w:divsChild>
                                                        <w:div w:id="275870836">
                                                          <w:marLeft w:val="0"/>
                                                          <w:marRight w:val="0"/>
                                                          <w:marTop w:val="0"/>
                                                          <w:marBottom w:val="0"/>
                                                          <w:divBdr>
                                                            <w:top w:val="none" w:sz="0" w:space="0" w:color="auto"/>
                                                            <w:left w:val="none" w:sz="0" w:space="0" w:color="auto"/>
                                                            <w:bottom w:val="none" w:sz="0" w:space="0" w:color="auto"/>
                                                            <w:right w:val="none" w:sz="0" w:space="0" w:color="auto"/>
                                                          </w:divBdr>
                                                          <w:divsChild>
                                                            <w:div w:id="111945814">
                                                              <w:marLeft w:val="0"/>
                                                              <w:marRight w:val="0"/>
                                                              <w:marTop w:val="0"/>
                                                              <w:marBottom w:val="0"/>
                                                              <w:divBdr>
                                                                <w:top w:val="none" w:sz="0" w:space="0" w:color="auto"/>
                                                                <w:left w:val="none" w:sz="0" w:space="0" w:color="auto"/>
                                                                <w:bottom w:val="none" w:sz="0" w:space="0" w:color="auto"/>
                                                                <w:right w:val="none" w:sz="0" w:space="0" w:color="auto"/>
                                                              </w:divBdr>
                                                              <w:divsChild>
                                                                <w:div w:id="588931599">
                                                                  <w:marLeft w:val="0"/>
                                                                  <w:marRight w:val="0"/>
                                                                  <w:marTop w:val="0"/>
                                                                  <w:marBottom w:val="0"/>
                                                                  <w:divBdr>
                                                                    <w:top w:val="none" w:sz="0" w:space="0" w:color="auto"/>
                                                                    <w:left w:val="none" w:sz="0" w:space="0" w:color="auto"/>
                                                                    <w:bottom w:val="none" w:sz="0" w:space="0" w:color="auto"/>
                                                                    <w:right w:val="none" w:sz="0" w:space="0" w:color="auto"/>
                                                                  </w:divBdr>
                                                                </w:div>
                                                                <w:div w:id="193272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93103369">
                              <w:marLeft w:val="0"/>
                              <w:marRight w:val="0"/>
                              <w:marTop w:val="0"/>
                              <w:marBottom w:val="0"/>
                              <w:divBdr>
                                <w:top w:val="none" w:sz="0" w:space="0" w:color="auto"/>
                                <w:left w:val="none" w:sz="0" w:space="0" w:color="auto"/>
                                <w:bottom w:val="none" w:sz="0" w:space="0" w:color="auto"/>
                                <w:right w:val="none" w:sz="0" w:space="0" w:color="auto"/>
                              </w:divBdr>
                              <w:divsChild>
                                <w:div w:id="564148795">
                                  <w:marLeft w:val="0"/>
                                  <w:marRight w:val="0"/>
                                  <w:marTop w:val="0"/>
                                  <w:marBottom w:val="0"/>
                                  <w:divBdr>
                                    <w:top w:val="none" w:sz="0" w:space="0" w:color="auto"/>
                                    <w:left w:val="none" w:sz="0" w:space="0" w:color="auto"/>
                                    <w:bottom w:val="none" w:sz="0" w:space="0" w:color="auto"/>
                                    <w:right w:val="none" w:sz="0" w:space="0" w:color="auto"/>
                                  </w:divBdr>
                                  <w:divsChild>
                                    <w:div w:id="1066151309">
                                      <w:marLeft w:val="0"/>
                                      <w:marRight w:val="0"/>
                                      <w:marTop w:val="0"/>
                                      <w:marBottom w:val="0"/>
                                      <w:divBdr>
                                        <w:top w:val="none" w:sz="0" w:space="0" w:color="auto"/>
                                        <w:left w:val="none" w:sz="0" w:space="0" w:color="auto"/>
                                        <w:bottom w:val="none" w:sz="0" w:space="0" w:color="auto"/>
                                        <w:right w:val="none" w:sz="0" w:space="0" w:color="auto"/>
                                      </w:divBdr>
                                      <w:divsChild>
                                        <w:div w:id="381055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55725474">
                      <w:marLeft w:val="0"/>
                      <w:marRight w:val="0"/>
                      <w:marTop w:val="0"/>
                      <w:marBottom w:val="0"/>
                      <w:divBdr>
                        <w:top w:val="none" w:sz="0" w:space="0" w:color="auto"/>
                        <w:left w:val="none" w:sz="0" w:space="0" w:color="auto"/>
                        <w:bottom w:val="none" w:sz="0" w:space="0" w:color="auto"/>
                        <w:right w:val="none" w:sz="0" w:space="0" w:color="auto"/>
                      </w:divBdr>
                      <w:divsChild>
                        <w:div w:id="528033804">
                          <w:marLeft w:val="0"/>
                          <w:marRight w:val="0"/>
                          <w:marTop w:val="0"/>
                          <w:marBottom w:val="0"/>
                          <w:divBdr>
                            <w:top w:val="none" w:sz="0" w:space="0" w:color="auto"/>
                            <w:left w:val="none" w:sz="0" w:space="0" w:color="auto"/>
                            <w:bottom w:val="none" w:sz="0" w:space="0" w:color="auto"/>
                            <w:right w:val="none" w:sz="0" w:space="0" w:color="auto"/>
                          </w:divBdr>
                          <w:divsChild>
                            <w:div w:id="1156457655">
                              <w:marLeft w:val="0"/>
                              <w:marRight w:val="0"/>
                              <w:marTop w:val="0"/>
                              <w:marBottom w:val="0"/>
                              <w:divBdr>
                                <w:top w:val="none" w:sz="0" w:space="0" w:color="auto"/>
                                <w:left w:val="none" w:sz="0" w:space="0" w:color="auto"/>
                                <w:bottom w:val="none" w:sz="0" w:space="0" w:color="auto"/>
                                <w:right w:val="none" w:sz="0" w:space="0" w:color="auto"/>
                              </w:divBdr>
                              <w:divsChild>
                                <w:div w:id="1740013425">
                                  <w:marLeft w:val="0"/>
                                  <w:marRight w:val="0"/>
                                  <w:marTop w:val="0"/>
                                  <w:marBottom w:val="0"/>
                                  <w:divBdr>
                                    <w:top w:val="none" w:sz="0" w:space="0" w:color="auto"/>
                                    <w:left w:val="none" w:sz="0" w:space="0" w:color="auto"/>
                                    <w:bottom w:val="none" w:sz="0" w:space="0" w:color="auto"/>
                                    <w:right w:val="none" w:sz="0" w:space="0" w:color="auto"/>
                                  </w:divBdr>
                                  <w:divsChild>
                                    <w:div w:id="1614902066">
                                      <w:marLeft w:val="0"/>
                                      <w:marRight w:val="0"/>
                                      <w:marTop w:val="0"/>
                                      <w:marBottom w:val="0"/>
                                      <w:divBdr>
                                        <w:top w:val="none" w:sz="0" w:space="0" w:color="auto"/>
                                        <w:left w:val="none" w:sz="0" w:space="0" w:color="auto"/>
                                        <w:bottom w:val="none" w:sz="0" w:space="0" w:color="auto"/>
                                        <w:right w:val="none" w:sz="0" w:space="0" w:color="auto"/>
                                      </w:divBdr>
                                      <w:divsChild>
                                        <w:div w:id="447237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0965872">
                              <w:marLeft w:val="0"/>
                              <w:marRight w:val="0"/>
                              <w:marTop w:val="0"/>
                              <w:marBottom w:val="0"/>
                              <w:divBdr>
                                <w:top w:val="none" w:sz="0" w:space="0" w:color="auto"/>
                                <w:left w:val="none" w:sz="0" w:space="0" w:color="auto"/>
                                <w:bottom w:val="none" w:sz="0" w:space="0" w:color="auto"/>
                                <w:right w:val="none" w:sz="0" w:space="0" w:color="auto"/>
                              </w:divBdr>
                              <w:divsChild>
                                <w:div w:id="1365907768">
                                  <w:marLeft w:val="0"/>
                                  <w:marRight w:val="0"/>
                                  <w:marTop w:val="0"/>
                                  <w:marBottom w:val="0"/>
                                  <w:divBdr>
                                    <w:top w:val="none" w:sz="0" w:space="0" w:color="auto"/>
                                    <w:left w:val="none" w:sz="0" w:space="0" w:color="auto"/>
                                    <w:bottom w:val="none" w:sz="0" w:space="0" w:color="auto"/>
                                    <w:right w:val="none" w:sz="0" w:space="0" w:color="auto"/>
                                  </w:divBdr>
                                  <w:divsChild>
                                    <w:div w:id="1896499707">
                                      <w:marLeft w:val="0"/>
                                      <w:marRight w:val="0"/>
                                      <w:marTop w:val="0"/>
                                      <w:marBottom w:val="0"/>
                                      <w:divBdr>
                                        <w:top w:val="none" w:sz="0" w:space="0" w:color="auto"/>
                                        <w:left w:val="none" w:sz="0" w:space="0" w:color="auto"/>
                                        <w:bottom w:val="none" w:sz="0" w:space="0" w:color="auto"/>
                                        <w:right w:val="none" w:sz="0" w:space="0" w:color="auto"/>
                                      </w:divBdr>
                                      <w:divsChild>
                                        <w:div w:id="219364536">
                                          <w:marLeft w:val="0"/>
                                          <w:marRight w:val="0"/>
                                          <w:marTop w:val="0"/>
                                          <w:marBottom w:val="0"/>
                                          <w:divBdr>
                                            <w:top w:val="none" w:sz="0" w:space="0" w:color="auto"/>
                                            <w:left w:val="none" w:sz="0" w:space="0" w:color="auto"/>
                                            <w:bottom w:val="none" w:sz="0" w:space="0" w:color="auto"/>
                                            <w:right w:val="none" w:sz="0" w:space="0" w:color="auto"/>
                                          </w:divBdr>
                                          <w:divsChild>
                                            <w:div w:id="202521839">
                                              <w:marLeft w:val="0"/>
                                              <w:marRight w:val="0"/>
                                              <w:marTop w:val="0"/>
                                              <w:marBottom w:val="0"/>
                                              <w:divBdr>
                                                <w:top w:val="none" w:sz="0" w:space="0" w:color="auto"/>
                                                <w:left w:val="none" w:sz="0" w:space="0" w:color="auto"/>
                                                <w:bottom w:val="none" w:sz="0" w:space="0" w:color="auto"/>
                                                <w:right w:val="none" w:sz="0" w:space="0" w:color="auto"/>
                                              </w:divBdr>
                                              <w:divsChild>
                                                <w:div w:id="1609580709">
                                                  <w:marLeft w:val="0"/>
                                                  <w:marRight w:val="0"/>
                                                  <w:marTop w:val="0"/>
                                                  <w:marBottom w:val="0"/>
                                                  <w:divBdr>
                                                    <w:top w:val="none" w:sz="0" w:space="0" w:color="auto"/>
                                                    <w:left w:val="none" w:sz="0" w:space="0" w:color="auto"/>
                                                    <w:bottom w:val="none" w:sz="0" w:space="0" w:color="auto"/>
                                                    <w:right w:val="none" w:sz="0" w:space="0" w:color="auto"/>
                                                  </w:divBdr>
                                                  <w:divsChild>
                                                    <w:div w:id="1615013483">
                                                      <w:marLeft w:val="0"/>
                                                      <w:marRight w:val="0"/>
                                                      <w:marTop w:val="0"/>
                                                      <w:marBottom w:val="0"/>
                                                      <w:divBdr>
                                                        <w:top w:val="none" w:sz="0" w:space="0" w:color="auto"/>
                                                        <w:left w:val="none" w:sz="0" w:space="0" w:color="auto"/>
                                                        <w:bottom w:val="none" w:sz="0" w:space="0" w:color="auto"/>
                                                        <w:right w:val="none" w:sz="0" w:space="0" w:color="auto"/>
                                                      </w:divBdr>
                                                      <w:divsChild>
                                                        <w:div w:id="299045248">
                                                          <w:marLeft w:val="0"/>
                                                          <w:marRight w:val="0"/>
                                                          <w:marTop w:val="0"/>
                                                          <w:marBottom w:val="0"/>
                                                          <w:divBdr>
                                                            <w:top w:val="none" w:sz="0" w:space="0" w:color="auto"/>
                                                            <w:left w:val="none" w:sz="0" w:space="0" w:color="auto"/>
                                                            <w:bottom w:val="none" w:sz="0" w:space="0" w:color="auto"/>
                                                            <w:right w:val="none" w:sz="0" w:space="0" w:color="auto"/>
                                                          </w:divBdr>
                                                          <w:divsChild>
                                                            <w:div w:id="318731186">
                                                              <w:marLeft w:val="0"/>
                                                              <w:marRight w:val="0"/>
                                                              <w:marTop w:val="0"/>
                                                              <w:marBottom w:val="0"/>
                                                              <w:divBdr>
                                                                <w:top w:val="none" w:sz="0" w:space="0" w:color="auto"/>
                                                                <w:left w:val="none" w:sz="0" w:space="0" w:color="auto"/>
                                                                <w:bottom w:val="none" w:sz="0" w:space="0" w:color="auto"/>
                                                                <w:right w:val="none" w:sz="0" w:space="0" w:color="auto"/>
                                                              </w:divBdr>
                                                              <w:divsChild>
                                                                <w:div w:id="1445689429">
                                                                  <w:marLeft w:val="0"/>
                                                                  <w:marRight w:val="0"/>
                                                                  <w:marTop w:val="0"/>
                                                                  <w:marBottom w:val="0"/>
                                                                  <w:divBdr>
                                                                    <w:top w:val="none" w:sz="0" w:space="0" w:color="auto"/>
                                                                    <w:left w:val="none" w:sz="0" w:space="0" w:color="auto"/>
                                                                    <w:bottom w:val="none" w:sz="0" w:space="0" w:color="auto"/>
                                                                    <w:right w:val="none" w:sz="0" w:space="0" w:color="auto"/>
                                                                  </w:divBdr>
                                                                  <w:divsChild>
                                                                    <w:div w:id="244997572">
                                                                      <w:marLeft w:val="0"/>
                                                                      <w:marRight w:val="0"/>
                                                                      <w:marTop w:val="0"/>
                                                                      <w:marBottom w:val="0"/>
                                                                      <w:divBdr>
                                                                        <w:top w:val="none" w:sz="0" w:space="0" w:color="auto"/>
                                                                        <w:left w:val="none" w:sz="0" w:space="0" w:color="auto"/>
                                                                        <w:bottom w:val="none" w:sz="0" w:space="0" w:color="auto"/>
                                                                        <w:right w:val="none" w:sz="0" w:space="0" w:color="auto"/>
                                                                      </w:divBdr>
                                                                      <w:divsChild>
                                                                        <w:div w:id="2053112452">
                                                                          <w:marLeft w:val="0"/>
                                                                          <w:marRight w:val="0"/>
                                                                          <w:marTop w:val="0"/>
                                                                          <w:marBottom w:val="0"/>
                                                                          <w:divBdr>
                                                                            <w:top w:val="none" w:sz="0" w:space="0" w:color="auto"/>
                                                                            <w:left w:val="none" w:sz="0" w:space="0" w:color="auto"/>
                                                                            <w:bottom w:val="none" w:sz="0" w:space="0" w:color="auto"/>
                                                                            <w:right w:val="none" w:sz="0" w:space="0" w:color="auto"/>
                                                                          </w:divBdr>
                                                                          <w:divsChild>
                                                                            <w:div w:id="702249348">
                                                                              <w:marLeft w:val="0"/>
                                                                              <w:marRight w:val="0"/>
                                                                              <w:marTop w:val="0"/>
                                                                              <w:marBottom w:val="0"/>
                                                                              <w:divBdr>
                                                                                <w:top w:val="single" w:sz="2" w:space="0" w:color="E3E3E3"/>
                                                                                <w:left w:val="single" w:sz="2" w:space="0" w:color="E3E3E3"/>
                                                                                <w:bottom w:val="single" w:sz="2" w:space="0" w:color="E3E3E3"/>
                                                                                <w:right w:val="single" w:sz="2" w:space="0" w:color="E3E3E3"/>
                                                                              </w:divBdr>
                                                                              <w:divsChild>
                                                                                <w:div w:id="1484613947">
                                                                                  <w:marLeft w:val="0"/>
                                                                                  <w:marRight w:val="0"/>
                                                                                  <w:marTop w:val="0"/>
                                                                                  <w:marBottom w:val="0"/>
                                                                                  <w:divBdr>
                                                                                    <w:top w:val="none" w:sz="0" w:space="0" w:color="auto"/>
                                                                                    <w:left w:val="none" w:sz="0" w:space="0" w:color="auto"/>
                                                                                    <w:bottom w:val="none" w:sz="0" w:space="0" w:color="auto"/>
                                                                                    <w:right w:val="none" w:sz="0" w:space="0" w:color="auto"/>
                                                                                  </w:divBdr>
                                                                                  <w:divsChild>
                                                                                    <w:div w:id="829255153">
                                                                                      <w:marLeft w:val="0"/>
                                                                                      <w:marRight w:val="0"/>
                                                                                      <w:marTop w:val="0"/>
                                                                                      <w:marBottom w:val="0"/>
                                                                                      <w:divBdr>
                                                                                        <w:top w:val="none" w:sz="0" w:space="0" w:color="auto"/>
                                                                                        <w:left w:val="none" w:sz="0" w:space="0" w:color="auto"/>
                                                                                        <w:bottom w:val="none" w:sz="0" w:space="0" w:color="auto"/>
                                                                                        <w:right w:val="none" w:sz="0" w:space="0" w:color="auto"/>
                                                                                      </w:divBdr>
                                                                                      <w:divsChild>
                                                                                        <w:div w:id="442044321">
                                                                                          <w:marLeft w:val="0"/>
                                                                                          <w:marRight w:val="0"/>
                                                                                          <w:marTop w:val="0"/>
                                                                                          <w:marBottom w:val="0"/>
                                                                                          <w:divBdr>
                                                                                            <w:top w:val="none" w:sz="0" w:space="0" w:color="auto"/>
                                                                                            <w:left w:val="none" w:sz="0" w:space="0" w:color="auto"/>
                                                                                            <w:bottom w:val="none" w:sz="0" w:space="0" w:color="auto"/>
                                                                                            <w:right w:val="none" w:sz="0" w:space="0" w:color="auto"/>
                                                                                          </w:divBdr>
                                                                                          <w:divsChild>
                                                                                            <w:div w:id="2065257248">
                                                                                              <w:marLeft w:val="0"/>
                                                                                              <w:marRight w:val="0"/>
                                                                                              <w:marTop w:val="0"/>
                                                                                              <w:marBottom w:val="0"/>
                                                                                              <w:divBdr>
                                                                                                <w:top w:val="none" w:sz="0" w:space="0" w:color="auto"/>
                                                                                                <w:left w:val="none" w:sz="0" w:space="0" w:color="auto"/>
                                                                                                <w:bottom w:val="none" w:sz="0" w:space="0" w:color="auto"/>
                                                                                                <w:right w:val="none" w:sz="0" w:space="0" w:color="auto"/>
                                                                                              </w:divBdr>
                                                                                              <w:divsChild>
                                                                                                <w:div w:id="407000193">
                                                                                                  <w:marLeft w:val="0"/>
                                                                                                  <w:marRight w:val="0"/>
                                                                                                  <w:marTop w:val="0"/>
                                                                                                  <w:marBottom w:val="0"/>
                                                                                                  <w:divBdr>
                                                                                                    <w:top w:val="none" w:sz="0" w:space="0" w:color="auto"/>
                                                                                                    <w:left w:val="none" w:sz="0" w:space="0" w:color="auto"/>
                                                                                                    <w:bottom w:val="none" w:sz="0" w:space="0" w:color="auto"/>
                                                                                                    <w:right w:val="none" w:sz="0" w:space="0" w:color="auto"/>
                                                                                                  </w:divBdr>
                                                                                                  <w:divsChild>
                                                                                                    <w:div w:id="283780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2016668">
                                                                                              <w:marLeft w:val="0"/>
                                                                                              <w:marRight w:val="0"/>
                                                                                              <w:marTop w:val="0"/>
                                                                                              <w:marBottom w:val="0"/>
                                                                                              <w:divBdr>
                                                                                                <w:top w:val="none" w:sz="0" w:space="0" w:color="auto"/>
                                                                                                <w:left w:val="none" w:sz="0" w:space="0" w:color="auto"/>
                                                                                                <w:bottom w:val="none" w:sz="0" w:space="0" w:color="auto"/>
                                                                                                <w:right w:val="none" w:sz="0" w:space="0" w:color="auto"/>
                                                                                              </w:divBdr>
                                                                                              <w:divsChild>
                                                                                                <w:div w:id="114104153">
                                                                                                  <w:marLeft w:val="0"/>
                                                                                                  <w:marRight w:val="0"/>
                                                                                                  <w:marTop w:val="0"/>
                                                                                                  <w:marBottom w:val="0"/>
                                                                                                  <w:divBdr>
                                                                                                    <w:top w:val="none" w:sz="0" w:space="0" w:color="auto"/>
                                                                                                    <w:left w:val="none" w:sz="0" w:space="0" w:color="auto"/>
                                                                                                    <w:bottom w:val="none" w:sz="0" w:space="0" w:color="auto"/>
                                                                                                    <w:right w:val="none" w:sz="0" w:space="0" w:color="auto"/>
                                                                                                  </w:divBdr>
                                                                                                  <w:divsChild>
                                                                                                    <w:div w:id="102967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61062909">
                                                                              <w:marLeft w:val="0"/>
                                                                              <w:marRight w:val="0"/>
                                                                              <w:marTop w:val="0"/>
                                                                              <w:marBottom w:val="0"/>
                                                                              <w:divBdr>
                                                                                <w:top w:val="single" w:sz="2" w:space="0" w:color="E3E3E3"/>
                                                                                <w:left w:val="single" w:sz="2" w:space="0" w:color="E3E3E3"/>
                                                                                <w:bottom w:val="single" w:sz="2" w:space="0" w:color="E3E3E3"/>
                                                                                <w:right w:val="single" w:sz="2" w:space="0" w:color="E3E3E3"/>
                                                                              </w:divBdr>
                                                                              <w:divsChild>
                                                                                <w:div w:id="78723430">
                                                                                  <w:marLeft w:val="0"/>
                                                                                  <w:marRight w:val="0"/>
                                                                                  <w:marTop w:val="0"/>
                                                                                  <w:marBottom w:val="0"/>
                                                                                  <w:divBdr>
                                                                                    <w:top w:val="none" w:sz="0" w:space="0" w:color="auto"/>
                                                                                    <w:left w:val="none" w:sz="0" w:space="0" w:color="auto"/>
                                                                                    <w:bottom w:val="none" w:sz="0" w:space="0" w:color="auto"/>
                                                                                    <w:right w:val="none" w:sz="0" w:space="0" w:color="auto"/>
                                                                                  </w:divBdr>
                                                                                  <w:divsChild>
                                                                                    <w:div w:id="515122162">
                                                                                      <w:marLeft w:val="0"/>
                                                                                      <w:marRight w:val="0"/>
                                                                                      <w:marTop w:val="0"/>
                                                                                      <w:marBottom w:val="0"/>
                                                                                      <w:divBdr>
                                                                                        <w:top w:val="none" w:sz="0" w:space="0" w:color="auto"/>
                                                                                        <w:left w:val="none" w:sz="0" w:space="0" w:color="auto"/>
                                                                                        <w:bottom w:val="none" w:sz="0" w:space="0" w:color="auto"/>
                                                                                        <w:right w:val="none" w:sz="0" w:space="0" w:color="auto"/>
                                                                                      </w:divBdr>
                                                                                      <w:divsChild>
                                                                                        <w:div w:id="853688232">
                                                                                          <w:marLeft w:val="0"/>
                                                                                          <w:marRight w:val="0"/>
                                                                                          <w:marTop w:val="0"/>
                                                                                          <w:marBottom w:val="0"/>
                                                                                          <w:divBdr>
                                                                                            <w:top w:val="none" w:sz="0" w:space="0" w:color="auto"/>
                                                                                            <w:left w:val="none" w:sz="0" w:space="0" w:color="auto"/>
                                                                                            <w:bottom w:val="none" w:sz="0" w:space="0" w:color="auto"/>
                                                                                            <w:right w:val="none" w:sz="0" w:space="0" w:color="auto"/>
                                                                                          </w:divBdr>
                                                                                          <w:divsChild>
                                                                                            <w:div w:id="869995755">
                                                                                              <w:marLeft w:val="0"/>
                                                                                              <w:marRight w:val="0"/>
                                                                                              <w:marTop w:val="0"/>
                                                                                              <w:marBottom w:val="0"/>
                                                                                              <w:divBdr>
                                                                                                <w:top w:val="none" w:sz="0" w:space="0" w:color="auto"/>
                                                                                                <w:left w:val="none" w:sz="0" w:space="0" w:color="auto"/>
                                                                                                <w:bottom w:val="none" w:sz="0" w:space="0" w:color="auto"/>
                                                                                                <w:right w:val="none" w:sz="0" w:space="0" w:color="auto"/>
                                                                                              </w:divBdr>
                                                                                              <w:divsChild>
                                                                                                <w:div w:id="886993803">
                                                                                                  <w:marLeft w:val="0"/>
                                                                                                  <w:marRight w:val="0"/>
                                                                                                  <w:marTop w:val="0"/>
                                                                                                  <w:marBottom w:val="0"/>
                                                                                                  <w:divBdr>
                                                                                                    <w:top w:val="none" w:sz="0" w:space="0" w:color="auto"/>
                                                                                                    <w:left w:val="none" w:sz="0" w:space="0" w:color="auto"/>
                                                                                                    <w:bottom w:val="none" w:sz="0" w:space="0" w:color="auto"/>
                                                                                                    <w:right w:val="none" w:sz="0" w:space="0" w:color="auto"/>
                                                                                                  </w:divBdr>
                                                                                                  <w:divsChild>
                                                                                                    <w:div w:id="1853833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1808982">
                                                                                              <w:marLeft w:val="0"/>
                                                                                              <w:marRight w:val="0"/>
                                                                                              <w:marTop w:val="0"/>
                                                                                              <w:marBottom w:val="0"/>
                                                                                              <w:divBdr>
                                                                                                <w:top w:val="none" w:sz="0" w:space="0" w:color="auto"/>
                                                                                                <w:left w:val="none" w:sz="0" w:space="0" w:color="auto"/>
                                                                                                <w:bottom w:val="none" w:sz="0" w:space="0" w:color="auto"/>
                                                                                                <w:right w:val="none" w:sz="0" w:space="0" w:color="auto"/>
                                                                                              </w:divBdr>
                                                                                              <w:divsChild>
                                                                                                <w:div w:id="419260110">
                                                                                                  <w:marLeft w:val="0"/>
                                                                                                  <w:marRight w:val="0"/>
                                                                                                  <w:marTop w:val="0"/>
                                                                                                  <w:marBottom w:val="0"/>
                                                                                                  <w:divBdr>
                                                                                                    <w:top w:val="none" w:sz="0" w:space="0" w:color="auto"/>
                                                                                                    <w:left w:val="none" w:sz="0" w:space="0" w:color="auto"/>
                                                                                                    <w:bottom w:val="none" w:sz="0" w:space="0" w:color="auto"/>
                                                                                                    <w:right w:val="none" w:sz="0" w:space="0" w:color="auto"/>
                                                                                                  </w:divBdr>
                                                                                                  <w:divsChild>
                                                                                                    <w:div w:id="102921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05903575">
                                                                              <w:marLeft w:val="0"/>
                                                                              <w:marRight w:val="0"/>
                                                                              <w:marTop w:val="0"/>
                                                                              <w:marBottom w:val="0"/>
                                                                              <w:divBdr>
                                                                                <w:top w:val="single" w:sz="2" w:space="0" w:color="E3E3E3"/>
                                                                                <w:left w:val="single" w:sz="2" w:space="0" w:color="E3E3E3"/>
                                                                                <w:bottom w:val="single" w:sz="2" w:space="0" w:color="E3E3E3"/>
                                                                                <w:right w:val="single" w:sz="2" w:space="0" w:color="E3E3E3"/>
                                                                              </w:divBdr>
                                                                              <w:divsChild>
                                                                                <w:div w:id="1200127044">
                                                                                  <w:marLeft w:val="0"/>
                                                                                  <w:marRight w:val="0"/>
                                                                                  <w:marTop w:val="0"/>
                                                                                  <w:marBottom w:val="0"/>
                                                                                  <w:divBdr>
                                                                                    <w:top w:val="none" w:sz="0" w:space="0" w:color="auto"/>
                                                                                    <w:left w:val="none" w:sz="0" w:space="0" w:color="auto"/>
                                                                                    <w:bottom w:val="none" w:sz="0" w:space="0" w:color="auto"/>
                                                                                    <w:right w:val="none" w:sz="0" w:space="0" w:color="auto"/>
                                                                                  </w:divBdr>
                                                                                  <w:divsChild>
                                                                                    <w:div w:id="1590118350">
                                                                                      <w:marLeft w:val="0"/>
                                                                                      <w:marRight w:val="0"/>
                                                                                      <w:marTop w:val="0"/>
                                                                                      <w:marBottom w:val="0"/>
                                                                                      <w:divBdr>
                                                                                        <w:top w:val="none" w:sz="0" w:space="0" w:color="auto"/>
                                                                                        <w:left w:val="none" w:sz="0" w:space="0" w:color="auto"/>
                                                                                        <w:bottom w:val="none" w:sz="0" w:space="0" w:color="auto"/>
                                                                                        <w:right w:val="none" w:sz="0" w:space="0" w:color="auto"/>
                                                                                      </w:divBdr>
                                                                                      <w:divsChild>
                                                                                        <w:div w:id="872839012">
                                                                                          <w:marLeft w:val="0"/>
                                                                                          <w:marRight w:val="0"/>
                                                                                          <w:marTop w:val="0"/>
                                                                                          <w:marBottom w:val="0"/>
                                                                                          <w:divBdr>
                                                                                            <w:top w:val="none" w:sz="0" w:space="0" w:color="auto"/>
                                                                                            <w:left w:val="none" w:sz="0" w:space="0" w:color="auto"/>
                                                                                            <w:bottom w:val="none" w:sz="0" w:space="0" w:color="auto"/>
                                                                                            <w:right w:val="none" w:sz="0" w:space="0" w:color="auto"/>
                                                                                          </w:divBdr>
                                                                                          <w:divsChild>
                                                                                            <w:div w:id="1893998888">
                                                                                              <w:marLeft w:val="0"/>
                                                                                              <w:marRight w:val="0"/>
                                                                                              <w:marTop w:val="0"/>
                                                                                              <w:marBottom w:val="0"/>
                                                                                              <w:divBdr>
                                                                                                <w:top w:val="none" w:sz="0" w:space="0" w:color="auto"/>
                                                                                                <w:left w:val="none" w:sz="0" w:space="0" w:color="auto"/>
                                                                                                <w:bottom w:val="none" w:sz="0" w:space="0" w:color="auto"/>
                                                                                                <w:right w:val="none" w:sz="0" w:space="0" w:color="auto"/>
                                                                                              </w:divBdr>
                                                                                              <w:divsChild>
                                                                                                <w:div w:id="1619799736">
                                                                                                  <w:marLeft w:val="0"/>
                                                                                                  <w:marRight w:val="0"/>
                                                                                                  <w:marTop w:val="0"/>
                                                                                                  <w:marBottom w:val="0"/>
                                                                                                  <w:divBdr>
                                                                                                    <w:top w:val="none" w:sz="0" w:space="0" w:color="auto"/>
                                                                                                    <w:left w:val="none" w:sz="0" w:space="0" w:color="auto"/>
                                                                                                    <w:bottom w:val="none" w:sz="0" w:space="0" w:color="auto"/>
                                                                                                    <w:right w:val="none" w:sz="0" w:space="0" w:color="auto"/>
                                                                                                  </w:divBdr>
                                                                                                  <w:divsChild>
                                                                                                    <w:div w:id="789863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7656556">
                                                                                              <w:marLeft w:val="0"/>
                                                                                              <w:marRight w:val="0"/>
                                                                                              <w:marTop w:val="0"/>
                                                                                              <w:marBottom w:val="0"/>
                                                                                              <w:divBdr>
                                                                                                <w:top w:val="none" w:sz="0" w:space="0" w:color="auto"/>
                                                                                                <w:left w:val="none" w:sz="0" w:space="0" w:color="auto"/>
                                                                                                <w:bottom w:val="none" w:sz="0" w:space="0" w:color="auto"/>
                                                                                                <w:right w:val="none" w:sz="0" w:space="0" w:color="auto"/>
                                                                                              </w:divBdr>
                                                                                              <w:divsChild>
                                                                                                <w:div w:id="780998967">
                                                                                                  <w:marLeft w:val="0"/>
                                                                                                  <w:marRight w:val="0"/>
                                                                                                  <w:marTop w:val="0"/>
                                                                                                  <w:marBottom w:val="0"/>
                                                                                                  <w:divBdr>
                                                                                                    <w:top w:val="none" w:sz="0" w:space="0" w:color="auto"/>
                                                                                                    <w:left w:val="none" w:sz="0" w:space="0" w:color="auto"/>
                                                                                                    <w:bottom w:val="none" w:sz="0" w:space="0" w:color="auto"/>
                                                                                                    <w:right w:val="none" w:sz="0" w:space="0" w:color="auto"/>
                                                                                                  </w:divBdr>
                                                                                                  <w:divsChild>
                                                                                                    <w:div w:id="478158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4594092">
                                                                              <w:marLeft w:val="0"/>
                                                                              <w:marRight w:val="0"/>
                                                                              <w:marTop w:val="0"/>
                                                                              <w:marBottom w:val="0"/>
                                                                              <w:divBdr>
                                                                                <w:top w:val="single" w:sz="2" w:space="0" w:color="E3E3E3"/>
                                                                                <w:left w:val="single" w:sz="2" w:space="0" w:color="E3E3E3"/>
                                                                                <w:bottom w:val="single" w:sz="2" w:space="0" w:color="E3E3E3"/>
                                                                                <w:right w:val="single" w:sz="2" w:space="0" w:color="E3E3E3"/>
                                                                              </w:divBdr>
                                                                              <w:divsChild>
                                                                                <w:div w:id="1824350090">
                                                                                  <w:marLeft w:val="0"/>
                                                                                  <w:marRight w:val="0"/>
                                                                                  <w:marTop w:val="0"/>
                                                                                  <w:marBottom w:val="0"/>
                                                                                  <w:divBdr>
                                                                                    <w:top w:val="none" w:sz="0" w:space="0" w:color="auto"/>
                                                                                    <w:left w:val="none" w:sz="0" w:space="0" w:color="auto"/>
                                                                                    <w:bottom w:val="none" w:sz="0" w:space="0" w:color="auto"/>
                                                                                    <w:right w:val="none" w:sz="0" w:space="0" w:color="auto"/>
                                                                                  </w:divBdr>
                                                                                  <w:divsChild>
                                                                                    <w:div w:id="1343824204">
                                                                                      <w:marLeft w:val="0"/>
                                                                                      <w:marRight w:val="0"/>
                                                                                      <w:marTop w:val="0"/>
                                                                                      <w:marBottom w:val="0"/>
                                                                                      <w:divBdr>
                                                                                        <w:top w:val="none" w:sz="0" w:space="0" w:color="auto"/>
                                                                                        <w:left w:val="none" w:sz="0" w:space="0" w:color="auto"/>
                                                                                        <w:bottom w:val="none" w:sz="0" w:space="0" w:color="auto"/>
                                                                                        <w:right w:val="none" w:sz="0" w:space="0" w:color="auto"/>
                                                                                      </w:divBdr>
                                                                                      <w:divsChild>
                                                                                        <w:div w:id="1979651906">
                                                                                          <w:marLeft w:val="0"/>
                                                                                          <w:marRight w:val="0"/>
                                                                                          <w:marTop w:val="0"/>
                                                                                          <w:marBottom w:val="0"/>
                                                                                          <w:divBdr>
                                                                                            <w:top w:val="none" w:sz="0" w:space="0" w:color="auto"/>
                                                                                            <w:left w:val="none" w:sz="0" w:space="0" w:color="auto"/>
                                                                                            <w:bottom w:val="none" w:sz="0" w:space="0" w:color="auto"/>
                                                                                            <w:right w:val="none" w:sz="0" w:space="0" w:color="auto"/>
                                                                                          </w:divBdr>
                                                                                          <w:divsChild>
                                                                                            <w:div w:id="423231524">
                                                                                              <w:marLeft w:val="0"/>
                                                                                              <w:marRight w:val="0"/>
                                                                                              <w:marTop w:val="0"/>
                                                                                              <w:marBottom w:val="0"/>
                                                                                              <w:divBdr>
                                                                                                <w:top w:val="none" w:sz="0" w:space="0" w:color="auto"/>
                                                                                                <w:left w:val="none" w:sz="0" w:space="0" w:color="auto"/>
                                                                                                <w:bottom w:val="none" w:sz="0" w:space="0" w:color="auto"/>
                                                                                                <w:right w:val="none" w:sz="0" w:space="0" w:color="auto"/>
                                                                                              </w:divBdr>
                                                                                              <w:divsChild>
                                                                                                <w:div w:id="1732146488">
                                                                                                  <w:marLeft w:val="0"/>
                                                                                                  <w:marRight w:val="0"/>
                                                                                                  <w:marTop w:val="0"/>
                                                                                                  <w:marBottom w:val="0"/>
                                                                                                  <w:divBdr>
                                                                                                    <w:top w:val="none" w:sz="0" w:space="0" w:color="auto"/>
                                                                                                    <w:left w:val="none" w:sz="0" w:space="0" w:color="auto"/>
                                                                                                    <w:bottom w:val="none" w:sz="0" w:space="0" w:color="auto"/>
                                                                                                    <w:right w:val="none" w:sz="0" w:space="0" w:color="auto"/>
                                                                                                  </w:divBdr>
                                                                                                  <w:divsChild>
                                                                                                    <w:div w:id="13850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8761609">
                                                                                              <w:marLeft w:val="0"/>
                                                                                              <w:marRight w:val="0"/>
                                                                                              <w:marTop w:val="0"/>
                                                                                              <w:marBottom w:val="0"/>
                                                                                              <w:divBdr>
                                                                                                <w:top w:val="none" w:sz="0" w:space="0" w:color="auto"/>
                                                                                                <w:left w:val="none" w:sz="0" w:space="0" w:color="auto"/>
                                                                                                <w:bottom w:val="none" w:sz="0" w:space="0" w:color="auto"/>
                                                                                                <w:right w:val="none" w:sz="0" w:space="0" w:color="auto"/>
                                                                                              </w:divBdr>
                                                                                              <w:divsChild>
                                                                                                <w:div w:id="1397708263">
                                                                                                  <w:marLeft w:val="0"/>
                                                                                                  <w:marRight w:val="0"/>
                                                                                                  <w:marTop w:val="0"/>
                                                                                                  <w:marBottom w:val="0"/>
                                                                                                  <w:divBdr>
                                                                                                    <w:top w:val="none" w:sz="0" w:space="0" w:color="auto"/>
                                                                                                    <w:left w:val="none" w:sz="0" w:space="0" w:color="auto"/>
                                                                                                    <w:bottom w:val="none" w:sz="0" w:space="0" w:color="auto"/>
                                                                                                    <w:right w:val="none" w:sz="0" w:space="0" w:color="auto"/>
                                                                                                  </w:divBdr>
                                                                                                  <w:divsChild>
                                                                                                    <w:div w:id="1548108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1976014">
                                                                              <w:marLeft w:val="0"/>
                                                                              <w:marRight w:val="0"/>
                                                                              <w:marTop w:val="0"/>
                                                                              <w:marBottom w:val="0"/>
                                                                              <w:divBdr>
                                                                                <w:top w:val="single" w:sz="2" w:space="0" w:color="E3E3E3"/>
                                                                                <w:left w:val="single" w:sz="2" w:space="0" w:color="E3E3E3"/>
                                                                                <w:bottom w:val="single" w:sz="2" w:space="0" w:color="E3E3E3"/>
                                                                                <w:right w:val="single" w:sz="2" w:space="0" w:color="E3E3E3"/>
                                                                              </w:divBdr>
                                                                              <w:divsChild>
                                                                                <w:div w:id="1761871631">
                                                                                  <w:marLeft w:val="0"/>
                                                                                  <w:marRight w:val="0"/>
                                                                                  <w:marTop w:val="0"/>
                                                                                  <w:marBottom w:val="0"/>
                                                                                  <w:divBdr>
                                                                                    <w:top w:val="none" w:sz="0" w:space="0" w:color="auto"/>
                                                                                    <w:left w:val="none" w:sz="0" w:space="0" w:color="auto"/>
                                                                                    <w:bottom w:val="none" w:sz="0" w:space="0" w:color="auto"/>
                                                                                    <w:right w:val="none" w:sz="0" w:space="0" w:color="auto"/>
                                                                                  </w:divBdr>
                                                                                  <w:divsChild>
                                                                                    <w:div w:id="1201941753">
                                                                                      <w:marLeft w:val="0"/>
                                                                                      <w:marRight w:val="0"/>
                                                                                      <w:marTop w:val="0"/>
                                                                                      <w:marBottom w:val="0"/>
                                                                                      <w:divBdr>
                                                                                        <w:top w:val="none" w:sz="0" w:space="0" w:color="auto"/>
                                                                                        <w:left w:val="none" w:sz="0" w:space="0" w:color="auto"/>
                                                                                        <w:bottom w:val="none" w:sz="0" w:space="0" w:color="auto"/>
                                                                                        <w:right w:val="none" w:sz="0" w:space="0" w:color="auto"/>
                                                                                      </w:divBdr>
                                                                                      <w:divsChild>
                                                                                        <w:div w:id="1184708090">
                                                                                          <w:marLeft w:val="0"/>
                                                                                          <w:marRight w:val="0"/>
                                                                                          <w:marTop w:val="0"/>
                                                                                          <w:marBottom w:val="0"/>
                                                                                          <w:divBdr>
                                                                                            <w:top w:val="none" w:sz="0" w:space="0" w:color="auto"/>
                                                                                            <w:left w:val="none" w:sz="0" w:space="0" w:color="auto"/>
                                                                                            <w:bottom w:val="none" w:sz="0" w:space="0" w:color="auto"/>
                                                                                            <w:right w:val="none" w:sz="0" w:space="0" w:color="auto"/>
                                                                                          </w:divBdr>
                                                                                          <w:divsChild>
                                                                                            <w:div w:id="816068487">
                                                                                              <w:marLeft w:val="0"/>
                                                                                              <w:marRight w:val="0"/>
                                                                                              <w:marTop w:val="0"/>
                                                                                              <w:marBottom w:val="0"/>
                                                                                              <w:divBdr>
                                                                                                <w:top w:val="none" w:sz="0" w:space="0" w:color="auto"/>
                                                                                                <w:left w:val="none" w:sz="0" w:space="0" w:color="auto"/>
                                                                                                <w:bottom w:val="none" w:sz="0" w:space="0" w:color="auto"/>
                                                                                                <w:right w:val="none" w:sz="0" w:space="0" w:color="auto"/>
                                                                                              </w:divBdr>
                                                                                              <w:divsChild>
                                                                                                <w:div w:id="2145611411">
                                                                                                  <w:marLeft w:val="0"/>
                                                                                                  <w:marRight w:val="0"/>
                                                                                                  <w:marTop w:val="0"/>
                                                                                                  <w:marBottom w:val="0"/>
                                                                                                  <w:divBdr>
                                                                                                    <w:top w:val="none" w:sz="0" w:space="0" w:color="auto"/>
                                                                                                    <w:left w:val="none" w:sz="0" w:space="0" w:color="auto"/>
                                                                                                    <w:bottom w:val="none" w:sz="0" w:space="0" w:color="auto"/>
                                                                                                    <w:right w:val="none" w:sz="0" w:space="0" w:color="auto"/>
                                                                                                  </w:divBdr>
                                                                                                  <w:divsChild>
                                                                                                    <w:div w:id="1265114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2563481">
                                                                                              <w:marLeft w:val="0"/>
                                                                                              <w:marRight w:val="0"/>
                                                                                              <w:marTop w:val="0"/>
                                                                                              <w:marBottom w:val="0"/>
                                                                                              <w:divBdr>
                                                                                                <w:top w:val="none" w:sz="0" w:space="0" w:color="auto"/>
                                                                                                <w:left w:val="none" w:sz="0" w:space="0" w:color="auto"/>
                                                                                                <w:bottom w:val="none" w:sz="0" w:space="0" w:color="auto"/>
                                                                                                <w:right w:val="none" w:sz="0" w:space="0" w:color="auto"/>
                                                                                              </w:divBdr>
                                                                                              <w:divsChild>
                                                                                                <w:div w:id="883637669">
                                                                                                  <w:marLeft w:val="0"/>
                                                                                                  <w:marRight w:val="0"/>
                                                                                                  <w:marTop w:val="0"/>
                                                                                                  <w:marBottom w:val="0"/>
                                                                                                  <w:divBdr>
                                                                                                    <w:top w:val="none" w:sz="0" w:space="0" w:color="auto"/>
                                                                                                    <w:left w:val="none" w:sz="0" w:space="0" w:color="auto"/>
                                                                                                    <w:bottom w:val="none" w:sz="0" w:space="0" w:color="auto"/>
                                                                                                    <w:right w:val="none" w:sz="0" w:space="0" w:color="auto"/>
                                                                                                  </w:divBdr>
                                                                                                  <w:divsChild>
                                                                                                    <w:div w:id="1122380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97748873">
                                                                              <w:marLeft w:val="0"/>
                                                                              <w:marRight w:val="0"/>
                                                                              <w:marTop w:val="0"/>
                                                                              <w:marBottom w:val="0"/>
                                                                              <w:divBdr>
                                                                                <w:top w:val="single" w:sz="2" w:space="0" w:color="E3E3E3"/>
                                                                                <w:left w:val="single" w:sz="2" w:space="0" w:color="E3E3E3"/>
                                                                                <w:bottom w:val="single" w:sz="2" w:space="0" w:color="E3E3E3"/>
                                                                                <w:right w:val="single" w:sz="2" w:space="0" w:color="E3E3E3"/>
                                                                              </w:divBdr>
                                                                              <w:divsChild>
                                                                                <w:div w:id="71855446">
                                                                                  <w:marLeft w:val="0"/>
                                                                                  <w:marRight w:val="0"/>
                                                                                  <w:marTop w:val="0"/>
                                                                                  <w:marBottom w:val="0"/>
                                                                                  <w:divBdr>
                                                                                    <w:top w:val="none" w:sz="0" w:space="0" w:color="auto"/>
                                                                                    <w:left w:val="none" w:sz="0" w:space="0" w:color="auto"/>
                                                                                    <w:bottom w:val="none" w:sz="0" w:space="0" w:color="auto"/>
                                                                                    <w:right w:val="none" w:sz="0" w:space="0" w:color="auto"/>
                                                                                  </w:divBdr>
                                                                                  <w:divsChild>
                                                                                    <w:div w:id="364529522">
                                                                                      <w:marLeft w:val="0"/>
                                                                                      <w:marRight w:val="0"/>
                                                                                      <w:marTop w:val="0"/>
                                                                                      <w:marBottom w:val="0"/>
                                                                                      <w:divBdr>
                                                                                        <w:top w:val="none" w:sz="0" w:space="0" w:color="auto"/>
                                                                                        <w:left w:val="none" w:sz="0" w:space="0" w:color="auto"/>
                                                                                        <w:bottom w:val="none" w:sz="0" w:space="0" w:color="auto"/>
                                                                                        <w:right w:val="none" w:sz="0" w:space="0" w:color="auto"/>
                                                                                      </w:divBdr>
                                                                                      <w:divsChild>
                                                                                        <w:div w:id="117142450">
                                                                                          <w:marLeft w:val="0"/>
                                                                                          <w:marRight w:val="0"/>
                                                                                          <w:marTop w:val="0"/>
                                                                                          <w:marBottom w:val="0"/>
                                                                                          <w:divBdr>
                                                                                            <w:top w:val="none" w:sz="0" w:space="0" w:color="auto"/>
                                                                                            <w:left w:val="none" w:sz="0" w:space="0" w:color="auto"/>
                                                                                            <w:bottom w:val="none" w:sz="0" w:space="0" w:color="auto"/>
                                                                                            <w:right w:val="none" w:sz="0" w:space="0" w:color="auto"/>
                                                                                          </w:divBdr>
                                                                                          <w:divsChild>
                                                                                            <w:div w:id="253518449">
                                                                                              <w:marLeft w:val="0"/>
                                                                                              <w:marRight w:val="0"/>
                                                                                              <w:marTop w:val="0"/>
                                                                                              <w:marBottom w:val="0"/>
                                                                                              <w:divBdr>
                                                                                                <w:top w:val="none" w:sz="0" w:space="0" w:color="auto"/>
                                                                                                <w:left w:val="none" w:sz="0" w:space="0" w:color="auto"/>
                                                                                                <w:bottom w:val="none" w:sz="0" w:space="0" w:color="auto"/>
                                                                                                <w:right w:val="none" w:sz="0" w:space="0" w:color="auto"/>
                                                                                              </w:divBdr>
                                                                                              <w:divsChild>
                                                                                                <w:div w:id="670762909">
                                                                                                  <w:marLeft w:val="0"/>
                                                                                                  <w:marRight w:val="0"/>
                                                                                                  <w:marTop w:val="0"/>
                                                                                                  <w:marBottom w:val="0"/>
                                                                                                  <w:divBdr>
                                                                                                    <w:top w:val="none" w:sz="0" w:space="0" w:color="auto"/>
                                                                                                    <w:left w:val="none" w:sz="0" w:space="0" w:color="auto"/>
                                                                                                    <w:bottom w:val="none" w:sz="0" w:space="0" w:color="auto"/>
                                                                                                    <w:right w:val="none" w:sz="0" w:space="0" w:color="auto"/>
                                                                                                  </w:divBdr>
                                                                                                  <w:divsChild>
                                                                                                    <w:div w:id="605232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3804390">
                                                                                              <w:marLeft w:val="0"/>
                                                                                              <w:marRight w:val="0"/>
                                                                                              <w:marTop w:val="0"/>
                                                                                              <w:marBottom w:val="0"/>
                                                                                              <w:divBdr>
                                                                                                <w:top w:val="none" w:sz="0" w:space="0" w:color="auto"/>
                                                                                                <w:left w:val="none" w:sz="0" w:space="0" w:color="auto"/>
                                                                                                <w:bottom w:val="none" w:sz="0" w:space="0" w:color="auto"/>
                                                                                                <w:right w:val="none" w:sz="0" w:space="0" w:color="auto"/>
                                                                                              </w:divBdr>
                                                                                              <w:divsChild>
                                                                                                <w:div w:id="1056003605">
                                                                                                  <w:marLeft w:val="0"/>
                                                                                                  <w:marRight w:val="0"/>
                                                                                                  <w:marTop w:val="0"/>
                                                                                                  <w:marBottom w:val="0"/>
                                                                                                  <w:divBdr>
                                                                                                    <w:top w:val="none" w:sz="0" w:space="0" w:color="auto"/>
                                                                                                    <w:left w:val="none" w:sz="0" w:space="0" w:color="auto"/>
                                                                                                    <w:bottom w:val="none" w:sz="0" w:space="0" w:color="auto"/>
                                                                                                    <w:right w:val="none" w:sz="0" w:space="0" w:color="auto"/>
                                                                                                  </w:divBdr>
                                                                                                  <w:divsChild>
                                                                                                    <w:div w:id="999114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35082522">
                                                                              <w:marLeft w:val="0"/>
                                                                              <w:marRight w:val="0"/>
                                                                              <w:marTop w:val="0"/>
                                                                              <w:marBottom w:val="0"/>
                                                                              <w:divBdr>
                                                                                <w:top w:val="single" w:sz="2" w:space="0" w:color="E3E3E3"/>
                                                                                <w:left w:val="single" w:sz="2" w:space="0" w:color="E3E3E3"/>
                                                                                <w:bottom w:val="single" w:sz="2" w:space="0" w:color="E3E3E3"/>
                                                                                <w:right w:val="single" w:sz="2" w:space="0" w:color="E3E3E3"/>
                                                                              </w:divBdr>
                                                                              <w:divsChild>
                                                                                <w:div w:id="187791628">
                                                                                  <w:marLeft w:val="0"/>
                                                                                  <w:marRight w:val="0"/>
                                                                                  <w:marTop w:val="0"/>
                                                                                  <w:marBottom w:val="0"/>
                                                                                  <w:divBdr>
                                                                                    <w:top w:val="none" w:sz="0" w:space="0" w:color="auto"/>
                                                                                    <w:left w:val="none" w:sz="0" w:space="0" w:color="auto"/>
                                                                                    <w:bottom w:val="none" w:sz="0" w:space="0" w:color="auto"/>
                                                                                    <w:right w:val="none" w:sz="0" w:space="0" w:color="auto"/>
                                                                                  </w:divBdr>
                                                                                  <w:divsChild>
                                                                                    <w:div w:id="1669945867">
                                                                                      <w:marLeft w:val="0"/>
                                                                                      <w:marRight w:val="0"/>
                                                                                      <w:marTop w:val="0"/>
                                                                                      <w:marBottom w:val="0"/>
                                                                                      <w:divBdr>
                                                                                        <w:top w:val="none" w:sz="0" w:space="0" w:color="auto"/>
                                                                                        <w:left w:val="none" w:sz="0" w:space="0" w:color="auto"/>
                                                                                        <w:bottom w:val="none" w:sz="0" w:space="0" w:color="auto"/>
                                                                                        <w:right w:val="none" w:sz="0" w:space="0" w:color="auto"/>
                                                                                      </w:divBdr>
                                                                                      <w:divsChild>
                                                                                        <w:div w:id="967930547">
                                                                                          <w:marLeft w:val="0"/>
                                                                                          <w:marRight w:val="0"/>
                                                                                          <w:marTop w:val="0"/>
                                                                                          <w:marBottom w:val="0"/>
                                                                                          <w:divBdr>
                                                                                            <w:top w:val="none" w:sz="0" w:space="0" w:color="auto"/>
                                                                                            <w:left w:val="none" w:sz="0" w:space="0" w:color="auto"/>
                                                                                            <w:bottom w:val="none" w:sz="0" w:space="0" w:color="auto"/>
                                                                                            <w:right w:val="none" w:sz="0" w:space="0" w:color="auto"/>
                                                                                          </w:divBdr>
                                                                                          <w:divsChild>
                                                                                            <w:div w:id="1344429587">
                                                                                              <w:marLeft w:val="0"/>
                                                                                              <w:marRight w:val="0"/>
                                                                                              <w:marTop w:val="0"/>
                                                                                              <w:marBottom w:val="0"/>
                                                                                              <w:divBdr>
                                                                                                <w:top w:val="none" w:sz="0" w:space="0" w:color="auto"/>
                                                                                                <w:left w:val="none" w:sz="0" w:space="0" w:color="auto"/>
                                                                                                <w:bottom w:val="none" w:sz="0" w:space="0" w:color="auto"/>
                                                                                                <w:right w:val="none" w:sz="0" w:space="0" w:color="auto"/>
                                                                                              </w:divBdr>
                                                                                              <w:divsChild>
                                                                                                <w:div w:id="80951962">
                                                                                                  <w:marLeft w:val="0"/>
                                                                                                  <w:marRight w:val="0"/>
                                                                                                  <w:marTop w:val="0"/>
                                                                                                  <w:marBottom w:val="0"/>
                                                                                                  <w:divBdr>
                                                                                                    <w:top w:val="none" w:sz="0" w:space="0" w:color="auto"/>
                                                                                                    <w:left w:val="none" w:sz="0" w:space="0" w:color="auto"/>
                                                                                                    <w:bottom w:val="none" w:sz="0" w:space="0" w:color="auto"/>
                                                                                                    <w:right w:val="none" w:sz="0" w:space="0" w:color="auto"/>
                                                                                                  </w:divBdr>
                                                                                                  <w:divsChild>
                                                                                                    <w:div w:id="1273323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767678">
                                                                                              <w:marLeft w:val="0"/>
                                                                                              <w:marRight w:val="0"/>
                                                                                              <w:marTop w:val="0"/>
                                                                                              <w:marBottom w:val="0"/>
                                                                                              <w:divBdr>
                                                                                                <w:top w:val="none" w:sz="0" w:space="0" w:color="auto"/>
                                                                                                <w:left w:val="none" w:sz="0" w:space="0" w:color="auto"/>
                                                                                                <w:bottom w:val="none" w:sz="0" w:space="0" w:color="auto"/>
                                                                                                <w:right w:val="none" w:sz="0" w:space="0" w:color="auto"/>
                                                                                              </w:divBdr>
                                                                                              <w:divsChild>
                                                                                                <w:div w:id="1975787769">
                                                                                                  <w:marLeft w:val="0"/>
                                                                                                  <w:marRight w:val="0"/>
                                                                                                  <w:marTop w:val="0"/>
                                                                                                  <w:marBottom w:val="0"/>
                                                                                                  <w:divBdr>
                                                                                                    <w:top w:val="none" w:sz="0" w:space="0" w:color="auto"/>
                                                                                                    <w:left w:val="none" w:sz="0" w:space="0" w:color="auto"/>
                                                                                                    <w:bottom w:val="none" w:sz="0" w:space="0" w:color="auto"/>
                                                                                                    <w:right w:val="none" w:sz="0" w:space="0" w:color="auto"/>
                                                                                                  </w:divBdr>
                                                                                                  <w:divsChild>
                                                                                                    <w:div w:id="310599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51528489">
                                                                              <w:marLeft w:val="0"/>
                                                                              <w:marRight w:val="0"/>
                                                                              <w:marTop w:val="0"/>
                                                                              <w:marBottom w:val="0"/>
                                                                              <w:divBdr>
                                                                                <w:top w:val="single" w:sz="2" w:space="0" w:color="E3E3E3"/>
                                                                                <w:left w:val="single" w:sz="2" w:space="0" w:color="E3E3E3"/>
                                                                                <w:bottom w:val="single" w:sz="2" w:space="0" w:color="E3E3E3"/>
                                                                                <w:right w:val="single" w:sz="2" w:space="0" w:color="E3E3E3"/>
                                                                              </w:divBdr>
                                                                              <w:divsChild>
                                                                                <w:div w:id="321741830">
                                                                                  <w:marLeft w:val="0"/>
                                                                                  <w:marRight w:val="0"/>
                                                                                  <w:marTop w:val="0"/>
                                                                                  <w:marBottom w:val="0"/>
                                                                                  <w:divBdr>
                                                                                    <w:top w:val="none" w:sz="0" w:space="0" w:color="auto"/>
                                                                                    <w:left w:val="none" w:sz="0" w:space="0" w:color="auto"/>
                                                                                    <w:bottom w:val="none" w:sz="0" w:space="0" w:color="auto"/>
                                                                                    <w:right w:val="none" w:sz="0" w:space="0" w:color="auto"/>
                                                                                  </w:divBdr>
                                                                                  <w:divsChild>
                                                                                    <w:div w:id="806625696">
                                                                                      <w:marLeft w:val="0"/>
                                                                                      <w:marRight w:val="0"/>
                                                                                      <w:marTop w:val="0"/>
                                                                                      <w:marBottom w:val="0"/>
                                                                                      <w:divBdr>
                                                                                        <w:top w:val="none" w:sz="0" w:space="0" w:color="auto"/>
                                                                                        <w:left w:val="none" w:sz="0" w:space="0" w:color="auto"/>
                                                                                        <w:bottom w:val="none" w:sz="0" w:space="0" w:color="auto"/>
                                                                                        <w:right w:val="none" w:sz="0" w:space="0" w:color="auto"/>
                                                                                      </w:divBdr>
                                                                                      <w:divsChild>
                                                                                        <w:div w:id="1224413743">
                                                                                          <w:marLeft w:val="0"/>
                                                                                          <w:marRight w:val="0"/>
                                                                                          <w:marTop w:val="0"/>
                                                                                          <w:marBottom w:val="0"/>
                                                                                          <w:divBdr>
                                                                                            <w:top w:val="none" w:sz="0" w:space="0" w:color="auto"/>
                                                                                            <w:left w:val="none" w:sz="0" w:space="0" w:color="auto"/>
                                                                                            <w:bottom w:val="none" w:sz="0" w:space="0" w:color="auto"/>
                                                                                            <w:right w:val="none" w:sz="0" w:space="0" w:color="auto"/>
                                                                                          </w:divBdr>
                                                                                          <w:divsChild>
                                                                                            <w:div w:id="467629443">
                                                                                              <w:marLeft w:val="0"/>
                                                                                              <w:marRight w:val="0"/>
                                                                                              <w:marTop w:val="0"/>
                                                                                              <w:marBottom w:val="0"/>
                                                                                              <w:divBdr>
                                                                                                <w:top w:val="none" w:sz="0" w:space="0" w:color="auto"/>
                                                                                                <w:left w:val="none" w:sz="0" w:space="0" w:color="auto"/>
                                                                                                <w:bottom w:val="none" w:sz="0" w:space="0" w:color="auto"/>
                                                                                                <w:right w:val="none" w:sz="0" w:space="0" w:color="auto"/>
                                                                                              </w:divBdr>
                                                                                              <w:divsChild>
                                                                                                <w:div w:id="2008438897">
                                                                                                  <w:marLeft w:val="0"/>
                                                                                                  <w:marRight w:val="0"/>
                                                                                                  <w:marTop w:val="0"/>
                                                                                                  <w:marBottom w:val="0"/>
                                                                                                  <w:divBdr>
                                                                                                    <w:top w:val="none" w:sz="0" w:space="0" w:color="auto"/>
                                                                                                    <w:left w:val="none" w:sz="0" w:space="0" w:color="auto"/>
                                                                                                    <w:bottom w:val="none" w:sz="0" w:space="0" w:color="auto"/>
                                                                                                    <w:right w:val="none" w:sz="0" w:space="0" w:color="auto"/>
                                                                                                  </w:divBdr>
                                                                                                  <w:divsChild>
                                                                                                    <w:div w:id="1785495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8872852">
                                                                                              <w:marLeft w:val="0"/>
                                                                                              <w:marRight w:val="0"/>
                                                                                              <w:marTop w:val="0"/>
                                                                                              <w:marBottom w:val="0"/>
                                                                                              <w:divBdr>
                                                                                                <w:top w:val="none" w:sz="0" w:space="0" w:color="auto"/>
                                                                                                <w:left w:val="none" w:sz="0" w:space="0" w:color="auto"/>
                                                                                                <w:bottom w:val="none" w:sz="0" w:space="0" w:color="auto"/>
                                                                                                <w:right w:val="none" w:sz="0" w:space="0" w:color="auto"/>
                                                                                              </w:divBdr>
                                                                                              <w:divsChild>
                                                                                                <w:div w:id="686255256">
                                                                                                  <w:marLeft w:val="0"/>
                                                                                                  <w:marRight w:val="0"/>
                                                                                                  <w:marTop w:val="0"/>
                                                                                                  <w:marBottom w:val="0"/>
                                                                                                  <w:divBdr>
                                                                                                    <w:top w:val="none" w:sz="0" w:space="0" w:color="auto"/>
                                                                                                    <w:left w:val="none" w:sz="0" w:space="0" w:color="auto"/>
                                                                                                    <w:bottom w:val="none" w:sz="0" w:space="0" w:color="auto"/>
                                                                                                    <w:right w:val="none" w:sz="0" w:space="0" w:color="auto"/>
                                                                                                  </w:divBdr>
                                                                                                  <w:divsChild>
                                                                                                    <w:div w:id="1524395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20793908">
                                                                              <w:marLeft w:val="0"/>
                                                                              <w:marRight w:val="0"/>
                                                                              <w:marTop w:val="0"/>
                                                                              <w:marBottom w:val="0"/>
                                                                              <w:divBdr>
                                                                                <w:top w:val="single" w:sz="2" w:space="0" w:color="E3E3E3"/>
                                                                                <w:left w:val="single" w:sz="2" w:space="0" w:color="E3E3E3"/>
                                                                                <w:bottom w:val="single" w:sz="2" w:space="0" w:color="E3E3E3"/>
                                                                                <w:right w:val="single" w:sz="2" w:space="0" w:color="E3E3E3"/>
                                                                              </w:divBdr>
                                                                              <w:divsChild>
                                                                                <w:div w:id="644092753">
                                                                                  <w:marLeft w:val="0"/>
                                                                                  <w:marRight w:val="0"/>
                                                                                  <w:marTop w:val="0"/>
                                                                                  <w:marBottom w:val="0"/>
                                                                                  <w:divBdr>
                                                                                    <w:top w:val="none" w:sz="0" w:space="0" w:color="auto"/>
                                                                                    <w:left w:val="none" w:sz="0" w:space="0" w:color="auto"/>
                                                                                    <w:bottom w:val="none" w:sz="0" w:space="0" w:color="auto"/>
                                                                                    <w:right w:val="none" w:sz="0" w:space="0" w:color="auto"/>
                                                                                  </w:divBdr>
                                                                                  <w:divsChild>
                                                                                    <w:div w:id="1690332372">
                                                                                      <w:marLeft w:val="0"/>
                                                                                      <w:marRight w:val="0"/>
                                                                                      <w:marTop w:val="0"/>
                                                                                      <w:marBottom w:val="0"/>
                                                                                      <w:divBdr>
                                                                                        <w:top w:val="none" w:sz="0" w:space="0" w:color="auto"/>
                                                                                        <w:left w:val="none" w:sz="0" w:space="0" w:color="auto"/>
                                                                                        <w:bottom w:val="none" w:sz="0" w:space="0" w:color="auto"/>
                                                                                        <w:right w:val="none" w:sz="0" w:space="0" w:color="auto"/>
                                                                                      </w:divBdr>
                                                                                      <w:divsChild>
                                                                                        <w:div w:id="387414818">
                                                                                          <w:marLeft w:val="0"/>
                                                                                          <w:marRight w:val="0"/>
                                                                                          <w:marTop w:val="0"/>
                                                                                          <w:marBottom w:val="0"/>
                                                                                          <w:divBdr>
                                                                                            <w:top w:val="none" w:sz="0" w:space="0" w:color="auto"/>
                                                                                            <w:left w:val="none" w:sz="0" w:space="0" w:color="auto"/>
                                                                                            <w:bottom w:val="none" w:sz="0" w:space="0" w:color="auto"/>
                                                                                            <w:right w:val="none" w:sz="0" w:space="0" w:color="auto"/>
                                                                                          </w:divBdr>
                                                                                          <w:divsChild>
                                                                                            <w:div w:id="590089694">
                                                                                              <w:marLeft w:val="0"/>
                                                                                              <w:marRight w:val="0"/>
                                                                                              <w:marTop w:val="0"/>
                                                                                              <w:marBottom w:val="0"/>
                                                                                              <w:divBdr>
                                                                                                <w:top w:val="none" w:sz="0" w:space="0" w:color="auto"/>
                                                                                                <w:left w:val="none" w:sz="0" w:space="0" w:color="auto"/>
                                                                                                <w:bottom w:val="none" w:sz="0" w:space="0" w:color="auto"/>
                                                                                                <w:right w:val="none" w:sz="0" w:space="0" w:color="auto"/>
                                                                                              </w:divBdr>
                                                                                              <w:divsChild>
                                                                                                <w:div w:id="316961707">
                                                                                                  <w:marLeft w:val="0"/>
                                                                                                  <w:marRight w:val="0"/>
                                                                                                  <w:marTop w:val="0"/>
                                                                                                  <w:marBottom w:val="0"/>
                                                                                                  <w:divBdr>
                                                                                                    <w:top w:val="none" w:sz="0" w:space="0" w:color="auto"/>
                                                                                                    <w:left w:val="none" w:sz="0" w:space="0" w:color="auto"/>
                                                                                                    <w:bottom w:val="none" w:sz="0" w:space="0" w:color="auto"/>
                                                                                                    <w:right w:val="none" w:sz="0" w:space="0" w:color="auto"/>
                                                                                                  </w:divBdr>
                                                                                                  <w:divsChild>
                                                                                                    <w:div w:id="1558589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7485281">
                                                                                              <w:marLeft w:val="0"/>
                                                                                              <w:marRight w:val="0"/>
                                                                                              <w:marTop w:val="0"/>
                                                                                              <w:marBottom w:val="0"/>
                                                                                              <w:divBdr>
                                                                                                <w:top w:val="none" w:sz="0" w:space="0" w:color="auto"/>
                                                                                                <w:left w:val="none" w:sz="0" w:space="0" w:color="auto"/>
                                                                                                <w:bottom w:val="none" w:sz="0" w:space="0" w:color="auto"/>
                                                                                                <w:right w:val="none" w:sz="0" w:space="0" w:color="auto"/>
                                                                                              </w:divBdr>
                                                                                              <w:divsChild>
                                                                                                <w:div w:id="1881749398">
                                                                                                  <w:marLeft w:val="0"/>
                                                                                                  <w:marRight w:val="0"/>
                                                                                                  <w:marTop w:val="0"/>
                                                                                                  <w:marBottom w:val="0"/>
                                                                                                  <w:divBdr>
                                                                                                    <w:top w:val="none" w:sz="0" w:space="0" w:color="auto"/>
                                                                                                    <w:left w:val="none" w:sz="0" w:space="0" w:color="auto"/>
                                                                                                    <w:bottom w:val="none" w:sz="0" w:space="0" w:color="auto"/>
                                                                                                    <w:right w:val="none" w:sz="0" w:space="0" w:color="auto"/>
                                                                                                  </w:divBdr>
                                                                                                  <w:divsChild>
                                                                                                    <w:div w:id="2106607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13538484">
                                                                              <w:marLeft w:val="0"/>
                                                                              <w:marRight w:val="0"/>
                                                                              <w:marTop w:val="0"/>
                                                                              <w:marBottom w:val="0"/>
                                                                              <w:divBdr>
                                                                                <w:top w:val="single" w:sz="2" w:space="0" w:color="E3E3E3"/>
                                                                                <w:left w:val="single" w:sz="2" w:space="0" w:color="E3E3E3"/>
                                                                                <w:bottom w:val="single" w:sz="2" w:space="0" w:color="E3E3E3"/>
                                                                                <w:right w:val="single" w:sz="2" w:space="0" w:color="E3E3E3"/>
                                                                              </w:divBdr>
                                                                              <w:divsChild>
                                                                                <w:div w:id="1382246219">
                                                                                  <w:marLeft w:val="0"/>
                                                                                  <w:marRight w:val="0"/>
                                                                                  <w:marTop w:val="0"/>
                                                                                  <w:marBottom w:val="0"/>
                                                                                  <w:divBdr>
                                                                                    <w:top w:val="none" w:sz="0" w:space="0" w:color="auto"/>
                                                                                    <w:left w:val="none" w:sz="0" w:space="0" w:color="auto"/>
                                                                                    <w:bottom w:val="none" w:sz="0" w:space="0" w:color="auto"/>
                                                                                    <w:right w:val="none" w:sz="0" w:space="0" w:color="auto"/>
                                                                                  </w:divBdr>
                                                                                  <w:divsChild>
                                                                                    <w:div w:id="1932858498">
                                                                                      <w:marLeft w:val="0"/>
                                                                                      <w:marRight w:val="0"/>
                                                                                      <w:marTop w:val="0"/>
                                                                                      <w:marBottom w:val="0"/>
                                                                                      <w:divBdr>
                                                                                        <w:top w:val="none" w:sz="0" w:space="0" w:color="auto"/>
                                                                                        <w:left w:val="none" w:sz="0" w:space="0" w:color="auto"/>
                                                                                        <w:bottom w:val="none" w:sz="0" w:space="0" w:color="auto"/>
                                                                                        <w:right w:val="none" w:sz="0" w:space="0" w:color="auto"/>
                                                                                      </w:divBdr>
                                                                                      <w:divsChild>
                                                                                        <w:div w:id="356351358">
                                                                                          <w:marLeft w:val="0"/>
                                                                                          <w:marRight w:val="0"/>
                                                                                          <w:marTop w:val="0"/>
                                                                                          <w:marBottom w:val="0"/>
                                                                                          <w:divBdr>
                                                                                            <w:top w:val="none" w:sz="0" w:space="0" w:color="auto"/>
                                                                                            <w:left w:val="none" w:sz="0" w:space="0" w:color="auto"/>
                                                                                            <w:bottom w:val="none" w:sz="0" w:space="0" w:color="auto"/>
                                                                                            <w:right w:val="none" w:sz="0" w:space="0" w:color="auto"/>
                                                                                          </w:divBdr>
                                                                                          <w:divsChild>
                                                                                            <w:div w:id="589772965">
                                                                                              <w:marLeft w:val="0"/>
                                                                                              <w:marRight w:val="0"/>
                                                                                              <w:marTop w:val="0"/>
                                                                                              <w:marBottom w:val="0"/>
                                                                                              <w:divBdr>
                                                                                                <w:top w:val="none" w:sz="0" w:space="0" w:color="auto"/>
                                                                                                <w:left w:val="none" w:sz="0" w:space="0" w:color="auto"/>
                                                                                                <w:bottom w:val="none" w:sz="0" w:space="0" w:color="auto"/>
                                                                                                <w:right w:val="none" w:sz="0" w:space="0" w:color="auto"/>
                                                                                              </w:divBdr>
                                                                                              <w:divsChild>
                                                                                                <w:div w:id="1359157904">
                                                                                                  <w:marLeft w:val="0"/>
                                                                                                  <w:marRight w:val="0"/>
                                                                                                  <w:marTop w:val="0"/>
                                                                                                  <w:marBottom w:val="0"/>
                                                                                                  <w:divBdr>
                                                                                                    <w:top w:val="none" w:sz="0" w:space="0" w:color="auto"/>
                                                                                                    <w:left w:val="none" w:sz="0" w:space="0" w:color="auto"/>
                                                                                                    <w:bottom w:val="none" w:sz="0" w:space="0" w:color="auto"/>
                                                                                                    <w:right w:val="none" w:sz="0" w:space="0" w:color="auto"/>
                                                                                                  </w:divBdr>
                                                                                                  <w:divsChild>
                                                                                                    <w:div w:id="586503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3752500">
                                                                                              <w:marLeft w:val="0"/>
                                                                                              <w:marRight w:val="0"/>
                                                                                              <w:marTop w:val="0"/>
                                                                                              <w:marBottom w:val="0"/>
                                                                                              <w:divBdr>
                                                                                                <w:top w:val="none" w:sz="0" w:space="0" w:color="auto"/>
                                                                                                <w:left w:val="none" w:sz="0" w:space="0" w:color="auto"/>
                                                                                                <w:bottom w:val="none" w:sz="0" w:space="0" w:color="auto"/>
                                                                                                <w:right w:val="none" w:sz="0" w:space="0" w:color="auto"/>
                                                                                              </w:divBdr>
                                                                                              <w:divsChild>
                                                                                                <w:div w:id="1955167686">
                                                                                                  <w:marLeft w:val="0"/>
                                                                                                  <w:marRight w:val="0"/>
                                                                                                  <w:marTop w:val="0"/>
                                                                                                  <w:marBottom w:val="0"/>
                                                                                                  <w:divBdr>
                                                                                                    <w:top w:val="none" w:sz="0" w:space="0" w:color="auto"/>
                                                                                                    <w:left w:val="none" w:sz="0" w:space="0" w:color="auto"/>
                                                                                                    <w:bottom w:val="none" w:sz="0" w:space="0" w:color="auto"/>
                                                                                                    <w:right w:val="none" w:sz="0" w:space="0" w:color="auto"/>
                                                                                                  </w:divBdr>
                                                                                                  <w:divsChild>
                                                                                                    <w:div w:id="647327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74936566">
                                                                              <w:marLeft w:val="0"/>
                                                                              <w:marRight w:val="0"/>
                                                                              <w:marTop w:val="0"/>
                                                                              <w:marBottom w:val="0"/>
                                                                              <w:divBdr>
                                                                                <w:top w:val="single" w:sz="2" w:space="0" w:color="E3E3E3"/>
                                                                                <w:left w:val="single" w:sz="2" w:space="0" w:color="E3E3E3"/>
                                                                                <w:bottom w:val="single" w:sz="2" w:space="0" w:color="E3E3E3"/>
                                                                                <w:right w:val="single" w:sz="2" w:space="0" w:color="E3E3E3"/>
                                                                              </w:divBdr>
                                                                              <w:divsChild>
                                                                                <w:div w:id="1498963457">
                                                                                  <w:marLeft w:val="0"/>
                                                                                  <w:marRight w:val="0"/>
                                                                                  <w:marTop w:val="0"/>
                                                                                  <w:marBottom w:val="0"/>
                                                                                  <w:divBdr>
                                                                                    <w:top w:val="none" w:sz="0" w:space="0" w:color="auto"/>
                                                                                    <w:left w:val="none" w:sz="0" w:space="0" w:color="auto"/>
                                                                                    <w:bottom w:val="none" w:sz="0" w:space="0" w:color="auto"/>
                                                                                    <w:right w:val="none" w:sz="0" w:space="0" w:color="auto"/>
                                                                                  </w:divBdr>
                                                                                  <w:divsChild>
                                                                                    <w:div w:id="1435173737">
                                                                                      <w:marLeft w:val="0"/>
                                                                                      <w:marRight w:val="0"/>
                                                                                      <w:marTop w:val="0"/>
                                                                                      <w:marBottom w:val="0"/>
                                                                                      <w:divBdr>
                                                                                        <w:top w:val="none" w:sz="0" w:space="0" w:color="auto"/>
                                                                                        <w:left w:val="none" w:sz="0" w:space="0" w:color="auto"/>
                                                                                        <w:bottom w:val="none" w:sz="0" w:space="0" w:color="auto"/>
                                                                                        <w:right w:val="none" w:sz="0" w:space="0" w:color="auto"/>
                                                                                      </w:divBdr>
                                                                                      <w:divsChild>
                                                                                        <w:div w:id="268045445">
                                                                                          <w:marLeft w:val="0"/>
                                                                                          <w:marRight w:val="0"/>
                                                                                          <w:marTop w:val="0"/>
                                                                                          <w:marBottom w:val="0"/>
                                                                                          <w:divBdr>
                                                                                            <w:top w:val="none" w:sz="0" w:space="0" w:color="auto"/>
                                                                                            <w:left w:val="none" w:sz="0" w:space="0" w:color="auto"/>
                                                                                            <w:bottom w:val="none" w:sz="0" w:space="0" w:color="auto"/>
                                                                                            <w:right w:val="none" w:sz="0" w:space="0" w:color="auto"/>
                                                                                          </w:divBdr>
                                                                                          <w:divsChild>
                                                                                            <w:div w:id="1524133100">
                                                                                              <w:marLeft w:val="0"/>
                                                                                              <w:marRight w:val="0"/>
                                                                                              <w:marTop w:val="0"/>
                                                                                              <w:marBottom w:val="0"/>
                                                                                              <w:divBdr>
                                                                                                <w:top w:val="none" w:sz="0" w:space="0" w:color="auto"/>
                                                                                                <w:left w:val="none" w:sz="0" w:space="0" w:color="auto"/>
                                                                                                <w:bottom w:val="none" w:sz="0" w:space="0" w:color="auto"/>
                                                                                                <w:right w:val="none" w:sz="0" w:space="0" w:color="auto"/>
                                                                                              </w:divBdr>
                                                                                              <w:divsChild>
                                                                                                <w:div w:id="1434672404">
                                                                                                  <w:marLeft w:val="0"/>
                                                                                                  <w:marRight w:val="0"/>
                                                                                                  <w:marTop w:val="0"/>
                                                                                                  <w:marBottom w:val="0"/>
                                                                                                  <w:divBdr>
                                                                                                    <w:top w:val="none" w:sz="0" w:space="0" w:color="auto"/>
                                                                                                    <w:left w:val="none" w:sz="0" w:space="0" w:color="auto"/>
                                                                                                    <w:bottom w:val="none" w:sz="0" w:space="0" w:color="auto"/>
                                                                                                    <w:right w:val="none" w:sz="0" w:space="0" w:color="auto"/>
                                                                                                  </w:divBdr>
                                                                                                  <w:divsChild>
                                                                                                    <w:div w:id="931546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1870968">
                                                                                              <w:marLeft w:val="0"/>
                                                                                              <w:marRight w:val="0"/>
                                                                                              <w:marTop w:val="0"/>
                                                                                              <w:marBottom w:val="0"/>
                                                                                              <w:divBdr>
                                                                                                <w:top w:val="none" w:sz="0" w:space="0" w:color="auto"/>
                                                                                                <w:left w:val="none" w:sz="0" w:space="0" w:color="auto"/>
                                                                                                <w:bottom w:val="none" w:sz="0" w:space="0" w:color="auto"/>
                                                                                                <w:right w:val="none" w:sz="0" w:space="0" w:color="auto"/>
                                                                                              </w:divBdr>
                                                                                              <w:divsChild>
                                                                                                <w:div w:id="149832157">
                                                                                                  <w:marLeft w:val="0"/>
                                                                                                  <w:marRight w:val="0"/>
                                                                                                  <w:marTop w:val="0"/>
                                                                                                  <w:marBottom w:val="0"/>
                                                                                                  <w:divBdr>
                                                                                                    <w:top w:val="none" w:sz="0" w:space="0" w:color="auto"/>
                                                                                                    <w:left w:val="none" w:sz="0" w:space="0" w:color="auto"/>
                                                                                                    <w:bottom w:val="none" w:sz="0" w:space="0" w:color="auto"/>
                                                                                                    <w:right w:val="none" w:sz="0" w:space="0" w:color="auto"/>
                                                                                                  </w:divBdr>
                                                                                                  <w:divsChild>
                                                                                                    <w:div w:id="1113480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75073454">
                                                                              <w:marLeft w:val="0"/>
                                                                              <w:marRight w:val="0"/>
                                                                              <w:marTop w:val="0"/>
                                                                              <w:marBottom w:val="0"/>
                                                                              <w:divBdr>
                                                                                <w:top w:val="single" w:sz="2" w:space="0" w:color="E3E3E3"/>
                                                                                <w:left w:val="single" w:sz="2" w:space="0" w:color="E3E3E3"/>
                                                                                <w:bottom w:val="single" w:sz="2" w:space="0" w:color="E3E3E3"/>
                                                                                <w:right w:val="single" w:sz="2" w:space="0" w:color="E3E3E3"/>
                                                                              </w:divBdr>
                                                                              <w:divsChild>
                                                                                <w:div w:id="163059153">
                                                                                  <w:marLeft w:val="0"/>
                                                                                  <w:marRight w:val="0"/>
                                                                                  <w:marTop w:val="0"/>
                                                                                  <w:marBottom w:val="0"/>
                                                                                  <w:divBdr>
                                                                                    <w:top w:val="none" w:sz="0" w:space="0" w:color="auto"/>
                                                                                    <w:left w:val="none" w:sz="0" w:space="0" w:color="auto"/>
                                                                                    <w:bottom w:val="none" w:sz="0" w:space="0" w:color="auto"/>
                                                                                    <w:right w:val="none" w:sz="0" w:space="0" w:color="auto"/>
                                                                                  </w:divBdr>
                                                                                  <w:divsChild>
                                                                                    <w:div w:id="1471049439">
                                                                                      <w:marLeft w:val="0"/>
                                                                                      <w:marRight w:val="0"/>
                                                                                      <w:marTop w:val="0"/>
                                                                                      <w:marBottom w:val="0"/>
                                                                                      <w:divBdr>
                                                                                        <w:top w:val="none" w:sz="0" w:space="0" w:color="auto"/>
                                                                                        <w:left w:val="none" w:sz="0" w:space="0" w:color="auto"/>
                                                                                        <w:bottom w:val="none" w:sz="0" w:space="0" w:color="auto"/>
                                                                                        <w:right w:val="none" w:sz="0" w:space="0" w:color="auto"/>
                                                                                      </w:divBdr>
                                                                                      <w:divsChild>
                                                                                        <w:div w:id="1004404972">
                                                                                          <w:marLeft w:val="0"/>
                                                                                          <w:marRight w:val="0"/>
                                                                                          <w:marTop w:val="0"/>
                                                                                          <w:marBottom w:val="0"/>
                                                                                          <w:divBdr>
                                                                                            <w:top w:val="none" w:sz="0" w:space="0" w:color="auto"/>
                                                                                            <w:left w:val="none" w:sz="0" w:space="0" w:color="auto"/>
                                                                                            <w:bottom w:val="none" w:sz="0" w:space="0" w:color="auto"/>
                                                                                            <w:right w:val="none" w:sz="0" w:space="0" w:color="auto"/>
                                                                                          </w:divBdr>
                                                                                          <w:divsChild>
                                                                                            <w:div w:id="1079326888">
                                                                                              <w:marLeft w:val="0"/>
                                                                                              <w:marRight w:val="0"/>
                                                                                              <w:marTop w:val="0"/>
                                                                                              <w:marBottom w:val="0"/>
                                                                                              <w:divBdr>
                                                                                                <w:top w:val="none" w:sz="0" w:space="0" w:color="auto"/>
                                                                                                <w:left w:val="none" w:sz="0" w:space="0" w:color="auto"/>
                                                                                                <w:bottom w:val="none" w:sz="0" w:space="0" w:color="auto"/>
                                                                                                <w:right w:val="none" w:sz="0" w:space="0" w:color="auto"/>
                                                                                              </w:divBdr>
                                                                                              <w:divsChild>
                                                                                                <w:div w:id="1022434531">
                                                                                                  <w:marLeft w:val="0"/>
                                                                                                  <w:marRight w:val="0"/>
                                                                                                  <w:marTop w:val="0"/>
                                                                                                  <w:marBottom w:val="0"/>
                                                                                                  <w:divBdr>
                                                                                                    <w:top w:val="none" w:sz="0" w:space="0" w:color="auto"/>
                                                                                                    <w:left w:val="none" w:sz="0" w:space="0" w:color="auto"/>
                                                                                                    <w:bottom w:val="none" w:sz="0" w:space="0" w:color="auto"/>
                                                                                                    <w:right w:val="none" w:sz="0" w:space="0" w:color="auto"/>
                                                                                                  </w:divBdr>
                                                                                                  <w:divsChild>
                                                                                                    <w:div w:id="1327175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9288713">
                                                                                              <w:marLeft w:val="0"/>
                                                                                              <w:marRight w:val="0"/>
                                                                                              <w:marTop w:val="0"/>
                                                                                              <w:marBottom w:val="0"/>
                                                                                              <w:divBdr>
                                                                                                <w:top w:val="none" w:sz="0" w:space="0" w:color="auto"/>
                                                                                                <w:left w:val="none" w:sz="0" w:space="0" w:color="auto"/>
                                                                                                <w:bottom w:val="none" w:sz="0" w:space="0" w:color="auto"/>
                                                                                                <w:right w:val="none" w:sz="0" w:space="0" w:color="auto"/>
                                                                                              </w:divBdr>
                                                                                              <w:divsChild>
                                                                                                <w:div w:id="1383669799">
                                                                                                  <w:marLeft w:val="0"/>
                                                                                                  <w:marRight w:val="0"/>
                                                                                                  <w:marTop w:val="0"/>
                                                                                                  <w:marBottom w:val="0"/>
                                                                                                  <w:divBdr>
                                                                                                    <w:top w:val="none" w:sz="0" w:space="0" w:color="auto"/>
                                                                                                    <w:left w:val="none" w:sz="0" w:space="0" w:color="auto"/>
                                                                                                    <w:bottom w:val="none" w:sz="0" w:space="0" w:color="auto"/>
                                                                                                    <w:right w:val="none" w:sz="0" w:space="0" w:color="auto"/>
                                                                                                  </w:divBdr>
                                                                                                  <w:divsChild>
                                                                                                    <w:div w:id="242229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05504476">
                                                                              <w:marLeft w:val="0"/>
                                                                              <w:marRight w:val="0"/>
                                                                              <w:marTop w:val="0"/>
                                                                              <w:marBottom w:val="0"/>
                                                                              <w:divBdr>
                                                                                <w:top w:val="single" w:sz="2" w:space="0" w:color="E3E3E3"/>
                                                                                <w:left w:val="single" w:sz="2" w:space="0" w:color="E3E3E3"/>
                                                                                <w:bottom w:val="single" w:sz="2" w:space="0" w:color="E3E3E3"/>
                                                                                <w:right w:val="single" w:sz="2" w:space="0" w:color="E3E3E3"/>
                                                                              </w:divBdr>
                                                                              <w:divsChild>
                                                                                <w:div w:id="1676498564">
                                                                                  <w:marLeft w:val="0"/>
                                                                                  <w:marRight w:val="0"/>
                                                                                  <w:marTop w:val="0"/>
                                                                                  <w:marBottom w:val="0"/>
                                                                                  <w:divBdr>
                                                                                    <w:top w:val="none" w:sz="0" w:space="0" w:color="auto"/>
                                                                                    <w:left w:val="none" w:sz="0" w:space="0" w:color="auto"/>
                                                                                    <w:bottom w:val="none" w:sz="0" w:space="0" w:color="auto"/>
                                                                                    <w:right w:val="none" w:sz="0" w:space="0" w:color="auto"/>
                                                                                  </w:divBdr>
                                                                                  <w:divsChild>
                                                                                    <w:div w:id="2076659230">
                                                                                      <w:marLeft w:val="0"/>
                                                                                      <w:marRight w:val="0"/>
                                                                                      <w:marTop w:val="0"/>
                                                                                      <w:marBottom w:val="0"/>
                                                                                      <w:divBdr>
                                                                                        <w:top w:val="none" w:sz="0" w:space="0" w:color="auto"/>
                                                                                        <w:left w:val="none" w:sz="0" w:space="0" w:color="auto"/>
                                                                                        <w:bottom w:val="none" w:sz="0" w:space="0" w:color="auto"/>
                                                                                        <w:right w:val="none" w:sz="0" w:space="0" w:color="auto"/>
                                                                                      </w:divBdr>
                                                                                      <w:divsChild>
                                                                                        <w:div w:id="298845851">
                                                                                          <w:marLeft w:val="0"/>
                                                                                          <w:marRight w:val="0"/>
                                                                                          <w:marTop w:val="0"/>
                                                                                          <w:marBottom w:val="0"/>
                                                                                          <w:divBdr>
                                                                                            <w:top w:val="none" w:sz="0" w:space="0" w:color="auto"/>
                                                                                            <w:left w:val="none" w:sz="0" w:space="0" w:color="auto"/>
                                                                                            <w:bottom w:val="none" w:sz="0" w:space="0" w:color="auto"/>
                                                                                            <w:right w:val="none" w:sz="0" w:space="0" w:color="auto"/>
                                                                                          </w:divBdr>
                                                                                          <w:divsChild>
                                                                                            <w:div w:id="1765690307">
                                                                                              <w:marLeft w:val="0"/>
                                                                                              <w:marRight w:val="0"/>
                                                                                              <w:marTop w:val="0"/>
                                                                                              <w:marBottom w:val="0"/>
                                                                                              <w:divBdr>
                                                                                                <w:top w:val="none" w:sz="0" w:space="0" w:color="auto"/>
                                                                                                <w:left w:val="none" w:sz="0" w:space="0" w:color="auto"/>
                                                                                                <w:bottom w:val="none" w:sz="0" w:space="0" w:color="auto"/>
                                                                                                <w:right w:val="none" w:sz="0" w:space="0" w:color="auto"/>
                                                                                              </w:divBdr>
                                                                                              <w:divsChild>
                                                                                                <w:div w:id="229510588">
                                                                                                  <w:marLeft w:val="0"/>
                                                                                                  <w:marRight w:val="0"/>
                                                                                                  <w:marTop w:val="0"/>
                                                                                                  <w:marBottom w:val="0"/>
                                                                                                  <w:divBdr>
                                                                                                    <w:top w:val="none" w:sz="0" w:space="0" w:color="auto"/>
                                                                                                    <w:left w:val="none" w:sz="0" w:space="0" w:color="auto"/>
                                                                                                    <w:bottom w:val="none" w:sz="0" w:space="0" w:color="auto"/>
                                                                                                    <w:right w:val="none" w:sz="0" w:space="0" w:color="auto"/>
                                                                                                  </w:divBdr>
                                                                                                  <w:divsChild>
                                                                                                    <w:div w:id="232736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43056">
                                                                                              <w:marLeft w:val="0"/>
                                                                                              <w:marRight w:val="0"/>
                                                                                              <w:marTop w:val="0"/>
                                                                                              <w:marBottom w:val="0"/>
                                                                                              <w:divBdr>
                                                                                                <w:top w:val="none" w:sz="0" w:space="0" w:color="auto"/>
                                                                                                <w:left w:val="none" w:sz="0" w:space="0" w:color="auto"/>
                                                                                                <w:bottom w:val="none" w:sz="0" w:space="0" w:color="auto"/>
                                                                                                <w:right w:val="none" w:sz="0" w:space="0" w:color="auto"/>
                                                                                              </w:divBdr>
                                                                                              <w:divsChild>
                                                                                                <w:div w:id="1229420025">
                                                                                                  <w:marLeft w:val="0"/>
                                                                                                  <w:marRight w:val="0"/>
                                                                                                  <w:marTop w:val="0"/>
                                                                                                  <w:marBottom w:val="0"/>
                                                                                                  <w:divBdr>
                                                                                                    <w:top w:val="none" w:sz="0" w:space="0" w:color="auto"/>
                                                                                                    <w:left w:val="none" w:sz="0" w:space="0" w:color="auto"/>
                                                                                                    <w:bottom w:val="none" w:sz="0" w:space="0" w:color="auto"/>
                                                                                                    <w:right w:val="none" w:sz="0" w:space="0" w:color="auto"/>
                                                                                                  </w:divBdr>
                                                                                                  <w:divsChild>
                                                                                                    <w:div w:id="601569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64279628">
                                                                              <w:marLeft w:val="0"/>
                                                                              <w:marRight w:val="0"/>
                                                                              <w:marTop w:val="0"/>
                                                                              <w:marBottom w:val="0"/>
                                                                              <w:divBdr>
                                                                                <w:top w:val="single" w:sz="2" w:space="0" w:color="E3E3E3"/>
                                                                                <w:left w:val="single" w:sz="2" w:space="0" w:color="E3E3E3"/>
                                                                                <w:bottom w:val="single" w:sz="2" w:space="0" w:color="E3E3E3"/>
                                                                                <w:right w:val="single" w:sz="2" w:space="0" w:color="E3E3E3"/>
                                                                              </w:divBdr>
                                                                              <w:divsChild>
                                                                                <w:div w:id="1244685373">
                                                                                  <w:marLeft w:val="0"/>
                                                                                  <w:marRight w:val="0"/>
                                                                                  <w:marTop w:val="0"/>
                                                                                  <w:marBottom w:val="0"/>
                                                                                  <w:divBdr>
                                                                                    <w:top w:val="none" w:sz="0" w:space="0" w:color="auto"/>
                                                                                    <w:left w:val="none" w:sz="0" w:space="0" w:color="auto"/>
                                                                                    <w:bottom w:val="none" w:sz="0" w:space="0" w:color="auto"/>
                                                                                    <w:right w:val="none" w:sz="0" w:space="0" w:color="auto"/>
                                                                                  </w:divBdr>
                                                                                  <w:divsChild>
                                                                                    <w:div w:id="1019233467">
                                                                                      <w:marLeft w:val="0"/>
                                                                                      <w:marRight w:val="0"/>
                                                                                      <w:marTop w:val="0"/>
                                                                                      <w:marBottom w:val="0"/>
                                                                                      <w:divBdr>
                                                                                        <w:top w:val="none" w:sz="0" w:space="0" w:color="auto"/>
                                                                                        <w:left w:val="none" w:sz="0" w:space="0" w:color="auto"/>
                                                                                        <w:bottom w:val="none" w:sz="0" w:space="0" w:color="auto"/>
                                                                                        <w:right w:val="none" w:sz="0" w:space="0" w:color="auto"/>
                                                                                      </w:divBdr>
                                                                                      <w:divsChild>
                                                                                        <w:div w:id="794104328">
                                                                                          <w:marLeft w:val="0"/>
                                                                                          <w:marRight w:val="0"/>
                                                                                          <w:marTop w:val="0"/>
                                                                                          <w:marBottom w:val="0"/>
                                                                                          <w:divBdr>
                                                                                            <w:top w:val="none" w:sz="0" w:space="0" w:color="auto"/>
                                                                                            <w:left w:val="none" w:sz="0" w:space="0" w:color="auto"/>
                                                                                            <w:bottom w:val="none" w:sz="0" w:space="0" w:color="auto"/>
                                                                                            <w:right w:val="none" w:sz="0" w:space="0" w:color="auto"/>
                                                                                          </w:divBdr>
                                                                                          <w:divsChild>
                                                                                            <w:div w:id="1657957608">
                                                                                              <w:marLeft w:val="0"/>
                                                                                              <w:marRight w:val="0"/>
                                                                                              <w:marTop w:val="0"/>
                                                                                              <w:marBottom w:val="0"/>
                                                                                              <w:divBdr>
                                                                                                <w:top w:val="none" w:sz="0" w:space="0" w:color="auto"/>
                                                                                                <w:left w:val="none" w:sz="0" w:space="0" w:color="auto"/>
                                                                                                <w:bottom w:val="none" w:sz="0" w:space="0" w:color="auto"/>
                                                                                                <w:right w:val="none" w:sz="0" w:space="0" w:color="auto"/>
                                                                                              </w:divBdr>
                                                                                              <w:divsChild>
                                                                                                <w:div w:id="542248783">
                                                                                                  <w:marLeft w:val="0"/>
                                                                                                  <w:marRight w:val="0"/>
                                                                                                  <w:marTop w:val="0"/>
                                                                                                  <w:marBottom w:val="0"/>
                                                                                                  <w:divBdr>
                                                                                                    <w:top w:val="none" w:sz="0" w:space="0" w:color="auto"/>
                                                                                                    <w:left w:val="none" w:sz="0" w:space="0" w:color="auto"/>
                                                                                                    <w:bottom w:val="none" w:sz="0" w:space="0" w:color="auto"/>
                                                                                                    <w:right w:val="none" w:sz="0" w:space="0" w:color="auto"/>
                                                                                                  </w:divBdr>
                                                                                                  <w:divsChild>
                                                                                                    <w:div w:id="1794905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4661088">
                                                                                              <w:marLeft w:val="0"/>
                                                                                              <w:marRight w:val="0"/>
                                                                                              <w:marTop w:val="0"/>
                                                                                              <w:marBottom w:val="0"/>
                                                                                              <w:divBdr>
                                                                                                <w:top w:val="none" w:sz="0" w:space="0" w:color="auto"/>
                                                                                                <w:left w:val="none" w:sz="0" w:space="0" w:color="auto"/>
                                                                                                <w:bottom w:val="none" w:sz="0" w:space="0" w:color="auto"/>
                                                                                                <w:right w:val="none" w:sz="0" w:space="0" w:color="auto"/>
                                                                                              </w:divBdr>
                                                                                              <w:divsChild>
                                                                                                <w:div w:id="183709468">
                                                                                                  <w:marLeft w:val="0"/>
                                                                                                  <w:marRight w:val="0"/>
                                                                                                  <w:marTop w:val="0"/>
                                                                                                  <w:marBottom w:val="0"/>
                                                                                                  <w:divBdr>
                                                                                                    <w:top w:val="none" w:sz="0" w:space="0" w:color="auto"/>
                                                                                                    <w:left w:val="none" w:sz="0" w:space="0" w:color="auto"/>
                                                                                                    <w:bottom w:val="none" w:sz="0" w:space="0" w:color="auto"/>
                                                                                                    <w:right w:val="none" w:sz="0" w:space="0" w:color="auto"/>
                                                                                                  </w:divBdr>
                                                                                                  <w:divsChild>
                                                                                                    <w:div w:id="551619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13273171">
                                                                              <w:marLeft w:val="0"/>
                                                                              <w:marRight w:val="0"/>
                                                                              <w:marTop w:val="0"/>
                                                                              <w:marBottom w:val="0"/>
                                                                              <w:divBdr>
                                                                                <w:top w:val="single" w:sz="2" w:space="0" w:color="E3E3E3"/>
                                                                                <w:left w:val="single" w:sz="2" w:space="0" w:color="E3E3E3"/>
                                                                                <w:bottom w:val="single" w:sz="2" w:space="0" w:color="E3E3E3"/>
                                                                                <w:right w:val="single" w:sz="2" w:space="0" w:color="E3E3E3"/>
                                                                              </w:divBdr>
                                                                              <w:divsChild>
                                                                                <w:div w:id="1313102742">
                                                                                  <w:marLeft w:val="0"/>
                                                                                  <w:marRight w:val="0"/>
                                                                                  <w:marTop w:val="0"/>
                                                                                  <w:marBottom w:val="0"/>
                                                                                  <w:divBdr>
                                                                                    <w:top w:val="none" w:sz="0" w:space="0" w:color="auto"/>
                                                                                    <w:left w:val="none" w:sz="0" w:space="0" w:color="auto"/>
                                                                                    <w:bottom w:val="none" w:sz="0" w:space="0" w:color="auto"/>
                                                                                    <w:right w:val="none" w:sz="0" w:space="0" w:color="auto"/>
                                                                                  </w:divBdr>
                                                                                  <w:divsChild>
                                                                                    <w:div w:id="1835146684">
                                                                                      <w:marLeft w:val="0"/>
                                                                                      <w:marRight w:val="0"/>
                                                                                      <w:marTop w:val="0"/>
                                                                                      <w:marBottom w:val="0"/>
                                                                                      <w:divBdr>
                                                                                        <w:top w:val="none" w:sz="0" w:space="0" w:color="auto"/>
                                                                                        <w:left w:val="none" w:sz="0" w:space="0" w:color="auto"/>
                                                                                        <w:bottom w:val="none" w:sz="0" w:space="0" w:color="auto"/>
                                                                                        <w:right w:val="none" w:sz="0" w:space="0" w:color="auto"/>
                                                                                      </w:divBdr>
                                                                                      <w:divsChild>
                                                                                        <w:div w:id="1713845278">
                                                                                          <w:marLeft w:val="0"/>
                                                                                          <w:marRight w:val="0"/>
                                                                                          <w:marTop w:val="0"/>
                                                                                          <w:marBottom w:val="0"/>
                                                                                          <w:divBdr>
                                                                                            <w:top w:val="none" w:sz="0" w:space="0" w:color="auto"/>
                                                                                            <w:left w:val="none" w:sz="0" w:space="0" w:color="auto"/>
                                                                                            <w:bottom w:val="none" w:sz="0" w:space="0" w:color="auto"/>
                                                                                            <w:right w:val="none" w:sz="0" w:space="0" w:color="auto"/>
                                                                                          </w:divBdr>
                                                                                          <w:divsChild>
                                                                                            <w:div w:id="1847480397">
                                                                                              <w:marLeft w:val="0"/>
                                                                                              <w:marRight w:val="0"/>
                                                                                              <w:marTop w:val="0"/>
                                                                                              <w:marBottom w:val="0"/>
                                                                                              <w:divBdr>
                                                                                                <w:top w:val="none" w:sz="0" w:space="0" w:color="auto"/>
                                                                                                <w:left w:val="none" w:sz="0" w:space="0" w:color="auto"/>
                                                                                                <w:bottom w:val="none" w:sz="0" w:space="0" w:color="auto"/>
                                                                                                <w:right w:val="none" w:sz="0" w:space="0" w:color="auto"/>
                                                                                              </w:divBdr>
                                                                                              <w:divsChild>
                                                                                                <w:div w:id="1234242043">
                                                                                                  <w:marLeft w:val="0"/>
                                                                                                  <w:marRight w:val="0"/>
                                                                                                  <w:marTop w:val="0"/>
                                                                                                  <w:marBottom w:val="0"/>
                                                                                                  <w:divBdr>
                                                                                                    <w:top w:val="none" w:sz="0" w:space="0" w:color="auto"/>
                                                                                                    <w:left w:val="none" w:sz="0" w:space="0" w:color="auto"/>
                                                                                                    <w:bottom w:val="none" w:sz="0" w:space="0" w:color="auto"/>
                                                                                                    <w:right w:val="none" w:sz="0" w:space="0" w:color="auto"/>
                                                                                                  </w:divBdr>
                                                                                                  <w:divsChild>
                                                                                                    <w:div w:id="128473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785814">
                                                                                              <w:marLeft w:val="0"/>
                                                                                              <w:marRight w:val="0"/>
                                                                                              <w:marTop w:val="0"/>
                                                                                              <w:marBottom w:val="0"/>
                                                                                              <w:divBdr>
                                                                                                <w:top w:val="none" w:sz="0" w:space="0" w:color="auto"/>
                                                                                                <w:left w:val="none" w:sz="0" w:space="0" w:color="auto"/>
                                                                                                <w:bottom w:val="none" w:sz="0" w:space="0" w:color="auto"/>
                                                                                                <w:right w:val="none" w:sz="0" w:space="0" w:color="auto"/>
                                                                                              </w:divBdr>
                                                                                              <w:divsChild>
                                                                                                <w:div w:id="1413548189">
                                                                                                  <w:marLeft w:val="0"/>
                                                                                                  <w:marRight w:val="0"/>
                                                                                                  <w:marTop w:val="0"/>
                                                                                                  <w:marBottom w:val="0"/>
                                                                                                  <w:divBdr>
                                                                                                    <w:top w:val="none" w:sz="0" w:space="0" w:color="auto"/>
                                                                                                    <w:left w:val="none" w:sz="0" w:space="0" w:color="auto"/>
                                                                                                    <w:bottom w:val="none" w:sz="0" w:space="0" w:color="auto"/>
                                                                                                    <w:right w:val="none" w:sz="0" w:space="0" w:color="auto"/>
                                                                                                  </w:divBdr>
                                                                                                  <w:divsChild>
                                                                                                    <w:div w:id="692995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91746199">
                                                                              <w:marLeft w:val="0"/>
                                                                              <w:marRight w:val="0"/>
                                                                              <w:marTop w:val="0"/>
                                                                              <w:marBottom w:val="0"/>
                                                                              <w:divBdr>
                                                                                <w:top w:val="single" w:sz="2" w:space="0" w:color="E3E3E3"/>
                                                                                <w:left w:val="single" w:sz="2" w:space="0" w:color="E3E3E3"/>
                                                                                <w:bottom w:val="single" w:sz="2" w:space="0" w:color="E3E3E3"/>
                                                                                <w:right w:val="single" w:sz="2" w:space="0" w:color="E3E3E3"/>
                                                                              </w:divBdr>
                                                                              <w:divsChild>
                                                                                <w:div w:id="1139808029">
                                                                                  <w:marLeft w:val="0"/>
                                                                                  <w:marRight w:val="0"/>
                                                                                  <w:marTop w:val="0"/>
                                                                                  <w:marBottom w:val="0"/>
                                                                                  <w:divBdr>
                                                                                    <w:top w:val="none" w:sz="0" w:space="0" w:color="auto"/>
                                                                                    <w:left w:val="none" w:sz="0" w:space="0" w:color="auto"/>
                                                                                    <w:bottom w:val="none" w:sz="0" w:space="0" w:color="auto"/>
                                                                                    <w:right w:val="none" w:sz="0" w:space="0" w:color="auto"/>
                                                                                  </w:divBdr>
                                                                                  <w:divsChild>
                                                                                    <w:div w:id="492335834">
                                                                                      <w:marLeft w:val="0"/>
                                                                                      <w:marRight w:val="0"/>
                                                                                      <w:marTop w:val="0"/>
                                                                                      <w:marBottom w:val="0"/>
                                                                                      <w:divBdr>
                                                                                        <w:top w:val="none" w:sz="0" w:space="0" w:color="auto"/>
                                                                                        <w:left w:val="none" w:sz="0" w:space="0" w:color="auto"/>
                                                                                        <w:bottom w:val="none" w:sz="0" w:space="0" w:color="auto"/>
                                                                                        <w:right w:val="none" w:sz="0" w:space="0" w:color="auto"/>
                                                                                      </w:divBdr>
                                                                                      <w:divsChild>
                                                                                        <w:div w:id="249628550">
                                                                                          <w:marLeft w:val="0"/>
                                                                                          <w:marRight w:val="0"/>
                                                                                          <w:marTop w:val="0"/>
                                                                                          <w:marBottom w:val="0"/>
                                                                                          <w:divBdr>
                                                                                            <w:top w:val="none" w:sz="0" w:space="0" w:color="auto"/>
                                                                                            <w:left w:val="none" w:sz="0" w:space="0" w:color="auto"/>
                                                                                            <w:bottom w:val="none" w:sz="0" w:space="0" w:color="auto"/>
                                                                                            <w:right w:val="none" w:sz="0" w:space="0" w:color="auto"/>
                                                                                          </w:divBdr>
                                                                                          <w:divsChild>
                                                                                            <w:div w:id="1126705706">
                                                                                              <w:marLeft w:val="0"/>
                                                                                              <w:marRight w:val="0"/>
                                                                                              <w:marTop w:val="0"/>
                                                                                              <w:marBottom w:val="0"/>
                                                                                              <w:divBdr>
                                                                                                <w:top w:val="none" w:sz="0" w:space="0" w:color="auto"/>
                                                                                                <w:left w:val="none" w:sz="0" w:space="0" w:color="auto"/>
                                                                                                <w:bottom w:val="none" w:sz="0" w:space="0" w:color="auto"/>
                                                                                                <w:right w:val="none" w:sz="0" w:space="0" w:color="auto"/>
                                                                                              </w:divBdr>
                                                                                              <w:divsChild>
                                                                                                <w:div w:id="876116161">
                                                                                                  <w:marLeft w:val="0"/>
                                                                                                  <w:marRight w:val="0"/>
                                                                                                  <w:marTop w:val="0"/>
                                                                                                  <w:marBottom w:val="0"/>
                                                                                                  <w:divBdr>
                                                                                                    <w:top w:val="none" w:sz="0" w:space="0" w:color="auto"/>
                                                                                                    <w:left w:val="none" w:sz="0" w:space="0" w:color="auto"/>
                                                                                                    <w:bottom w:val="none" w:sz="0" w:space="0" w:color="auto"/>
                                                                                                    <w:right w:val="none" w:sz="0" w:space="0" w:color="auto"/>
                                                                                                  </w:divBdr>
                                                                                                  <w:divsChild>
                                                                                                    <w:div w:id="931664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8663960">
                                                                                              <w:marLeft w:val="0"/>
                                                                                              <w:marRight w:val="0"/>
                                                                                              <w:marTop w:val="0"/>
                                                                                              <w:marBottom w:val="0"/>
                                                                                              <w:divBdr>
                                                                                                <w:top w:val="none" w:sz="0" w:space="0" w:color="auto"/>
                                                                                                <w:left w:val="none" w:sz="0" w:space="0" w:color="auto"/>
                                                                                                <w:bottom w:val="none" w:sz="0" w:space="0" w:color="auto"/>
                                                                                                <w:right w:val="none" w:sz="0" w:space="0" w:color="auto"/>
                                                                                              </w:divBdr>
                                                                                              <w:divsChild>
                                                                                                <w:div w:id="591819480">
                                                                                                  <w:marLeft w:val="0"/>
                                                                                                  <w:marRight w:val="0"/>
                                                                                                  <w:marTop w:val="0"/>
                                                                                                  <w:marBottom w:val="0"/>
                                                                                                  <w:divBdr>
                                                                                                    <w:top w:val="none" w:sz="0" w:space="0" w:color="auto"/>
                                                                                                    <w:left w:val="none" w:sz="0" w:space="0" w:color="auto"/>
                                                                                                    <w:bottom w:val="none" w:sz="0" w:space="0" w:color="auto"/>
                                                                                                    <w:right w:val="none" w:sz="0" w:space="0" w:color="auto"/>
                                                                                                  </w:divBdr>
                                                                                                  <w:divsChild>
                                                                                                    <w:div w:id="403645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4461408">
                                                                              <w:marLeft w:val="0"/>
                                                                              <w:marRight w:val="0"/>
                                                                              <w:marTop w:val="0"/>
                                                                              <w:marBottom w:val="0"/>
                                                                              <w:divBdr>
                                                                                <w:top w:val="single" w:sz="2" w:space="0" w:color="E3E3E3"/>
                                                                                <w:left w:val="single" w:sz="2" w:space="0" w:color="E3E3E3"/>
                                                                                <w:bottom w:val="single" w:sz="2" w:space="0" w:color="E3E3E3"/>
                                                                                <w:right w:val="single" w:sz="2" w:space="0" w:color="E3E3E3"/>
                                                                              </w:divBdr>
                                                                              <w:divsChild>
                                                                                <w:div w:id="1803384415">
                                                                                  <w:marLeft w:val="0"/>
                                                                                  <w:marRight w:val="0"/>
                                                                                  <w:marTop w:val="0"/>
                                                                                  <w:marBottom w:val="0"/>
                                                                                  <w:divBdr>
                                                                                    <w:top w:val="none" w:sz="0" w:space="0" w:color="auto"/>
                                                                                    <w:left w:val="none" w:sz="0" w:space="0" w:color="auto"/>
                                                                                    <w:bottom w:val="none" w:sz="0" w:space="0" w:color="auto"/>
                                                                                    <w:right w:val="none" w:sz="0" w:space="0" w:color="auto"/>
                                                                                  </w:divBdr>
                                                                                  <w:divsChild>
                                                                                    <w:div w:id="592739713">
                                                                                      <w:marLeft w:val="0"/>
                                                                                      <w:marRight w:val="0"/>
                                                                                      <w:marTop w:val="0"/>
                                                                                      <w:marBottom w:val="0"/>
                                                                                      <w:divBdr>
                                                                                        <w:top w:val="none" w:sz="0" w:space="0" w:color="auto"/>
                                                                                        <w:left w:val="none" w:sz="0" w:space="0" w:color="auto"/>
                                                                                        <w:bottom w:val="none" w:sz="0" w:space="0" w:color="auto"/>
                                                                                        <w:right w:val="none" w:sz="0" w:space="0" w:color="auto"/>
                                                                                      </w:divBdr>
                                                                                      <w:divsChild>
                                                                                        <w:div w:id="731849044">
                                                                                          <w:marLeft w:val="0"/>
                                                                                          <w:marRight w:val="0"/>
                                                                                          <w:marTop w:val="0"/>
                                                                                          <w:marBottom w:val="0"/>
                                                                                          <w:divBdr>
                                                                                            <w:top w:val="none" w:sz="0" w:space="0" w:color="auto"/>
                                                                                            <w:left w:val="none" w:sz="0" w:space="0" w:color="auto"/>
                                                                                            <w:bottom w:val="none" w:sz="0" w:space="0" w:color="auto"/>
                                                                                            <w:right w:val="none" w:sz="0" w:space="0" w:color="auto"/>
                                                                                          </w:divBdr>
                                                                                          <w:divsChild>
                                                                                            <w:div w:id="508257308">
                                                                                              <w:marLeft w:val="0"/>
                                                                                              <w:marRight w:val="0"/>
                                                                                              <w:marTop w:val="0"/>
                                                                                              <w:marBottom w:val="0"/>
                                                                                              <w:divBdr>
                                                                                                <w:top w:val="none" w:sz="0" w:space="0" w:color="auto"/>
                                                                                                <w:left w:val="none" w:sz="0" w:space="0" w:color="auto"/>
                                                                                                <w:bottom w:val="none" w:sz="0" w:space="0" w:color="auto"/>
                                                                                                <w:right w:val="none" w:sz="0" w:space="0" w:color="auto"/>
                                                                                              </w:divBdr>
                                                                                              <w:divsChild>
                                                                                                <w:div w:id="725301483">
                                                                                                  <w:marLeft w:val="0"/>
                                                                                                  <w:marRight w:val="0"/>
                                                                                                  <w:marTop w:val="0"/>
                                                                                                  <w:marBottom w:val="0"/>
                                                                                                  <w:divBdr>
                                                                                                    <w:top w:val="none" w:sz="0" w:space="0" w:color="auto"/>
                                                                                                    <w:left w:val="none" w:sz="0" w:space="0" w:color="auto"/>
                                                                                                    <w:bottom w:val="none" w:sz="0" w:space="0" w:color="auto"/>
                                                                                                    <w:right w:val="none" w:sz="0" w:space="0" w:color="auto"/>
                                                                                                  </w:divBdr>
                                                                                                  <w:divsChild>
                                                                                                    <w:div w:id="848644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7676507">
                                                                                              <w:marLeft w:val="0"/>
                                                                                              <w:marRight w:val="0"/>
                                                                                              <w:marTop w:val="0"/>
                                                                                              <w:marBottom w:val="0"/>
                                                                                              <w:divBdr>
                                                                                                <w:top w:val="none" w:sz="0" w:space="0" w:color="auto"/>
                                                                                                <w:left w:val="none" w:sz="0" w:space="0" w:color="auto"/>
                                                                                                <w:bottom w:val="none" w:sz="0" w:space="0" w:color="auto"/>
                                                                                                <w:right w:val="none" w:sz="0" w:space="0" w:color="auto"/>
                                                                                              </w:divBdr>
                                                                                              <w:divsChild>
                                                                                                <w:div w:id="616106722">
                                                                                                  <w:marLeft w:val="0"/>
                                                                                                  <w:marRight w:val="0"/>
                                                                                                  <w:marTop w:val="0"/>
                                                                                                  <w:marBottom w:val="0"/>
                                                                                                  <w:divBdr>
                                                                                                    <w:top w:val="none" w:sz="0" w:space="0" w:color="auto"/>
                                                                                                    <w:left w:val="none" w:sz="0" w:space="0" w:color="auto"/>
                                                                                                    <w:bottom w:val="none" w:sz="0" w:space="0" w:color="auto"/>
                                                                                                    <w:right w:val="none" w:sz="0" w:space="0" w:color="auto"/>
                                                                                                  </w:divBdr>
                                                                                                  <w:divsChild>
                                                                                                    <w:div w:id="880477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12657296">
                                                              <w:marLeft w:val="0"/>
                                                              <w:marRight w:val="0"/>
                                                              <w:marTop w:val="0"/>
                                                              <w:marBottom w:val="0"/>
                                                              <w:divBdr>
                                                                <w:top w:val="none" w:sz="0" w:space="0" w:color="auto"/>
                                                                <w:left w:val="none" w:sz="0" w:space="0" w:color="auto"/>
                                                                <w:bottom w:val="none" w:sz="0" w:space="0" w:color="auto"/>
                                                                <w:right w:val="none" w:sz="0" w:space="0" w:color="auto"/>
                                                              </w:divBdr>
                                                              <w:divsChild>
                                                                <w:div w:id="497581424">
                                                                  <w:marLeft w:val="0"/>
                                                                  <w:marRight w:val="0"/>
                                                                  <w:marTop w:val="0"/>
                                                                  <w:marBottom w:val="0"/>
                                                                  <w:divBdr>
                                                                    <w:top w:val="none" w:sz="0" w:space="0" w:color="auto"/>
                                                                    <w:left w:val="none" w:sz="0" w:space="0" w:color="auto"/>
                                                                    <w:bottom w:val="none" w:sz="0" w:space="0" w:color="auto"/>
                                                                    <w:right w:val="none" w:sz="0" w:space="0" w:color="auto"/>
                                                                  </w:divBdr>
                                                                  <w:divsChild>
                                                                    <w:div w:id="171649261">
                                                                      <w:marLeft w:val="0"/>
                                                                      <w:marRight w:val="0"/>
                                                                      <w:marTop w:val="0"/>
                                                                      <w:marBottom w:val="0"/>
                                                                      <w:divBdr>
                                                                        <w:top w:val="none" w:sz="0" w:space="0" w:color="auto"/>
                                                                        <w:left w:val="none" w:sz="0" w:space="0" w:color="auto"/>
                                                                        <w:bottom w:val="none" w:sz="0" w:space="0" w:color="auto"/>
                                                                        <w:right w:val="none" w:sz="0" w:space="0" w:color="auto"/>
                                                                      </w:divBdr>
                                                                      <w:divsChild>
                                                                        <w:div w:id="363140491">
                                                                          <w:marLeft w:val="0"/>
                                                                          <w:marRight w:val="0"/>
                                                                          <w:marTop w:val="0"/>
                                                                          <w:marBottom w:val="0"/>
                                                                          <w:divBdr>
                                                                            <w:top w:val="none" w:sz="0" w:space="0" w:color="auto"/>
                                                                            <w:left w:val="none" w:sz="0" w:space="0" w:color="auto"/>
                                                                            <w:bottom w:val="none" w:sz="0" w:space="0" w:color="auto"/>
                                                                            <w:right w:val="none" w:sz="0" w:space="0" w:color="auto"/>
                                                                          </w:divBdr>
                                                                          <w:divsChild>
                                                                            <w:div w:id="1703287283">
                                                                              <w:marLeft w:val="0"/>
                                                                              <w:marRight w:val="0"/>
                                                                              <w:marTop w:val="0"/>
                                                                              <w:marBottom w:val="0"/>
                                                                              <w:divBdr>
                                                                                <w:top w:val="none" w:sz="0" w:space="0" w:color="auto"/>
                                                                                <w:left w:val="none" w:sz="0" w:space="0" w:color="auto"/>
                                                                                <w:bottom w:val="none" w:sz="0" w:space="0" w:color="auto"/>
                                                                                <w:right w:val="none" w:sz="0" w:space="0" w:color="auto"/>
                                                                              </w:divBdr>
                                                                              <w:divsChild>
                                                                                <w:div w:id="533005685">
                                                                                  <w:marLeft w:val="0"/>
                                                                                  <w:marRight w:val="0"/>
                                                                                  <w:marTop w:val="0"/>
                                                                                  <w:marBottom w:val="0"/>
                                                                                  <w:divBdr>
                                                                                    <w:top w:val="none" w:sz="0" w:space="0" w:color="auto"/>
                                                                                    <w:left w:val="none" w:sz="0" w:space="0" w:color="auto"/>
                                                                                    <w:bottom w:val="none" w:sz="0" w:space="0" w:color="auto"/>
                                                                                    <w:right w:val="none" w:sz="0" w:space="0" w:color="auto"/>
                                                                                  </w:divBdr>
                                                                                  <w:divsChild>
                                                                                    <w:div w:id="962270754">
                                                                                      <w:marLeft w:val="0"/>
                                                                                      <w:marRight w:val="0"/>
                                                                                      <w:marTop w:val="0"/>
                                                                                      <w:marBottom w:val="0"/>
                                                                                      <w:divBdr>
                                                                                        <w:top w:val="none" w:sz="0" w:space="0" w:color="auto"/>
                                                                                        <w:left w:val="none" w:sz="0" w:space="0" w:color="auto"/>
                                                                                        <w:bottom w:val="none" w:sz="0" w:space="0" w:color="auto"/>
                                                                                        <w:right w:val="none" w:sz="0" w:space="0" w:color="auto"/>
                                                                                      </w:divBdr>
                                                                                      <w:divsChild>
                                                                                        <w:div w:id="1309898222">
                                                                                          <w:marLeft w:val="0"/>
                                                                                          <w:marRight w:val="0"/>
                                                                                          <w:marTop w:val="0"/>
                                                                                          <w:marBottom w:val="0"/>
                                                                                          <w:divBdr>
                                                                                            <w:top w:val="none" w:sz="0" w:space="0" w:color="auto"/>
                                                                                            <w:left w:val="none" w:sz="0" w:space="0" w:color="auto"/>
                                                                                            <w:bottom w:val="none" w:sz="0" w:space="0" w:color="auto"/>
                                                                                            <w:right w:val="none" w:sz="0" w:space="0" w:color="auto"/>
                                                                                          </w:divBdr>
                                                                                        </w:div>
                                                                                        <w:div w:id="1618415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2650223">
                                                                              <w:marLeft w:val="0"/>
                                                                              <w:marRight w:val="0"/>
                                                                              <w:marTop w:val="0"/>
                                                                              <w:marBottom w:val="0"/>
                                                                              <w:divBdr>
                                                                                <w:top w:val="single" w:sz="2" w:space="0" w:color="E3E3E3"/>
                                                                                <w:left w:val="single" w:sz="2" w:space="0" w:color="E3E3E3"/>
                                                                                <w:bottom w:val="single" w:sz="2" w:space="0" w:color="E3E3E3"/>
                                                                                <w:right w:val="single" w:sz="2" w:space="0" w:color="E3E3E3"/>
                                                                              </w:divBdr>
                                                                              <w:divsChild>
                                                                                <w:div w:id="609825903">
                                                                                  <w:marLeft w:val="0"/>
                                                                                  <w:marRight w:val="0"/>
                                                                                  <w:marTop w:val="0"/>
                                                                                  <w:marBottom w:val="0"/>
                                                                                  <w:divBdr>
                                                                                    <w:top w:val="none" w:sz="0" w:space="0" w:color="auto"/>
                                                                                    <w:left w:val="none" w:sz="0" w:space="0" w:color="auto"/>
                                                                                    <w:bottom w:val="none" w:sz="0" w:space="0" w:color="auto"/>
                                                                                    <w:right w:val="none" w:sz="0" w:space="0" w:color="auto"/>
                                                                                  </w:divBdr>
                                                                                  <w:divsChild>
                                                                                    <w:div w:id="1353608280">
                                                                                      <w:marLeft w:val="0"/>
                                                                                      <w:marRight w:val="0"/>
                                                                                      <w:marTop w:val="0"/>
                                                                                      <w:marBottom w:val="0"/>
                                                                                      <w:divBdr>
                                                                                        <w:top w:val="none" w:sz="0" w:space="0" w:color="auto"/>
                                                                                        <w:left w:val="none" w:sz="0" w:space="0" w:color="auto"/>
                                                                                        <w:bottom w:val="none" w:sz="0" w:space="0" w:color="auto"/>
                                                                                        <w:right w:val="none" w:sz="0" w:space="0" w:color="auto"/>
                                                                                      </w:divBdr>
                                                                                      <w:divsChild>
                                                                                        <w:div w:id="1410886529">
                                                                                          <w:marLeft w:val="0"/>
                                                                                          <w:marRight w:val="0"/>
                                                                                          <w:marTop w:val="0"/>
                                                                                          <w:marBottom w:val="0"/>
                                                                                          <w:divBdr>
                                                                                            <w:top w:val="none" w:sz="0" w:space="0" w:color="auto"/>
                                                                                            <w:left w:val="none" w:sz="0" w:space="0" w:color="auto"/>
                                                                                            <w:bottom w:val="none" w:sz="0" w:space="0" w:color="auto"/>
                                                                                            <w:right w:val="none" w:sz="0" w:space="0" w:color="auto"/>
                                                                                          </w:divBdr>
                                                                                          <w:divsChild>
                                                                                            <w:div w:id="996693008">
                                                                                              <w:marLeft w:val="0"/>
                                                                                              <w:marRight w:val="0"/>
                                                                                              <w:marTop w:val="0"/>
                                                                                              <w:marBottom w:val="0"/>
                                                                                              <w:divBdr>
                                                                                                <w:top w:val="none" w:sz="0" w:space="0" w:color="auto"/>
                                                                                                <w:left w:val="none" w:sz="0" w:space="0" w:color="auto"/>
                                                                                                <w:bottom w:val="none" w:sz="0" w:space="0" w:color="auto"/>
                                                                                                <w:right w:val="none" w:sz="0" w:space="0" w:color="auto"/>
                                                                                              </w:divBdr>
                                                                                              <w:divsChild>
                                                                                                <w:div w:id="68816862">
                                                                                                  <w:marLeft w:val="0"/>
                                                                                                  <w:marRight w:val="0"/>
                                                                                                  <w:marTop w:val="0"/>
                                                                                                  <w:marBottom w:val="0"/>
                                                                                                  <w:divBdr>
                                                                                                    <w:top w:val="none" w:sz="0" w:space="0" w:color="auto"/>
                                                                                                    <w:left w:val="none" w:sz="0" w:space="0" w:color="auto"/>
                                                                                                    <w:bottom w:val="none" w:sz="0" w:space="0" w:color="auto"/>
                                                                                                    <w:right w:val="none" w:sz="0" w:space="0" w:color="auto"/>
                                                                                                  </w:divBdr>
                                                                                                  <w:divsChild>
                                                                                                    <w:div w:id="308828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1754062">
                                                                                              <w:marLeft w:val="0"/>
                                                                                              <w:marRight w:val="0"/>
                                                                                              <w:marTop w:val="0"/>
                                                                                              <w:marBottom w:val="0"/>
                                                                                              <w:divBdr>
                                                                                                <w:top w:val="none" w:sz="0" w:space="0" w:color="auto"/>
                                                                                                <w:left w:val="none" w:sz="0" w:space="0" w:color="auto"/>
                                                                                                <w:bottom w:val="none" w:sz="0" w:space="0" w:color="auto"/>
                                                                                                <w:right w:val="none" w:sz="0" w:space="0" w:color="auto"/>
                                                                                              </w:divBdr>
                                                                                              <w:divsChild>
                                                                                                <w:div w:id="782655577">
                                                                                                  <w:marLeft w:val="0"/>
                                                                                                  <w:marRight w:val="0"/>
                                                                                                  <w:marTop w:val="0"/>
                                                                                                  <w:marBottom w:val="0"/>
                                                                                                  <w:divBdr>
                                                                                                    <w:top w:val="none" w:sz="0" w:space="0" w:color="auto"/>
                                                                                                    <w:left w:val="none" w:sz="0" w:space="0" w:color="auto"/>
                                                                                                    <w:bottom w:val="none" w:sz="0" w:space="0" w:color="auto"/>
                                                                                                    <w:right w:val="none" w:sz="0" w:space="0" w:color="auto"/>
                                                                                                  </w:divBdr>
                                                                                                  <w:divsChild>
                                                                                                    <w:div w:id="2066905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77191139">
                                                                              <w:marLeft w:val="0"/>
                                                                              <w:marRight w:val="0"/>
                                                                              <w:marTop w:val="0"/>
                                                                              <w:marBottom w:val="0"/>
                                                                              <w:divBdr>
                                                                                <w:top w:val="single" w:sz="2" w:space="0" w:color="E3E3E3"/>
                                                                                <w:left w:val="single" w:sz="2" w:space="0" w:color="E3E3E3"/>
                                                                                <w:bottom w:val="single" w:sz="2" w:space="0" w:color="E3E3E3"/>
                                                                                <w:right w:val="single" w:sz="2" w:space="0" w:color="E3E3E3"/>
                                                                              </w:divBdr>
                                                                              <w:divsChild>
                                                                                <w:div w:id="96683367">
                                                                                  <w:marLeft w:val="0"/>
                                                                                  <w:marRight w:val="0"/>
                                                                                  <w:marTop w:val="0"/>
                                                                                  <w:marBottom w:val="0"/>
                                                                                  <w:divBdr>
                                                                                    <w:top w:val="none" w:sz="0" w:space="0" w:color="auto"/>
                                                                                    <w:left w:val="none" w:sz="0" w:space="0" w:color="auto"/>
                                                                                    <w:bottom w:val="none" w:sz="0" w:space="0" w:color="auto"/>
                                                                                    <w:right w:val="none" w:sz="0" w:space="0" w:color="auto"/>
                                                                                  </w:divBdr>
                                                                                  <w:divsChild>
                                                                                    <w:div w:id="2087536004">
                                                                                      <w:marLeft w:val="0"/>
                                                                                      <w:marRight w:val="0"/>
                                                                                      <w:marTop w:val="0"/>
                                                                                      <w:marBottom w:val="0"/>
                                                                                      <w:divBdr>
                                                                                        <w:top w:val="none" w:sz="0" w:space="0" w:color="auto"/>
                                                                                        <w:left w:val="none" w:sz="0" w:space="0" w:color="auto"/>
                                                                                        <w:bottom w:val="none" w:sz="0" w:space="0" w:color="auto"/>
                                                                                        <w:right w:val="none" w:sz="0" w:space="0" w:color="auto"/>
                                                                                      </w:divBdr>
                                                                                      <w:divsChild>
                                                                                        <w:div w:id="1564292823">
                                                                                          <w:marLeft w:val="0"/>
                                                                                          <w:marRight w:val="0"/>
                                                                                          <w:marTop w:val="0"/>
                                                                                          <w:marBottom w:val="0"/>
                                                                                          <w:divBdr>
                                                                                            <w:top w:val="none" w:sz="0" w:space="0" w:color="auto"/>
                                                                                            <w:left w:val="none" w:sz="0" w:space="0" w:color="auto"/>
                                                                                            <w:bottom w:val="none" w:sz="0" w:space="0" w:color="auto"/>
                                                                                            <w:right w:val="none" w:sz="0" w:space="0" w:color="auto"/>
                                                                                          </w:divBdr>
                                                                                          <w:divsChild>
                                                                                            <w:div w:id="990522514">
                                                                                              <w:marLeft w:val="0"/>
                                                                                              <w:marRight w:val="0"/>
                                                                                              <w:marTop w:val="0"/>
                                                                                              <w:marBottom w:val="0"/>
                                                                                              <w:divBdr>
                                                                                                <w:top w:val="none" w:sz="0" w:space="0" w:color="auto"/>
                                                                                                <w:left w:val="none" w:sz="0" w:space="0" w:color="auto"/>
                                                                                                <w:bottom w:val="none" w:sz="0" w:space="0" w:color="auto"/>
                                                                                                <w:right w:val="none" w:sz="0" w:space="0" w:color="auto"/>
                                                                                              </w:divBdr>
                                                                                              <w:divsChild>
                                                                                                <w:div w:id="1169128468">
                                                                                                  <w:marLeft w:val="0"/>
                                                                                                  <w:marRight w:val="0"/>
                                                                                                  <w:marTop w:val="0"/>
                                                                                                  <w:marBottom w:val="0"/>
                                                                                                  <w:divBdr>
                                                                                                    <w:top w:val="none" w:sz="0" w:space="0" w:color="auto"/>
                                                                                                    <w:left w:val="none" w:sz="0" w:space="0" w:color="auto"/>
                                                                                                    <w:bottom w:val="none" w:sz="0" w:space="0" w:color="auto"/>
                                                                                                    <w:right w:val="none" w:sz="0" w:space="0" w:color="auto"/>
                                                                                                  </w:divBdr>
                                                                                                  <w:divsChild>
                                                                                                    <w:div w:id="244656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5729531">
                                                                                              <w:marLeft w:val="0"/>
                                                                                              <w:marRight w:val="0"/>
                                                                                              <w:marTop w:val="0"/>
                                                                                              <w:marBottom w:val="0"/>
                                                                                              <w:divBdr>
                                                                                                <w:top w:val="none" w:sz="0" w:space="0" w:color="auto"/>
                                                                                                <w:left w:val="none" w:sz="0" w:space="0" w:color="auto"/>
                                                                                                <w:bottom w:val="none" w:sz="0" w:space="0" w:color="auto"/>
                                                                                                <w:right w:val="none" w:sz="0" w:space="0" w:color="auto"/>
                                                                                              </w:divBdr>
                                                                                              <w:divsChild>
                                                                                                <w:div w:id="1706564462">
                                                                                                  <w:marLeft w:val="0"/>
                                                                                                  <w:marRight w:val="0"/>
                                                                                                  <w:marTop w:val="0"/>
                                                                                                  <w:marBottom w:val="0"/>
                                                                                                  <w:divBdr>
                                                                                                    <w:top w:val="none" w:sz="0" w:space="0" w:color="auto"/>
                                                                                                    <w:left w:val="none" w:sz="0" w:space="0" w:color="auto"/>
                                                                                                    <w:bottom w:val="none" w:sz="0" w:space="0" w:color="auto"/>
                                                                                                    <w:right w:val="none" w:sz="0" w:space="0" w:color="auto"/>
                                                                                                  </w:divBdr>
                                                                                                  <w:divsChild>
                                                                                                    <w:div w:id="1701397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0760940">
                                                                              <w:marLeft w:val="0"/>
                                                                              <w:marRight w:val="0"/>
                                                                              <w:marTop w:val="0"/>
                                                                              <w:marBottom w:val="0"/>
                                                                              <w:divBdr>
                                                                                <w:top w:val="single" w:sz="2" w:space="0" w:color="E3E3E3"/>
                                                                                <w:left w:val="single" w:sz="2" w:space="0" w:color="E3E3E3"/>
                                                                                <w:bottom w:val="single" w:sz="2" w:space="0" w:color="E3E3E3"/>
                                                                                <w:right w:val="single" w:sz="2" w:space="0" w:color="E3E3E3"/>
                                                                              </w:divBdr>
                                                                              <w:divsChild>
                                                                                <w:div w:id="1272514991">
                                                                                  <w:marLeft w:val="0"/>
                                                                                  <w:marRight w:val="0"/>
                                                                                  <w:marTop w:val="0"/>
                                                                                  <w:marBottom w:val="0"/>
                                                                                  <w:divBdr>
                                                                                    <w:top w:val="none" w:sz="0" w:space="0" w:color="auto"/>
                                                                                    <w:left w:val="none" w:sz="0" w:space="0" w:color="auto"/>
                                                                                    <w:bottom w:val="none" w:sz="0" w:space="0" w:color="auto"/>
                                                                                    <w:right w:val="none" w:sz="0" w:space="0" w:color="auto"/>
                                                                                  </w:divBdr>
                                                                                  <w:divsChild>
                                                                                    <w:div w:id="1588077205">
                                                                                      <w:marLeft w:val="0"/>
                                                                                      <w:marRight w:val="0"/>
                                                                                      <w:marTop w:val="0"/>
                                                                                      <w:marBottom w:val="0"/>
                                                                                      <w:divBdr>
                                                                                        <w:top w:val="none" w:sz="0" w:space="0" w:color="auto"/>
                                                                                        <w:left w:val="none" w:sz="0" w:space="0" w:color="auto"/>
                                                                                        <w:bottom w:val="none" w:sz="0" w:space="0" w:color="auto"/>
                                                                                        <w:right w:val="none" w:sz="0" w:space="0" w:color="auto"/>
                                                                                      </w:divBdr>
                                                                                      <w:divsChild>
                                                                                        <w:div w:id="345711331">
                                                                                          <w:marLeft w:val="0"/>
                                                                                          <w:marRight w:val="0"/>
                                                                                          <w:marTop w:val="0"/>
                                                                                          <w:marBottom w:val="0"/>
                                                                                          <w:divBdr>
                                                                                            <w:top w:val="none" w:sz="0" w:space="0" w:color="auto"/>
                                                                                            <w:left w:val="none" w:sz="0" w:space="0" w:color="auto"/>
                                                                                            <w:bottom w:val="none" w:sz="0" w:space="0" w:color="auto"/>
                                                                                            <w:right w:val="none" w:sz="0" w:space="0" w:color="auto"/>
                                                                                          </w:divBdr>
                                                                                          <w:divsChild>
                                                                                            <w:div w:id="1144539942">
                                                                                              <w:marLeft w:val="0"/>
                                                                                              <w:marRight w:val="0"/>
                                                                                              <w:marTop w:val="0"/>
                                                                                              <w:marBottom w:val="0"/>
                                                                                              <w:divBdr>
                                                                                                <w:top w:val="none" w:sz="0" w:space="0" w:color="auto"/>
                                                                                                <w:left w:val="none" w:sz="0" w:space="0" w:color="auto"/>
                                                                                                <w:bottom w:val="none" w:sz="0" w:space="0" w:color="auto"/>
                                                                                                <w:right w:val="none" w:sz="0" w:space="0" w:color="auto"/>
                                                                                              </w:divBdr>
                                                                                              <w:divsChild>
                                                                                                <w:div w:id="1588230855">
                                                                                                  <w:marLeft w:val="0"/>
                                                                                                  <w:marRight w:val="0"/>
                                                                                                  <w:marTop w:val="0"/>
                                                                                                  <w:marBottom w:val="0"/>
                                                                                                  <w:divBdr>
                                                                                                    <w:top w:val="none" w:sz="0" w:space="0" w:color="auto"/>
                                                                                                    <w:left w:val="none" w:sz="0" w:space="0" w:color="auto"/>
                                                                                                    <w:bottom w:val="none" w:sz="0" w:space="0" w:color="auto"/>
                                                                                                    <w:right w:val="none" w:sz="0" w:space="0" w:color="auto"/>
                                                                                                  </w:divBdr>
                                                                                                  <w:divsChild>
                                                                                                    <w:div w:id="870528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334284">
                                                                                              <w:marLeft w:val="0"/>
                                                                                              <w:marRight w:val="0"/>
                                                                                              <w:marTop w:val="0"/>
                                                                                              <w:marBottom w:val="0"/>
                                                                                              <w:divBdr>
                                                                                                <w:top w:val="none" w:sz="0" w:space="0" w:color="auto"/>
                                                                                                <w:left w:val="none" w:sz="0" w:space="0" w:color="auto"/>
                                                                                                <w:bottom w:val="none" w:sz="0" w:space="0" w:color="auto"/>
                                                                                                <w:right w:val="none" w:sz="0" w:space="0" w:color="auto"/>
                                                                                              </w:divBdr>
                                                                                              <w:divsChild>
                                                                                                <w:div w:id="924849541">
                                                                                                  <w:marLeft w:val="0"/>
                                                                                                  <w:marRight w:val="0"/>
                                                                                                  <w:marTop w:val="0"/>
                                                                                                  <w:marBottom w:val="0"/>
                                                                                                  <w:divBdr>
                                                                                                    <w:top w:val="none" w:sz="0" w:space="0" w:color="auto"/>
                                                                                                    <w:left w:val="none" w:sz="0" w:space="0" w:color="auto"/>
                                                                                                    <w:bottom w:val="none" w:sz="0" w:space="0" w:color="auto"/>
                                                                                                    <w:right w:val="none" w:sz="0" w:space="0" w:color="auto"/>
                                                                                                  </w:divBdr>
                                                                                                  <w:divsChild>
                                                                                                    <w:div w:id="39483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6626234">
                                                                              <w:marLeft w:val="0"/>
                                                                              <w:marRight w:val="0"/>
                                                                              <w:marTop w:val="0"/>
                                                                              <w:marBottom w:val="0"/>
                                                                              <w:divBdr>
                                                                                <w:top w:val="single" w:sz="2" w:space="0" w:color="E3E3E3"/>
                                                                                <w:left w:val="single" w:sz="2" w:space="0" w:color="E3E3E3"/>
                                                                                <w:bottom w:val="single" w:sz="2" w:space="0" w:color="E3E3E3"/>
                                                                                <w:right w:val="single" w:sz="2" w:space="0" w:color="E3E3E3"/>
                                                                              </w:divBdr>
                                                                              <w:divsChild>
                                                                                <w:div w:id="1849253350">
                                                                                  <w:marLeft w:val="0"/>
                                                                                  <w:marRight w:val="0"/>
                                                                                  <w:marTop w:val="0"/>
                                                                                  <w:marBottom w:val="0"/>
                                                                                  <w:divBdr>
                                                                                    <w:top w:val="none" w:sz="0" w:space="0" w:color="auto"/>
                                                                                    <w:left w:val="none" w:sz="0" w:space="0" w:color="auto"/>
                                                                                    <w:bottom w:val="none" w:sz="0" w:space="0" w:color="auto"/>
                                                                                    <w:right w:val="none" w:sz="0" w:space="0" w:color="auto"/>
                                                                                  </w:divBdr>
                                                                                  <w:divsChild>
                                                                                    <w:div w:id="229273617">
                                                                                      <w:marLeft w:val="0"/>
                                                                                      <w:marRight w:val="0"/>
                                                                                      <w:marTop w:val="0"/>
                                                                                      <w:marBottom w:val="0"/>
                                                                                      <w:divBdr>
                                                                                        <w:top w:val="none" w:sz="0" w:space="0" w:color="auto"/>
                                                                                        <w:left w:val="none" w:sz="0" w:space="0" w:color="auto"/>
                                                                                        <w:bottom w:val="none" w:sz="0" w:space="0" w:color="auto"/>
                                                                                        <w:right w:val="none" w:sz="0" w:space="0" w:color="auto"/>
                                                                                      </w:divBdr>
                                                                                      <w:divsChild>
                                                                                        <w:div w:id="132988022">
                                                                                          <w:marLeft w:val="0"/>
                                                                                          <w:marRight w:val="0"/>
                                                                                          <w:marTop w:val="0"/>
                                                                                          <w:marBottom w:val="0"/>
                                                                                          <w:divBdr>
                                                                                            <w:top w:val="none" w:sz="0" w:space="0" w:color="auto"/>
                                                                                            <w:left w:val="none" w:sz="0" w:space="0" w:color="auto"/>
                                                                                            <w:bottom w:val="none" w:sz="0" w:space="0" w:color="auto"/>
                                                                                            <w:right w:val="none" w:sz="0" w:space="0" w:color="auto"/>
                                                                                          </w:divBdr>
                                                                                          <w:divsChild>
                                                                                            <w:div w:id="504251365">
                                                                                              <w:marLeft w:val="0"/>
                                                                                              <w:marRight w:val="0"/>
                                                                                              <w:marTop w:val="0"/>
                                                                                              <w:marBottom w:val="0"/>
                                                                                              <w:divBdr>
                                                                                                <w:top w:val="none" w:sz="0" w:space="0" w:color="auto"/>
                                                                                                <w:left w:val="none" w:sz="0" w:space="0" w:color="auto"/>
                                                                                                <w:bottom w:val="none" w:sz="0" w:space="0" w:color="auto"/>
                                                                                                <w:right w:val="none" w:sz="0" w:space="0" w:color="auto"/>
                                                                                              </w:divBdr>
                                                                                              <w:divsChild>
                                                                                                <w:div w:id="2146315525">
                                                                                                  <w:marLeft w:val="0"/>
                                                                                                  <w:marRight w:val="0"/>
                                                                                                  <w:marTop w:val="0"/>
                                                                                                  <w:marBottom w:val="0"/>
                                                                                                  <w:divBdr>
                                                                                                    <w:top w:val="none" w:sz="0" w:space="0" w:color="auto"/>
                                                                                                    <w:left w:val="none" w:sz="0" w:space="0" w:color="auto"/>
                                                                                                    <w:bottom w:val="none" w:sz="0" w:space="0" w:color="auto"/>
                                                                                                    <w:right w:val="none" w:sz="0" w:space="0" w:color="auto"/>
                                                                                                  </w:divBdr>
                                                                                                  <w:divsChild>
                                                                                                    <w:div w:id="1585266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6929768">
                                                                                              <w:marLeft w:val="0"/>
                                                                                              <w:marRight w:val="0"/>
                                                                                              <w:marTop w:val="0"/>
                                                                                              <w:marBottom w:val="0"/>
                                                                                              <w:divBdr>
                                                                                                <w:top w:val="none" w:sz="0" w:space="0" w:color="auto"/>
                                                                                                <w:left w:val="none" w:sz="0" w:space="0" w:color="auto"/>
                                                                                                <w:bottom w:val="none" w:sz="0" w:space="0" w:color="auto"/>
                                                                                                <w:right w:val="none" w:sz="0" w:space="0" w:color="auto"/>
                                                                                              </w:divBdr>
                                                                                              <w:divsChild>
                                                                                                <w:div w:id="711881716">
                                                                                                  <w:marLeft w:val="0"/>
                                                                                                  <w:marRight w:val="0"/>
                                                                                                  <w:marTop w:val="0"/>
                                                                                                  <w:marBottom w:val="0"/>
                                                                                                  <w:divBdr>
                                                                                                    <w:top w:val="none" w:sz="0" w:space="0" w:color="auto"/>
                                                                                                    <w:left w:val="none" w:sz="0" w:space="0" w:color="auto"/>
                                                                                                    <w:bottom w:val="none" w:sz="0" w:space="0" w:color="auto"/>
                                                                                                    <w:right w:val="none" w:sz="0" w:space="0" w:color="auto"/>
                                                                                                  </w:divBdr>
                                                                                                  <w:divsChild>
                                                                                                    <w:div w:id="1251625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2456140">
                                                                              <w:marLeft w:val="0"/>
                                                                              <w:marRight w:val="0"/>
                                                                              <w:marTop w:val="0"/>
                                                                              <w:marBottom w:val="0"/>
                                                                              <w:divBdr>
                                                                                <w:top w:val="single" w:sz="2" w:space="0" w:color="E3E3E3"/>
                                                                                <w:left w:val="single" w:sz="2" w:space="0" w:color="E3E3E3"/>
                                                                                <w:bottom w:val="single" w:sz="2" w:space="0" w:color="E3E3E3"/>
                                                                                <w:right w:val="single" w:sz="2" w:space="0" w:color="E3E3E3"/>
                                                                              </w:divBdr>
                                                                              <w:divsChild>
                                                                                <w:div w:id="349063503">
                                                                                  <w:marLeft w:val="0"/>
                                                                                  <w:marRight w:val="0"/>
                                                                                  <w:marTop w:val="0"/>
                                                                                  <w:marBottom w:val="0"/>
                                                                                  <w:divBdr>
                                                                                    <w:top w:val="none" w:sz="0" w:space="0" w:color="auto"/>
                                                                                    <w:left w:val="none" w:sz="0" w:space="0" w:color="auto"/>
                                                                                    <w:bottom w:val="none" w:sz="0" w:space="0" w:color="auto"/>
                                                                                    <w:right w:val="none" w:sz="0" w:space="0" w:color="auto"/>
                                                                                  </w:divBdr>
                                                                                  <w:divsChild>
                                                                                    <w:div w:id="836310502">
                                                                                      <w:marLeft w:val="0"/>
                                                                                      <w:marRight w:val="0"/>
                                                                                      <w:marTop w:val="0"/>
                                                                                      <w:marBottom w:val="0"/>
                                                                                      <w:divBdr>
                                                                                        <w:top w:val="none" w:sz="0" w:space="0" w:color="auto"/>
                                                                                        <w:left w:val="none" w:sz="0" w:space="0" w:color="auto"/>
                                                                                        <w:bottom w:val="none" w:sz="0" w:space="0" w:color="auto"/>
                                                                                        <w:right w:val="none" w:sz="0" w:space="0" w:color="auto"/>
                                                                                      </w:divBdr>
                                                                                      <w:divsChild>
                                                                                        <w:div w:id="117572823">
                                                                                          <w:marLeft w:val="0"/>
                                                                                          <w:marRight w:val="0"/>
                                                                                          <w:marTop w:val="0"/>
                                                                                          <w:marBottom w:val="0"/>
                                                                                          <w:divBdr>
                                                                                            <w:top w:val="none" w:sz="0" w:space="0" w:color="auto"/>
                                                                                            <w:left w:val="none" w:sz="0" w:space="0" w:color="auto"/>
                                                                                            <w:bottom w:val="none" w:sz="0" w:space="0" w:color="auto"/>
                                                                                            <w:right w:val="none" w:sz="0" w:space="0" w:color="auto"/>
                                                                                          </w:divBdr>
                                                                                          <w:divsChild>
                                                                                            <w:div w:id="1338193839">
                                                                                              <w:marLeft w:val="0"/>
                                                                                              <w:marRight w:val="0"/>
                                                                                              <w:marTop w:val="0"/>
                                                                                              <w:marBottom w:val="0"/>
                                                                                              <w:divBdr>
                                                                                                <w:top w:val="none" w:sz="0" w:space="0" w:color="auto"/>
                                                                                                <w:left w:val="none" w:sz="0" w:space="0" w:color="auto"/>
                                                                                                <w:bottom w:val="none" w:sz="0" w:space="0" w:color="auto"/>
                                                                                                <w:right w:val="none" w:sz="0" w:space="0" w:color="auto"/>
                                                                                              </w:divBdr>
                                                                                              <w:divsChild>
                                                                                                <w:div w:id="1089274415">
                                                                                                  <w:marLeft w:val="0"/>
                                                                                                  <w:marRight w:val="0"/>
                                                                                                  <w:marTop w:val="0"/>
                                                                                                  <w:marBottom w:val="0"/>
                                                                                                  <w:divBdr>
                                                                                                    <w:top w:val="none" w:sz="0" w:space="0" w:color="auto"/>
                                                                                                    <w:left w:val="none" w:sz="0" w:space="0" w:color="auto"/>
                                                                                                    <w:bottom w:val="none" w:sz="0" w:space="0" w:color="auto"/>
                                                                                                    <w:right w:val="none" w:sz="0" w:space="0" w:color="auto"/>
                                                                                                  </w:divBdr>
                                                                                                  <w:divsChild>
                                                                                                    <w:div w:id="1382632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4712406">
                                                                                              <w:marLeft w:val="0"/>
                                                                                              <w:marRight w:val="0"/>
                                                                                              <w:marTop w:val="0"/>
                                                                                              <w:marBottom w:val="0"/>
                                                                                              <w:divBdr>
                                                                                                <w:top w:val="none" w:sz="0" w:space="0" w:color="auto"/>
                                                                                                <w:left w:val="none" w:sz="0" w:space="0" w:color="auto"/>
                                                                                                <w:bottom w:val="none" w:sz="0" w:space="0" w:color="auto"/>
                                                                                                <w:right w:val="none" w:sz="0" w:space="0" w:color="auto"/>
                                                                                              </w:divBdr>
                                                                                              <w:divsChild>
                                                                                                <w:div w:id="1907449225">
                                                                                                  <w:marLeft w:val="0"/>
                                                                                                  <w:marRight w:val="0"/>
                                                                                                  <w:marTop w:val="0"/>
                                                                                                  <w:marBottom w:val="0"/>
                                                                                                  <w:divBdr>
                                                                                                    <w:top w:val="none" w:sz="0" w:space="0" w:color="auto"/>
                                                                                                    <w:left w:val="none" w:sz="0" w:space="0" w:color="auto"/>
                                                                                                    <w:bottom w:val="none" w:sz="0" w:space="0" w:color="auto"/>
                                                                                                    <w:right w:val="none" w:sz="0" w:space="0" w:color="auto"/>
                                                                                                  </w:divBdr>
                                                                                                  <w:divsChild>
                                                                                                    <w:div w:id="1407920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2053070249">
                                              <w:marLeft w:val="0"/>
                                              <w:marRight w:val="0"/>
                                              <w:marTop w:val="0"/>
                                              <w:marBottom w:val="0"/>
                                              <w:divBdr>
                                                <w:top w:val="none" w:sz="0" w:space="0" w:color="auto"/>
                                                <w:left w:val="none" w:sz="0" w:space="0" w:color="auto"/>
                                                <w:bottom w:val="none" w:sz="0" w:space="0" w:color="auto"/>
                                                <w:right w:val="none" w:sz="0" w:space="0" w:color="auto"/>
                                              </w:divBdr>
                                              <w:divsChild>
                                                <w:div w:id="757169280">
                                                  <w:marLeft w:val="0"/>
                                                  <w:marRight w:val="0"/>
                                                  <w:marTop w:val="0"/>
                                                  <w:marBottom w:val="0"/>
                                                  <w:divBdr>
                                                    <w:top w:val="none" w:sz="0" w:space="0" w:color="auto"/>
                                                    <w:left w:val="none" w:sz="0" w:space="0" w:color="auto"/>
                                                    <w:bottom w:val="none" w:sz="0" w:space="0" w:color="auto"/>
                                                    <w:right w:val="none" w:sz="0" w:space="0" w:color="auto"/>
                                                  </w:divBdr>
                                                  <w:divsChild>
                                                    <w:div w:id="1996758383">
                                                      <w:marLeft w:val="0"/>
                                                      <w:marRight w:val="0"/>
                                                      <w:marTop w:val="0"/>
                                                      <w:marBottom w:val="0"/>
                                                      <w:divBdr>
                                                        <w:top w:val="none" w:sz="0" w:space="0" w:color="auto"/>
                                                        <w:left w:val="none" w:sz="0" w:space="0" w:color="auto"/>
                                                        <w:bottom w:val="none" w:sz="0" w:space="0" w:color="auto"/>
                                                        <w:right w:val="none" w:sz="0" w:space="0" w:color="auto"/>
                                                      </w:divBdr>
                                                      <w:divsChild>
                                                        <w:div w:id="1336804152">
                                                          <w:marLeft w:val="0"/>
                                                          <w:marRight w:val="0"/>
                                                          <w:marTop w:val="0"/>
                                                          <w:marBottom w:val="0"/>
                                                          <w:divBdr>
                                                            <w:top w:val="none" w:sz="0" w:space="0" w:color="auto"/>
                                                            <w:left w:val="none" w:sz="0" w:space="0" w:color="auto"/>
                                                            <w:bottom w:val="none" w:sz="0" w:space="0" w:color="auto"/>
                                                            <w:right w:val="none" w:sz="0" w:space="0" w:color="auto"/>
                                                          </w:divBdr>
                                                          <w:divsChild>
                                                            <w:div w:id="1400325715">
                                                              <w:marLeft w:val="0"/>
                                                              <w:marRight w:val="0"/>
                                                              <w:marTop w:val="0"/>
                                                              <w:marBottom w:val="0"/>
                                                              <w:divBdr>
                                                                <w:top w:val="single" w:sz="2" w:space="0" w:color="E3E3E3"/>
                                                                <w:left w:val="single" w:sz="2" w:space="0" w:color="E3E3E3"/>
                                                                <w:bottom w:val="single" w:sz="2" w:space="0" w:color="E3E3E3"/>
                                                                <w:right w:val="single" w:sz="2" w:space="0" w:color="E3E3E3"/>
                                                              </w:divBdr>
                                                              <w:divsChild>
                                                                <w:div w:id="1155805787">
                                                                  <w:marLeft w:val="0"/>
                                                                  <w:marRight w:val="0"/>
                                                                  <w:marTop w:val="0"/>
                                                                  <w:marBottom w:val="0"/>
                                                                  <w:divBdr>
                                                                    <w:top w:val="none" w:sz="0" w:space="0" w:color="auto"/>
                                                                    <w:left w:val="none" w:sz="0" w:space="0" w:color="auto"/>
                                                                    <w:bottom w:val="none" w:sz="0" w:space="0" w:color="auto"/>
                                                                    <w:right w:val="none" w:sz="0" w:space="0" w:color="auto"/>
                                                                  </w:divBdr>
                                                                  <w:divsChild>
                                                                    <w:div w:id="2117097780">
                                                                      <w:marLeft w:val="0"/>
                                                                      <w:marRight w:val="0"/>
                                                                      <w:marTop w:val="0"/>
                                                                      <w:marBottom w:val="0"/>
                                                                      <w:divBdr>
                                                                        <w:top w:val="none" w:sz="0" w:space="0" w:color="auto"/>
                                                                        <w:left w:val="none" w:sz="0" w:space="0" w:color="auto"/>
                                                                        <w:bottom w:val="none" w:sz="0" w:space="0" w:color="auto"/>
                                                                        <w:right w:val="none" w:sz="0" w:space="0" w:color="auto"/>
                                                                      </w:divBdr>
                                                                      <w:divsChild>
                                                                        <w:div w:id="1145898758">
                                                                          <w:marLeft w:val="0"/>
                                                                          <w:marRight w:val="0"/>
                                                                          <w:marTop w:val="0"/>
                                                                          <w:marBottom w:val="0"/>
                                                                          <w:divBdr>
                                                                            <w:top w:val="none" w:sz="0" w:space="0" w:color="auto"/>
                                                                            <w:left w:val="none" w:sz="0" w:space="0" w:color="auto"/>
                                                                            <w:bottom w:val="none" w:sz="0" w:space="0" w:color="auto"/>
                                                                            <w:right w:val="none" w:sz="0" w:space="0" w:color="auto"/>
                                                                          </w:divBdr>
                                                                          <w:divsChild>
                                                                            <w:div w:id="744302494">
                                                                              <w:marLeft w:val="0"/>
                                                                              <w:marRight w:val="0"/>
                                                                              <w:marTop w:val="0"/>
                                                                              <w:marBottom w:val="0"/>
                                                                              <w:divBdr>
                                                                                <w:top w:val="none" w:sz="0" w:space="0" w:color="auto"/>
                                                                                <w:left w:val="none" w:sz="0" w:space="0" w:color="auto"/>
                                                                                <w:bottom w:val="none" w:sz="0" w:space="0" w:color="auto"/>
                                                                                <w:right w:val="none" w:sz="0" w:space="0" w:color="auto"/>
                                                                              </w:divBdr>
                                                                              <w:divsChild>
                                                                                <w:div w:id="1670907742">
                                                                                  <w:marLeft w:val="0"/>
                                                                                  <w:marRight w:val="0"/>
                                                                                  <w:marTop w:val="0"/>
                                                                                  <w:marBottom w:val="0"/>
                                                                                  <w:divBdr>
                                                                                    <w:top w:val="none" w:sz="0" w:space="0" w:color="auto"/>
                                                                                    <w:left w:val="none" w:sz="0" w:space="0" w:color="auto"/>
                                                                                    <w:bottom w:val="none" w:sz="0" w:space="0" w:color="auto"/>
                                                                                    <w:right w:val="none" w:sz="0" w:space="0" w:color="auto"/>
                                                                                  </w:divBdr>
                                                                                  <w:divsChild>
                                                                                    <w:div w:id="1124546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8864673">
                                                                              <w:marLeft w:val="0"/>
                                                                              <w:marRight w:val="0"/>
                                                                              <w:marTop w:val="0"/>
                                                                              <w:marBottom w:val="0"/>
                                                                              <w:divBdr>
                                                                                <w:top w:val="none" w:sz="0" w:space="0" w:color="auto"/>
                                                                                <w:left w:val="none" w:sz="0" w:space="0" w:color="auto"/>
                                                                                <w:bottom w:val="none" w:sz="0" w:space="0" w:color="auto"/>
                                                                                <w:right w:val="none" w:sz="0" w:space="0" w:color="auto"/>
                                                                              </w:divBdr>
                                                                              <w:divsChild>
                                                                                <w:div w:id="1832259479">
                                                                                  <w:marLeft w:val="0"/>
                                                                                  <w:marRight w:val="0"/>
                                                                                  <w:marTop w:val="0"/>
                                                                                  <w:marBottom w:val="0"/>
                                                                                  <w:divBdr>
                                                                                    <w:top w:val="none" w:sz="0" w:space="0" w:color="auto"/>
                                                                                    <w:left w:val="none" w:sz="0" w:space="0" w:color="auto"/>
                                                                                    <w:bottom w:val="none" w:sz="0" w:space="0" w:color="auto"/>
                                                                                    <w:right w:val="none" w:sz="0" w:space="0" w:color="auto"/>
                                                                                  </w:divBdr>
                                                                                  <w:divsChild>
                                                                                    <w:div w:id="1903439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57583598">
                                                              <w:marLeft w:val="0"/>
                                                              <w:marRight w:val="0"/>
                                                              <w:marTop w:val="0"/>
                                                              <w:marBottom w:val="0"/>
                                                              <w:divBdr>
                                                                <w:top w:val="single" w:sz="2" w:space="0" w:color="E3E3E3"/>
                                                                <w:left w:val="single" w:sz="2" w:space="0" w:color="E3E3E3"/>
                                                                <w:bottom w:val="single" w:sz="2" w:space="0" w:color="E3E3E3"/>
                                                                <w:right w:val="single" w:sz="2" w:space="0" w:color="E3E3E3"/>
                                                              </w:divBdr>
                                                              <w:divsChild>
                                                                <w:div w:id="293102320">
                                                                  <w:marLeft w:val="0"/>
                                                                  <w:marRight w:val="0"/>
                                                                  <w:marTop w:val="0"/>
                                                                  <w:marBottom w:val="0"/>
                                                                  <w:divBdr>
                                                                    <w:top w:val="none" w:sz="0" w:space="0" w:color="auto"/>
                                                                    <w:left w:val="none" w:sz="0" w:space="0" w:color="auto"/>
                                                                    <w:bottom w:val="none" w:sz="0" w:space="0" w:color="auto"/>
                                                                    <w:right w:val="none" w:sz="0" w:space="0" w:color="auto"/>
                                                                  </w:divBdr>
                                                                  <w:divsChild>
                                                                    <w:div w:id="1647588513">
                                                                      <w:marLeft w:val="0"/>
                                                                      <w:marRight w:val="0"/>
                                                                      <w:marTop w:val="0"/>
                                                                      <w:marBottom w:val="0"/>
                                                                      <w:divBdr>
                                                                        <w:top w:val="none" w:sz="0" w:space="0" w:color="auto"/>
                                                                        <w:left w:val="none" w:sz="0" w:space="0" w:color="auto"/>
                                                                        <w:bottom w:val="none" w:sz="0" w:space="0" w:color="auto"/>
                                                                        <w:right w:val="none" w:sz="0" w:space="0" w:color="auto"/>
                                                                      </w:divBdr>
                                                                      <w:divsChild>
                                                                        <w:div w:id="480969127">
                                                                          <w:marLeft w:val="0"/>
                                                                          <w:marRight w:val="0"/>
                                                                          <w:marTop w:val="0"/>
                                                                          <w:marBottom w:val="0"/>
                                                                          <w:divBdr>
                                                                            <w:top w:val="none" w:sz="0" w:space="0" w:color="auto"/>
                                                                            <w:left w:val="none" w:sz="0" w:space="0" w:color="auto"/>
                                                                            <w:bottom w:val="none" w:sz="0" w:space="0" w:color="auto"/>
                                                                            <w:right w:val="none" w:sz="0" w:space="0" w:color="auto"/>
                                                                          </w:divBdr>
                                                                          <w:divsChild>
                                                                            <w:div w:id="1380200226">
                                                                              <w:marLeft w:val="0"/>
                                                                              <w:marRight w:val="0"/>
                                                                              <w:marTop w:val="0"/>
                                                                              <w:marBottom w:val="0"/>
                                                                              <w:divBdr>
                                                                                <w:top w:val="none" w:sz="0" w:space="0" w:color="auto"/>
                                                                                <w:left w:val="none" w:sz="0" w:space="0" w:color="auto"/>
                                                                                <w:bottom w:val="none" w:sz="0" w:space="0" w:color="auto"/>
                                                                                <w:right w:val="none" w:sz="0" w:space="0" w:color="auto"/>
                                                                              </w:divBdr>
                                                                              <w:divsChild>
                                                                                <w:div w:id="16395636">
                                                                                  <w:marLeft w:val="0"/>
                                                                                  <w:marRight w:val="0"/>
                                                                                  <w:marTop w:val="0"/>
                                                                                  <w:marBottom w:val="0"/>
                                                                                  <w:divBdr>
                                                                                    <w:top w:val="none" w:sz="0" w:space="0" w:color="auto"/>
                                                                                    <w:left w:val="none" w:sz="0" w:space="0" w:color="auto"/>
                                                                                    <w:bottom w:val="none" w:sz="0" w:space="0" w:color="auto"/>
                                                                                    <w:right w:val="none" w:sz="0" w:space="0" w:color="auto"/>
                                                                                  </w:divBdr>
                                                                                  <w:divsChild>
                                                                                    <w:div w:id="1796362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6784383">
                                                                              <w:marLeft w:val="0"/>
                                                                              <w:marRight w:val="0"/>
                                                                              <w:marTop w:val="0"/>
                                                                              <w:marBottom w:val="0"/>
                                                                              <w:divBdr>
                                                                                <w:top w:val="none" w:sz="0" w:space="0" w:color="auto"/>
                                                                                <w:left w:val="none" w:sz="0" w:space="0" w:color="auto"/>
                                                                                <w:bottom w:val="none" w:sz="0" w:space="0" w:color="auto"/>
                                                                                <w:right w:val="none" w:sz="0" w:space="0" w:color="auto"/>
                                                                              </w:divBdr>
                                                                              <w:divsChild>
                                                                                <w:div w:id="523324424">
                                                                                  <w:marLeft w:val="0"/>
                                                                                  <w:marRight w:val="0"/>
                                                                                  <w:marTop w:val="0"/>
                                                                                  <w:marBottom w:val="0"/>
                                                                                  <w:divBdr>
                                                                                    <w:top w:val="none" w:sz="0" w:space="0" w:color="auto"/>
                                                                                    <w:left w:val="none" w:sz="0" w:space="0" w:color="auto"/>
                                                                                    <w:bottom w:val="none" w:sz="0" w:space="0" w:color="auto"/>
                                                                                    <w:right w:val="none" w:sz="0" w:space="0" w:color="auto"/>
                                                                                  </w:divBdr>
                                                                                  <w:divsChild>
                                                                                    <w:div w:id="789399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419406016">
                                              <w:marLeft w:val="0"/>
                                              <w:marRight w:val="0"/>
                                              <w:marTop w:val="0"/>
                                              <w:marBottom w:val="0"/>
                                              <w:divBdr>
                                                <w:top w:val="none" w:sz="0" w:space="0" w:color="auto"/>
                                                <w:left w:val="none" w:sz="0" w:space="0" w:color="auto"/>
                                                <w:bottom w:val="none" w:sz="0" w:space="0" w:color="auto"/>
                                                <w:right w:val="none" w:sz="0" w:space="0" w:color="auto"/>
                                              </w:divBdr>
                                              <w:divsChild>
                                                <w:div w:id="1550994836">
                                                  <w:marLeft w:val="0"/>
                                                  <w:marRight w:val="0"/>
                                                  <w:marTop w:val="0"/>
                                                  <w:marBottom w:val="0"/>
                                                  <w:divBdr>
                                                    <w:top w:val="none" w:sz="0" w:space="0" w:color="auto"/>
                                                    <w:left w:val="none" w:sz="0" w:space="0" w:color="auto"/>
                                                    <w:bottom w:val="none" w:sz="0" w:space="0" w:color="auto"/>
                                                    <w:right w:val="none" w:sz="0" w:space="0" w:color="auto"/>
                                                  </w:divBdr>
                                                  <w:divsChild>
                                                    <w:div w:id="1039014829">
                                                      <w:marLeft w:val="0"/>
                                                      <w:marRight w:val="0"/>
                                                      <w:marTop w:val="0"/>
                                                      <w:marBottom w:val="0"/>
                                                      <w:divBdr>
                                                        <w:top w:val="none" w:sz="0" w:space="0" w:color="auto"/>
                                                        <w:left w:val="none" w:sz="0" w:space="0" w:color="auto"/>
                                                        <w:bottom w:val="none" w:sz="0" w:space="0" w:color="auto"/>
                                                        <w:right w:val="none" w:sz="0" w:space="0" w:color="auto"/>
                                                      </w:divBdr>
                                                      <w:divsChild>
                                                        <w:div w:id="297687141">
                                                          <w:marLeft w:val="0"/>
                                                          <w:marRight w:val="0"/>
                                                          <w:marTop w:val="0"/>
                                                          <w:marBottom w:val="0"/>
                                                          <w:divBdr>
                                                            <w:top w:val="none" w:sz="0" w:space="0" w:color="auto"/>
                                                            <w:left w:val="none" w:sz="0" w:space="0" w:color="auto"/>
                                                            <w:bottom w:val="none" w:sz="0" w:space="0" w:color="auto"/>
                                                            <w:right w:val="none" w:sz="0" w:space="0" w:color="auto"/>
                                                          </w:divBdr>
                                                          <w:divsChild>
                                                            <w:div w:id="537544065">
                                                              <w:marLeft w:val="0"/>
                                                              <w:marRight w:val="0"/>
                                                              <w:marTop w:val="0"/>
                                                              <w:marBottom w:val="0"/>
                                                              <w:divBdr>
                                                                <w:top w:val="single" w:sz="2" w:space="0" w:color="E3E3E3"/>
                                                                <w:left w:val="single" w:sz="2" w:space="0" w:color="E3E3E3"/>
                                                                <w:bottom w:val="single" w:sz="2" w:space="0" w:color="E3E3E3"/>
                                                                <w:right w:val="single" w:sz="2" w:space="0" w:color="E3E3E3"/>
                                                              </w:divBdr>
                                                              <w:divsChild>
                                                                <w:div w:id="731657427">
                                                                  <w:marLeft w:val="0"/>
                                                                  <w:marRight w:val="0"/>
                                                                  <w:marTop w:val="0"/>
                                                                  <w:marBottom w:val="0"/>
                                                                  <w:divBdr>
                                                                    <w:top w:val="none" w:sz="0" w:space="0" w:color="auto"/>
                                                                    <w:left w:val="none" w:sz="0" w:space="0" w:color="auto"/>
                                                                    <w:bottom w:val="none" w:sz="0" w:space="0" w:color="auto"/>
                                                                    <w:right w:val="none" w:sz="0" w:space="0" w:color="auto"/>
                                                                  </w:divBdr>
                                                                  <w:divsChild>
                                                                    <w:div w:id="920676460">
                                                                      <w:marLeft w:val="0"/>
                                                                      <w:marRight w:val="0"/>
                                                                      <w:marTop w:val="0"/>
                                                                      <w:marBottom w:val="0"/>
                                                                      <w:divBdr>
                                                                        <w:top w:val="none" w:sz="0" w:space="0" w:color="auto"/>
                                                                        <w:left w:val="none" w:sz="0" w:space="0" w:color="auto"/>
                                                                        <w:bottom w:val="none" w:sz="0" w:space="0" w:color="auto"/>
                                                                        <w:right w:val="none" w:sz="0" w:space="0" w:color="auto"/>
                                                                      </w:divBdr>
                                                                      <w:divsChild>
                                                                        <w:div w:id="311760185">
                                                                          <w:marLeft w:val="0"/>
                                                                          <w:marRight w:val="0"/>
                                                                          <w:marTop w:val="0"/>
                                                                          <w:marBottom w:val="0"/>
                                                                          <w:divBdr>
                                                                            <w:top w:val="none" w:sz="0" w:space="0" w:color="auto"/>
                                                                            <w:left w:val="none" w:sz="0" w:space="0" w:color="auto"/>
                                                                            <w:bottom w:val="none" w:sz="0" w:space="0" w:color="auto"/>
                                                                            <w:right w:val="none" w:sz="0" w:space="0" w:color="auto"/>
                                                                          </w:divBdr>
                                                                          <w:divsChild>
                                                                            <w:div w:id="1621373714">
                                                                              <w:marLeft w:val="0"/>
                                                                              <w:marRight w:val="0"/>
                                                                              <w:marTop w:val="0"/>
                                                                              <w:marBottom w:val="0"/>
                                                                              <w:divBdr>
                                                                                <w:top w:val="none" w:sz="0" w:space="0" w:color="auto"/>
                                                                                <w:left w:val="none" w:sz="0" w:space="0" w:color="auto"/>
                                                                                <w:bottom w:val="none" w:sz="0" w:space="0" w:color="auto"/>
                                                                                <w:right w:val="none" w:sz="0" w:space="0" w:color="auto"/>
                                                                              </w:divBdr>
                                                                              <w:divsChild>
                                                                                <w:div w:id="264271566">
                                                                                  <w:marLeft w:val="0"/>
                                                                                  <w:marRight w:val="0"/>
                                                                                  <w:marTop w:val="0"/>
                                                                                  <w:marBottom w:val="0"/>
                                                                                  <w:divBdr>
                                                                                    <w:top w:val="none" w:sz="0" w:space="0" w:color="auto"/>
                                                                                    <w:left w:val="none" w:sz="0" w:space="0" w:color="auto"/>
                                                                                    <w:bottom w:val="none" w:sz="0" w:space="0" w:color="auto"/>
                                                                                    <w:right w:val="none" w:sz="0" w:space="0" w:color="auto"/>
                                                                                  </w:divBdr>
                                                                                  <w:divsChild>
                                                                                    <w:div w:id="954285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991665">
                                                                              <w:marLeft w:val="0"/>
                                                                              <w:marRight w:val="0"/>
                                                                              <w:marTop w:val="0"/>
                                                                              <w:marBottom w:val="0"/>
                                                                              <w:divBdr>
                                                                                <w:top w:val="none" w:sz="0" w:space="0" w:color="auto"/>
                                                                                <w:left w:val="none" w:sz="0" w:space="0" w:color="auto"/>
                                                                                <w:bottom w:val="none" w:sz="0" w:space="0" w:color="auto"/>
                                                                                <w:right w:val="none" w:sz="0" w:space="0" w:color="auto"/>
                                                                              </w:divBdr>
                                                                              <w:divsChild>
                                                                                <w:div w:id="1884830144">
                                                                                  <w:marLeft w:val="0"/>
                                                                                  <w:marRight w:val="0"/>
                                                                                  <w:marTop w:val="0"/>
                                                                                  <w:marBottom w:val="0"/>
                                                                                  <w:divBdr>
                                                                                    <w:top w:val="none" w:sz="0" w:space="0" w:color="auto"/>
                                                                                    <w:left w:val="none" w:sz="0" w:space="0" w:color="auto"/>
                                                                                    <w:bottom w:val="none" w:sz="0" w:space="0" w:color="auto"/>
                                                                                    <w:right w:val="none" w:sz="0" w:space="0" w:color="auto"/>
                                                                                  </w:divBdr>
                                                                                  <w:divsChild>
                                                                                    <w:div w:id="1109080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80066835">
                                                              <w:marLeft w:val="0"/>
                                                              <w:marRight w:val="0"/>
                                                              <w:marTop w:val="0"/>
                                                              <w:marBottom w:val="0"/>
                                                              <w:divBdr>
                                                                <w:top w:val="single" w:sz="2" w:space="0" w:color="E3E3E3"/>
                                                                <w:left w:val="single" w:sz="2" w:space="0" w:color="E3E3E3"/>
                                                                <w:bottom w:val="single" w:sz="2" w:space="0" w:color="E3E3E3"/>
                                                                <w:right w:val="single" w:sz="2" w:space="0" w:color="E3E3E3"/>
                                                              </w:divBdr>
                                                              <w:divsChild>
                                                                <w:div w:id="1220362210">
                                                                  <w:marLeft w:val="0"/>
                                                                  <w:marRight w:val="0"/>
                                                                  <w:marTop w:val="0"/>
                                                                  <w:marBottom w:val="0"/>
                                                                  <w:divBdr>
                                                                    <w:top w:val="none" w:sz="0" w:space="0" w:color="auto"/>
                                                                    <w:left w:val="none" w:sz="0" w:space="0" w:color="auto"/>
                                                                    <w:bottom w:val="none" w:sz="0" w:space="0" w:color="auto"/>
                                                                    <w:right w:val="none" w:sz="0" w:space="0" w:color="auto"/>
                                                                  </w:divBdr>
                                                                  <w:divsChild>
                                                                    <w:div w:id="2098552911">
                                                                      <w:marLeft w:val="0"/>
                                                                      <w:marRight w:val="0"/>
                                                                      <w:marTop w:val="0"/>
                                                                      <w:marBottom w:val="0"/>
                                                                      <w:divBdr>
                                                                        <w:top w:val="none" w:sz="0" w:space="0" w:color="auto"/>
                                                                        <w:left w:val="none" w:sz="0" w:space="0" w:color="auto"/>
                                                                        <w:bottom w:val="none" w:sz="0" w:space="0" w:color="auto"/>
                                                                        <w:right w:val="none" w:sz="0" w:space="0" w:color="auto"/>
                                                                      </w:divBdr>
                                                                      <w:divsChild>
                                                                        <w:div w:id="1366910162">
                                                                          <w:marLeft w:val="0"/>
                                                                          <w:marRight w:val="0"/>
                                                                          <w:marTop w:val="0"/>
                                                                          <w:marBottom w:val="0"/>
                                                                          <w:divBdr>
                                                                            <w:top w:val="none" w:sz="0" w:space="0" w:color="auto"/>
                                                                            <w:left w:val="none" w:sz="0" w:space="0" w:color="auto"/>
                                                                            <w:bottom w:val="none" w:sz="0" w:space="0" w:color="auto"/>
                                                                            <w:right w:val="none" w:sz="0" w:space="0" w:color="auto"/>
                                                                          </w:divBdr>
                                                                          <w:divsChild>
                                                                            <w:div w:id="2138521368">
                                                                              <w:marLeft w:val="0"/>
                                                                              <w:marRight w:val="0"/>
                                                                              <w:marTop w:val="0"/>
                                                                              <w:marBottom w:val="0"/>
                                                                              <w:divBdr>
                                                                                <w:top w:val="none" w:sz="0" w:space="0" w:color="auto"/>
                                                                                <w:left w:val="none" w:sz="0" w:space="0" w:color="auto"/>
                                                                                <w:bottom w:val="none" w:sz="0" w:space="0" w:color="auto"/>
                                                                                <w:right w:val="none" w:sz="0" w:space="0" w:color="auto"/>
                                                                              </w:divBdr>
                                                                              <w:divsChild>
                                                                                <w:div w:id="1296643236">
                                                                                  <w:marLeft w:val="0"/>
                                                                                  <w:marRight w:val="0"/>
                                                                                  <w:marTop w:val="0"/>
                                                                                  <w:marBottom w:val="0"/>
                                                                                  <w:divBdr>
                                                                                    <w:top w:val="none" w:sz="0" w:space="0" w:color="auto"/>
                                                                                    <w:left w:val="none" w:sz="0" w:space="0" w:color="auto"/>
                                                                                    <w:bottom w:val="none" w:sz="0" w:space="0" w:color="auto"/>
                                                                                    <w:right w:val="none" w:sz="0" w:space="0" w:color="auto"/>
                                                                                  </w:divBdr>
                                                                                  <w:divsChild>
                                                                                    <w:div w:id="3017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1191190">
                                                                              <w:marLeft w:val="0"/>
                                                                              <w:marRight w:val="0"/>
                                                                              <w:marTop w:val="0"/>
                                                                              <w:marBottom w:val="0"/>
                                                                              <w:divBdr>
                                                                                <w:top w:val="none" w:sz="0" w:space="0" w:color="auto"/>
                                                                                <w:left w:val="none" w:sz="0" w:space="0" w:color="auto"/>
                                                                                <w:bottom w:val="none" w:sz="0" w:space="0" w:color="auto"/>
                                                                                <w:right w:val="none" w:sz="0" w:space="0" w:color="auto"/>
                                                                              </w:divBdr>
                                                                              <w:divsChild>
                                                                                <w:div w:id="1215965956">
                                                                                  <w:marLeft w:val="0"/>
                                                                                  <w:marRight w:val="0"/>
                                                                                  <w:marTop w:val="0"/>
                                                                                  <w:marBottom w:val="0"/>
                                                                                  <w:divBdr>
                                                                                    <w:top w:val="none" w:sz="0" w:space="0" w:color="auto"/>
                                                                                    <w:left w:val="none" w:sz="0" w:space="0" w:color="auto"/>
                                                                                    <w:bottom w:val="none" w:sz="0" w:space="0" w:color="auto"/>
                                                                                    <w:right w:val="none" w:sz="0" w:space="0" w:color="auto"/>
                                                                                  </w:divBdr>
                                                                                  <w:divsChild>
                                                                                    <w:div w:id="462238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9719637">
                                                              <w:marLeft w:val="0"/>
                                                              <w:marRight w:val="0"/>
                                                              <w:marTop w:val="0"/>
                                                              <w:marBottom w:val="0"/>
                                                              <w:divBdr>
                                                                <w:top w:val="single" w:sz="2" w:space="0" w:color="E3E3E3"/>
                                                                <w:left w:val="single" w:sz="2" w:space="0" w:color="E3E3E3"/>
                                                                <w:bottom w:val="single" w:sz="2" w:space="0" w:color="E3E3E3"/>
                                                                <w:right w:val="single" w:sz="2" w:space="0" w:color="E3E3E3"/>
                                                              </w:divBdr>
                                                              <w:divsChild>
                                                                <w:div w:id="2063750340">
                                                                  <w:marLeft w:val="0"/>
                                                                  <w:marRight w:val="0"/>
                                                                  <w:marTop w:val="0"/>
                                                                  <w:marBottom w:val="0"/>
                                                                  <w:divBdr>
                                                                    <w:top w:val="none" w:sz="0" w:space="0" w:color="auto"/>
                                                                    <w:left w:val="none" w:sz="0" w:space="0" w:color="auto"/>
                                                                    <w:bottom w:val="none" w:sz="0" w:space="0" w:color="auto"/>
                                                                    <w:right w:val="none" w:sz="0" w:space="0" w:color="auto"/>
                                                                  </w:divBdr>
                                                                  <w:divsChild>
                                                                    <w:div w:id="1577393634">
                                                                      <w:marLeft w:val="0"/>
                                                                      <w:marRight w:val="0"/>
                                                                      <w:marTop w:val="0"/>
                                                                      <w:marBottom w:val="0"/>
                                                                      <w:divBdr>
                                                                        <w:top w:val="none" w:sz="0" w:space="0" w:color="auto"/>
                                                                        <w:left w:val="none" w:sz="0" w:space="0" w:color="auto"/>
                                                                        <w:bottom w:val="none" w:sz="0" w:space="0" w:color="auto"/>
                                                                        <w:right w:val="none" w:sz="0" w:space="0" w:color="auto"/>
                                                                      </w:divBdr>
                                                                      <w:divsChild>
                                                                        <w:div w:id="712971151">
                                                                          <w:marLeft w:val="0"/>
                                                                          <w:marRight w:val="0"/>
                                                                          <w:marTop w:val="0"/>
                                                                          <w:marBottom w:val="0"/>
                                                                          <w:divBdr>
                                                                            <w:top w:val="none" w:sz="0" w:space="0" w:color="auto"/>
                                                                            <w:left w:val="none" w:sz="0" w:space="0" w:color="auto"/>
                                                                            <w:bottom w:val="none" w:sz="0" w:space="0" w:color="auto"/>
                                                                            <w:right w:val="none" w:sz="0" w:space="0" w:color="auto"/>
                                                                          </w:divBdr>
                                                                          <w:divsChild>
                                                                            <w:div w:id="1564482644">
                                                                              <w:marLeft w:val="0"/>
                                                                              <w:marRight w:val="0"/>
                                                                              <w:marTop w:val="0"/>
                                                                              <w:marBottom w:val="0"/>
                                                                              <w:divBdr>
                                                                                <w:top w:val="none" w:sz="0" w:space="0" w:color="auto"/>
                                                                                <w:left w:val="none" w:sz="0" w:space="0" w:color="auto"/>
                                                                                <w:bottom w:val="none" w:sz="0" w:space="0" w:color="auto"/>
                                                                                <w:right w:val="none" w:sz="0" w:space="0" w:color="auto"/>
                                                                              </w:divBdr>
                                                                              <w:divsChild>
                                                                                <w:div w:id="393820994">
                                                                                  <w:marLeft w:val="0"/>
                                                                                  <w:marRight w:val="0"/>
                                                                                  <w:marTop w:val="0"/>
                                                                                  <w:marBottom w:val="0"/>
                                                                                  <w:divBdr>
                                                                                    <w:top w:val="none" w:sz="0" w:space="0" w:color="auto"/>
                                                                                    <w:left w:val="none" w:sz="0" w:space="0" w:color="auto"/>
                                                                                    <w:bottom w:val="none" w:sz="0" w:space="0" w:color="auto"/>
                                                                                    <w:right w:val="none" w:sz="0" w:space="0" w:color="auto"/>
                                                                                  </w:divBdr>
                                                                                  <w:divsChild>
                                                                                    <w:div w:id="256599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024580">
                                                                              <w:marLeft w:val="0"/>
                                                                              <w:marRight w:val="0"/>
                                                                              <w:marTop w:val="0"/>
                                                                              <w:marBottom w:val="0"/>
                                                                              <w:divBdr>
                                                                                <w:top w:val="none" w:sz="0" w:space="0" w:color="auto"/>
                                                                                <w:left w:val="none" w:sz="0" w:space="0" w:color="auto"/>
                                                                                <w:bottom w:val="none" w:sz="0" w:space="0" w:color="auto"/>
                                                                                <w:right w:val="none" w:sz="0" w:space="0" w:color="auto"/>
                                                                              </w:divBdr>
                                                                              <w:divsChild>
                                                                                <w:div w:id="798113581">
                                                                                  <w:marLeft w:val="0"/>
                                                                                  <w:marRight w:val="0"/>
                                                                                  <w:marTop w:val="0"/>
                                                                                  <w:marBottom w:val="0"/>
                                                                                  <w:divBdr>
                                                                                    <w:top w:val="none" w:sz="0" w:space="0" w:color="auto"/>
                                                                                    <w:left w:val="none" w:sz="0" w:space="0" w:color="auto"/>
                                                                                    <w:bottom w:val="none" w:sz="0" w:space="0" w:color="auto"/>
                                                                                    <w:right w:val="none" w:sz="0" w:space="0" w:color="auto"/>
                                                                                  </w:divBdr>
                                                                                  <w:divsChild>
                                                                                    <w:div w:id="1104348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0663641">
                                                              <w:marLeft w:val="0"/>
                                                              <w:marRight w:val="0"/>
                                                              <w:marTop w:val="0"/>
                                                              <w:marBottom w:val="0"/>
                                                              <w:divBdr>
                                                                <w:top w:val="single" w:sz="2" w:space="0" w:color="E3E3E3"/>
                                                                <w:left w:val="single" w:sz="2" w:space="0" w:color="E3E3E3"/>
                                                                <w:bottom w:val="single" w:sz="2" w:space="0" w:color="E3E3E3"/>
                                                                <w:right w:val="single" w:sz="2" w:space="0" w:color="E3E3E3"/>
                                                              </w:divBdr>
                                                              <w:divsChild>
                                                                <w:div w:id="1660380160">
                                                                  <w:marLeft w:val="0"/>
                                                                  <w:marRight w:val="0"/>
                                                                  <w:marTop w:val="0"/>
                                                                  <w:marBottom w:val="0"/>
                                                                  <w:divBdr>
                                                                    <w:top w:val="none" w:sz="0" w:space="0" w:color="auto"/>
                                                                    <w:left w:val="none" w:sz="0" w:space="0" w:color="auto"/>
                                                                    <w:bottom w:val="none" w:sz="0" w:space="0" w:color="auto"/>
                                                                    <w:right w:val="none" w:sz="0" w:space="0" w:color="auto"/>
                                                                  </w:divBdr>
                                                                  <w:divsChild>
                                                                    <w:div w:id="1703705237">
                                                                      <w:marLeft w:val="0"/>
                                                                      <w:marRight w:val="0"/>
                                                                      <w:marTop w:val="0"/>
                                                                      <w:marBottom w:val="0"/>
                                                                      <w:divBdr>
                                                                        <w:top w:val="none" w:sz="0" w:space="0" w:color="auto"/>
                                                                        <w:left w:val="none" w:sz="0" w:space="0" w:color="auto"/>
                                                                        <w:bottom w:val="none" w:sz="0" w:space="0" w:color="auto"/>
                                                                        <w:right w:val="none" w:sz="0" w:space="0" w:color="auto"/>
                                                                      </w:divBdr>
                                                                      <w:divsChild>
                                                                        <w:div w:id="1421682176">
                                                                          <w:marLeft w:val="0"/>
                                                                          <w:marRight w:val="0"/>
                                                                          <w:marTop w:val="0"/>
                                                                          <w:marBottom w:val="0"/>
                                                                          <w:divBdr>
                                                                            <w:top w:val="none" w:sz="0" w:space="0" w:color="auto"/>
                                                                            <w:left w:val="none" w:sz="0" w:space="0" w:color="auto"/>
                                                                            <w:bottom w:val="none" w:sz="0" w:space="0" w:color="auto"/>
                                                                            <w:right w:val="none" w:sz="0" w:space="0" w:color="auto"/>
                                                                          </w:divBdr>
                                                                          <w:divsChild>
                                                                            <w:div w:id="173619762">
                                                                              <w:marLeft w:val="0"/>
                                                                              <w:marRight w:val="0"/>
                                                                              <w:marTop w:val="0"/>
                                                                              <w:marBottom w:val="0"/>
                                                                              <w:divBdr>
                                                                                <w:top w:val="none" w:sz="0" w:space="0" w:color="auto"/>
                                                                                <w:left w:val="none" w:sz="0" w:space="0" w:color="auto"/>
                                                                                <w:bottom w:val="none" w:sz="0" w:space="0" w:color="auto"/>
                                                                                <w:right w:val="none" w:sz="0" w:space="0" w:color="auto"/>
                                                                              </w:divBdr>
                                                                              <w:divsChild>
                                                                                <w:div w:id="318121099">
                                                                                  <w:marLeft w:val="0"/>
                                                                                  <w:marRight w:val="0"/>
                                                                                  <w:marTop w:val="0"/>
                                                                                  <w:marBottom w:val="0"/>
                                                                                  <w:divBdr>
                                                                                    <w:top w:val="none" w:sz="0" w:space="0" w:color="auto"/>
                                                                                    <w:left w:val="none" w:sz="0" w:space="0" w:color="auto"/>
                                                                                    <w:bottom w:val="none" w:sz="0" w:space="0" w:color="auto"/>
                                                                                    <w:right w:val="none" w:sz="0" w:space="0" w:color="auto"/>
                                                                                  </w:divBdr>
                                                                                  <w:divsChild>
                                                                                    <w:div w:id="1244074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8426346">
                                                                              <w:marLeft w:val="0"/>
                                                                              <w:marRight w:val="0"/>
                                                                              <w:marTop w:val="0"/>
                                                                              <w:marBottom w:val="0"/>
                                                                              <w:divBdr>
                                                                                <w:top w:val="none" w:sz="0" w:space="0" w:color="auto"/>
                                                                                <w:left w:val="none" w:sz="0" w:space="0" w:color="auto"/>
                                                                                <w:bottom w:val="none" w:sz="0" w:space="0" w:color="auto"/>
                                                                                <w:right w:val="none" w:sz="0" w:space="0" w:color="auto"/>
                                                                              </w:divBdr>
                                                                              <w:divsChild>
                                                                                <w:div w:id="707292175">
                                                                                  <w:marLeft w:val="0"/>
                                                                                  <w:marRight w:val="0"/>
                                                                                  <w:marTop w:val="0"/>
                                                                                  <w:marBottom w:val="0"/>
                                                                                  <w:divBdr>
                                                                                    <w:top w:val="none" w:sz="0" w:space="0" w:color="auto"/>
                                                                                    <w:left w:val="none" w:sz="0" w:space="0" w:color="auto"/>
                                                                                    <w:bottom w:val="none" w:sz="0" w:space="0" w:color="auto"/>
                                                                                    <w:right w:val="none" w:sz="0" w:space="0" w:color="auto"/>
                                                                                  </w:divBdr>
                                                                                  <w:divsChild>
                                                                                    <w:div w:id="425002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86619405">
                                                              <w:marLeft w:val="0"/>
                                                              <w:marRight w:val="0"/>
                                                              <w:marTop w:val="0"/>
                                                              <w:marBottom w:val="0"/>
                                                              <w:divBdr>
                                                                <w:top w:val="single" w:sz="2" w:space="0" w:color="E3E3E3"/>
                                                                <w:left w:val="single" w:sz="2" w:space="0" w:color="E3E3E3"/>
                                                                <w:bottom w:val="single" w:sz="2" w:space="0" w:color="E3E3E3"/>
                                                                <w:right w:val="single" w:sz="2" w:space="0" w:color="E3E3E3"/>
                                                              </w:divBdr>
                                                              <w:divsChild>
                                                                <w:div w:id="1203327359">
                                                                  <w:marLeft w:val="0"/>
                                                                  <w:marRight w:val="0"/>
                                                                  <w:marTop w:val="0"/>
                                                                  <w:marBottom w:val="0"/>
                                                                  <w:divBdr>
                                                                    <w:top w:val="none" w:sz="0" w:space="0" w:color="auto"/>
                                                                    <w:left w:val="none" w:sz="0" w:space="0" w:color="auto"/>
                                                                    <w:bottom w:val="none" w:sz="0" w:space="0" w:color="auto"/>
                                                                    <w:right w:val="none" w:sz="0" w:space="0" w:color="auto"/>
                                                                  </w:divBdr>
                                                                  <w:divsChild>
                                                                    <w:div w:id="2007125409">
                                                                      <w:marLeft w:val="0"/>
                                                                      <w:marRight w:val="0"/>
                                                                      <w:marTop w:val="0"/>
                                                                      <w:marBottom w:val="0"/>
                                                                      <w:divBdr>
                                                                        <w:top w:val="none" w:sz="0" w:space="0" w:color="auto"/>
                                                                        <w:left w:val="none" w:sz="0" w:space="0" w:color="auto"/>
                                                                        <w:bottom w:val="none" w:sz="0" w:space="0" w:color="auto"/>
                                                                        <w:right w:val="none" w:sz="0" w:space="0" w:color="auto"/>
                                                                      </w:divBdr>
                                                                      <w:divsChild>
                                                                        <w:div w:id="1930116894">
                                                                          <w:marLeft w:val="0"/>
                                                                          <w:marRight w:val="0"/>
                                                                          <w:marTop w:val="0"/>
                                                                          <w:marBottom w:val="0"/>
                                                                          <w:divBdr>
                                                                            <w:top w:val="none" w:sz="0" w:space="0" w:color="auto"/>
                                                                            <w:left w:val="none" w:sz="0" w:space="0" w:color="auto"/>
                                                                            <w:bottom w:val="none" w:sz="0" w:space="0" w:color="auto"/>
                                                                            <w:right w:val="none" w:sz="0" w:space="0" w:color="auto"/>
                                                                          </w:divBdr>
                                                                          <w:divsChild>
                                                                            <w:div w:id="1454330437">
                                                                              <w:marLeft w:val="0"/>
                                                                              <w:marRight w:val="0"/>
                                                                              <w:marTop w:val="0"/>
                                                                              <w:marBottom w:val="0"/>
                                                                              <w:divBdr>
                                                                                <w:top w:val="none" w:sz="0" w:space="0" w:color="auto"/>
                                                                                <w:left w:val="none" w:sz="0" w:space="0" w:color="auto"/>
                                                                                <w:bottom w:val="none" w:sz="0" w:space="0" w:color="auto"/>
                                                                                <w:right w:val="none" w:sz="0" w:space="0" w:color="auto"/>
                                                                              </w:divBdr>
                                                                              <w:divsChild>
                                                                                <w:div w:id="739013666">
                                                                                  <w:marLeft w:val="0"/>
                                                                                  <w:marRight w:val="0"/>
                                                                                  <w:marTop w:val="0"/>
                                                                                  <w:marBottom w:val="0"/>
                                                                                  <w:divBdr>
                                                                                    <w:top w:val="none" w:sz="0" w:space="0" w:color="auto"/>
                                                                                    <w:left w:val="none" w:sz="0" w:space="0" w:color="auto"/>
                                                                                    <w:bottom w:val="none" w:sz="0" w:space="0" w:color="auto"/>
                                                                                    <w:right w:val="none" w:sz="0" w:space="0" w:color="auto"/>
                                                                                  </w:divBdr>
                                                                                  <w:divsChild>
                                                                                    <w:div w:id="217087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29192">
                                                                              <w:marLeft w:val="0"/>
                                                                              <w:marRight w:val="0"/>
                                                                              <w:marTop w:val="0"/>
                                                                              <w:marBottom w:val="0"/>
                                                                              <w:divBdr>
                                                                                <w:top w:val="none" w:sz="0" w:space="0" w:color="auto"/>
                                                                                <w:left w:val="none" w:sz="0" w:space="0" w:color="auto"/>
                                                                                <w:bottom w:val="none" w:sz="0" w:space="0" w:color="auto"/>
                                                                                <w:right w:val="none" w:sz="0" w:space="0" w:color="auto"/>
                                                                              </w:divBdr>
                                                                              <w:divsChild>
                                                                                <w:div w:id="774442565">
                                                                                  <w:marLeft w:val="0"/>
                                                                                  <w:marRight w:val="0"/>
                                                                                  <w:marTop w:val="0"/>
                                                                                  <w:marBottom w:val="0"/>
                                                                                  <w:divBdr>
                                                                                    <w:top w:val="none" w:sz="0" w:space="0" w:color="auto"/>
                                                                                    <w:left w:val="none" w:sz="0" w:space="0" w:color="auto"/>
                                                                                    <w:bottom w:val="none" w:sz="0" w:space="0" w:color="auto"/>
                                                                                    <w:right w:val="none" w:sz="0" w:space="0" w:color="auto"/>
                                                                                  </w:divBdr>
                                                                                  <w:divsChild>
                                                                                    <w:div w:id="981689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17372960">
                                                              <w:marLeft w:val="0"/>
                                                              <w:marRight w:val="0"/>
                                                              <w:marTop w:val="0"/>
                                                              <w:marBottom w:val="0"/>
                                                              <w:divBdr>
                                                                <w:top w:val="single" w:sz="2" w:space="0" w:color="E3E3E3"/>
                                                                <w:left w:val="single" w:sz="2" w:space="0" w:color="E3E3E3"/>
                                                                <w:bottom w:val="single" w:sz="2" w:space="0" w:color="E3E3E3"/>
                                                                <w:right w:val="single" w:sz="2" w:space="0" w:color="E3E3E3"/>
                                                              </w:divBdr>
                                                              <w:divsChild>
                                                                <w:div w:id="1847670340">
                                                                  <w:marLeft w:val="0"/>
                                                                  <w:marRight w:val="0"/>
                                                                  <w:marTop w:val="0"/>
                                                                  <w:marBottom w:val="0"/>
                                                                  <w:divBdr>
                                                                    <w:top w:val="none" w:sz="0" w:space="0" w:color="auto"/>
                                                                    <w:left w:val="none" w:sz="0" w:space="0" w:color="auto"/>
                                                                    <w:bottom w:val="none" w:sz="0" w:space="0" w:color="auto"/>
                                                                    <w:right w:val="none" w:sz="0" w:space="0" w:color="auto"/>
                                                                  </w:divBdr>
                                                                  <w:divsChild>
                                                                    <w:div w:id="1962180480">
                                                                      <w:marLeft w:val="0"/>
                                                                      <w:marRight w:val="0"/>
                                                                      <w:marTop w:val="0"/>
                                                                      <w:marBottom w:val="0"/>
                                                                      <w:divBdr>
                                                                        <w:top w:val="none" w:sz="0" w:space="0" w:color="auto"/>
                                                                        <w:left w:val="none" w:sz="0" w:space="0" w:color="auto"/>
                                                                        <w:bottom w:val="none" w:sz="0" w:space="0" w:color="auto"/>
                                                                        <w:right w:val="none" w:sz="0" w:space="0" w:color="auto"/>
                                                                      </w:divBdr>
                                                                      <w:divsChild>
                                                                        <w:div w:id="1782457176">
                                                                          <w:marLeft w:val="0"/>
                                                                          <w:marRight w:val="0"/>
                                                                          <w:marTop w:val="0"/>
                                                                          <w:marBottom w:val="0"/>
                                                                          <w:divBdr>
                                                                            <w:top w:val="none" w:sz="0" w:space="0" w:color="auto"/>
                                                                            <w:left w:val="none" w:sz="0" w:space="0" w:color="auto"/>
                                                                            <w:bottom w:val="none" w:sz="0" w:space="0" w:color="auto"/>
                                                                            <w:right w:val="none" w:sz="0" w:space="0" w:color="auto"/>
                                                                          </w:divBdr>
                                                                          <w:divsChild>
                                                                            <w:div w:id="310061373">
                                                                              <w:marLeft w:val="0"/>
                                                                              <w:marRight w:val="0"/>
                                                                              <w:marTop w:val="0"/>
                                                                              <w:marBottom w:val="0"/>
                                                                              <w:divBdr>
                                                                                <w:top w:val="none" w:sz="0" w:space="0" w:color="auto"/>
                                                                                <w:left w:val="none" w:sz="0" w:space="0" w:color="auto"/>
                                                                                <w:bottom w:val="none" w:sz="0" w:space="0" w:color="auto"/>
                                                                                <w:right w:val="none" w:sz="0" w:space="0" w:color="auto"/>
                                                                              </w:divBdr>
                                                                              <w:divsChild>
                                                                                <w:div w:id="1626546195">
                                                                                  <w:marLeft w:val="0"/>
                                                                                  <w:marRight w:val="0"/>
                                                                                  <w:marTop w:val="0"/>
                                                                                  <w:marBottom w:val="0"/>
                                                                                  <w:divBdr>
                                                                                    <w:top w:val="none" w:sz="0" w:space="0" w:color="auto"/>
                                                                                    <w:left w:val="none" w:sz="0" w:space="0" w:color="auto"/>
                                                                                    <w:bottom w:val="none" w:sz="0" w:space="0" w:color="auto"/>
                                                                                    <w:right w:val="none" w:sz="0" w:space="0" w:color="auto"/>
                                                                                  </w:divBdr>
                                                                                  <w:divsChild>
                                                                                    <w:div w:id="1826118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0239047">
                                                                              <w:marLeft w:val="0"/>
                                                                              <w:marRight w:val="0"/>
                                                                              <w:marTop w:val="0"/>
                                                                              <w:marBottom w:val="0"/>
                                                                              <w:divBdr>
                                                                                <w:top w:val="none" w:sz="0" w:space="0" w:color="auto"/>
                                                                                <w:left w:val="none" w:sz="0" w:space="0" w:color="auto"/>
                                                                                <w:bottom w:val="none" w:sz="0" w:space="0" w:color="auto"/>
                                                                                <w:right w:val="none" w:sz="0" w:space="0" w:color="auto"/>
                                                                              </w:divBdr>
                                                                              <w:divsChild>
                                                                                <w:div w:id="121465832">
                                                                                  <w:marLeft w:val="0"/>
                                                                                  <w:marRight w:val="0"/>
                                                                                  <w:marTop w:val="0"/>
                                                                                  <w:marBottom w:val="0"/>
                                                                                  <w:divBdr>
                                                                                    <w:top w:val="none" w:sz="0" w:space="0" w:color="auto"/>
                                                                                    <w:left w:val="none" w:sz="0" w:space="0" w:color="auto"/>
                                                                                    <w:bottom w:val="none" w:sz="0" w:space="0" w:color="auto"/>
                                                                                    <w:right w:val="none" w:sz="0" w:space="0" w:color="auto"/>
                                                                                  </w:divBdr>
                                                                                  <w:divsChild>
                                                                                    <w:div w:id="347293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864961">
                                                              <w:marLeft w:val="0"/>
                                                              <w:marRight w:val="0"/>
                                                              <w:marTop w:val="0"/>
                                                              <w:marBottom w:val="0"/>
                                                              <w:divBdr>
                                                                <w:top w:val="single" w:sz="2" w:space="0" w:color="E3E3E3"/>
                                                                <w:left w:val="single" w:sz="2" w:space="0" w:color="E3E3E3"/>
                                                                <w:bottom w:val="single" w:sz="2" w:space="0" w:color="E3E3E3"/>
                                                                <w:right w:val="single" w:sz="2" w:space="0" w:color="E3E3E3"/>
                                                              </w:divBdr>
                                                              <w:divsChild>
                                                                <w:div w:id="1624342106">
                                                                  <w:marLeft w:val="0"/>
                                                                  <w:marRight w:val="0"/>
                                                                  <w:marTop w:val="0"/>
                                                                  <w:marBottom w:val="0"/>
                                                                  <w:divBdr>
                                                                    <w:top w:val="none" w:sz="0" w:space="0" w:color="auto"/>
                                                                    <w:left w:val="none" w:sz="0" w:space="0" w:color="auto"/>
                                                                    <w:bottom w:val="none" w:sz="0" w:space="0" w:color="auto"/>
                                                                    <w:right w:val="none" w:sz="0" w:space="0" w:color="auto"/>
                                                                  </w:divBdr>
                                                                  <w:divsChild>
                                                                    <w:div w:id="1305701796">
                                                                      <w:marLeft w:val="0"/>
                                                                      <w:marRight w:val="0"/>
                                                                      <w:marTop w:val="0"/>
                                                                      <w:marBottom w:val="0"/>
                                                                      <w:divBdr>
                                                                        <w:top w:val="none" w:sz="0" w:space="0" w:color="auto"/>
                                                                        <w:left w:val="none" w:sz="0" w:space="0" w:color="auto"/>
                                                                        <w:bottom w:val="none" w:sz="0" w:space="0" w:color="auto"/>
                                                                        <w:right w:val="none" w:sz="0" w:space="0" w:color="auto"/>
                                                                      </w:divBdr>
                                                                      <w:divsChild>
                                                                        <w:div w:id="868109439">
                                                                          <w:marLeft w:val="0"/>
                                                                          <w:marRight w:val="0"/>
                                                                          <w:marTop w:val="0"/>
                                                                          <w:marBottom w:val="0"/>
                                                                          <w:divBdr>
                                                                            <w:top w:val="none" w:sz="0" w:space="0" w:color="auto"/>
                                                                            <w:left w:val="none" w:sz="0" w:space="0" w:color="auto"/>
                                                                            <w:bottom w:val="none" w:sz="0" w:space="0" w:color="auto"/>
                                                                            <w:right w:val="none" w:sz="0" w:space="0" w:color="auto"/>
                                                                          </w:divBdr>
                                                                          <w:divsChild>
                                                                            <w:div w:id="222647342">
                                                                              <w:marLeft w:val="0"/>
                                                                              <w:marRight w:val="0"/>
                                                                              <w:marTop w:val="0"/>
                                                                              <w:marBottom w:val="0"/>
                                                                              <w:divBdr>
                                                                                <w:top w:val="none" w:sz="0" w:space="0" w:color="auto"/>
                                                                                <w:left w:val="none" w:sz="0" w:space="0" w:color="auto"/>
                                                                                <w:bottom w:val="none" w:sz="0" w:space="0" w:color="auto"/>
                                                                                <w:right w:val="none" w:sz="0" w:space="0" w:color="auto"/>
                                                                              </w:divBdr>
                                                                              <w:divsChild>
                                                                                <w:div w:id="49425061">
                                                                                  <w:marLeft w:val="0"/>
                                                                                  <w:marRight w:val="0"/>
                                                                                  <w:marTop w:val="0"/>
                                                                                  <w:marBottom w:val="0"/>
                                                                                  <w:divBdr>
                                                                                    <w:top w:val="none" w:sz="0" w:space="0" w:color="auto"/>
                                                                                    <w:left w:val="none" w:sz="0" w:space="0" w:color="auto"/>
                                                                                    <w:bottom w:val="none" w:sz="0" w:space="0" w:color="auto"/>
                                                                                    <w:right w:val="none" w:sz="0" w:space="0" w:color="auto"/>
                                                                                  </w:divBdr>
                                                                                  <w:divsChild>
                                                                                    <w:div w:id="82068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6598446">
                                                                              <w:marLeft w:val="0"/>
                                                                              <w:marRight w:val="0"/>
                                                                              <w:marTop w:val="0"/>
                                                                              <w:marBottom w:val="0"/>
                                                                              <w:divBdr>
                                                                                <w:top w:val="none" w:sz="0" w:space="0" w:color="auto"/>
                                                                                <w:left w:val="none" w:sz="0" w:space="0" w:color="auto"/>
                                                                                <w:bottom w:val="none" w:sz="0" w:space="0" w:color="auto"/>
                                                                                <w:right w:val="none" w:sz="0" w:space="0" w:color="auto"/>
                                                                              </w:divBdr>
                                                                              <w:divsChild>
                                                                                <w:div w:id="1704987378">
                                                                                  <w:marLeft w:val="0"/>
                                                                                  <w:marRight w:val="0"/>
                                                                                  <w:marTop w:val="0"/>
                                                                                  <w:marBottom w:val="0"/>
                                                                                  <w:divBdr>
                                                                                    <w:top w:val="none" w:sz="0" w:space="0" w:color="auto"/>
                                                                                    <w:left w:val="none" w:sz="0" w:space="0" w:color="auto"/>
                                                                                    <w:bottom w:val="none" w:sz="0" w:space="0" w:color="auto"/>
                                                                                    <w:right w:val="none" w:sz="0" w:space="0" w:color="auto"/>
                                                                                  </w:divBdr>
                                                                                  <w:divsChild>
                                                                                    <w:div w:id="2118941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68254">
                                                              <w:marLeft w:val="0"/>
                                                              <w:marRight w:val="0"/>
                                                              <w:marTop w:val="0"/>
                                                              <w:marBottom w:val="0"/>
                                                              <w:divBdr>
                                                                <w:top w:val="single" w:sz="2" w:space="0" w:color="E3E3E3"/>
                                                                <w:left w:val="single" w:sz="2" w:space="0" w:color="E3E3E3"/>
                                                                <w:bottom w:val="single" w:sz="2" w:space="0" w:color="E3E3E3"/>
                                                                <w:right w:val="single" w:sz="2" w:space="0" w:color="E3E3E3"/>
                                                              </w:divBdr>
                                                              <w:divsChild>
                                                                <w:div w:id="36593671">
                                                                  <w:marLeft w:val="0"/>
                                                                  <w:marRight w:val="0"/>
                                                                  <w:marTop w:val="0"/>
                                                                  <w:marBottom w:val="0"/>
                                                                  <w:divBdr>
                                                                    <w:top w:val="none" w:sz="0" w:space="0" w:color="auto"/>
                                                                    <w:left w:val="none" w:sz="0" w:space="0" w:color="auto"/>
                                                                    <w:bottom w:val="none" w:sz="0" w:space="0" w:color="auto"/>
                                                                    <w:right w:val="none" w:sz="0" w:space="0" w:color="auto"/>
                                                                  </w:divBdr>
                                                                  <w:divsChild>
                                                                    <w:div w:id="2028436605">
                                                                      <w:marLeft w:val="0"/>
                                                                      <w:marRight w:val="0"/>
                                                                      <w:marTop w:val="0"/>
                                                                      <w:marBottom w:val="0"/>
                                                                      <w:divBdr>
                                                                        <w:top w:val="none" w:sz="0" w:space="0" w:color="auto"/>
                                                                        <w:left w:val="none" w:sz="0" w:space="0" w:color="auto"/>
                                                                        <w:bottom w:val="none" w:sz="0" w:space="0" w:color="auto"/>
                                                                        <w:right w:val="none" w:sz="0" w:space="0" w:color="auto"/>
                                                                      </w:divBdr>
                                                                      <w:divsChild>
                                                                        <w:div w:id="454567571">
                                                                          <w:marLeft w:val="0"/>
                                                                          <w:marRight w:val="0"/>
                                                                          <w:marTop w:val="0"/>
                                                                          <w:marBottom w:val="0"/>
                                                                          <w:divBdr>
                                                                            <w:top w:val="none" w:sz="0" w:space="0" w:color="auto"/>
                                                                            <w:left w:val="none" w:sz="0" w:space="0" w:color="auto"/>
                                                                            <w:bottom w:val="none" w:sz="0" w:space="0" w:color="auto"/>
                                                                            <w:right w:val="none" w:sz="0" w:space="0" w:color="auto"/>
                                                                          </w:divBdr>
                                                                          <w:divsChild>
                                                                            <w:div w:id="48960446">
                                                                              <w:marLeft w:val="0"/>
                                                                              <w:marRight w:val="0"/>
                                                                              <w:marTop w:val="0"/>
                                                                              <w:marBottom w:val="0"/>
                                                                              <w:divBdr>
                                                                                <w:top w:val="none" w:sz="0" w:space="0" w:color="auto"/>
                                                                                <w:left w:val="none" w:sz="0" w:space="0" w:color="auto"/>
                                                                                <w:bottom w:val="none" w:sz="0" w:space="0" w:color="auto"/>
                                                                                <w:right w:val="none" w:sz="0" w:space="0" w:color="auto"/>
                                                                              </w:divBdr>
                                                                              <w:divsChild>
                                                                                <w:div w:id="740757475">
                                                                                  <w:marLeft w:val="0"/>
                                                                                  <w:marRight w:val="0"/>
                                                                                  <w:marTop w:val="0"/>
                                                                                  <w:marBottom w:val="0"/>
                                                                                  <w:divBdr>
                                                                                    <w:top w:val="none" w:sz="0" w:space="0" w:color="auto"/>
                                                                                    <w:left w:val="none" w:sz="0" w:space="0" w:color="auto"/>
                                                                                    <w:bottom w:val="none" w:sz="0" w:space="0" w:color="auto"/>
                                                                                    <w:right w:val="none" w:sz="0" w:space="0" w:color="auto"/>
                                                                                  </w:divBdr>
                                                                                  <w:divsChild>
                                                                                    <w:div w:id="2074548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3539753">
                                                                              <w:marLeft w:val="0"/>
                                                                              <w:marRight w:val="0"/>
                                                                              <w:marTop w:val="0"/>
                                                                              <w:marBottom w:val="0"/>
                                                                              <w:divBdr>
                                                                                <w:top w:val="none" w:sz="0" w:space="0" w:color="auto"/>
                                                                                <w:left w:val="none" w:sz="0" w:space="0" w:color="auto"/>
                                                                                <w:bottom w:val="none" w:sz="0" w:space="0" w:color="auto"/>
                                                                                <w:right w:val="none" w:sz="0" w:space="0" w:color="auto"/>
                                                                              </w:divBdr>
                                                                              <w:divsChild>
                                                                                <w:div w:id="1943872864">
                                                                                  <w:marLeft w:val="0"/>
                                                                                  <w:marRight w:val="0"/>
                                                                                  <w:marTop w:val="0"/>
                                                                                  <w:marBottom w:val="0"/>
                                                                                  <w:divBdr>
                                                                                    <w:top w:val="none" w:sz="0" w:space="0" w:color="auto"/>
                                                                                    <w:left w:val="none" w:sz="0" w:space="0" w:color="auto"/>
                                                                                    <w:bottom w:val="none" w:sz="0" w:space="0" w:color="auto"/>
                                                                                    <w:right w:val="none" w:sz="0" w:space="0" w:color="auto"/>
                                                                                  </w:divBdr>
                                                                                  <w:divsChild>
                                                                                    <w:div w:id="1860661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42059783">
                                                              <w:marLeft w:val="0"/>
                                                              <w:marRight w:val="0"/>
                                                              <w:marTop w:val="0"/>
                                                              <w:marBottom w:val="0"/>
                                                              <w:divBdr>
                                                                <w:top w:val="single" w:sz="2" w:space="0" w:color="E3E3E3"/>
                                                                <w:left w:val="single" w:sz="2" w:space="0" w:color="E3E3E3"/>
                                                                <w:bottom w:val="single" w:sz="2" w:space="0" w:color="E3E3E3"/>
                                                                <w:right w:val="single" w:sz="2" w:space="0" w:color="E3E3E3"/>
                                                              </w:divBdr>
                                                              <w:divsChild>
                                                                <w:div w:id="265582442">
                                                                  <w:marLeft w:val="0"/>
                                                                  <w:marRight w:val="0"/>
                                                                  <w:marTop w:val="0"/>
                                                                  <w:marBottom w:val="0"/>
                                                                  <w:divBdr>
                                                                    <w:top w:val="none" w:sz="0" w:space="0" w:color="auto"/>
                                                                    <w:left w:val="none" w:sz="0" w:space="0" w:color="auto"/>
                                                                    <w:bottom w:val="none" w:sz="0" w:space="0" w:color="auto"/>
                                                                    <w:right w:val="none" w:sz="0" w:space="0" w:color="auto"/>
                                                                  </w:divBdr>
                                                                  <w:divsChild>
                                                                    <w:div w:id="1675256205">
                                                                      <w:marLeft w:val="0"/>
                                                                      <w:marRight w:val="0"/>
                                                                      <w:marTop w:val="0"/>
                                                                      <w:marBottom w:val="0"/>
                                                                      <w:divBdr>
                                                                        <w:top w:val="none" w:sz="0" w:space="0" w:color="auto"/>
                                                                        <w:left w:val="none" w:sz="0" w:space="0" w:color="auto"/>
                                                                        <w:bottom w:val="none" w:sz="0" w:space="0" w:color="auto"/>
                                                                        <w:right w:val="none" w:sz="0" w:space="0" w:color="auto"/>
                                                                      </w:divBdr>
                                                                      <w:divsChild>
                                                                        <w:div w:id="1269585969">
                                                                          <w:marLeft w:val="0"/>
                                                                          <w:marRight w:val="0"/>
                                                                          <w:marTop w:val="0"/>
                                                                          <w:marBottom w:val="0"/>
                                                                          <w:divBdr>
                                                                            <w:top w:val="none" w:sz="0" w:space="0" w:color="auto"/>
                                                                            <w:left w:val="none" w:sz="0" w:space="0" w:color="auto"/>
                                                                            <w:bottom w:val="none" w:sz="0" w:space="0" w:color="auto"/>
                                                                            <w:right w:val="none" w:sz="0" w:space="0" w:color="auto"/>
                                                                          </w:divBdr>
                                                                          <w:divsChild>
                                                                            <w:div w:id="101800585">
                                                                              <w:marLeft w:val="0"/>
                                                                              <w:marRight w:val="0"/>
                                                                              <w:marTop w:val="0"/>
                                                                              <w:marBottom w:val="0"/>
                                                                              <w:divBdr>
                                                                                <w:top w:val="none" w:sz="0" w:space="0" w:color="auto"/>
                                                                                <w:left w:val="none" w:sz="0" w:space="0" w:color="auto"/>
                                                                                <w:bottom w:val="none" w:sz="0" w:space="0" w:color="auto"/>
                                                                                <w:right w:val="none" w:sz="0" w:space="0" w:color="auto"/>
                                                                              </w:divBdr>
                                                                              <w:divsChild>
                                                                                <w:div w:id="1016005993">
                                                                                  <w:marLeft w:val="0"/>
                                                                                  <w:marRight w:val="0"/>
                                                                                  <w:marTop w:val="0"/>
                                                                                  <w:marBottom w:val="0"/>
                                                                                  <w:divBdr>
                                                                                    <w:top w:val="none" w:sz="0" w:space="0" w:color="auto"/>
                                                                                    <w:left w:val="none" w:sz="0" w:space="0" w:color="auto"/>
                                                                                    <w:bottom w:val="none" w:sz="0" w:space="0" w:color="auto"/>
                                                                                    <w:right w:val="none" w:sz="0" w:space="0" w:color="auto"/>
                                                                                  </w:divBdr>
                                                                                  <w:divsChild>
                                                                                    <w:div w:id="8341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9864593">
                                                                              <w:marLeft w:val="0"/>
                                                                              <w:marRight w:val="0"/>
                                                                              <w:marTop w:val="0"/>
                                                                              <w:marBottom w:val="0"/>
                                                                              <w:divBdr>
                                                                                <w:top w:val="none" w:sz="0" w:space="0" w:color="auto"/>
                                                                                <w:left w:val="none" w:sz="0" w:space="0" w:color="auto"/>
                                                                                <w:bottom w:val="none" w:sz="0" w:space="0" w:color="auto"/>
                                                                                <w:right w:val="none" w:sz="0" w:space="0" w:color="auto"/>
                                                                              </w:divBdr>
                                                                              <w:divsChild>
                                                                                <w:div w:id="100490999">
                                                                                  <w:marLeft w:val="0"/>
                                                                                  <w:marRight w:val="0"/>
                                                                                  <w:marTop w:val="0"/>
                                                                                  <w:marBottom w:val="0"/>
                                                                                  <w:divBdr>
                                                                                    <w:top w:val="none" w:sz="0" w:space="0" w:color="auto"/>
                                                                                    <w:left w:val="none" w:sz="0" w:space="0" w:color="auto"/>
                                                                                    <w:bottom w:val="none" w:sz="0" w:space="0" w:color="auto"/>
                                                                                    <w:right w:val="none" w:sz="0" w:space="0" w:color="auto"/>
                                                                                  </w:divBdr>
                                                                                  <w:divsChild>
                                                                                    <w:div w:id="1596790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7413422">
                                                              <w:marLeft w:val="0"/>
                                                              <w:marRight w:val="0"/>
                                                              <w:marTop w:val="0"/>
                                                              <w:marBottom w:val="0"/>
                                                              <w:divBdr>
                                                                <w:top w:val="single" w:sz="2" w:space="0" w:color="E3E3E3"/>
                                                                <w:left w:val="single" w:sz="2" w:space="0" w:color="E3E3E3"/>
                                                                <w:bottom w:val="single" w:sz="2" w:space="0" w:color="E3E3E3"/>
                                                                <w:right w:val="single" w:sz="2" w:space="0" w:color="E3E3E3"/>
                                                              </w:divBdr>
                                                              <w:divsChild>
                                                                <w:div w:id="794300229">
                                                                  <w:marLeft w:val="0"/>
                                                                  <w:marRight w:val="0"/>
                                                                  <w:marTop w:val="0"/>
                                                                  <w:marBottom w:val="0"/>
                                                                  <w:divBdr>
                                                                    <w:top w:val="none" w:sz="0" w:space="0" w:color="auto"/>
                                                                    <w:left w:val="none" w:sz="0" w:space="0" w:color="auto"/>
                                                                    <w:bottom w:val="none" w:sz="0" w:space="0" w:color="auto"/>
                                                                    <w:right w:val="none" w:sz="0" w:space="0" w:color="auto"/>
                                                                  </w:divBdr>
                                                                  <w:divsChild>
                                                                    <w:div w:id="182936080">
                                                                      <w:marLeft w:val="0"/>
                                                                      <w:marRight w:val="0"/>
                                                                      <w:marTop w:val="0"/>
                                                                      <w:marBottom w:val="0"/>
                                                                      <w:divBdr>
                                                                        <w:top w:val="none" w:sz="0" w:space="0" w:color="auto"/>
                                                                        <w:left w:val="none" w:sz="0" w:space="0" w:color="auto"/>
                                                                        <w:bottom w:val="none" w:sz="0" w:space="0" w:color="auto"/>
                                                                        <w:right w:val="none" w:sz="0" w:space="0" w:color="auto"/>
                                                                      </w:divBdr>
                                                                      <w:divsChild>
                                                                        <w:div w:id="1329627032">
                                                                          <w:marLeft w:val="0"/>
                                                                          <w:marRight w:val="0"/>
                                                                          <w:marTop w:val="0"/>
                                                                          <w:marBottom w:val="0"/>
                                                                          <w:divBdr>
                                                                            <w:top w:val="none" w:sz="0" w:space="0" w:color="auto"/>
                                                                            <w:left w:val="none" w:sz="0" w:space="0" w:color="auto"/>
                                                                            <w:bottom w:val="none" w:sz="0" w:space="0" w:color="auto"/>
                                                                            <w:right w:val="none" w:sz="0" w:space="0" w:color="auto"/>
                                                                          </w:divBdr>
                                                                          <w:divsChild>
                                                                            <w:div w:id="1164853483">
                                                                              <w:marLeft w:val="0"/>
                                                                              <w:marRight w:val="0"/>
                                                                              <w:marTop w:val="0"/>
                                                                              <w:marBottom w:val="0"/>
                                                                              <w:divBdr>
                                                                                <w:top w:val="none" w:sz="0" w:space="0" w:color="auto"/>
                                                                                <w:left w:val="none" w:sz="0" w:space="0" w:color="auto"/>
                                                                                <w:bottom w:val="none" w:sz="0" w:space="0" w:color="auto"/>
                                                                                <w:right w:val="none" w:sz="0" w:space="0" w:color="auto"/>
                                                                              </w:divBdr>
                                                                              <w:divsChild>
                                                                                <w:div w:id="1399938343">
                                                                                  <w:marLeft w:val="0"/>
                                                                                  <w:marRight w:val="0"/>
                                                                                  <w:marTop w:val="0"/>
                                                                                  <w:marBottom w:val="0"/>
                                                                                  <w:divBdr>
                                                                                    <w:top w:val="none" w:sz="0" w:space="0" w:color="auto"/>
                                                                                    <w:left w:val="none" w:sz="0" w:space="0" w:color="auto"/>
                                                                                    <w:bottom w:val="none" w:sz="0" w:space="0" w:color="auto"/>
                                                                                    <w:right w:val="none" w:sz="0" w:space="0" w:color="auto"/>
                                                                                  </w:divBdr>
                                                                                  <w:divsChild>
                                                                                    <w:div w:id="563108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6485014">
                                                                              <w:marLeft w:val="0"/>
                                                                              <w:marRight w:val="0"/>
                                                                              <w:marTop w:val="0"/>
                                                                              <w:marBottom w:val="0"/>
                                                                              <w:divBdr>
                                                                                <w:top w:val="none" w:sz="0" w:space="0" w:color="auto"/>
                                                                                <w:left w:val="none" w:sz="0" w:space="0" w:color="auto"/>
                                                                                <w:bottom w:val="none" w:sz="0" w:space="0" w:color="auto"/>
                                                                                <w:right w:val="none" w:sz="0" w:space="0" w:color="auto"/>
                                                                              </w:divBdr>
                                                                              <w:divsChild>
                                                                                <w:div w:id="1989820383">
                                                                                  <w:marLeft w:val="0"/>
                                                                                  <w:marRight w:val="0"/>
                                                                                  <w:marTop w:val="0"/>
                                                                                  <w:marBottom w:val="0"/>
                                                                                  <w:divBdr>
                                                                                    <w:top w:val="none" w:sz="0" w:space="0" w:color="auto"/>
                                                                                    <w:left w:val="none" w:sz="0" w:space="0" w:color="auto"/>
                                                                                    <w:bottom w:val="none" w:sz="0" w:space="0" w:color="auto"/>
                                                                                    <w:right w:val="none" w:sz="0" w:space="0" w:color="auto"/>
                                                                                  </w:divBdr>
                                                                                  <w:divsChild>
                                                                                    <w:div w:id="129131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03045294">
                                                              <w:marLeft w:val="0"/>
                                                              <w:marRight w:val="0"/>
                                                              <w:marTop w:val="0"/>
                                                              <w:marBottom w:val="0"/>
                                                              <w:divBdr>
                                                                <w:top w:val="single" w:sz="2" w:space="0" w:color="E3E3E3"/>
                                                                <w:left w:val="single" w:sz="2" w:space="0" w:color="E3E3E3"/>
                                                                <w:bottom w:val="single" w:sz="2" w:space="0" w:color="E3E3E3"/>
                                                                <w:right w:val="single" w:sz="2" w:space="0" w:color="E3E3E3"/>
                                                              </w:divBdr>
                                                              <w:divsChild>
                                                                <w:div w:id="1688364800">
                                                                  <w:marLeft w:val="0"/>
                                                                  <w:marRight w:val="0"/>
                                                                  <w:marTop w:val="0"/>
                                                                  <w:marBottom w:val="0"/>
                                                                  <w:divBdr>
                                                                    <w:top w:val="none" w:sz="0" w:space="0" w:color="auto"/>
                                                                    <w:left w:val="none" w:sz="0" w:space="0" w:color="auto"/>
                                                                    <w:bottom w:val="none" w:sz="0" w:space="0" w:color="auto"/>
                                                                    <w:right w:val="none" w:sz="0" w:space="0" w:color="auto"/>
                                                                  </w:divBdr>
                                                                  <w:divsChild>
                                                                    <w:div w:id="1599555001">
                                                                      <w:marLeft w:val="0"/>
                                                                      <w:marRight w:val="0"/>
                                                                      <w:marTop w:val="0"/>
                                                                      <w:marBottom w:val="0"/>
                                                                      <w:divBdr>
                                                                        <w:top w:val="none" w:sz="0" w:space="0" w:color="auto"/>
                                                                        <w:left w:val="none" w:sz="0" w:space="0" w:color="auto"/>
                                                                        <w:bottom w:val="none" w:sz="0" w:space="0" w:color="auto"/>
                                                                        <w:right w:val="none" w:sz="0" w:space="0" w:color="auto"/>
                                                                      </w:divBdr>
                                                                      <w:divsChild>
                                                                        <w:div w:id="800196361">
                                                                          <w:marLeft w:val="0"/>
                                                                          <w:marRight w:val="0"/>
                                                                          <w:marTop w:val="0"/>
                                                                          <w:marBottom w:val="0"/>
                                                                          <w:divBdr>
                                                                            <w:top w:val="none" w:sz="0" w:space="0" w:color="auto"/>
                                                                            <w:left w:val="none" w:sz="0" w:space="0" w:color="auto"/>
                                                                            <w:bottom w:val="none" w:sz="0" w:space="0" w:color="auto"/>
                                                                            <w:right w:val="none" w:sz="0" w:space="0" w:color="auto"/>
                                                                          </w:divBdr>
                                                                          <w:divsChild>
                                                                            <w:div w:id="1150907732">
                                                                              <w:marLeft w:val="0"/>
                                                                              <w:marRight w:val="0"/>
                                                                              <w:marTop w:val="0"/>
                                                                              <w:marBottom w:val="0"/>
                                                                              <w:divBdr>
                                                                                <w:top w:val="none" w:sz="0" w:space="0" w:color="auto"/>
                                                                                <w:left w:val="none" w:sz="0" w:space="0" w:color="auto"/>
                                                                                <w:bottom w:val="none" w:sz="0" w:space="0" w:color="auto"/>
                                                                                <w:right w:val="none" w:sz="0" w:space="0" w:color="auto"/>
                                                                              </w:divBdr>
                                                                              <w:divsChild>
                                                                                <w:div w:id="617763327">
                                                                                  <w:marLeft w:val="0"/>
                                                                                  <w:marRight w:val="0"/>
                                                                                  <w:marTop w:val="0"/>
                                                                                  <w:marBottom w:val="0"/>
                                                                                  <w:divBdr>
                                                                                    <w:top w:val="none" w:sz="0" w:space="0" w:color="auto"/>
                                                                                    <w:left w:val="none" w:sz="0" w:space="0" w:color="auto"/>
                                                                                    <w:bottom w:val="none" w:sz="0" w:space="0" w:color="auto"/>
                                                                                    <w:right w:val="none" w:sz="0" w:space="0" w:color="auto"/>
                                                                                  </w:divBdr>
                                                                                  <w:divsChild>
                                                                                    <w:div w:id="1582831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4325575">
                                                                              <w:marLeft w:val="0"/>
                                                                              <w:marRight w:val="0"/>
                                                                              <w:marTop w:val="0"/>
                                                                              <w:marBottom w:val="0"/>
                                                                              <w:divBdr>
                                                                                <w:top w:val="none" w:sz="0" w:space="0" w:color="auto"/>
                                                                                <w:left w:val="none" w:sz="0" w:space="0" w:color="auto"/>
                                                                                <w:bottom w:val="none" w:sz="0" w:space="0" w:color="auto"/>
                                                                                <w:right w:val="none" w:sz="0" w:space="0" w:color="auto"/>
                                                                              </w:divBdr>
                                                                              <w:divsChild>
                                                                                <w:div w:id="1708332189">
                                                                                  <w:marLeft w:val="0"/>
                                                                                  <w:marRight w:val="0"/>
                                                                                  <w:marTop w:val="0"/>
                                                                                  <w:marBottom w:val="0"/>
                                                                                  <w:divBdr>
                                                                                    <w:top w:val="none" w:sz="0" w:space="0" w:color="auto"/>
                                                                                    <w:left w:val="none" w:sz="0" w:space="0" w:color="auto"/>
                                                                                    <w:bottom w:val="none" w:sz="0" w:space="0" w:color="auto"/>
                                                                                    <w:right w:val="none" w:sz="0" w:space="0" w:color="auto"/>
                                                                                  </w:divBdr>
                                                                                  <w:divsChild>
                                                                                    <w:div w:id="1013187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92462084">
                                                              <w:marLeft w:val="0"/>
                                                              <w:marRight w:val="0"/>
                                                              <w:marTop w:val="0"/>
                                                              <w:marBottom w:val="0"/>
                                                              <w:divBdr>
                                                                <w:top w:val="none" w:sz="0" w:space="0" w:color="auto"/>
                                                                <w:left w:val="none" w:sz="0" w:space="0" w:color="auto"/>
                                                                <w:bottom w:val="none" w:sz="0" w:space="0" w:color="auto"/>
                                                                <w:right w:val="none" w:sz="0" w:space="0" w:color="auto"/>
                                                              </w:divBdr>
                                                              <w:divsChild>
                                                                <w:div w:id="519196224">
                                                                  <w:marLeft w:val="0"/>
                                                                  <w:marRight w:val="0"/>
                                                                  <w:marTop w:val="0"/>
                                                                  <w:marBottom w:val="0"/>
                                                                  <w:divBdr>
                                                                    <w:top w:val="none" w:sz="0" w:space="0" w:color="auto"/>
                                                                    <w:left w:val="none" w:sz="0" w:space="0" w:color="auto"/>
                                                                    <w:bottom w:val="none" w:sz="0" w:space="0" w:color="auto"/>
                                                                    <w:right w:val="none" w:sz="0" w:space="0" w:color="auto"/>
                                                                  </w:divBdr>
                                                                </w:div>
                                                                <w:div w:id="207185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40513319">
                                              <w:marLeft w:val="0"/>
                                              <w:marRight w:val="0"/>
                                              <w:marTop w:val="0"/>
                                              <w:marBottom w:val="0"/>
                                              <w:divBdr>
                                                <w:top w:val="none" w:sz="0" w:space="0" w:color="auto"/>
                                                <w:left w:val="none" w:sz="0" w:space="0" w:color="auto"/>
                                                <w:bottom w:val="none" w:sz="0" w:space="0" w:color="auto"/>
                                                <w:right w:val="none" w:sz="0" w:space="0" w:color="auto"/>
                                              </w:divBdr>
                                              <w:divsChild>
                                                <w:div w:id="1630936239">
                                                  <w:marLeft w:val="0"/>
                                                  <w:marRight w:val="0"/>
                                                  <w:marTop w:val="0"/>
                                                  <w:marBottom w:val="0"/>
                                                  <w:divBdr>
                                                    <w:top w:val="none" w:sz="0" w:space="0" w:color="auto"/>
                                                    <w:left w:val="none" w:sz="0" w:space="0" w:color="auto"/>
                                                    <w:bottom w:val="none" w:sz="0" w:space="0" w:color="auto"/>
                                                    <w:right w:val="none" w:sz="0" w:space="0" w:color="auto"/>
                                                  </w:divBdr>
                                                  <w:divsChild>
                                                    <w:div w:id="278338244">
                                                      <w:marLeft w:val="0"/>
                                                      <w:marRight w:val="0"/>
                                                      <w:marTop w:val="0"/>
                                                      <w:marBottom w:val="0"/>
                                                      <w:divBdr>
                                                        <w:top w:val="none" w:sz="0" w:space="0" w:color="auto"/>
                                                        <w:left w:val="none" w:sz="0" w:space="0" w:color="auto"/>
                                                        <w:bottom w:val="none" w:sz="0" w:space="0" w:color="auto"/>
                                                        <w:right w:val="none" w:sz="0" w:space="0" w:color="auto"/>
                                                      </w:divBdr>
                                                      <w:divsChild>
                                                        <w:div w:id="290791797">
                                                          <w:marLeft w:val="0"/>
                                                          <w:marRight w:val="0"/>
                                                          <w:marTop w:val="0"/>
                                                          <w:marBottom w:val="0"/>
                                                          <w:divBdr>
                                                            <w:top w:val="none" w:sz="0" w:space="0" w:color="auto"/>
                                                            <w:left w:val="none" w:sz="0" w:space="0" w:color="auto"/>
                                                            <w:bottom w:val="none" w:sz="0" w:space="0" w:color="auto"/>
                                                            <w:right w:val="none" w:sz="0" w:space="0" w:color="auto"/>
                                                          </w:divBdr>
                                                          <w:divsChild>
                                                            <w:div w:id="1936597448">
                                                              <w:marLeft w:val="0"/>
                                                              <w:marRight w:val="0"/>
                                                              <w:marTop w:val="0"/>
                                                              <w:marBottom w:val="0"/>
                                                              <w:divBdr>
                                                                <w:top w:val="none" w:sz="0" w:space="0" w:color="auto"/>
                                                                <w:left w:val="none" w:sz="0" w:space="0" w:color="auto"/>
                                                                <w:bottom w:val="none" w:sz="0" w:space="0" w:color="auto"/>
                                                                <w:right w:val="none" w:sz="0" w:space="0" w:color="auto"/>
                                                              </w:divBdr>
                                                              <w:divsChild>
                                                                <w:div w:id="2006938485">
                                                                  <w:marLeft w:val="0"/>
                                                                  <w:marRight w:val="0"/>
                                                                  <w:marTop w:val="0"/>
                                                                  <w:marBottom w:val="0"/>
                                                                  <w:divBdr>
                                                                    <w:top w:val="none" w:sz="0" w:space="0" w:color="auto"/>
                                                                    <w:left w:val="none" w:sz="0" w:space="0" w:color="auto"/>
                                                                    <w:bottom w:val="none" w:sz="0" w:space="0" w:color="auto"/>
                                                                    <w:right w:val="none" w:sz="0" w:space="0" w:color="auto"/>
                                                                  </w:divBdr>
                                                                </w:div>
                                                                <w:div w:id="1944991677">
                                                                  <w:marLeft w:val="0"/>
                                                                  <w:marRight w:val="0"/>
                                                                  <w:marTop w:val="0"/>
                                                                  <w:marBottom w:val="0"/>
                                                                  <w:divBdr>
                                                                    <w:top w:val="none" w:sz="0" w:space="0" w:color="auto"/>
                                                                    <w:left w:val="none" w:sz="0" w:space="0" w:color="auto"/>
                                                                    <w:bottom w:val="none" w:sz="0" w:space="0" w:color="auto"/>
                                                                    <w:right w:val="none" w:sz="0" w:space="0" w:color="auto"/>
                                                                  </w:divBdr>
                                                                </w:div>
                                                              </w:divsChild>
                                                            </w:div>
                                                            <w:div w:id="1436631102">
                                                              <w:marLeft w:val="0"/>
                                                              <w:marRight w:val="0"/>
                                                              <w:marTop w:val="0"/>
                                                              <w:marBottom w:val="0"/>
                                                              <w:divBdr>
                                                                <w:top w:val="none" w:sz="0" w:space="0" w:color="auto"/>
                                                                <w:left w:val="none" w:sz="0" w:space="0" w:color="auto"/>
                                                                <w:bottom w:val="none" w:sz="0" w:space="0" w:color="auto"/>
                                                                <w:right w:val="none" w:sz="0" w:space="0" w:color="auto"/>
                                                              </w:divBdr>
                                                              <w:divsChild>
                                                                <w:div w:id="2062636144">
                                                                  <w:marLeft w:val="0"/>
                                                                  <w:marRight w:val="0"/>
                                                                  <w:marTop w:val="0"/>
                                                                  <w:marBottom w:val="0"/>
                                                                  <w:divBdr>
                                                                    <w:top w:val="none" w:sz="0" w:space="0" w:color="auto"/>
                                                                    <w:left w:val="none" w:sz="0" w:space="0" w:color="auto"/>
                                                                    <w:bottom w:val="none" w:sz="0" w:space="0" w:color="auto"/>
                                                                    <w:right w:val="none" w:sz="0" w:space="0" w:color="auto"/>
                                                                  </w:divBdr>
                                                                </w:div>
                                                                <w:div w:id="1764103378">
                                                                  <w:marLeft w:val="0"/>
                                                                  <w:marRight w:val="0"/>
                                                                  <w:marTop w:val="0"/>
                                                                  <w:marBottom w:val="0"/>
                                                                  <w:divBdr>
                                                                    <w:top w:val="none" w:sz="0" w:space="0" w:color="auto"/>
                                                                    <w:left w:val="none" w:sz="0" w:space="0" w:color="auto"/>
                                                                    <w:bottom w:val="none" w:sz="0" w:space="0" w:color="auto"/>
                                                                    <w:right w:val="none" w:sz="0" w:space="0" w:color="auto"/>
                                                                  </w:divBdr>
                                                                </w:div>
                                                              </w:divsChild>
                                                            </w:div>
                                                            <w:div w:id="41952062">
                                                              <w:marLeft w:val="0"/>
                                                              <w:marRight w:val="0"/>
                                                              <w:marTop w:val="0"/>
                                                              <w:marBottom w:val="0"/>
                                                              <w:divBdr>
                                                                <w:top w:val="none" w:sz="0" w:space="0" w:color="auto"/>
                                                                <w:left w:val="none" w:sz="0" w:space="0" w:color="auto"/>
                                                                <w:bottom w:val="none" w:sz="0" w:space="0" w:color="auto"/>
                                                                <w:right w:val="none" w:sz="0" w:space="0" w:color="auto"/>
                                                              </w:divBdr>
                                                              <w:divsChild>
                                                                <w:div w:id="464664256">
                                                                  <w:marLeft w:val="0"/>
                                                                  <w:marRight w:val="0"/>
                                                                  <w:marTop w:val="0"/>
                                                                  <w:marBottom w:val="0"/>
                                                                  <w:divBdr>
                                                                    <w:top w:val="none" w:sz="0" w:space="0" w:color="auto"/>
                                                                    <w:left w:val="none" w:sz="0" w:space="0" w:color="auto"/>
                                                                    <w:bottom w:val="none" w:sz="0" w:space="0" w:color="auto"/>
                                                                    <w:right w:val="none" w:sz="0" w:space="0" w:color="auto"/>
                                                                  </w:divBdr>
                                                                </w:div>
                                                                <w:div w:id="1943103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76024375">
          <w:marLeft w:val="0"/>
          <w:marRight w:val="0"/>
          <w:marTop w:val="0"/>
          <w:marBottom w:val="0"/>
          <w:divBdr>
            <w:top w:val="none" w:sz="0" w:space="0" w:color="auto"/>
            <w:left w:val="none" w:sz="0" w:space="0" w:color="auto"/>
            <w:bottom w:val="none" w:sz="0" w:space="0" w:color="auto"/>
            <w:right w:val="none" w:sz="0" w:space="0" w:color="auto"/>
          </w:divBdr>
          <w:divsChild>
            <w:div w:id="1923023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5699414">
      <w:bodyDiv w:val="1"/>
      <w:marLeft w:val="0"/>
      <w:marRight w:val="0"/>
      <w:marTop w:val="0"/>
      <w:marBottom w:val="0"/>
      <w:divBdr>
        <w:top w:val="none" w:sz="0" w:space="0" w:color="auto"/>
        <w:left w:val="none" w:sz="0" w:space="0" w:color="auto"/>
        <w:bottom w:val="none" w:sz="0" w:space="0" w:color="auto"/>
        <w:right w:val="none" w:sz="0" w:space="0" w:color="auto"/>
      </w:divBdr>
      <w:divsChild>
        <w:div w:id="1075930403">
          <w:marLeft w:val="0"/>
          <w:marRight w:val="0"/>
          <w:marTop w:val="0"/>
          <w:marBottom w:val="0"/>
          <w:divBdr>
            <w:top w:val="none" w:sz="0" w:space="0" w:color="auto"/>
            <w:left w:val="none" w:sz="0" w:space="0" w:color="auto"/>
            <w:bottom w:val="single" w:sz="12" w:space="0" w:color="006699"/>
            <w:right w:val="none" w:sz="0" w:space="0" w:color="auto"/>
          </w:divBdr>
          <w:divsChild>
            <w:div w:id="875505340">
              <w:marLeft w:val="0"/>
              <w:marRight w:val="0"/>
              <w:marTop w:val="0"/>
              <w:marBottom w:val="0"/>
              <w:divBdr>
                <w:top w:val="none" w:sz="0" w:space="0" w:color="auto"/>
                <w:left w:val="none" w:sz="0" w:space="0" w:color="auto"/>
                <w:bottom w:val="none" w:sz="0" w:space="0" w:color="auto"/>
                <w:right w:val="none" w:sz="0" w:space="0" w:color="auto"/>
              </w:divBdr>
              <w:divsChild>
                <w:div w:id="1412659657">
                  <w:marLeft w:val="0"/>
                  <w:marRight w:val="0"/>
                  <w:marTop w:val="0"/>
                  <w:marBottom w:val="0"/>
                  <w:divBdr>
                    <w:top w:val="none" w:sz="0" w:space="0" w:color="auto"/>
                    <w:left w:val="none" w:sz="0" w:space="0" w:color="auto"/>
                    <w:bottom w:val="none" w:sz="0" w:space="0" w:color="auto"/>
                    <w:right w:val="none" w:sz="0" w:space="0" w:color="auto"/>
                  </w:divBdr>
                  <w:divsChild>
                    <w:div w:id="1658654349">
                      <w:marLeft w:val="0"/>
                      <w:marRight w:val="0"/>
                      <w:marTop w:val="0"/>
                      <w:marBottom w:val="0"/>
                      <w:divBdr>
                        <w:top w:val="none" w:sz="0" w:space="0" w:color="auto"/>
                        <w:left w:val="none" w:sz="0" w:space="0" w:color="auto"/>
                        <w:bottom w:val="none" w:sz="0" w:space="0" w:color="auto"/>
                        <w:right w:val="none" w:sz="0" w:space="0" w:color="auto"/>
                      </w:divBdr>
                      <w:divsChild>
                        <w:div w:id="1026444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834099">
              <w:marLeft w:val="0"/>
              <w:marRight w:val="0"/>
              <w:marTop w:val="0"/>
              <w:marBottom w:val="0"/>
              <w:divBdr>
                <w:top w:val="none" w:sz="0" w:space="0" w:color="auto"/>
                <w:left w:val="none" w:sz="0" w:space="0" w:color="auto"/>
                <w:bottom w:val="none" w:sz="0" w:space="0" w:color="auto"/>
                <w:right w:val="none" w:sz="0" w:space="0" w:color="auto"/>
              </w:divBdr>
            </w:div>
            <w:div w:id="995376154">
              <w:marLeft w:val="0"/>
              <w:marRight w:val="0"/>
              <w:marTop w:val="0"/>
              <w:marBottom w:val="0"/>
              <w:divBdr>
                <w:top w:val="none" w:sz="0" w:space="0" w:color="auto"/>
                <w:left w:val="none" w:sz="0" w:space="0" w:color="auto"/>
                <w:bottom w:val="none" w:sz="0" w:space="0" w:color="auto"/>
                <w:right w:val="none" w:sz="0" w:space="0" w:color="auto"/>
              </w:divBdr>
              <w:divsChild>
                <w:div w:id="2006275167">
                  <w:marLeft w:val="0"/>
                  <w:marRight w:val="0"/>
                  <w:marTop w:val="0"/>
                  <w:marBottom w:val="0"/>
                  <w:divBdr>
                    <w:top w:val="none" w:sz="0" w:space="0" w:color="auto"/>
                    <w:left w:val="none" w:sz="0" w:space="0" w:color="auto"/>
                    <w:bottom w:val="none" w:sz="0" w:space="0" w:color="auto"/>
                    <w:right w:val="none" w:sz="0" w:space="0" w:color="auto"/>
                  </w:divBdr>
                  <w:divsChild>
                    <w:div w:id="599338043">
                      <w:marLeft w:val="0"/>
                      <w:marRight w:val="0"/>
                      <w:marTop w:val="0"/>
                      <w:marBottom w:val="0"/>
                      <w:divBdr>
                        <w:top w:val="none" w:sz="0" w:space="0" w:color="auto"/>
                        <w:left w:val="none" w:sz="0" w:space="0" w:color="auto"/>
                        <w:bottom w:val="none" w:sz="0" w:space="0" w:color="auto"/>
                        <w:right w:val="none" w:sz="0" w:space="0" w:color="auto"/>
                      </w:divBdr>
                    </w:div>
                    <w:div w:id="2041776318">
                      <w:marLeft w:val="0"/>
                      <w:marRight w:val="0"/>
                      <w:marTop w:val="0"/>
                      <w:marBottom w:val="0"/>
                      <w:divBdr>
                        <w:top w:val="none" w:sz="0" w:space="0" w:color="auto"/>
                        <w:left w:val="none" w:sz="0" w:space="0" w:color="auto"/>
                        <w:bottom w:val="none" w:sz="0" w:space="0" w:color="auto"/>
                        <w:right w:val="none" w:sz="0" w:space="0" w:color="auto"/>
                      </w:divBdr>
                    </w:div>
                    <w:div w:id="96875144">
                      <w:marLeft w:val="0"/>
                      <w:marRight w:val="0"/>
                      <w:marTop w:val="0"/>
                      <w:marBottom w:val="0"/>
                      <w:divBdr>
                        <w:top w:val="none" w:sz="0" w:space="0" w:color="auto"/>
                        <w:left w:val="none" w:sz="0" w:space="0" w:color="auto"/>
                        <w:bottom w:val="none" w:sz="0" w:space="0" w:color="auto"/>
                        <w:right w:val="none" w:sz="0" w:space="0" w:color="auto"/>
                      </w:divBdr>
                      <w:divsChild>
                        <w:div w:id="327633678">
                          <w:marLeft w:val="0"/>
                          <w:marRight w:val="0"/>
                          <w:marTop w:val="0"/>
                          <w:marBottom w:val="0"/>
                          <w:divBdr>
                            <w:top w:val="none" w:sz="0" w:space="0" w:color="auto"/>
                            <w:left w:val="none" w:sz="0" w:space="0" w:color="auto"/>
                            <w:bottom w:val="none" w:sz="0" w:space="0" w:color="auto"/>
                            <w:right w:val="none" w:sz="0" w:space="0" w:color="auto"/>
                          </w:divBdr>
                          <w:divsChild>
                            <w:div w:id="1573664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3463424">
                      <w:marLeft w:val="0"/>
                      <w:marRight w:val="0"/>
                      <w:marTop w:val="0"/>
                      <w:marBottom w:val="0"/>
                      <w:divBdr>
                        <w:top w:val="none" w:sz="0" w:space="0" w:color="auto"/>
                        <w:left w:val="none" w:sz="0" w:space="0" w:color="auto"/>
                        <w:bottom w:val="none" w:sz="0" w:space="0" w:color="auto"/>
                        <w:right w:val="none" w:sz="0" w:space="0" w:color="auto"/>
                      </w:divBdr>
                      <w:divsChild>
                        <w:div w:id="1353413518">
                          <w:marLeft w:val="0"/>
                          <w:marRight w:val="0"/>
                          <w:marTop w:val="0"/>
                          <w:marBottom w:val="0"/>
                          <w:divBdr>
                            <w:top w:val="none" w:sz="0" w:space="0" w:color="auto"/>
                            <w:left w:val="none" w:sz="0" w:space="0" w:color="auto"/>
                            <w:bottom w:val="none" w:sz="0" w:space="0" w:color="auto"/>
                            <w:right w:val="none" w:sz="0" w:space="0" w:color="auto"/>
                          </w:divBdr>
                          <w:divsChild>
                            <w:div w:id="287855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3364723">
                  <w:marLeft w:val="0"/>
                  <w:marRight w:val="0"/>
                  <w:marTop w:val="0"/>
                  <w:marBottom w:val="0"/>
                  <w:divBdr>
                    <w:top w:val="none" w:sz="0" w:space="0" w:color="auto"/>
                    <w:left w:val="none" w:sz="0" w:space="0" w:color="auto"/>
                    <w:bottom w:val="none" w:sz="0" w:space="0" w:color="auto"/>
                    <w:right w:val="none" w:sz="0" w:space="0" w:color="auto"/>
                  </w:divBdr>
                  <w:divsChild>
                    <w:div w:id="1753896544">
                      <w:marLeft w:val="0"/>
                      <w:marRight w:val="0"/>
                      <w:marTop w:val="0"/>
                      <w:marBottom w:val="0"/>
                      <w:divBdr>
                        <w:top w:val="none" w:sz="0" w:space="0" w:color="auto"/>
                        <w:left w:val="none" w:sz="0" w:space="0" w:color="auto"/>
                        <w:bottom w:val="none" w:sz="0" w:space="0" w:color="auto"/>
                        <w:right w:val="none" w:sz="0" w:space="0" w:color="auto"/>
                      </w:divBdr>
                    </w:div>
                    <w:div w:id="1322857100">
                      <w:marLeft w:val="0"/>
                      <w:marRight w:val="0"/>
                      <w:marTop w:val="0"/>
                      <w:marBottom w:val="0"/>
                      <w:divBdr>
                        <w:top w:val="none" w:sz="0" w:space="0" w:color="auto"/>
                        <w:left w:val="none" w:sz="0" w:space="0" w:color="auto"/>
                        <w:bottom w:val="none" w:sz="0" w:space="0" w:color="auto"/>
                        <w:right w:val="none" w:sz="0" w:space="0" w:color="auto"/>
                      </w:divBdr>
                    </w:div>
                    <w:div w:id="854879546">
                      <w:marLeft w:val="0"/>
                      <w:marRight w:val="0"/>
                      <w:marTop w:val="0"/>
                      <w:marBottom w:val="0"/>
                      <w:divBdr>
                        <w:top w:val="none" w:sz="0" w:space="0" w:color="auto"/>
                        <w:left w:val="none" w:sz="0" w:space="0" w:color="auto"/>
                        <w:bottom w:val="none" w:sz="0" w:space="0" w:color="auto"/>
                        <w:right w:val="none" w:sz="0" w:space="0" w:color="auto"/>
                      </w:divBdr>
                    </w:div>
                    <w:div w:id="1651714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7097185">
          <w:marLeft w:val="0"/>
          <w:marRight w:val="0"/>
          <w:marTop w:val="0"/>
          <w:marBottom w:val="0"/>
          <w:divBdr>
            <w:top w:val="none" w:sz="0" w:space="0" w:color="auto"/>
            <w:left w:val="none" w:sz="0" w:space="0" w:color="auto"/>
            <w:bottom w:val="single" w:sz="6" w:space="0" w:color="333333"/>
            <w:right w:val="none" w:sz="0" w:space="0" w:color="auto"/>
          </w:divBdr>
          <w:divsChild>
            <w:div w:id="1107776032">
              <w:marLeft w:val="0"/>
              <w:marRight w:val="0"/>
              <w:marTop w:val="0"/>
              <w:marBottom w:val="0"/>
              <w:divBdr>
                <w:top w:val="none" w:sz="0" w:space="0" w:color="auto"/>
                <w:left w:val="none" w:sz="0" w:space="0" w:color="auto"/>
                <w:bottom w:val="none" w:sz="0" w:space="0" w:color="auto"/>
                <w:right w:val="none" w:sz="0" w:space="0" w:color="auto"/>
              </w:divBdr>
              <w:divsChild>
                <w:div w:id="817187640">
                  <w:marLeft w:val="0"/>
                  <w:marRight w:val="0"/>
                  <w:marTop w:val="0"/>
                  <w:marBottom w:val="0"/>
                  <w:divBdr>
                    <w:top w:val="none" w:sz="0" w:space="0" w:color="auto"/>
                    <w:left w:val="none" w:sz="0" w:space="0" w:color="auto"/>
                    <w:bottom w:val="none" w:sz="0" w:space="0" w:color="auto"/>
                    <w:right w:val="none" w:sz="0" w:space="0" w:color="auto"/>
                  </w:divBdr>
                  <w:divsChild>
                    <w:div w:id="808474671">
                      <w:marLeft w:val="0"/>
                      <w:marRight w:val="0"/>
                      <w:marTop w:val="0"/>
                      <w:marBottom w:val="0"/>
                      <w:divBdr>
                        <w:top w:val="none" w:sz="0" w:space="0" w:color="auto"/>
                        <w:left w:val="none" w:sz="0" w:space="0" w:color="auto"/>
                        <w:bottom w:val="none" w:sz="0" w:space="0" w:color="auto"/>
                        <w:right w:val="none" w:sz="0" w:space="0" w:color="auto"/>
                      </w:divBdr>
                      <w:divsChild>
                        <w:div w:id="670640476">
                          <w:marLeft w:val="0"/>
                          <w:marRight w:val="0"/>
                          <w:marTop w:val="0"/>
                          <w:marBottom w:val="0"/>
                          <w:divBdr>
                            <w:top w:val="none" w:sz="0" w:space="0" w:color="auto"/>
                            <w:left w:val="none" w:sz="0" w:space="0" w:color="auto"/>
                            <w:bottom w:val="dotted" w:sz="6" w:space="0" w:color="FEA957"/>
                            <w:right w:val="none" w:sz="0" w:space="0" w:color="auto"/>
                          </w:divBdr>
                          <w:divsChild>
                            <w:div w:id="1302810741">
                              <w:marLeft w:val="0"/>
                              <w:marRight w:val="0"/>
                              <w:marTop w:val="0"/>
                              <w:marBottom w:val="0"/>
                              <w:divBdr>
                                <w:top w:val="none" w:sz="0" w:space="0" w:color="auto"/>
                                <w:left w:val="none" w:sz="0" w:space="0" w:color="auto"/>
                                <w:bottom w:val="none" w:sz="0" w:space="0" w:color="auto"/>
                                <w:right w:val="none" w:sz="0" w:space="0" w:color="auto"/>
                              </w:divBdr>
                              <w:divsChild>
                                <w:div w:id="1738553353">
                                  <w:marLeft w:val="0"/>
                                  <w:marRight w:val="0"/>
                                  <w:marTop w:val="0"/>
                                  <w:marBottom w:val="450"/>
                                  <w:divBdr>
                                    <w:top w:val="none" w:sz="0" w:space="0" w:color="auto"/>
                                    <w:left w:val="none" w:sz="0" w:space="0" w:color="auto"/>
                                    <w:bottom w:val="none" w:sz="0" w:space="0" w:color="auto"/>
                                    <w:right w:val="none" w:sz="0" w:space="0" w:color="auto"/>
                                  </w:divBdr>
                                  <w:divsChild>
                                    <w:div w:id="1360158312">
                                      <w:marLeft w:val="0"/>
                                      <w:marRight w:val="0"/>
                                      <w:marTop w:val="0"/>
                                      <w:marBottom w:val="375"/>
                                      <w:divBdr>
                                        <w:top w:val="none" w:sz="0" w:space="0" w:color="auto"/>
                                        <w:left w:val="none" w:sz="0" w:space="0" w:color="auto"/>
                                        <w:bottom w:val="none" w:sz="0" w:space="0" w:color="auto"/>
                                        <w:right w:val="none" w:sz="0" w:space="0" w:color="auto"/>
                                      </w:divBdr>
                                      <w:divsChild>
                                        <w:div w:id="602031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1452923">
                                  <w:marLeft w:val="0"/>
                                  <w:marRight w:val="0"/>
                                  <w:marTop w:val="0"/>
                                  <w:marBottom w:val="450"/>
                                  <w:divBdr>
                                    <w:top w:val="none" w:sz="0" w:space="0" w:color="auto"/>
                                    <w:left w:val="none" w:sz="0" w:space="0" w:color="auto"/>
                                    <w:bottom w:val="none" w:sz="0" w:space="0" w:color="auto"/>
                                    <w:right w:val="none" w:sz="0" w:space="0" w:color="auto"/>
                                  </w:divBdr>
                                  <w:divsChild>
                                    <w:div w:id="2019765585">
                                      <w:marLeft w:val="0"/>
                                      <w:marRight w:val="0"/>
                                      <w:marTop w:val="0"/>
                                      <w:marBottom w:val="375"/>
                                      <w:divBdr>
                                        <w:top w:val="none" w:sz="0" w:space="0" w:color="auto"/>
                                        <w:left w:val="none" w:sz="0" w:space="0" w:color="auto"/>
                                        <w:bottom w:val="none" w:sz="0" w:space="0" w:color="auto"/>
                                        <w:right w:val="none" w:sz="0" w:space="0" w:color="auto"/>
                                      </w:divBdr>
                                      <w:divsChild>
                                        <w:div w:id="1229459764">
                                          <w:marLeft w:val="0"/>
                                          <w:marRight w:val="0"/>
                                          <w:marTop w:val="0"/>
                                          <w:marBottom w:val="0"/>
                                          <w:divBdr>
                                            <w:top w:val="none" w:sz="0" w:space="0" w:color="auto"/>
                                            <w:left w:val="none" w:sz="0" w:space="0" w:color="auto"/>
                                            <w:bottom w:val="none" w:sz="0" w:space="0" w:color="auto"/>
                                            <w:right w:val="none" w:sz="0" w:space="0" w:color="auto"/>
                                          </w:divBdr>
                                        </w:div>
                                      </w:divsChild>
                                    </w:div>
                                    <w:div w:id="182020225">
                                      <w:marLeft w:val="0"/>
                                      <w:marRight w:val="0"/>
                                      <w:marTop w:val="0"/>
                                      <w:marBottom w:val="0"/>
                                      <w:divBdr>
                                        <w:top w:val="none" w:sz="0" w:space="0" w:color="auto"/>
                                        <w:left w:val="none" w:sz="0" w:space="0" w:color="auto"/>
                                        <w:bottom w:val="none" w:sz="0" w:space="0" w:color="auto"/>
                                        <w:right w:val="none" w:sz="0" w:space="0" w:color="auto"/>
                                      </w:divBdr>
                                    </w:div>
                                    <w:div w:id="949706465">
                                      <w:marLeft w:val="0"/>
                                      <w:marRight w:val="0"/>
                                      <w:marTop w:val="0"/>
                                      <w:marBottom w:val="0"/>
                                      <w:divBdr>
                                        <w:top w:val="none" w:sz="0" w:space="0" w:color="auto"/>
                                        <w:left w:val="none" w:sz="0" w:space="0" w:color="auto"/>
                                        <w:bottom w:val="none" w:sz="0" w:space="0" w:color="auto"/>
                                        <w:right w:val="none" w:sz="0" w:space="0" w:color="auto"/>
                                      </w:divBdr>
                                    </w:div>
                                    <w:div w:id="286857333">
                                      <w:marLeft w:val="0"/>
                                      <w:marRight w:val="0"/>
                                      <w:marTop w:val="0"/>
                                      <w:marBottom w:val="0"/>
                                      <w:divBdr>
                                        <w:top w:val="none" w:sz="0" w:space="0" w:color="auto"/>
                                        <w:left w:val="none" w:sz="0" w:space="0" w:color="auto"/>
                                        <w:bottom w:val="none" w:sz="0" w:space="0" w:color="auto"/>
                                        <w:right w:val="none" w:sz="0" w:space="0" w:color="auto"/>
                                      </w:divBdr>
                                    </w:div>
                                  </w:divsChild>
                                </w:div>
                                <w:div w:id="2071923659">
                                  <w:marLeft w:val="0"/>
                                  <w:marRight w:val="0"/>
                                  <w:marTop w:val="0"/>
                                  <w:marBottom w:val="450"/>
                                  <w:divBdr>
                                    <w:top w:val="none" w:sz="0" w:space="0" w:color="auto"/>
                                    <w:left w:val="none" w:sz="0" w:space="0" w:color="auto"/>
                                    <w:bottom w:val="none" w:sz="0" w:space="0" w:color="auto"/>
                                    <w:right w:val="none" w:sz="0" w:space="0" w:color="auto"/>
                                  </w:divBdr>
                                  <w:divsChild>
                                    <w:div w:id="1312445610">
                                      <w:marLeft w:val="0"/>
                                      <w:marRight w:val="0"/>
                                      <w:marTop w:val="0"/>
                                      <w:marBottom w:val="375"/>
                                      <w:divBdr>
                                        <w:top w:val="none" w:sz="0" w:space="0" w:color="auto"/>
                                        <w:left w:val="none" w:sz="0" w:space="0" w:color="auto"/>
                                        <w:bottom w:val="none" w:sz="0" w:space="0" w:color="auto"/>
                                        <w:right w:val="none" w:sz="0" w:space="0" w:color="auto"/>
                                      </w:divBdr>
                                      <w:divsChild>
                                        <w:div w:id="1248658851">
                                          <w:marLeft w:val="0"/>
                                          <w:marRight w:val="0"/>
                                          <w:marTop w:val="0"/>
                                          <w:marBottom w:val="0"/>
                                          <w:divBdr>
                                            <w:top w:val="none" w:sz="0" w:space="0" w:color="auto"/>
                                            <w:left w:val="none" w:sz="0" w:space="0" w:color="auto"/>
                                            <w:bottom w:val="none" w:sz="0" w:space="0" w:color="auto"/>
                                            <w:right w:val="none" w:sz="0" w:space="0" w:color="auto"/>
                                          </w:divBdr>
                                        </w:div>
                                      </w:divsChild>
                                    </w:div>
                                    <w:div w:id="256406906">
                                      <w:marLeft w:val="0"/>
                                      <w:marRight w:val="0"/>
                                      <w:marTop w:val="0"/>
                                      <w:marBottom w:val="0"/>
                                      <w:divBdr>
                                        <w:top w:val="none" w:sz="0" w:space="0" w:color="auto"/>
                                        <w:left w:val="none" w:sz="0" w:space="0" w:color="auto"/>
                                        <w:bottom w:val="none" w:sz="0" w:space="0" w:color="auto"/>
                                        <w:right w:val="none" w:sz="0" w:space="0" w:color="auto"/>
                                      </w:divBdr>
                                    </w:div>
                                    <w:div w:id="2004770298">
                                      <w:marLeft w:val="0"/>
                                      <w:marRight w:val="0"/>
                                      <w:marTop w:val="0"/>
                                      <w:marBottom w:val="0"/>
                                      <w:divBdr>
                                        <w:top w:val="none" w:sz="0" w:space="0" w:color="auto"/>
                                        <w:left w:val="none" w:sz="0" w:space="0" w:color="auto"/>
                                        <w:bottom w:val="none" w:sz="0" w:space="0" w:color="auto"/>
                                        <w:right w:val="none" w:sz="0" w:space="0" w:color="auto"/>
                                      </w:divBdr>
                                    </w:div>
                                    <w:div w:id="1781677279">
                                      <w:marLeft w:val="0"/>
                                      <w:marRight w:val="0"/>
                                      <w:marTop w:val="0"/>
                                      <w:marBottom w:val="0"/>
                                      <w:divBdr>
                                        <w:top w:val="none" w:sz="0" w:space="0" w:color="auto"/>
                                        <w:left w:val="none" w:sz="0" w:space="0" w:color="auto"/>
                                        <w:bottom w:val="none" w:sz="0" w:space="0" w:color="auto"/>
                                        <w:right w:val="none" w:sz="0" w:space="0" w:color="auto"/>
                                      </w:divBdr>
                                    </w:div>
                                    <w:div w:id="1549873362">
                                      <w:marLeft w:val="0"/>
                                      <w:marRight w:val="0"/>
                                      <w:marTop w:val="0"/>
                                      <w:marBottom w:val="0"/>
                                      <w:divBdr>
                                        <w:top w:val="none" w:sz="0" w:space="0" w:color="auto"/>
                                        <w:left w:val="none" w:sz="0" w:space="0" w:color="auto"/>
                                        <w:bottom w:val="none" w:sz="0" w:space="0" w:color="auto"/>
                                        <w:right w:val="none" w:sz="0" w:space="0" w:color="auto"/>
                                      </w:divBdr>
                                    </w:div>
                                  </w:divsChild>
                                </w:div>
                                <w:div w:id="416102316">
                                  <w:marLeft w:val="0"/>
                                  <w:marRight w:val="0"/>
                                  <w:marTop w:val="0"/>
                                  <w:marBottom w:val="450"/>
                                  <w:divBdr>
                                    <w:top w:val="none" w:sz="0" w:space="0" w:color="auto"/>
                                    <w:left w:val="none" w:sz="0" w:space="0" w:color="auto"/>
                                    <w:bottom w:val="none" w:sz="0" w:space="0" w:color="auto"/>
                                    <w:right w:val="none" w:sz="0" w:space="0" w:color="auto"/>
                                  </w:divBdr>
                                  <w:divsChild>
                                    <w:div w:id="1920478932">
                                      <w:marLeft w:val="0"/>
                                      <w:marRight w:val="0"/>
                                      <w:marTop w:val="0"/>
                                      <w:marBottom w:val="375"/>
                                      <w:divBdr>
                                        <w:top w:val="none" w:sz="0" w:space="0" w:color="auto"/>
                                        <w:left w:val="none" w:sz="0" w:space="0" w:color="auto"/>
                                        <w:bottom w:val="none" w:sz="0" w:space="0" w:color="auto"/>
                                        <w:right w:val="none" w:sz="0" w:space="0" w:color="auto"/>
                                      </w:divBdr>
                                      <w:divsChild>
                                        <w:div w:id="1967811484">
                                          <w:marLeft w:val="0"/>
                                          <w:marRight w:val="0"/>
                                          <w:marTop w:val="0"/>
                                          <w:marBottom w:val="0"/>
                                          <w:divBdr>
                                            <w:top w:val="none" w:sz="0" w:space="0" w:color="auto"/>
                                            <w:left w:val="none" w:sz="0" w:space="0" w:color="auto"/>
                                            <w:bottom w:val="none" w:sz="0" w:space="0" w:color="auto"/>
                                            <w:right w:val="none" w:sz="0" w:space="0" w:color="auto"/>
                                          </w:divBdr>
                                        </w:div>
                                      </w:divsChild>
                                    </w:div>
                                    <w:div w:id="505242987">
                                      <w:marLeft w:val="0"/>
                                      <w:marRight w:val="0"/>
                                      <w:marTop w:val="0"/>
                                      <w:marBottom w:val="0"/>
                                      <w:divBdr>
                                        <w:top w:val="none" w:sz="0" w:space="0" w:color="auto"/>
                                        <w:left w:val="none" w:sz="0" w:space="0" w:color="auto"/>
                                        <w:bottom w:val="none" w:sz="0" w:space="0" w:color="auto"/>
                                        <w:right w:val="none" w:sz="0" w:space="0" w:color="auto"/>
                                      </w:divBdr>
                                    </w:div>
                                    <w:div w:id="1765879523">
                                      <w:marLeft w:val="0"/>
                                      <w:marRight w:val="0"/>
                                      <w:marTop w:val="0"/>
                                      <w:marBottom w:val="0"/>
                                      <w:divBdr>
                                        <w:top w:val="none" w:sz="0" w:space="0" w:color="auto"/>
                                        <w:left w:val="none" w:sz="0" w:space="0" w:color="auto"/>
                                        <w:bottom w:val="none" w:sz="0" w:space="0" w:color="auto"/>
                                        <w:right w:val="none" w:sz="0" w:space="0" w:color="auto"/>
                                      </w:divBdr>
                                    </w:div>
                                    <w:div w:id="1655180650">
                                      <w:marLeft w:val="0"/>
                                      <w:marRight w:val="0"/>
                                      <w:marTop w:val="0"/>
                                      <w:marBottom w:val="0"/>
                                      <w:divBdr>
                                        <w:top w:val="none" w:sz="0" w:space="0" w:color="auto"/>
                                        <w:left w:val="none" w:sz="0" w:space="0" w:color="auto"/>
                                        <w:bottom w:val="none" w:sz="0" w:space="0" w:color="auto"/>
                                        <w:right w:val="none" w:sz="0" w:space="0" w:color="auto"/>
                                      </w:divBdr>
                                    </w:div>
                                    <w:div w:id="860699667">
                                      <w:marLeft w:val="0"/>
                                      <w:marRight w:val="0"/>
                                      <w:marTop w:val="0"/>
                                      <w:marBottom w:val="0"/>
                                      <w:divBdr>
                                        <w:top w:val="none" w:sz="0" w:space="0" w:color="auto"/>
                                        <w:left w:val="none" w:sz="0" w:space="0" w:color="auto"/>
                                        <w:bottom w:val="none" w:sz="0" w:space="0" w:color="auto"/>
                                        <w:right w:val="none" w:sz="0" w:space="0" w:color="auto"/>
                                      </w:divBdr>
                                    </w:div>
                                    <w:div w:id="828908864">
                                      <w:marLeft w:val="0"/>
                                      <w:marRight w:val="0"/>
                                      <w:marTop w:val="0"/>
                                      <w:marBottom w:val="0"/>
                                      <w:divBdr>
                                        <w:top w:val="none" w:sz="0" w:space="0" w:color="auto"/>
                                        <w:left w:val="none" w:sz="0" w:space="0" w:color="auto"/>
                                        <w:bottom w:val="none" w:sz="0" w:space="0" w:color="auto"/>
                                        <w:right w:val="none" w:sz="0" w:space="0" w:color="auto"/>
                                      </w:divBdr>
                                    </w:div>
                                    <w:div w:id="235743871">
                                      <w:marLeft w:val="0"/>
                                      <w:marRight w:val="0"/>
                                      <w:marTop w:val="0"/>
                                      <w:marBottom w:val="0"/>
                                      <w:divBdr>
                                        <w:top w:val="none" w:sz="0" w:space="0" w:color="auto"/>
                                        <w:left w:val="none" w:sz="0" w:space="0" w:color="auto"/>
                                        <w:bottom w:val="none" w:sz="0" w:space="0" w:color="auto"/>
                                        <w:right w:val="none" w:sz="0" w:space="0" w:color="auto"/>
                                      </w:divBdr>
                                    </w:div>
                                    <w:div w:id="1359701479">
                                      <w:marLeft w:val="0"/>
                                      <w:marRight w:val="0"/>
                                      <w:marTop w:val="0"/>
                                      <w:marBottom w:val="0"/>
                                      <w:divBdr>
                                        <w:top w:val="none" w:sz="0" w:space="0" w:color="auto"/>
                                        <w:left w:val="none" w:sz="0" w:space="0" w:color="auto"/>
                                        <w:bottom w:val="none" w:sz="0" w:space="0" w:color="auto"/>
                                        <w:right w:val="none" w:sz="0" w:space="0" w:color="auto"/>
                                      </w:divBdr>
                                    </w:div>
                                    <w:div w:id="2136679667">
                                      <w:marLeft w:val="0"/>
                                      <w:marRight w:val="0"/>
                                      <w:marTop w:val="0"/>
                                      <w:marBottom w:val="0"/>
                                      <w:divBdr>
                                        <w:top w:val="none" w:sz="0" w:space="0" w:color="auto"/>
                                        <w:left w:val="none" w:sz="0" w:space="0" w:color="auto"/>
                                        <w:bottom w:val="none" w:sz="0" w:space="0" w:color="auto"/>
                                        <w:right w:val="none" w:sz="0" w:space="0" w:color="auto"/>
                                      </w:divBdr>
                                    </w:div>
                                  </w:divsChild>
                                </w:div>
                                <w:div w:id="64762852">
                                  <w:marLeft w:val="0"/>
                                  <w:marRight w:val="0"/>
                                  <w:marTop w:val="0"/>
                                  <w:marBottom w:val="450"/>
                                  <w:divBdr>
                                    <w:top w:val="none" w:sz="0" w:space="0" w:color="auto"/>
                                    <w:left w:val="none" w:sz="0" w:space="0" w:color="auto"/>
                                    <w:bottom w:val="none" w:sz="0" w:space="0" w:color="auto"/>
                                    <w:right w:val="none" w:sz="0" w:space="0" w:color="auto"/>
                                  </w:divBdr>
                                  <w:divsChild>
                                    <w:div w:id="2141340286">
                                      <w:marLeft w:val="0"/>
                                      <w:marRight w:val="0"/>
                                      <w:marTop w:val="0"/>
                                      <w:marBottom w:val="375"/>
                                      <w:divBdr>
                                        <w:top w:val="none" w:sz="0" w:space="0" w:color="auto"/>
                                        <w:left w:val="none" w:sz="0" w:space="0" w:color="auto"/>
                                        <w:bottom w:val="none" w:sz="0" w:space="0" w:color="auto"/>
                                        <w:right w:val="none" w:sz="0" w:space="0" w:color="auto"/>
                                      </w:divBdr>
                                      <w:divsChild>
                                        <w:div w:id="1318218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85203345">
              <w:marLeft w:val="0"/>
              <w:marRight w:val="0"/>
              <w:marTop w:val="0"/>
              <w:marBottom w:val="0"/>
              <w:divBdr>
                <w:top w:val="none" w:sz="0" w:space="0" w:color="auto"/>
                <w:left w:val="none" w:sz="0" w:space="0" w:color="auto"/>
                <w:bottom w:val="single" w:sz="6" w:space="0" w:color="333333"/>
                <w:right w:val="none" w:sz="0" w:space="0" w:color="auto"/>
              </w:divBdr>
              <w:divsChild>
                <w:div w:id="415516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6992622">
          <w:marLeft w:val="0"/>
          <w:marRight w:val="0"/>
          <w:marTop w:val="0"/>
          <w:marBottom w:val="0"/>
          <w:divBdr>
            <w:top w:val="none" w:sz="0" w:space="0" w:color="auto"/>
            <w:left w:val="none" w:sz="0" w:space="0" w:color="auto"/>
            <w:bottom w:val="single" w:sz="6" w:space="0" w:color="333333"/>
            <w:right w:val="none" w:sz="0" w:space="0" w:color="auto"/>
          </w:divBdr>
          <w:divsChild>
            <w:div w:id="1054934848">
              <w:marLeft w:val="0"/>
              <w:marRight w:val="0"/>
              <w:marTop w:val="0"/>
              <w:marBottom w:val="0"/>
              <w:divBdr>
                <w:top w:val="none" w:sz="0" w:space="0" w:color="auto"/>
                <w:left w:val="none" w:sz="0" w:space="0" w:color="auto"/>
                <w:bottom w:val="none" w:sz="0" w:space="0" w:color="auto"/>
                <w:right w:val="none" w:sz="0" w:space="0" w:color="auto"/>
              </w:divBdr>
            </w:div>
            <w:div w:id="957445810">
              <w:marLeft w:val="0"/>
              <w:marRight w:val="0"/>
              <w:marTop w:val="0"/>
              <w:marBottom w:val="0"/>
              <w:divBdr>
                <w:top w:val="single" w:sz="6" w:space="0" w:color="333333"/>
                <w:left w:val="none" w:sz="0" w:space="0" w:color="auto"/>
                <w:bottom w:val="none" w:sz="0" w:space="0" w:color="auto"/>
                <w:right w:val="none" w:sz="0" w:space="0" w:color="auto"/>
              </w:divBdr>
            </w:div>
            <w:div w:id="1999650057">
              <w:marLeft w:val="0"/>
              <w:marRight w:val="0"/>
              <w:marTop w:val="0"/>
              <w:marBottom w:val="0"/>
              <w:divBdr>
                <w:top w:val="single" w:sz="6" w:space="0" w:color="333333"/>
                <w:left w:val="none" w:sz="0" w:space="0" w:color="auto"/>
                <w:bottom w:val="none" w:sz="0" w:space="0" w:color="auto"/>
                <w:right w:val="none" w:sz="0" w:space="0" w:color="auto"/>
              </w:divBdr>
              <w:divsChild>
                <w:div w:id="1389572596">
                  <w:marLeft w:val="0"/>
                  <w:marRight w:val="0"/>
                  <w:marTop w:val="0"/>
                  <w:marBottom w:val="0"/>
                  <w:divBdr>
                    <w:top w:val="none" w:sz="0" w:space="0" w:color="auto"/>
                    <w:left w:val="none" w:sz="0" w:space="0" w:color="auto"/>
                    <w:bottom w:val="none" w:sz="0" w:space="0" w:color="auto"/>
                    <w:right w:val="none" w:sz="0" w:space="0" w:color="auto"/>
                  </w:divBdr>
                  <w:divsChild>
                    <w:div w:id="859776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97159127">
      <w:bodyDiv w:val="1"/>
      <w:marLeft w:val="0"/>
      <w:marRight w:val="0"/>
      <w:marTop w:val="0"/>
      <w:marBottom w:val="0"/>
      <w:divBdr>
        <w:top w:val="none" w:sz="0" w:space="0" w:color="auto"/>
        <w:left w:val="none" w:sz="0" w:space="0" w:color="auto"/>
        <w:bottom w:val="none" w:sz="0" w:space="0" w:color="auto"/>
        <w:right w:val="none" w:sz="0" w:space="0" w:color="auto"/>
      </w:divBdr>
      <w:divsChild>
        <w:div w:id="1623338212">
          <w:marLeft w:val="0"/>
          <w:marRight w:val="0"/>
          <w:marTop w:val="0"/>
          <w:marBottom w:val="0"/>
          <w:divBdr>
            <w:top w:val="none" w:sz="0" w:space="0" w:color="auto"/>
            <w:left w:val="none" w:sz="0" w:space="0" w:color="auto"/>
            <w:bottom w:val="none" w:sz="0" w:space="0" w:color="auto"/>
            <w:right w:val="none" w:sz="0" w:space="0" w:color="auto"/>
          </w:divBdr>
          <w:divsChild>
            <w:div w:id="879711163">
              <w:marLeft w:val="0"/>
              <w:marRight w:val="0"/>
              <w:marTop w:val="0"/>
              <w:marBottom w:val="0"/>
              <w:divBdr>
                <w:top w:val="none" w:sz="0" w:space="0" w:color="auto"/>
                <w:left w:val="none" w:sz="0" w:space="0" w:color="auto"/>
                <w:bottom w:val="none" w:sz="0" w:space="0" w:color="auto"/>
                <w:right w:val="none" w:sz="0" w:space="0" w:color="auto"/>
              </w:divBdr>
              <w:divsChild>
                <w:div w:id="1843814913">
                  <w:marLeft w:val="0"/>
                  <w:marRight w:val="0"/>
                  <w:marTop w:val="0"/>
                  <w:marBottom w:val="0"/>
                  <w:divBdr>
                    <w:top w:val="none" w:sz="0" w:space="0" w:color="auto"/>
                    <w:left w:val="none" w:sz="0" w:space="0" w:color="auto"/>
                    <w:bottom w:val="none" w:sz="0" w:space="0" w:color="auto"/>
                    <w:right w:val="none" w:sz="0" w:space="0" w:color="auto"/>
                  </w:divBdr>
                </w:div>
                <w:div w:id="1625962588">
                  <w:marLeft w:val="0"/>
                  <w:marRight w:val="0"/>
                  <w:marTop w:val="0"/>
                  <w:marBottom w:val="0"/>
                  <w:divBdr>
                    <w:top w:val="none" w:sz="0" w:space="0" w:color="auto"/>
                    <w:left w:val="none" w:sz="0" w:space="0" w:color="auto"/>
                    <w:bottom w:val="none" w:sz="0" w:space="0" w:color="auto"/>
                    <w:right w:val="none" w:sz="0" w:space="0" w:color="auto"/>
                  </w:divBdr>
                </w:div>
                <w:div w:id="961963953">
                  <w:marLeft w:val="0"/>
                  <w:marRight w:val="0"/>
                  <w:marTop w:val="0"/>
                  <w:marBottom w:val="0"/>
                  <w:divBdr>
                    <w:top w:val="none" w:sz="0" w:space="0" w:color="auto"/>
                    <w:left w:val="none" w:sz="0" w:space="0" w:color="auto"/>
                    <w:bottom w:val="none" w:sz="0" w:space="0" w:color="auto"/>
                    <w:right w:val="none" w:sz="0" w:space="0" w:color="auto"/>
                  </w:divBdr>
                </w:div>
                <w:div w:id="515853542">
                  <w:marLeft w:val="0"/>
                  <w:marRight w:val="0"/>
                  <w:marTop w:val="0"/>
                  <w:marBottom w:val="0"/>
                  <w:divBdr>
                    <w:top w:val="none" w:sz="0" w:space="0" w:color="auto"/>
                    <w:left w:val="none" w:sz="0" w:space="0" w:color="auto"/>
                    <w:bottom w:val="none" w:sz="0" w:space="0" w:color="auto"/>
                    <w:right w:val="none" w:sz="0" w:space="0" w:color="auto"/>
                  </w:divBdr>
                </w:div>
                <w:div w:id="717901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3100403">
          <w:marLeft w:val="0"/>
          <w:marRight w:val="0"/>
          <w:marTop w:val="0"/>
          <w:marBottom w:val="0"/>
          <w:divBdr>
            <w:top w:val="none" w:sz="0" w:space="0" w:color="auto"/>
            <w:left w:val="none" w:sz="0" w:space="0" w:color="auto"/>
            <w:bottom w:val="none" w:sz="0" w:space="0" w:color="auto"/>
            <w:right w:val="none" w:sz="0" w:space="0" w:color="auto"/>
          </w:divBdr>
          <w:divsChild>
            <w:div w:id="1227183973">
              <w:marLeft w:val="0"/>
              <w:marRight w:val="0"/>
              <w:marTop w:val="0"/>
              <w:marBottom w:val="0"/>
              <w:divBdr>
                <w:top w:val="none" w:sz="0" w:space="0" w:color="auto"/>
                <w:left w:val="none" w:sz="0" w:space="0" w:color="auto"/>
                <w:bottom w:val="none" w:sz="0" w:space="0" w:color="auto"/>
                <w:right w:val="none" w:sz="0" w:space="0" w:color="auto"/>
              </w:divBdr>
            </w:div>
          </w:divsChild>
        </w:div>
        <w:div w:id="554317048">
          <w:marLeft w:val="0"/>
          <w:marRight w:val="0"/>
          <w:marTop w:val="0"/>
          <w:marBottom w:val="0"/>
          <w:divBdr>
            <w:top w:val="none" w:sz="0" w:space="0" w:color="auto"/>
            <w:left w:val="none" w:sz="0" w:space="0" w:color="auto"/>
            <w:bottom w:val="none" w:sz="0" w:space="0" w:color="auto"/>
            <w:right w:val="none" w:sz="0" w:space="0" w:color="auto"/>
          </w:divBdr>
        </w:div>
        <w:div w:id="1041056237">
          <w:marLeft w:val="0"/>
          <w:marRight w:val="0"/>
          <w:marTop w:val="0"/>
          <w:marBottom w:val="0"/>
          <w:divBdr>
            <w:top w:val="none" w:sz="0" w:space="0" w:color="auto"/>
            <w:left w:val="none" w:sz="0" w:space="0" w:color="auto"/>
            <w:bottom w:val="none" w:sz="0" w:space="0" w:color="auto"/>
            <w:right w:val="none" w:sz="0" w:space="0" w:color="auto"/>
          </w:divBdr>
        </w:div>
        <w:div w:id="1325664227">
          <w:marLeft w:val="0"/>
          <w:marRight w:val="0"/>
          <w:marTop w:val="0"/>
          <w:marBottom w:val="0"/>
          <w:divBdr>
            <w:top w:val="none" w:sz="0" w:space="0" w:color="auto"/>
            <w:left w:val="none" w:sz="0" w:space="0" w:color="auto"/>
            <w:bottom w:val="none" w:sz="0" w:space="0" w:color="auto"/>
            <w:right w:val="none" w:sz="0" w:space="0" w:color="auto"/>
          </w:divBdr>
        </w:div>
        <w:div w:id="45879074">
          <w:marLeft w:val="0"/>
          <w:marRight w:val="0"/>
          <w:marTop w:val="0"/>
          <w:marBottom w:val="0"/>
          <w:divBdr>
            <w:top w:val="none" w:sz="0" w:space="0" w:color="auto"/>
            <w:left w:val="none" w:sz="0" w:space="0" w:color="auto"/>
            <w:bottom w:val="none" w:sz="0" w:space="0" w:color="auto"/>
            <w:right w:val="none" w:sz="0" w:space="0" w:color="auto"/>
          </w:divBdr>
        </w:div>
        <w:div w:id="1897158028">
          <w:marLeft w:val="0"/>
          <w:marRight w:val="0"/>
          <w:marTop w:val="0"/>
          <w:marBottom w:val="0"/>
          <w:divBdr>
            <w:top w:val="none" w:sz="0" w:space="0" w:color="auto"/>
            <w:left w:val="none" w:sz="0" w:space="0" w:color="auto"/>
            <w:bottom w:val="none" w:sz="0" w:space="0" w:color="auto"/>
            <w:right w:val="none" w:sz="0" w:space="0" w:color="auto"/>
          </w:divBdr>
        </w:div>
        <w:div w:id="1813981725">
          <w:marLeft w:val="0"/>
          <w:marRight w:val="0"/>
          <w:marTop w:val="0"/>
          <w:marBottom w:val="0"/>
          <w:divBdr>
            <w:top w:val="none" w:sz="0" w:space="0" w:color="auto"/>
            <w:left w:val="none" w:sz="0" w:space="0" w:color="auto"/>
            <w:bottom w:val="none" w:sz="0" w:space="0" w:color="auto"/>
            <w:right w:val="none" w:sz="0" w:space="0" w:color="auto"/>
          </w:divBdr>
        </w:div>
        <w:div w:id="2033146744">
          <w:marLeft w:val="0"/>
          <w:marRight w:val="0"/>
          <w:marTop w:val="0"/>
          <w:marBottom w:val="0"/>
          <w:divBdr>
            <w:top w:val="none" w:sz="0" w:space="0" w:color="auto"/>
            <w:left w:val="none" w:sz="0" w:space="0" w:color="auto"/>
            <w:bottom w:val="none" w:sz="0" w:space="0" w:color="auto"/>
            <w:right w:val="none" w:sz="0" w:space="0" w:color="auto"/>
          </w:divBdr>
          <w:divsChild>
            <w:div w:id="728040842">
              <w:marLeft w:val="0"/>
              <w:marRight w:val="0"/>
              <w:marTop w:val="0"/>
              <w:marBottom w:val="0"/>
              <w:divBdr>
                <w:top w:val="none" w:sz="0" w:space="0" w:color="auto"/>
                <w:left w:val="none" w:sz="0" w:space="0" w:color="auto"/>
                <w:bottom w:val="none" w:sz="0" w:space="0" w:color="auto"/>
                <w:right w:val="none" w:sz="0" w:space="0" w:color="auto"/>
              </w:divBdr>
            </w:div>
          </w:divsChild>
        </w:div>
        <w:div w:id="125664879">
          <w:marLeft w:val="0"/>
          <w:marRight w:val="0"/>
          <w:marTop w:val="0"/>
          <w:marBottom w:val="0"/>
          <w:divBdr>
            <w:top w:val="none" w:sz="0" w:space="0" w:color="auto"/>
            <w:left w:val="none" w:sz="0" w:space="0" w:color="auto"/>
            <w:bottom w:val="none" w:sz="0" w:space="0" w:color="auto"/>
            <w:right w:val="none" w:sz="0" w:space="0" w:color="auto"/>
          </w:divBdr>
          <w:divsChild>
            <w:div w:id="1778911820">
              <w:marLeft w:val="0"/>
              <w:marRight w:val="0"/>
              <w:marTop w:val="0"/>
              <w:marBottom w:val="0"/>
              <w:divBdr>
                <w:top w:val="none" w:sz="0" w:space="0" w:color="auto"/>
                <w:left w:val="none" w:sz="0" w:space="0" w:color="auto"/>
                <w:bottom w:val="none" w:sz="0" w:space="0" w:color="auto"/>
                <w:right w:val="none" w:sz="0" w:space="0" w:color="auto"/>
              </w:divBdr>
            </w:div>
          </w:divsChild>
        </w:div>
        <w:div w:id="2017536304">
          <w:marLeft w:val="0"/>
          <w:marRight w:val="0"/>
          <w:marTop w:val="0"/>
          <w:marBottom w:val="0"/>
          <w:divBdr>
            <w:top w:val="none" w:sz="0" w:space="0" w:color="auto"/>
            <w:left w:val="none" w:sz="0" w:space="0" w:color="auto"/>
            <w:bottom w:val="none" w:sz="0" w:space="0" w:color="auto"/>
            <w:right w:val="none" w:sz="0" w:space="0" w:color="auto"/>
          </w:divBdr>
          <w:divsChild>
            <w:div w:id="299189906">
              <w:marLeft w:val="0"/>
              <w:marRight w:val="0"/>
              <w:marTop w:val="0"/>
              <w:marBottom w:val="0"/>
              <w:divBdr>
                <w:top w:val="none" w:sz="0" w:space="0" w:color="auto"/>
                <w:left w:val="none" w:sz="0" w:space="0" w:color="auto"/>
                <w:bottom w:val="none" w:sz="0" w:space="0" w:color="auto"/>
                <w:right w:val="none" w:sz="0" w:space="0" w:color="auto"/>
              </w:divBdr>
              <w:divsChild>
                <w:div w:id="2030983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037099">
          <w:marLeft w:val="0"/>
          <w:marRight w:val="0"/>
          <w:marTop w:val="0"/>
          <w:marBottom w:val="0"/>
          <w:divBdr>
            <w:top w:val="none" w:sz="0" w:space="0" w:color="auto"/>
            <w:left w:val="none" w:sz="0" w:space="0" w:color="auto"/>
            <w:bottom w:val="none" w:sz="0" w:space="0" w:color="auto"/>
            <w:right w:val="none" w:sz="0" w:space="0" w:color="auto"/>
          </w:divBdr>
        </w:div>
        <w:div w:id="286202318">
          <w:marLeft w:val="0"/>
          <w:marRight w:val="0"/>
          <w:marTop w:val="0"/>
          <w:marBottom w:val="0"/>
          <w:divBdr>
            <w:top w:val="none" w:sz="0" w:space="0" w:color="auto"/>
            <w:left w:val="none" w:sz="0" w:space="0" w:color="auto"/>
            <w:bottom w:val="none" w:sz="0" w:space="0" w:color="auto"/>
            <w:right w:val="none" w:sz="0" w:space="0" w:color="auto"/>
          </w:divBdr>
        </w:div>
        <w:div w:id="1928883725">
          <w:marLeft w:val="0"/>
          <w:marRight w:val="0"/>
          <w:marTop w:val="0"/>
          <w:marBottom w:val="0"/>
          <w:divBdr>
            <w:top w:val="none" w:sz="0" w:space="0" w:color="auto"/>
            <w:left w:val="none" w:sz="0" w:space="0" w:color="auto"/>
            <w:bottom w:val="none" w:sz="0" w:space="0" w:color="auto"/>
            <w:right w:val="none" w:sz="0" w:space="0" w:color="auto"/>
          </w:divBdr>
        </w:div>
        <w:div w:id="1035041463">
          <w:marLeft w:val="0"/>
          <w:marRight w:val="0"/>
          <w:marTop w:val="0"/>
          <w:marBottom w:val="0"/>
          <w:divBdr>
            <w:top w:val="none" w:sz="0" w:space="0" w:color="auto"/>
            <w:left w:val="none" w:sz="0" w:space="0" w:color="auto"/>
            <w:bottom w:val="none" w:sz="0" w:space="0" w:color="auto"/>
            <w:right w:val="none" w:sz="0" w:space="0" w:color="auto"/>
          </w:divBdr>
          <w:divsChild>
            <w:div w:id="1866091477">
              <w:marLeft w:val="0"/>
              <w:marRight w:val="0"/>
              <w:marTop w:val="0"/>
              <w:marBottom w:val="0"/>
              <w:divBdr>
                <w:top w:val="none" w:sz="0" w:space="0" w:color="auto"/>
                <w:left w:val="none" w:sz="0" w:space="0" w:color="auto"/>
                <w:bottom w:val="none" w:sz="0" w:space="0" w:color="auto"/>
                <w:right w:val="none" w:sz="0" w:space="0" w:color="auto"/>
              </w:divBdr>
              <w:divsChild>
                <w:div w:id="1271744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5792105">
          <w:marLeft w:val="0"/>
          <w:marRight w:val="0"/>
          <w:marTop w:val="0"/>
          <w:marBottom w:val="0"/>
          <w:divBdr>
            <w:top w:val="none" w:sz="0" w:space="0" w:color="auto"/>
            <w:left w:val="none" w:sz="0" w:space="0" w:color="auto"/>
            <w:bottom w:val="none" w:sz="0" w:space="0" w:color="auto"/>
            <w:right w:val="none" w:sz="0" w:space="0" w:color="auto"/>
          </w:divBdr>
        </w:div>
        <w:div w:id="2102603303">
          <w:marLeft w:val="0"/>
          <w:marRight w:val="0"/>
          <w:marTop w:val="0"/>
          <w:marBottom w:val="0"/>
          <w:divBdr>
            <w:top w:val="none" w:sz="0" w:space="0" w:color="auto"/>
            <w:left w:val="none" w:sz="0" w:space="0" w:color="auto"/>
            <w:bottom w:val="none" w:sz="0" w:space="0" w:color="auto"/>
            <w:right w:val="none" w:sz="0" w:space="0" w:color="auto"/>
          </w:divBdr>
        </w:div>
        <w:div w:id="1295793971">
          <w:marLeft w:val="0"/>
          <w:marRight w:val="0"/>
          <w:marTop w:val="0"/>
          <w:marBottom w:val="0"/>
          <w:divBdr>
            <w:top w:val="none" w:sz="0" w:space="0" w:color="auto"/>
            <w:left w:val="none" w:sz="0" w:space="0" w:color="auto"/>
            <w:bottom w:val="none" w:sz="0" w:space="0" w:color="auto"/>
            <w:right w:val="none" w:sz="0" w:space="0" w:color="auto"/>
          </w:divBdr>
          <w:divsChild>
            <w:div w:id="738676133">
              <w:marLeft w:val="0"/>
              <w:marRight w:val="0"/>
              <w:marTop w:val="0"/>
              <w:marBottom w:val="0"/>
              <w:divBdr>
                <w:top w:val="none" w:sz="0" w:space="0" w:color="auto"/>
                <w:left w:val="none" w:sz="0" w:space="0" w:color="auto"/>
                <w:bottom w:val="none" w:sz="0" w:space="0" w:color="auto"/>
                <w:right w:val="none" w:sz="0" w:space="0" w:color="auto"/>
              </w:divBdr>
            </w:div>
          </w:divsChild>
        </w:div>
        <w:div w:id="1851096113">
          <w:marLeft w:val="0"/>
          <w:marRight w:val="0"/>
          <w:marTop w:val="0"/>
          <w:marBottom w:val="0"/>
          <w:divBdr>
            <w:top w:val="none" w:sz="0" w:space="0" w:color="auto"/>
            <w:left w:val="none" w:sz="0" w:space="0" w:color="auto"/>
            <w:bottom w:val="none" w:sz="0" w:space="0" w:color="auto"/>
            <w:right w:val="none" w:sz="0" w:space="0" w:color="auto"/>
          </w:divBdr>
          <w:divsChild>
            <w:div w:id="847521904">
              <w:marLeft w:val="0"/>
              <w:marRight w:val="0"/>
              <w:marTop w:val="0"/>
              <w:marBottom w:val="0"/>
              <w:divBdr>
                <w:top w:val="none" w:sz="0" w:space="0" w:color="auto"/>
                <w:left w:val="none" w:sz="0" w:space="0" w:color="auto"/>
                <w:bottom w:val="none" w:sz="0" w:space="0" w:color="auto"/>
                <w:right w:val="none" w:sz="0" w:space="0" w:color="auto"/>
              </w:divBdr>
            </w:div>
          </w:divsChild>
        </w:div>
        <w:div w:id="2109234424">
          <w:marLeft w:val="0"/>
          <w:marRight w:val="0"/>
          <w:marTop w:val="0"/>
          <w:marBottom w:val="0"/>
          <w:divBdr>
            <w:top w:val="none" w:sz="0" w:space="0" w:color="auto"/>
            <w:left w:val="none" w:sz="0" w:space="0" w:color="auto"/>
            <w:bottom w:val="none" w:sz="0" w:space="0" w:color="auto"/>
            <w:right w:val="none" w:sz="0" w:space="0" w:color="auto"/>
          </w:divBdr>
        </w:div>
        <w:div w:id="823930065">
          <w:marLeft w:val="0"/>
          <w:marRight w:val="0"/>
          <w:marTop w:val="0"/>
          <w:marBottom w:val="0"/>
          <w:divBdr>
            <w:top w:val="none" w:sz="0" w:space="0" w:color="auto"/>
            <w:left w:val="none" w:sz="0" w:space="0" w:color="auto"/>
            <w:bottom w:val="none" w:sz="0" w:space="0" w:color="auto"/>
            <w:right w:val="none" w:sz="0" w:space="0" w:color="auto"/>
          </w:divBdr>
        </w:div>
        <w:div w:id="1960867183">
          <w:marLeft w:val="0"/>
          <w:marRight w:val="0"/>
          <w:marTop w:val="0"/>
          <w:marBottom w:val="0"/>
          <w:divBdr>
            <w:top w:val="none" w:sz="0" w:space="0" w:color="auto"/>
            <w:left w:val="none" w:sz="0" w:space="0" w:color="auto"/>
            <w:bottom w:val="none" w:sz="0" w:space="0" w:color="auto"/>
            <w:right w:val="none" w:sz="0" w:space="0" w:color="auto"/>
          </w:divBdr>
        </w:div>
        <w:div w:id="623999921">
          <w:marLeft w:val="0"/>
          <w:marRight w:val="0"/>
          <w:marTop w:val="0"/>
          <w:marBottom w:val="0"/>
          <w:divBdr>
            <w:top w:val="none" w:sz="0" w:space="0" w:color="auto"/>
            <w:left w:val="none" w:sz="0" w:space="0" w:color="auto"/>
            <w:bottom w:val="none" w:sz="0" w:space="0" w:color="auto"/>
            <w:right w:val="none" w:sz="0" w:space="0" w:color="auto"/>
          </w:divBdr>
          <w:divsChild>
            <w:div w:id="1249851767">
              <w:marLeft w:val="0"/>
              <w:marRight w:val="0"/>
              <w:marTop w:val="0"/>
              <w:marBottom w:val="0"/>
              <w:divBdr>
                <w:top w:val="none" w:sz="0" w:space="0" w:color="auto"/>
                <w:left w:val="none" w:sz="0" w:space="0" w:color="auto"/>
                <w:bottom w:val="none" w:sz="0" w:space="0" w:color="auto"/>
                <w:right w:val="none" w:sz="0" w:space="0" w:color="auto"/>
              </w:divBdr>
            </w:div>
          </w:divsChild>
        </w:div>
        <w:div w:id="1903516587">
          <w:marLeft w:val="0"/>
          <w:marRight w:val="0"/>
          <w:marTop w:val="0"/>
          <w:marBottom w:val="0"/>
          <w:divBdr>
            <w:top w:val="none" w:sz="0" w:space="0" w:color="auto"/>
            <w:left w:val="none" w:sz="0" w:space="0" w:color="auto"/>
            <w:bottom w:val="none" w:sz="0" w:space="0" w:color="auto"/>
            <w:right w:val="none" w:sz="0" w:space="0" w:color="auto"/>
          </w:divBdr>
        </w:div>
        <w:div w:id="1397432712">
          <w:marLeft w:val="0"/>
          <w:marRight w:val="0"/>
          <w:marTop w:val="0"/>
          <w:marBottom w:val="0"/>
          <w:divBdr>
            <w:top w:val="none" w:sz="0" w:space="0" w:color="auto"/>
            <w:left w:val="none" w:sz="0" w:space="0" w:color="auto"/>
            <w:bottom w:val="none" w:sz="0" w:space="0" w:color="auto"/>
            <w:right w:val="none" w:sz="0" w:space="0" w:color="auto"/>
          </w:divBdr>
        </w:div>
        <w:div w:id="1956256082">
          <w:marLeft w:val="0"/>
          <w:marRight w:val="0"/>
          <w:marTop w:val="0"/>
          <w:marBottom w:val="0"/>
          <w:divBdr>
            <w:top w:val="none" w:sz="0" w:space="0" w:color="auto"/>
            <w:left w:val="none" w:sz="0" w:space="0" w:color="auto"/>
            <w:bottom w:val="none" w:sz="0" w:space="0" w:color="auto"/>
            <w:right w:val="none" w:sz="0" w:space="0" w:color="auto"/>
          </w:divBdr>
        </w:div>
        <w:div w:id="33699133">
          <w:marLeft w:val="0"/>
          <w:marRight w:val="0"/>
          <w:marTop w:val="0"/>
          <w:marBottom w:val="0"/>
          <w:divBdr>
            <w:top w:val="none" w:sz="0" w:space="0" w:color="auto"/>
            <w:left w:val="none" w:sz="0" w:space="0" w:color="auto"/>
            <w:bottom w:val="none" w:sz="0" w:space="0" w:color="auto"/>
            <w:right w:val="none" w:sz="0" w:space="0" w:color="auto"/>
          </w:divBdr>
          <w:divsChild>
            <w:div w:id="1793790073">
              <w:marLeft w:val="0"/>
              <w:marRight w:val="0"/>
              <w:marTop w:val="0"/>
              <w:marBottom w:val="0"/>
              <w:divBdr>
                <w:top w:val="none" w:sz="0" w:space="0" w:color="auto"/>
                <w:left w:val="none" w:sz="0" w:space="0" w:color="auto"/>
                <w:bottom w:val="none" w:sz="0" w:space="0" w:color="auto"/>
                <w:right w:val="none" w:sz="0" w:space="0" w:color="auto"/>
              </w:divBdr>
            </w:div>
          </w:divsChild>
        </w:div>
        <w:div w:id="93743589">
          <w:marLeft w:val="0"/>
          <w:marRight w:val="0"/>
          <w:marTop w:val="0"/>
          <w:marBottom w:val="0"/>
          <w:divBdr>
            <w:top w:val="none" w:sz="0" w:space="0" w:color="auto"/>
            <w:left w:val="none" w:sz="0" w:space="0" w:color="auto"/>
            <w:bottom w:val="none" w:sz="0" w:space="0" w:color="auto"/>
            <w:right w:val="none" w:sz="0" w:space="0" w:color="auto"/>
          </w:divBdr>
        </w:div>
        <w:div w:id="503134595">
          <w:marLeft w:val="0"/>
          <w:marRight w:val="0"/>
          <w:marTop w:val="0"/>
          <w:marBottom w:val="0"/>
          <w:divBdr>
            <w:top w:val="none" w:sz="0" w:space="0" w:color="auto"/>
            <w:left w:val="none" w:sz="0" w:space="0" w:color="auto"/>
            <w:bottom w:val="none" w:sz="0" w:space="0" w:color="auto"/>
            <w:right w:val="none" w:sz="0" w:space="0" w:color="auto"/>
          </w:divBdr>
        </w:div>
        <w:div w:id="2135443105">
          <w:marLeft w:val="0"/>
          <w:marRight w:val="0"/>
          <w:marTop w:val="0"/>
          <w:marBottom w:val="0"/>
          <w:divBdr>
            <w:top w:val="none" w:sz="0" w:space="0" w:color="auto"/>
            <w:left w:val="none" w:sz="0" w:space="0" w:color="auto"/>
            <w:bottom w:val="none" w:sz="0" w:space="0" w:color="auto"/>
            <w:right w:val="none" w:sz="0" w:space="0" w:color="auto"/>
          </w:divBdr>
        </w:div>
        <w:div w:id="355468903">
          <w:marLeft w:val="0"/>
          <w:marRight w:val="0"/>
          <w:marTop w:val="0"/>
          <w:marBottom w:val="0"/>
          <w:divBdr>
            <w:top w:val="none" w:sz="0" w:space="0" w:color="auto"/>
            <w:left w:val="none" w:sz="0" w:space="0" w:color="auto"/>
            <w:bottom w:val="none" w:sz="0" w:space="0" w:color="auto"/>
            <w:right w:val="none" w:sz="0" w:space="0" w:color="auto"/>
          </w:divBdr>
          <w:divsChild>
            <w:div w:id="699356296">
              <w:marLeft w:val="0"/>
              <w:marRight w:val="0"/>
              <w:marTop w:val="0"/>
              <w:marBottom w:val="0"/>
              <w:divBdr>
                <w:top w:val="none" w:sz="0" w:space="0" w:color="auto"/>
                <w:left w:val="none" w:sz="0" w:space="0" w:color="auto"/>
                <w:bottom w:val="none" w:sz="0" w:space="0" w:color="auto"/>
                <w:right w:val="none" w:sz="0" w:space="0" w:color="auto"/>
              </w:divBdr>
            </w:div>
          </w:divsChild>
        </w:div>
        <w:div w:id="551501581">
          <w:marLeft w:val="0"/>
          <w:marRight w:val="0"/>
          <w:marTop w:val="0"/>
          <w:marBottom w:val="0"/>
          <w:divBdr>
            <w:top w:val="none" w:sz="0" w:space="0" w:color="auto"/>
            <w:left w:val="none" w:sz="0" w:space="0" w:color="auto"/>
            <w:bottom w:val="none" w:sz="0" w:space="0" w:color="auto"/>
            <w:right w:val="none" w:sz="0" w:space="0" w:color="auto"/>
          </w:divBdr>
        </w:div>
        <w:div w:id="1715883401">
          <w:marLeft w:val="0"/>
          <w:marRight w:val="0"/>
          <w:marTop w:val="0"/>
          <w:marBottom w:val="0"/>
          <w:divBdr>
            <w:top w:val="none" w:sz="0" w:space="0" w:color="auto"/>
            <w:left w:val="none" w:sz="0" w:space="0" w:color="auto"/>
            <w:bottom w:val="none" w:sz="0" w:space="0" w:color="auto"/>
            <w:right w:val="none" w:sz="0" w:space="0" w:color="auto"/>
          </w:divBdr>
        </w:div>
        <w:div w:id="840703223">
          <w:marLeft w:val="0"/>
          <w:marRight w:val="0"/>
          <w:marTop w:val="0"/>
          <w:marBottom w:val="0"/>
          <w:divBdr>
            <w:top w:val="none" w:sz="0" w:space="0" w:color="auto"/>
            <w:left w:val="none" w:sz="0" w:space="0" w:color="auto"/>
            <w:bottom w:val="none" w:sz="0" w:space="0" w:color="auto"/>
            <w:right w:val="none" w:sz="0" w:space="0" w:color="auto"/>
          </w:divBdr>
        </w:div>
        <w:div w:id="2023706140">
          <w:marLeft w:val="0"/>
          <w:marRight w:val="0"/>
          <w:marTop w:val="0"/>
          <w:marBottom w:val="0"/>
          <w:divBdr>
            <w:top w:val="none" w:sz="0" w:space="0" w:color="auto"/>
            <w:left w:val="none" w:sz="0" w:space="0" w:color="auto"/>
            <w:bottom w:val="none" w:sz="0" w:space="0" w:color="auto"/>
            <w:right w:val="none" w:sz="0" w:space="0" w:color="auto"/>
          </w:divBdr>
          <w:divsChild>
            <w:div w:id="859198907">
              <w:marLeft w:val="0"/>
              <w:marRight w:val="0"/>
              <w:marTop w:val="0"/>
              <w:marBottom w:val="0"/>
              <w:divBdr>
                <w:top w:val="none" w:sz="0" w:space="0" w:color="auto"/>
                <w:left w:val="none" w:sz="0" w:space="0" w:color="auto"/>
                <w:bottom w:val="none" w:sz="0" w:space="0" w:color="auto"/>
                <w:right w:val="none" w:sz="0" w:space="0" w:color="auto"/>
              </w:divBdr>
            </w:div>
          </w:divsChild>
        </w:div>
        <w:div w:id="665550834">
          <w:marLeft w:val="0"/>
          <w:marRight w:val="0"/>
          <w:marTop w:val="0"/>
          <w:marBottom w:val="0"/>
          <w:divBdr>
            <w:top w:val="none" w:sz="0" w:space="0" w:color="auto"/>
            <w:left w:val="none" w:sz="0" w:space="0" w:color="auto"/>
            <w:bottom w:val="none" w:sz="0" w:space="0" w:color="auto"/>
            <w:right w:val="none" w:sz="0" w:space="0" w:color="auto"/>
          </w:divBdr>
        </w:div>
        <w:div w:id="207110169">
          <w:marLeft w:val="0"/>
          <w:marRight w:val="0"/>
          <w:marTop w:val="0"/>
          <w:marBottom w:val="0"/>
          <w:divBdr>
            <w:top w:val="none" w:sz="0" w:space="0" w:color="auto"/>
            <w:left w:val="none" w:sz="0" w:space="0" w:color="auto"/>
            <w:bottom w:val="none" w:sz="0" w:space="0" w:color="auto"/>
            <w:right w:val="none" w:sz="0" w:space="0" w:color="auto"/>
          </w:divBdr>
        </w:div>
        <w:div w:id="609163651">
          <w:marLeft w:val="0"/>
          <w:marRight w:val="0"/>
          <w:marTop w:val="0"/>
          <w:marBottom w:val="0"/>
          <w:divBdr>
            <w:top w:val="none" w:sz="0" w:space="0" w:color="auto"/>
            <w:left w:val="none" w:sz="0" w:space="0" w:color="auto"/>
            <w:bottom w:val="none" w:sz="0" w:space="0" w:color="auto"/>
            <w:right w:val="none" w:sz="0" w:space="0" w:color="auto"/>
          </w:divBdr>
        </w:div>
        <w:div w:id="2007708034">
          <w:marLeft w:val="0"/>
          <w:marRight w:val="0"/>
          <w:marTop w:val="0"/>
          <w:marBottom w:val="0"/>
          <w:divBdr>
            <w:top w:val="none" w:sz="0" w:space="0" w:color="auto"/>
            <w:left w:val="none" w:sz="0" w:space="0" w:color="auto"/>
            <w:bottom w:val="none" w:sz="0" w:space="0" w:color="auto"/>
            <w:right w:val="none" w:sz="0" w:space="0" w:color="auto"/>
          </w:divBdr>
          <w:divsChild>
            <w:div w:id="971326118">
              <w:marLeft w:val="0"/>
              <w:marRight w:val="0"/>
              <w:marTop w:val="0"/>
              <w:marBottom w:val="0"/>
              <w:divBdr>
                <w:top w:val="none" w:sz="0" w:space="0" w:color="auto"/>
                <w:left w:val="none" w:sz="0" w:space="0" w:color="auto"/>
                <w:bottom w:val="none" w:sz="0" w:space="0" w:color="auto"/>
                <w:right w:val="none" w:sz="0" w:space="0" w:color="auto"/>
              </w:divBdr>
            </w:div>
          </w:divsChild>
        </w:div>
        <w:div w:id="1362511927">
          <w:marLeft w:val="0"/>
          <w:marRight w:val="0"/>
          <w:marTop w:val="0"/>
          <w:marBottom w:val="0"/>
          <w:divBdr>
            <w:top w:val="none" w:sz="0" w:space="0" w:color="auto"/>
            <w:left w:val="none" w:sz="0" w:space="0" w:color="auto"/>
            <w:bottom w:val="none" w:sz="0" w:space="0" w:color="auto"/>
            <w:right w:val="none" w:sz="0" w:space="0" w:color="auto"/>
          </w:divBdr>
        </w:div>
        <w:div w:id="349989556">
          <w:marLeft w:val="0"/>
          <w:marRight w:val="0"/>
          <w:marTop w:val="0"/>
          <w:marBottom w:val="0"/>
          <w:divBdr>
            <w:top w:val="none" w:sz="0" w:space="0" w:color="auto"/>
            <w:left w:val="none" w:sz="0" w:space="0" w:color="auto"/>
            <w:bottom w:val="none" w:sz="0" w:space="0" w:color="auto"/>
            <w:right w:val="none" w:sz="0" w:space="0" w:color="auto"/>
          </w:divBdr>
        </w:div>
        <w:div w:id="1746996971">
          <w:marLeft w:val="0"/>
          <w:marRight w:val="0"/>
          <w:marTop w:val="0"/>
          <w:marBottom w:val="0"/>
          <w:divBdr>
            <w:top w:val="none" w:sz="0" w:space="0" w:color="auto"/>
            <w:left w:val="none" w:sz="0" w:space="0" w:color="auto"/>
            <w:bottom w:val="none" w:sz="0" w:space="0" w:color="auto"/>
            <w:right w:val="none" w:sz="0" w:space="0" w:color="auto"/>
          </w:divBdr>
          <w:divsChild>
            <w:div w:id="584338046">
              <w:marLeft w:val="0"/>
              <w:marRight w:val="0"/>
              <w:marTop w:val="0"/>
              <w:marBottom w:val="0"/>
              <w:divBdr>
                <w:top w:val="none" w:sz="0" w:space="0" w:color="auto"/>
                <w:left w:val="none" w:sz="0" w:space="0" w:color="auto"/>
                <w:bottom w:val="none" w:sz="0" w:space="0" w:color="auto"/>
                <w:right w:val="none" w:sz="0" w:space="0" w:color="auto"/>
              </w:divBdr>
            </w:div>
          </w:divsChild>
        </w:div>
        <w:div w:id="1711956757">
          <w:marLeft w:val="0"/>
          <w:marRight w:val="0"/>
          <w:marTop w:val="0"/>
          <w:marBottom w:val="0"/>
          <w:divBdr>
            <w:top w:val="none" w:sz="0" w:space="0" w:color="auto"/>
            <w:left w:val="none" w:sz="0" w:space="0" w:color="auto"/>
            <w:bottom w:val="none" w:sz="0" w:space="0" w:color="auto"/>
            <w:right w:val="none" w:sz="0" w:space="0" w:color="auto"/>
          </w:divBdr>
        </w:div>
        <w:div w:id="832839007">
          <w:marLeft w:val="0"/>
          <w:marRight w:val="0"/>
          <w:marTop w:val="0"/>
          <w:marBottom w:val="0"/>
          <w:divBdr>
            <w:top w:val="none" w:sz="0" w:space="0" w:color="auto"/>
            <w:left w:val="none" w:sz="0" w:space="0" w:color="auto"/>
            <w:bottom w:val="none" w:sz="0" w:space="0" w:color="auto"/>
            <w:right w:val="none" w:sz="0" w:space="0" w:color="auto"/>
          </w:divBdr>
        </w:div>
        <w:div w:id="1126777744">
          <w:marLeft w:val="0"/>
          <w:marRight w:val="0"/>
          <w:marTop w:val="0"/>
          <w:marBottom w:val="0"/>
          <w:divBdr>
            <w:top w:val="none" w:sz="0" w:space="0" w:color="auto"/>
            <w:left w:val="none" w:sz="0" w:space="0" w:color="auto"/>
            <w:bottom w:val="none" w:sz="0" w:space="0" w:color="auto"/>
            <w:right w:val="none" w:sz="0" w:space="0" w:color="auto"/>
          </w:divBdr>
        </w:div>
        <w:div w:id="869607403">
          <w:marLeft w:val="0"/>
          <w:marRight w:val="0"/>
          <w:marTop w:val="0"/>
          <w:marBottom w:val="0"/>
          <w:divBdr>
            <w:top w:val="none" w:sz="0" w:space="0" w:color="auto"/>
            <w:left w:val="none" w:sz="0" w:space="0" w:color="auto"/>
            <w:bottom w:val="none" w:sz="0" w:space="0" w:color="auto"/>
            <w:right w:val="none" w:sz="0" w:space="0" w:color="auto"/>
          </w:divBdr>
          <w:divsChild>
            <w:div w:id="2043312952">
              <w:marLeft w:val="0"/>
              <w:marRight w:val="0"/>
              <w:marTop w:val="0"/>
              <w:marBottom w:val="0"/>
              <w:divBdr>
                <w:top w:val="none" w:sz="0" w:space="0" w:color="auto"/>
                <w:left w:val="none" w:sz="0" w:space="0" w:color="auto"/>
                <w:bottom w:val="none" w:sz="0" w:space="0" w:color="auto"/>
                <w:right w:val="none" w:sz="0" w:space="0" w:color="auto"/>
              </w:divBdr>
            </w:div>
          </w:divsChild>
        </w:div>
        <w:div w:id="1998608439">
          <w:marLeft w:val="0"/>
          <w:marRight w:val="0"/>
          <w:marTop w:val="0"/>
          <w:marBottom w:val="0"/>
          <w:divBdr>
            <w:top w:val="none" w:sz="0" w:space="0" w:color="auto"/>
            <w:left w:val="none" w:sz="0" w:space="0" w:color="auto"/>
            <w:bottom w:val="none" w:sz="0" w:space="0" w:color="auto"/>
            <w:right w:val="none" w:sz="0" w:space="0" w:color="auto"/>
          </w:divBdr>
        </w:div>
        <w:div w:id="1738167187">
          <w:marLeft w:val="0"/>
          <w:marRight w:val="0"/>
          <w:marTop w:val="0"/>
          <w:marBottom w:val="0"/>
          <w:divBdr>
            <w:top w:val="none" w:sz="0" w:space="0" w:color="auto"/>
            <w:left w:val="none" w:sz="0" w:space="0" w:color="auto"/>
            <w:bottom w:val="none" w:sz="0" w:space="0" w:color="auto"/>
            <w:right w:val="none" w:sz="0" w:space="0" w:color="auto"/>
          </w:divBdr>
        </w:div>
        <w:div w:id="1213925207">
          <w:marLeft w:val="0"/>
          <w:marRight w:val="0"/>
          <w:marTop w:val="0"/>
          <w:marBottom w:val="0"/>
          <w:divBdr>
            <w:top w:val="none" w:sz="0" w:space="0" w:color="auto"/>
            <w:left w:val="none" w:sz="0" w:space="0" w:color="auto"/>
            <w:bottom w:val="none" w:sz="0" w:space="0" w:color="auto"/>
            <w:right w:val="none" w:sz="0" w:space="0" w:color="auto"/>
          </w:divBdr>
        </w:div>
        <w:div w:id="315379815">
          <w:marLeft w:val="0"/>
          <w:marRight w:val="0"/>
          <w:marTop w:val="0"/>
          <w:marBottom w:val="0"/>
          <w:divBdr>
            <w:top w:val="none" w:sz="0" w:space="0" w:color="auto"/>
            <w:left w:val="none" w:sz="0" w:space="0" w:color="auto"/>
            <w:bottom w:val="none" w:sz="0" w:space="0" w:color="auto"/>
            <w:right w:val="none" w:sz="0" w:space="0" w:color="auto"/>
          </w:divBdr>
          <w:divsChild>
            <w:div w:id="556622775">
              <w:marLeft w:val="0"/>
              <w:marRight w:val="0"/>
              <w:marTop w:val="0"/>
              <w:marBottom w:val="0"/>
              <w:divBdr>
                <w:top w:val="none" w:sz="0" w:space="0" w:color="auto"/>
                <w:left w:val="none" w:sz="0" w:space="0" w:color="auto"/>
                <w:bottom w:val="none" w:sz="0" w:space="0" w:color="auto"/>
                <w:right w:val="none" w:sz="0" w:space="0" w:color="auto"/>
              </w:divBdr>
            </w:div>
          </w:divsChild>
        </w:div>
        <w:div w:id="452751500">
          <w:marLeft w:val="0"/>
          <w:marRight w:val="0"/>
          <w:marTop w:val="0"/>
          <w:marBottom w:val="0"/>
          <w:divBdr>
            <w:top w:val="none" w:sz="0" w:space="0" w:color="auto"/>
            <w:left w:val="none" w:sz="0" w:space="0" w:color="auto"/>
            <w:bottom w:val="none" w:sz="0" w:space="0" w:color="auto"/>
            <w:right w:val="none" w:sz="0" w:space="0" w:color="auto"/>
          </w:divBdr>
        </w:div>
        <w:div w:id="1233390313">
          <w:marLeft w:val="0"/>
          <w:marRight w:val="0"/>
          <w:marTop w:val="0"/>
          <w:marBottom w:val="0"/>
          <w:divBdr>
            <w:top w:val="none" w:sz="0" w:space="0" w:color="auto"/>
            <w:left w:val="none" w:sz="0" w:space="0" w:color="auto"/>
            <w:bottom w:val="none" w:sz="0" w:space="0" w:color="auto"/>
            <w:right w:val="none" w:sz="0" w:space="0" w:color="auto"/>
          </w:divBdr>
        </w:div>
        <w:div w:id="311376904">
          <w:marLeft w:val="0"/>
          <w:marRight w:val="0"/>
          <w:marTop w:val="0"/>
          <w:marBottom w:val="0"/>
          <w:divBdr>
            <w:top w:val="none" w:sz="0" w:space="0" w:color="auto"/>
            <w:left w:val="none" w:sz="0" w:space="0" w:color="auto"/>
            <w:bottom w:val="none" w:sz="0" w:space="0" w:color="auto"/>
            <w:right w:val="none" w:sz="0" w:space="0" w:color="auto"/>
          </w:divBdr>
        </w:div>
        <w:div w:id="974604784">
          <w:marLeft w:val="0"/>
          <w:marRight w:val="0"/>
          <w:marTop w:val="0"/>
          <w:marBottom w:val="0"/>
          <w:divBdr>
            <w:top w:val="none" w:sz="0" w:space="0" w:color="auto"/>
            <w:left w:val="none" w:sz="0" w:space="0" w:color="auto"/>
            <w:bottom w:val="none" w:sz="0" w:space="0" w:color="auto"/>
            <w:right w:val="none" w:sz="0" w:space="0" w:color="auto"/>
          </w:divBdr>
          <w:divsChild>
            <w:div w:id="276184523">
              <w:marLeft w:val="0"/>
              <w:marRight w:val="0"/>
              <w:marTop w:val="0"/>
              <w:marBottom w:val="0"/>
              <w:divBdr>
                <w:top w:val="none" w:sz="0" w:space="0" w:color="auto"/>
                <w:left w:val="none" w:sz="0" w:space="0" w:color="auto"/>
                <w:bottom w:val="none" w:sz="0" w:space="0" w:color="auto"/>
                <w:right w:val="none" w:sz="0" w:space="0" w:color="auto"/>
              </w:divBdr>
            </w:div>
          </w:divsChild>
        </w:div>
        <w:div w:id="278339595">
          <w:marLeft w:val="0"/>
          <w:marRight w:val="0"/>
          <w:marTop w:val="0"/>
          <w:marBottom w:val="0"/>
          <w:divBdr>
            <w:top w:val="none" w:sz="0" w:space="0" w:color="auto"/>
            <w:left w:val="none" w:sz="0" w:space="0" w:color="auto"/>
            <w:bottom w:val="none" w:sz="0" w:space="0" w:color="auto"/>
            <w:right w:val="none" w:sz="0" w:space="0" w:color="auto"/>
          </w:divBdr>
        </w:div>
        <w:div w:id="1773478318">
          <w:marLeft w:val="0"/>
          <w:marRight w:val="0"/>
          <w:marTop w:val="0"/>
          <w:marBottom w:val="0"/>
          <w:divBdr>
            <w:top w:val="none" w:sz="0" w:space="0" w:color="auto"/>
            <w:left w:val="none" w:sz="0" w:space="0" w:color="auto"/>
            <w:bottom w:val="none" w:sz="0" w:space="0" w:color="auto"/>
            <w:right w:val="none" w:sz="0" w:space="0" w:color="auto"/>
          </w:divBdr>
        </w:div>
        <w:div w:id="822814276">
          <w:marLeft w:val="0"/>
          <w:marRight w:val="0"/>
          <w:marTop w:val="0"/>
          <w:marBottom w:val="0"/>
          <w:divBdr>
            <w:top w:val="none" w:sz="0" w:space="0" w:color="auto"/>
            <w:left w:val="none" w:sz="0" w:space="0" w:color="auto"/>
            <w:bottom w:val="none" w:sz="0" w:space="0" w:color="auto"/>
            <w:right w:val="none" w:sz="0" w:space="0" w:color="auto"/>
          </w:divBdr>
          <w:divsChild>
            <w:div w:id="560095110">
              <w:marLeft w:val="0"/>
              <w:marRight w:val="0"/>
              <w:marTop w:val="0"/>
              <w:marBottom w:val="0"/>
              <w:divBdr>
                <w:top w:val="none" w:sz="0" w:space="0" w:color="auto"/>
                <w:left w:val="none" w:sz="0" w:space="0" w:color="auto"/>
                <w:bottom w:val="none" w:sz="0" w:space="0" w:color="auto"/>
                <w:right w:val="none" w:sz="0" w:space="0" w:color="auto"/>
              </w:divBdr>
            </w:div>
          </w:divsChild>
        </w:div>
        <w:div w:id="611060934">
          <w:marLeft w:val="0"/>
          <w:marRight w:val="0"/>
          <w:marTop w:val="0"/>
          <w:marBottom w:val="0"/>
          <w:divBdr>
            <w:top w:val="none" w:sz="0" w:space="0" w:color="auto"/>
            <w:left w:val="none" w:sz="0" w:space="0" w:color="auto"/>
            <w:bottom w:val="none" w:sz="0" w:space="0" w:color="auto"/>
            <w:right w:val="none" w:sz="0" w:space="0" w:color="auto"/>
          </w:divBdr>
        </w:div>
        <w:div w:id="395788128">
          <w:marLeft w:val="0"/>
          <w:marRight w:val="0"/>
          <w:marTop w:val="0"/>
          <w:marBottom w:val="0"/>
          <w:divBdr>
            <w:top w:val="none" w:sz="0" w:space="0" w:color="auto"/>
            <w:left w:val="none" w:sz="0" w:space="0" w:color="auto"/>
            <w:bottom w:val="none" w:sz="0" w:space="0" w:color="auto"/>
            <w:right w:val="none" w:sz="0" w:space="0" w:color="auto"/>
          </w:divBdr>
        </w:div>
        <w:div w:id="2131776263">
          <w:marLeft w:val="0"/>
          <w:marRight w:val="0"/>
          <w:marTop w:val="0"/>
          <w:marBottom w:val="0"/>
          <w:divBdr>
            <w:top w:val="none" w:sz="0" w:space="0" w:color="auto"/>
            <w:left w:val="none" w:sz="0" w:space="0" w:color="auto"/>
            <w:bottom w:val="none" w:sz="0" w:space="0" w:color="auto"/>
            <w:right w:val="none" w:sz="0" w:space="0" w:color="auto"/>
          </w:divBdr>
          <w:divsChild>
            <w:div w:id="1896042001">
              <w:marLeft w:val="0"/>
              <w:marRight w:val="0"/>
              <w:marTop w:val="0"/>
              <w:marBottom w:val="0"/>
              <w:divBdr>
                <w:top w:val="none" w:sz="0" w:space="0" w:color="auto"/>
                <w:left w:val="none" w:sz="0" w:space="0" w:color="auto"/>
                <w:bottom w:val="none" w:sz="0" w:space="0" w:color="auto"/>
                <w:right w:val="none" w:sz="0" w:space="0" w:color="auto"/>
              </w:divBdr>
            </w:div>
          </w:divsChild>
        </w:div>
        <w:div w:id="1494296170">
          <w:marLeft w:val="0"/>
          <w:marRight w:val="0"/>
          <w:marTop w:val="0"/>
          <w:marBottom w:val="0"/>
          <w:divBdr>
            <w:top w:val="none" w:sz="0" w:space="0" w:color="auto"/>
            <w:left w:val="none" w:sz="0" w:space="0" w:color="auto"/>
            <w:bottom w:val="none" w:sz="0" w:space="0" w:color="auto"/>
            <w:right w:val="none" w:sz="0" w:space="0" w:color="auto"/>
          </w:divBdr>
        </w:div>
        <w:div w:id="1152678447">
          <w:marLeft w:val="0"/>
          <w:marRight w:val="0"/>
          <w:marTop w:val="0"/>
          <w:marBottom w:val="0"/>
          <w:divBdr>
            <w:top w:val="none" w:sz="0" w:space="0" w:color="auto"/>
            <w:left w:val="none" w:sz="0" w:space="0" w:color="auto"/>
            <w:bottom w:val="none" w:sz="0" w:space="0" w:color="auto"/>
            <w:right w:val="none" w:sz="0" w:space="0" w:color="auto"/>
          </w:divBdr>
        </w:div>
        <w:div w:id="348408995">
          <w:marLeft w:val="0"/>
          <w:marRight w:val="0"/>
          <w:marTop w:val="0"/>
          <w:marBottom w:val="0"/>
          <w:divBdr>
            <w:top w:val="none" w:sz="0" w:space="0" w:color="auto"/>
            <w:left w:val="none" w:sz="0" w:space="0" w:color="auto"/>
            <w:bottom w:val="none" w:sz="0" w:space="0" w:color="auto"/>
            <w:right w:val="none" w:sz="0" w:space="0" w:color="auto"/>
          </w:divBdr>
        </w:div>
        <w:div w:id="659119651">
          <w:marLeft w:val="0"/>
          <w:marRight w:val="0"/>
          <w:marTop w:val="0"/>
          <w:marBottom w:val="0"/>
          <w:divBdr>
            <w:top w:val="none" w:sz="0" w:space="0" w:color="auto"/>
            <w:left w:val="none" w:sz="0" w:space="0" w:color="auto"/>
            <w:bottom w:val="none" w:sz="0" w:space="0" w:color="auto"/>
            <w:right w:val="none" w:sz="0" w:space="0" w:color="auto"/>
          </w:divBdr>
          <w:divsChild>
            <w:div w:id="588082471">
              <w:marLeft w:val="0"/>
              <w:marRight w:val="0"/>
              <w:marTop w:val="0"/>
              <w:marBottom w:val="0"/>
              <w:divBdr>
                <w:top w:val="none" w:sz="0" w:space="0" w:color="auto"/>
                <w:left w:val="none" w:sz="0" w:space="0" w:color="auto"/>
                <w:bottom w:val="none" w:sz="0" w:space="0" w:color="auto"/>
                <w:right w:val="none" w:sz="0" w:space="0" w:color="auto"/>
              </w:divBdr>
            </w:div>
          </w:divsChild>
        </w:div>
        <w:div w:id="180242875">
          <w:marLeft w:val="0"/>
          <w:marRight w:val="0"/>
          <w:marTop w:val="0"/>
          <w:marBottom w:val="0"/>
          <w:divBdr>
            <w:top w:val="none" w:sz="0" w:space="0" w:color="auto"/>
            <w:left w:val="none" w:sz="0" w:space="0" w:color="auto"/>
            <w:bottom w:val="none" w:sz="0" w:space="0" w:color="auto"/>
            <w:right w:val="none" w:sz="0" w:space="0" w:color="auto"/>
          </w:divBdr>
        </w:div>
        <w:div w:id="834609004">
          <w:marLeft w:val="0"/>
          <w:marRight w:val="0"/>
          <w:marTop w:val="0"/>
          <w:marBottom w:val="0"/>
          <w:divBdr>
            <w:top w:val="none" w:sz="0" w:space="0" w:color="auto"/>
            <w:left w:val="none" w:sz="0" w:space="0" w:color="auto"/>
            <w:bottom w:val="none" w:sz="0" w:space="0" w:color="auto"/>
            <w:right w:val="none" w:sz="0" w:space="0" w:color="auto"/>
          </w:divBdr>
        </w:div>
        <w:div w:id="182284993">
          <w:marLeft w:val="0"/>
          <w:marRight w:val="0"/>
          <w:marTop w:val="0"/>
          <w:marBottom w:val="0"/>
          <w:divBdr>
            <w:top w:val="none" w:sz="0" w:space="0" w:color="auto"/>
            <w:left w:val="none" w:sz="0" w:space="0" w:color="auto"/>
            <w:bottom w:val="none" w:sz="0" w:space="0" w:color="auto"/>
            <w:right w:val="none" w:sz="0" w:space="0" w:color="auto"/>
          </w:divBdr>
        </w:div>
        <w:div w:id="24329203">
          <w:marLeft w:val="0"/>
          <w:marRight w:val="0"/>
          <w:marTop w:val="0"/>
          <w:marBottom w:val="0"/>
          <w:divBdr>
            <w:top w:val="none" w:sz="0" w:space="0" w:color="auto"/>
            <w:left w:val="none" w:sz="0" w:space="0" w:color="auto"/>
            <w:bottom w:val="none" w:sz="0" w:space="0" w:color="auto"/>
            <w:right w:val="none" w:sz="0" w:space="0" w:color="auto"/>
          </w:divBdr>
          <w:divsChild>
            <w:div w:id="266809668">
              <w:marLeft w:val="0"/>
              <w:marRight w:val="0"/>
              <w:marTop w:val="0"/>
              <w:marBottom w:val="0"/>
              <w:divBdr>
                <w:top w:val="none" w:sz="0" w:space="0" w:color="auto"/>
                <w:left w:val="none" w:sz="0" w:space="0" w:color="auto"/>
                <w:bottom w:val="none" w:sz="0" w:space="0" w:color="auto"/>
                <w:right w:val="none" w:sz="0" w:space="0" w:color="auto"/>
              </w:divBdr>
            </w:div>
          </w:divsChild>
        </w:div>
        <w:div w:id="2054889100">
          <w:marLeft w:val="0"/>
          <w:marRight w:val="0"/>
          <w:marTop w:val="0"/>
          <w:marBottom w:val="0"/>
          <w:divBdr>
            <w:top w:val="none" w:sz="0" w:space="0" w:color="auto"/>
            <w:left w:val="none" w:sz="0" w:space="0" w:color="auto"/>
            <w:bottom w:val="none" w:sz="0" w:space="0" w:color="auto"/>
            <w:right w:val="none" w:sz="0" w:space="0" w:color="auto"/>
          </w:divBdr>
        </w:div>
        <w:div w:id="1811168221">
          <w:marLeft w:val="0"/>
          <w:marRight w:val="0"/>
          <w:marTop w:val="0"/>
          <w:marBottom w:val="0"/>
          <w:divBdr>
            <w:top w:val="none" w:sz="0" w:space="0" w:color="auto"/>
            <w:left w:val="none" w:sz="0" w:space="0" w:color="auto"/>
            <w:bottom w:val="none" w:sz="0" w:space="0" w:color="auto"/>
            <w:right w:val="none" w:sz="0" w:space="0" w:color="auto"/>
          </w:divBdr>
        </w:div>
        <w:div w:id="413820001">
          <w:marLeft w:val="0"/>
          <w:marRight w:val="0"/>
          <w:marTop w:val="0"/>
          <w:marBottom w:val="0"/>
          <w:divBdr>
            <w:top w:val="none" w:sz="0" w:space="0" w:color="auto"/>
            <w:left w:val="none" w:sz="0" w:space="0" w:color="auto"/>
            <w:bottom w:val="none" w:sz="0" w:space="0" w:color="auto"/>
            <w:right w:val="none" w:sz="0" w:space="0" w:color="auto"/>
          </w:divBdr>
        </w:div>
        <w:div w:id="1925802370">
          <w:marLeft w:val="0"/>
          <w:marRight w:val="0"/>
          <w:marTop w:val="0"/>
          <w:marBottom w:val="0"/>
          <w:divBdr>
            <w:top w:val="none" w:sz="0" w:space="0" w:color="auto"/>
            <w:left w:val="none" w:sz="0" w:space="0" w:color="auto"/>
            <w:bottom w:val="none" w:sz="0" w:space="0" w:color="auto"/>
            <w:right w:val="none" w:sz="0" w:space="0" w:color="auto"/>
          </w:divBdr>
          <w:divsChild>
            <w:div w:id="28722237">
              <w:marLeft w:val="0"/>
              <w:marRight w:val="0"/>
              <w:marTop w:val="0"/>
              <w:marBottom w:val="0"/>
              <w:divBdr>
                <w:top w:val="none" w:sz="0" w:space="0" w:color="auto"/>
                <w:left w:val="none" w:sz="0" w:space="0" w:color="auto"/>
                <w:bottom w:val="none" w:sz="0" w:space="0" w:color="auto"/>
                <w:right w:val="none" w:sz="0" w:space="0" w:color="auto"/>
              </w:divBdr>
            </w:div>
          </w:divsChild>
        </w:div>
        <w:div w:id="1131048851">
          <w:marLeft w:val="0"/>
          <w:marRight w:val="0"/>
          <w:marTop w:val="0"/>
          <w:marBottom w:val="0"/>
          <w:divBdr>
            <w:top w:val="none" w:sz="0" w:space="0" w:color="auto"/>
            <w:left w:val="none" w:sz="0" w:space="0" w:color="auto"/>
            <w:bottom w:val="none" w:sz="0" w:space="0" w:color="auto"/>
            <w:right w:val="none" w:sz="0" w:space="0" w:color="auto"/>
          </w:divBdr>
        </w:div>
        <w:div w:id="79914796">
          <w:marLeft w:val="0"/>
          <w:marRight w:val="0"/>
          <w:marTop w:val="0"/>
          <w:marBottom w:val="0"/>
          <w:divBdr>
            <w:top w:val="none" w:sz="0" w:space="0" w:color="auto"/>
            <w:left w:val="none" w:sz="0" w:space="0" w:color="auto"/>
            <w:bottom w:val="none" w:sz="0" w:space="0" w:color="auto"/>
            <w:right w:val="none" w:sz="0" w:space="0" w:color="auto"/>
          </w:divBdr>
        </w:div>
        <w:div w:id="1377125037">
          <w:marLeft w:val="0"/>
          <w:marRight w:val="0"/>
          <w:marTop w:val="0"/>
          <w:marBottom w:val="0"/>
          <w:divBdr>
            <w:top w:val="none" w:sz="0" w:space="0" w:color="auto"/>
            <w:left w:val="none" w:sz="0" w:space="0" w:color="auto"/>
            <w:bottom w:val="none" w:sz="0" w:space="0" w:color="auto"/>
            <w:right w:val="none" w:sz="0" w:space="0" w:color="auto"/>
          </w:divBdr>
          <w:divsChild>
            <w:div w:id="523321597">
              <w:marLeft w:val="0"/>
              <w:marRight w:val="0"/>
              <w:marTop w:val="0"/>
              <w:marBottom w:val="0"/>
              <w:divBdr>
                <w:top w:val="none" w:sz="0" w:space="0" w:color="auto"/>
                <w:left w:val="none" w:sz="0" w:space="0" w:color="auto"/>
                <w:bottom w:val="none" w:sz="0" w:space="0" w:color="auto"/>
                <w:right w:val="none" w:sz="0" w:space="0" w:color="auto"/>
              </w:divBdr>
            </w:div>
          </w:divsChild>
        </w:div>
        <w:div w:id="257256482">
          <w:marLeft w:val="0"/>
          <w:marRight w:val="0"/>
          <w:marTop w:val="0"/>
          <w:marBottom w:val="0"/>
          <w:divBdr>
            <w:top w:val="none" w:sz="0" w:space="0" w:color="auto"/>
            <w:left w:val="none" w:sz="0" w:space="0" w:color="auto"/>
            <w:bottom w:val="none" w:sz="0" w:space="0" w:color="auto"/>
            <w:right w:val="none" w:sz="0" w:space="0" w:color="auto"/>
          </w:divBdr>
        </w:div>
        <w:div w:id="1898663021">
          <w:marLeft w:val="0"/>
          <w:marRight w:val="0"/>
          <w:marTop w:val="0"/>
          <w:marBottom w:val="0"/>
          <w:divBdr>
            <w:top w:val="none" w:sz="0" w:space="0" w:color="auto"/>
            <w:left w:val="none" w:sz="0" w:space="0" w:color="auto"/>
            <w:bottom w:val="none" w:sz="0" w:space="0" w:color="auto"/>
            <w:right w:val="none" w:sz="0" w:space="0" w:color="auto"/>
          </w:divBdr>
        </w:div>
        <w:div w:id="540944405">
          <w:marLeft w:val="0"/>
          <w:marRight w:val="0"/>
          <w:marTop w:val="0"/>
          <w:marBottom w:val="0"/>
          <w:divBdr>
            <w:top w:val="none" w:sz="0" w:space="0" w:color="auto"/>
            <w:left w:val="none" w:sz="0" w:space="0" w:color="auto"/>
            <w:bottom w:val="none" w:sz="0" w:space="0" w:color="auto"/>
            <w:right w:val="none" w:sz="0" w:space="0" w:color="auto"/>
          </w:divBdr>
          <w:divsChild>
            <w:div w:id="569072357">
              <w:marLeft w:val="0"/>
              <w:marRight w:val="0"/>
              <w:marTop w:val="0"/>
              <w:marBottom w:val="0"/>
              <w:divBdr>
                <w:top w:val="none" w:sz="0" w:space="0" w:color="auto"/>
                <w:left w:val="none" w:sz="0" w:space="0" w:color="auto"/>
                <w:bottom w:val="none" w:sz="0" w:space="0" w:color="auto"/>
                <w:right w:val="none" w:sz="0" w:space="0" w:color="auto"/>
              </w:divBdr>
            </w:div>
          </w:divsChild>
        </w:div>
        <w:div w:id="1284118988">
          <w:marLeft w:val="0"/>
          <w:marRight w:val="0"/>
          <w:marTop w:val="0"/>
          <w:marBottom w:val="0"/>
          <w:divBdr>
            <w:top w:val="none" w:sz="0" w:space="0" w:color="auto"/>
            <w:left w:val="none" w:sz="0" w:space="0" w:color="auto"/>
            <w:bottom w:val="none" w:sz="0" w:space="0" w:color="auto"/>
            <w:right w:val="none" w:sz="0" w:space="0" w:color="auto"/>
          </w:divBdr>
        </w:div>
        <w:div w:id="763964208">
          <w:marLeft w:val="0"/>
          <w:marRight w:val="0"/>
          <w:marTop w:val="0"/>
          <w:marBottom w:val="0"/>
          <w:divBdr>
            <w:top w:val="none" w:sz="0" w:space="0" w:color="auto"/>
            <w:left w:val="none" w:sz="0" w:space="0" w:color="auto"/>
            <w:bottom w:val="none" w:sz="0" w:space="0" w:color="auto"/>
            <w:right w:val="none" w:sz="0" w:space="0" w:color="auto"/>
          </w:divBdr>
        </w:div>
        <w:div w:id="1339230982">
          <w:marLeft w:val="0"/>
          <w:marRight w:val="0"/>
          <w:marTop w:val="0"/>
          <w:marBottom w:val="0"/>
          <w:divBdr>
            <w:top w:val="none" w:sz="0" w:space="0" w:color="auto"/>
            <w:left w:val="none" w:sz="0" w:space="0" w:color="auto"/>
            <w:bottom w:val="none" w:sz="0" w:space="0" w:color="auto"/>
            <w:right w:val="none" w:sz="0" w:space="0" w:color="auto"/>
          </w:divBdr>
          <w:divsChild>
            <w:div w:id="1794978001">
              <w:marLeft w:val="0"/>
              <w:marRight w:val="0"/>
              <w:marTop w:val="0"/>
              <w:marBottom w:val="0"/>
              <w:divBdr>
                <w:top w:val="none" w:sz="0" w:space="0" w:color="auto"/>
                <w:left w:val="none" w:sz="0" w:space="0" w:color="auto"/>
                <w:bottom w:val="none" w:sz="0" w:space="0" w:color="auto"/>
                <w:right w:val="none" w:sz="0" w:space="0" w:color="auto"/>
              </w:divBdr>
            </w:div>
          </w:divsChild>
        </w:div>
        <w:div w:id="1620407553">
          <w:marLeft w:val="0"/>
          <w:marRight w:val="0"/>
          <w:marTop w:val="0"/>
          <w:marBottom w:val="0"/>
          <w:divBdr>
            <w:top w:val="none" w:sz="0" w:space="0" w:color="auto"/>
            <w:left w:val="none" w:sz="0" w:space="0" w:color="auto"/>
            <w:bottom w:val="none" w:sz="0" w:space="0" w:color="auto"/>
            <w:right w:val="none" w:sz="0" w:space="0" w:color="auto"/>
          </w:divBdr>
        </w:div>
        <w:div w:id="1226917557">
          <w:marLeft w:val="0"/>
          <w:marRight w:val="0"/>
          <w:marTop w:val="0"/>
          <w:marBottom w:val="0"/>
          <w:divBdr>
            <w:top w:val="none" w:sz="0" w:space="0" w:color="auto"/>
            <w:left w:val="none" w:sz="0" w:space="0" w:color="auto"/>
            <w:bottom w:val="none" w:sz="0" w:space="0" w:color="auto"/>
            <w:right w:val="none" w:sz="0" w:space="0" w:color="auto"/>
          </w:divBdr>
        </w:div>
        <w:div w:id="517814746">
          <w:marLeft w:val="0"/>
          <w:marRight w:val="0"/>
          <w:marTop w:val="0"/>
          <w:marBottom w:val="0"/>
          <w:divBdr>
            <w:top w:val="none" w:sz="0" w:space="0" w:color="auto"/>
            <w:left w:val="none" w:sz="0" w:space="0" w:color="auto"/>
            <w:bottom w:val="none" w:sz="0" w:space="0" w:color="auto"/>
            <w:right w:val="none" w:sz="0" w:space="0" w:color="auto"/>
          </w:divBdr>
          <w:divsChild>
            <w:div w:id="850339790">
              <w:marLeft w:val="0"/>
              <w:marRight w:val="0"/>
              <w:marTop w:val="0"/>
              <w:marBottom w:val="0"/>
              <w:divBdr>
                <w:top w:val="none" w:sz="0" w:space="0" w:color="auto"/>
                <w:left w:val="none" w:sz="0" w:space="0" w:color="auto"/>
                <w:bottom w:val="none" w:sz="0" w:space="0" w:color="auto"/>
                <w:right w:val="none" w:sz="0" w:space="0" w:color="auto"/>
              </w:divBdr>
            </w:div>
          </w:divsChild>
        </w:div>
        <w:div w:id="1925911741">
          <w:marLeft w:val="0"/>
          <w:marRight w:val="0"/>
          <w:marTop w:val="0"/>
          <w:marBottom w:val="0"/>
          <w:divBdr>
            <w:top w:val="none" w:sz="0" w:space="0" w:color="auto"/>
            <w:left w:val="none" w:sz="0" w:space="0" w:color="auto"/>
            <w:bottom w:val="none" w:sz="0" w:space="0" w:color="auto"/>
            <w:right w:val="none" w:sz="0" w:space="0" w:color="auto"/>
          </w:divBdr>
        </w:div>
        <w:div w:id="624626546">
          <w:marLeft w:val="0"/>
          <w:marRight w:val="0"/>
          <w:marTop w:val="0"/>
          <w:marBottom w:val="0"/>
          <w:divBdr>
            <w:top w:val="none" w:sz="0" w:space="0" w:color="auto"/>
            <w:left w:val="none" w:sz="0" w:space="0" w:color="auto"/>
            <w:bottom w:val="none" w:sz="0" w:space="0" w:color="auto"/>
            <w:right w:val="none" w:sz="0" w:space="0" w:color="auto"/>
          </w:divBdr>
        </w:div>
        <w:div w:id="1105274784">
          <w:marLeft w:val="0"/>
          <w:marRight w:val="0"/>
          <w:marTop w:val="0"/>
          <w:marBottom w:val="0"/>
          <w:divBdr>
            <w:top w:val="none" w:sz="0" w:space="0" w:color="auto"/>
            <w:left w:val="none" w:sz="0" w:space="0" w:color="auto"/>
            <w:bottom w:val="none" w:sz="0" w:space="0" w:color="auto"/>
            <w:right w:val="none" w:sz="0" w:space="0" w:color="auto"/>
          </w:divBdr>
          <w:divsChild>
            <w:div w:id="551775742">
              <w:marLeft w:val="0"/>
              <w:marRight w:val="0"/>
              <w:marTop w:val="0"/>
              <w:marBottom w:val="0"/>
              <w:divBdr>
                <w:top w:val="none" w:sz="0" w:space="0" w:color="auto"/>
                <w:left w:val="none" w:sz="0" w:space="0" w:color="auto"/>
                <w:bottom w:val="none" w:sz="0" w:space="0" w:color="auto"/>
                <w:right w:val="none" w:sz="0" w:space="0" w:color="auto"/>
              </w:divBdr>
            </w:div>
          </w:divsChild>
        </w:div>
        <w:div w:id="641734994">
          <w:marLeft w:val="0"/>
          <w:marRight w:val="0"/>
          <w:marTop w:val="0"/>
          <w:marBottom w:val="0"/>
          <w:divBdr>
            <w:top w:val="none" w:sz="0" w:space="0" w:color="auto"/>
            <w:left w:val="none" w:sz="0" w:space="0" w:color="auto"/>
            <w:bottom w:val="none" w:sz="0" w:space="0" w:color="auto"/>
            <w:right w:val="none" w:sz="0" w:space="0" w:color="auto"/>
          </w:divBdr>
        </w:div>
        <w:div w:id="1910991660">
          <w:marLeft w:val="0"/>
          <w:marRight w:val="0"/>
          <w:marTop w:val="0"/>
          <w:marBottom w:val="0"/>
          <w:divBdr>
            <w:top w:val="none" w:sz="0" w:space="0" w:color="auto"/>
            <w:left w:val="none" w:sz="0" w:space="0" w:color="auto"/>
            <w:bottom w:val="none" w:sz="0" w:space="0" w:color="auto"/>
            <w:right w:val="none" w:sz="0" w:space="0" w:color="auto"/>
          </w:divBdr>
        </w:div>
        <w:div w:id="24253510">
          <w:marLeft w:val="0"/>
          <w:marRight w:val="0"/>
          <w:marTop w:val="0"/>
          <w:marBottom w:val="0"/>
          <w:divBdr>
            <w:top w:val="none" w:sz="0" w:space="0" w:color="auto"/>
            <w:left w:val="none" w:sz="0" w:space="0" w:color="auto"/>
            <w:bottom w:val="none" w:sz="0" w:space="0" w:color="auto"/>
            <w:right w:val="none" w:sz="0" w:space="0" w:color="auto"/>
          </w:divBdr>
          <w:divsChild>
            <w:div w:id="808742393">
              <w:marLeft w:val="0"/>
              <w:marRight w:val="0"/>
              <w:marTop w:val="0"/>
              <w:marBottom w:val="0"/>
              <w:divBdr>
                <w:top w:val="none" w:sz="0" w:space="0" w:color="auto"/>
                <w:left w:val="none" w:sz="0" w:space="0" w:color="auto"/>
                <w:bottom w:val="none" w:sz="0" w:space="0" w:color="auto"/>
                <w:right w:val="none" w:sz="0" w:space="0" w:color="auto"/>
              </w:divBdr>
            </w:div>
          </w:divsChild>
        </w:div>
        <w:div w:id="1462648544">
          <w:marLeft w:val="0"/>
          <w:marRight w:val="0"/>
          <w:marTop w:val="0"/>
          <w:marBottom w:val="0"/>
          <w:divBdr>
            <w:top w:val="none" w:sz="0" w:space="0" w:color="auto"/>
            <w:left w:val="none" w:sz="0" w:space="0" w:color="auto"/>
            <w:bottom w:val="none" w:sz="0" w:space="0" w:color="auto"/>
            <w:right w:val="none" w:sz="0" w:space="0" w:color="auto"/>
          </w:divBdr>
        </w:div>
        <w:div w:id="1060709993">
          <w:marLeft w:val="0"/>
          <w:marRight w:val="0"/>
          <w:marTop w:val="0"/>
          <w:marBottom w:val="0"/>
          <w:divBdr>
            <w:top w:val="none" w:sz="0" w:space="0" w:color="auto"/>
            <w:left w:val="none" w:sz="0" w:space="0" w:color="auto"/>
            <w:bottom w:val="none" w:sz="0" w:space="0" w:color="auto"/>
            <w:right w:val="none" w:sz="0" w:space="0" w:color="auto"/>
          </w:divBdr>
        </w:div>
        <w:div w:id="506675417">
          <w:marLeft w:val="0"/>
          <w:marRight w:val="0"/>
          <w:marTop w:val="0"/>
          <w:marBottom w:val="0"/>
          <w:divBdr>
            <w:top w:val="none" w:sz="0" w:space="0" w:color="auto"/>
            <w:left w:val="none" w:sz="0" w:space="0" w:color="auto"/>
            <w:bottom w:val="none" w:sz="0" w:space="0" w:color="auto"/>
            <w:right w:val="none" w:sz="0" w:space="0" w:color="auto"/>
          </w:divBdr>
          <w:divsChild>
            <w:div w:id="812673499">
              <w:marLeft w:val="0"/>
              <w:marRight w:val="0"/>
              <w:marTop w:val="0"/>
              <w:marBottom w:val="0"/>
              <w:divBdr>
                <w:top w:val="none" w:sz="0" w:space="0" w:color="auto"/>
                <w:left w:val="none" w:sz="0" w:space="0" w:color="auto"/>
                <w:bottom w:val="none" w:sz="0" w:space="0" w:color="auto"/>
                <w:right w:val="none" w:sz="0" w:space="0" w:color="auto"/>
              </w:divBdr>
            </w:div>
          </w:divsChild>
        </w:div>
        <w:div w:id="1851875033">
          <w:marLeft w:val="0"/>
          <w:marRight w:val="0"/>
          <w:marTop w:val="0"/>
          <w:marBottom w:val="0"/>
          <w:divBdr>
            <w:top w:val="none" w:sz="0" w:space="0" w:color="auto"/>
            <w:left w:val="none" w:sz="0" w:space="0" w:color="auto"/>
            <w:bottom w:val="none" w:sz="0" w:space="0" w:color="auto"/>
            <w:right w:val="none" w:sz="0" w:space="0" w:color="auto"/>
          </w:divBdr>
        </w:div>
        <w:div w:id="1162551490">
          <w:marLeft w:val="0"/>
          <w:marRight w:val="0"/>
          <w:marTop w:val="0"/>
          <w:marBottom w:val="0"/>
          <w:divBdr>
            <w:top w:val="none" w:sz="0" w:space="0" w:color="auto"/>
            <w:left w:val="none" w:sz="0" w:space="0" w:color="auto"/>
            <w:bottom w:val="none" w:sz="0" w:space="0" w:color="auto"/>
            <w:right w:val="none" w:sz="0" w:space="0" w:color="auto"/>
          </w:divBdr>
        </w:div>
        <w:div w:id="888881105">
          <w:marLeft w:val="0"/>
          <w:marRight w:val="0"/>
          <w:marTop w:val="0"/>
          <w:marBottom w:val="0"/>
          <w:divBdr>
            <w:top w:val="none" w:sz="0" w:space="0" w:color="auto"/>
            <w:left w:val="none" w:sz="0" w:space="0" w:color="auto"/>
            <w:bottom w:val="none" w:sz="0" w:space="0" w:color="auto"/>
            <w:right w:val="none" w:sz="0" w:space="0" w:color="auto"/>
          </w:divBdr>
          <w:divsChild>
            <w:div w:id="1296134417">
              <w:marLeft w:val="0"/>
              <w:marRight w:val="0"/>
              <w:marTop w:val="0"/>
              <w:marBottom w:val="0"/>
              <w:divBdr>
                <w:top w:val="none" w:sz="0" w:space="0" w:color="auto"/>
                <w:left w:val="none" w:sz="0" w:space="0" w:color="auto"/>
                <w:bottom w:val="none" w:sz="0" w:space="0" w:color="auto"/>
                <w:right w:val="none" w:sz="0" w:space="0" w:color="auto"/>
              </w:divBdr>
            </w:div>
          </w:divsChild>
        </w:div>
        <w:div w:id="1113405932">
          <w:marLeft w:val="0"/>
          <w:marRight w:val="0"/>
          <w:marTop w:val="0"/>
          <w:marBottom w:val="0"/>
          <w:divBdr>
            <w:top w:val="none" w:sz="0" w:space="0" w:color="auto"/>
            <w:left w:val="none" w:sz="0" w:space="0" w:color="auto"/>
            <w:bottom w:val="none" w:sz="0" w:space="0" w:color="auto"/>
            <w:right w:val="none" w:sz="0" w:space="0" w:color="auto"/>
          </w:divBdr>
        </w:div>
        <w:div w:id="892426838">
          <w:marLeft w:val="0"/>
          <w:marRight w:val="0"/>
          <w:marTop w:val="0"/>
          <w:marBottom w:val="0"/>
          <w:divBdr>
            <w:top w:val="none" w:sz="0" w:space="0" w:color="auto"/>
            <w:left w:val="none" w:sz="0" w:space="0" w:color="auto"/>
            <w:bottom w:val="none" w:sz="0" w:space="0" w:color="auto"/>
            <w:right w:val="none" w:sz="0" w:space="0" w:color="auto"/>
          </w:divBdr>
        </w:div>
        <w:div w:id="36592982">
          <w:marLeft w:val="0"/>
          <w:marRight w:val="0"/>
          <w:marTop w:val="0"/>
          <w:marBottom w:val="0"/>
          <w:divBdr>
            <w:top w:val="none" w:sz="0" w:space="0" w:color="auto"/>
            <w:left w:val="none" w:sz="0" w:space="0" w:color="auto"/>
            <w:bottom w:val="none" w:sz="0" w:space="0" w:color="auto"/>
            <w:right w:val="none" w:sz="0" w:space="0" w:color="auto"/>
          </w:divBdr>
          <w:divsChild>
            <w:div w:id="822622862">
              <w:marLeft w:val="0"/>
              <w:marRight w:val="0"/>
              <w:marTop w:val="0"/>
              <w:marBottom w:val="0"/>
              <w:divBdr>
                <w:top w:val="none" w:sz="0" w:space="0" w:color="auto"/>
                <w:left w:val="none" w:sz="0" w:space="0" w:color="auto"/>
                <w:bottom w:val="none" w:sz="0" w:space="0" w:color="auto"/>
                <w:right w:val="none" w:sz="0" w:space="0" w:color="auto"/>
              </w:divBdr>
            </w:div>
          </w:divsChild>
        </w:div>
        <w:div w:id="1267884708">
          <w:marLeft w:val="0"/>
          <w:marRight w:val="0"/>
          <w:marTop w:val="0"/>
          <w:marBottom w:val="0"/>
          <w:divBdr>
            <w:top w:val="none" w:sz="0" w:space="0" w:color="auto"/>
            <w:left w:val="none" w:sz="0" w:space="0" w:color="auto"/>
            <w:bottom w:val="none" w:sz="0" w:space="0" w:color="auto"/>
            <w:right w:val="none" w:sz="0" w:space="0" w:color="auto"/>
          </w:divBdr>
        </w:div>
        <w:div w:id="1111316677">
          <w:marLeft w:val="0"/>
          <w:marRight w:val="0"/>
          <w:marTop w:val="0"/>
          <w:marBottom w:val="0"/>
          <w:divBdr>
            <w:top w:val="none" w:sz="0" w:space="0" w:color="auto"/>
            <w:left w:val="none" w:sz="0" w:space="0" w:color="auto"/>
            <w:bottom w:val="none" w:sz="0" w:space="0" w:color="auto"/>
            <w:right w:val="none" w:sz="0" w:space="0" w:color="auto"/>
          </w:divBdr>
        </w:div>
        <w:div w:id="17318816">
          <w:marLeft w:val="0"/>
          <w:marRight w:val="0"/>
          <w:marTop w:val="0"/>
          <w:marBottom w:val="0"/>
          <w:divBdr>
            <w:top w:val="none" w:sz="0" w:space="0" w:color="auto"/>
            <w:left w:val="none" w:sz="0" w:space="0" w:color="auto"/>
            <w:bottom w:val="none" w:sz="0" w:space="0" w:color="auto"/>
            <w:right w:val="none" w:sz="0" w:space="0" w:color="auto"/>
          </w:divBdr>
          <w:divsChild>
            <w:div w:id="845049570">
              <w:marLeft w:val="0"/>
              <w:marRight w:val="0"/>
              <w:marTop w:val="0"/>
              <w:marBottom w:val="0"/>
              <w:divBdr>
                <w:top w:val="none" w:sz="0" w:space="0" w:color="auto"/>
                <w:left w:val="none" w:sz="0" w:space="0" w:color="auto"/>
                <w:bottom w:val="none" w:sz="0" w:space="0" w:color="auto"/>
                <w:right w:val="none" w:sz="0" w:space="0" w:color="auto"/>
              </w:divBdr>
            </w:div>
          </w:divsChild>
        </w:div>
        <w:div w:id="1732994731">
          <w:marLeft w:val="0"/>
          <w:marRight w:val="0"/>
          <w:marTop w:val="0"/>
          <w:marBottom w:val="0"/>
          <w:divBdr>
            <w:top w:val="none" w:sz="0" w:space="0" w:color="auto"/>
            <w:left w:val="none" w:sz="0" w:space="0" w:color="auto"/>
            <w:bottom w:val="none" w:sz="0" w:space="0" w:color="auto"/>
            <w:right w:val="none" w:sz="0" w:space="0" w:color="auto"/>
          </w:divBdr>
        </w:div>
        <w:div w:id="1186020822">
          <w:marLeft w:val="0"/>
          <w:marRight w:val="0"/>
          <w:marTop w:val="0"/>
          <w:marBottom w:val="0"/>
          <w:divBdr>
            <w:top w:val="none" w:sz="0" w:space="0" w:color="auto"/>
            <w:left w:val="none" w:sz="0" w:space="0" w:color="auto"/>
            <w:bottom w:val="none" w:sz="0" w:space="0" w:color="auto"/>
            <w:right w:val="none" w:sz="0" w:space="0" w:color="auto"/>
          </w:divBdr>
        </w:div>
        <w:div w:id="2084177343">
          <w:marLeft w:val="0"/>
          <w:marRight w:val="0"/>
          <w:marTop w:val="0"/>
          <w:marBottom w:val="0"/>
          <w:divBdr>
            <w:top w:val="none" w:sz="0" w:space="0" w:color="auto"/>
            <w:left w:val="none" w:sz="0" w:space="0" w:color="auto"/>
            <w:bottom w:val="none" w:sz="0" w:space="0" w:color="auto"/>
            <w:right w:val="none" w:sz="0" w:space="0" w:color="auto"/>
          </w:divBdr>
          <w:divsChild>
            <w:div w:id="1457679034">
              <w:marLeft w:val="0"/>
              <w:marRight w:val="0"/>
              <w:marTop w:val="0"/>
              <w:marBottom w:val="0"/>
              <w:divBdr>
                <w:top w:val="none" w:sz="0" w:space="0" w:color="auto"/>
                <w:left w:val="none" w:sz="0" w:space="0" w:color="auto"/>
                <w:bottom w:val="none" w:sz="0" w:space="0" w:color="auto"/>
                <w:right w:val="none" w:sz="0" w:space="0" w:color="auto"/>
              </w:divBdr>
            </w:div>
          </w:divsChild>
        </w:div>
        <w:div w:id="118306781">
          <w:marLeft w:val="0"/>
          <w:marRight w:val="0"/>
          <w:marTop w:val="0"/>
          <w:marBottom w:val="0"/>
          <w:divBdr>
            <w:top w:val="none" w:sz="0" w:space="0" w:color="auto"/>
            <w:left w:val="none" w:sz="0" w:space="0" w:color="auto"/>
            <w:bottom w:val="none" w:sz="0" w:space="0" w:color="auto"/>
            <w:right w:val="none" w:sz="0" w:space="0" w:color="auto"/>
          </w:divBdr>
        </w:div>
        <w:div w:id="882442481">
          <w:marLeft w:val="0"/>
          <w:marRight w:val="0"/>
          <w:marTop w:val="0"/>
          <w:marBottom w:val="0"/>
          <w:divBdr>
            <w:top w:val="none" w:sz="0" w:space="0" w:color="auto"/>
            <w:left w:val="none" w:sz="0" w:space="0" w:color="auto"/>
            <w:bottom w:val="none" w:sz="0" w:space="0" w:color="auto"/>
            <w:right w:val="none" w:sz="0" w:space="0" w:color="auto"/>
          </w:divBdr>
        </w:div>
        <w:div w:id="503908770">
          <w:marLeft w:val="0"/>
          <w:marRight w:val="0"/>
          <w:marTop w:val="0"/>
          <w:marBottom w:val="0"/>
          <w:divBdr>
            <w:top w:val="none" w:sz="0" w:space="0" w:color="auto"/>
            <w:left w:val="none" w:sz="0" w:space="0" w:color="auto"/>
            <w:bottom w:val="none" w:sz="0" w:space="0" w:color="auto"/>
            <w:right w:val="none" w:sz="0" w:space="0" w:color="auto"/>
          </w:divBdr>
        </w:div>
        <w:div w:id="703672504">
          <w:marLeft w:val="0"/>
          <w:marRight w:val="0"/>
          <w:marTop w:val="0"/>
          <w:marBottom w:val="0"/>
          <w:divBdr>
            <w:top w:val="none" w:sz="0" w:space="0" w:color="auto"/>
            <w:left w:val="none" w:sz="0" w:space="0" w:color="auto"/>
            <w:bottom w:val="none" w:sz="0" w:space="0" w:color="auto"/>
            <w:right w:val="none" w:sz="0" w:space="0" w:color="auto"/>
          </w:divBdr>
          <w:divsChild>
            <w:div w:id="638731376">
              <w:marLeft w:val="0"/>
              <w:marRight w:val="0"/>
              <w:marTop w:val="0"/>
              <w:marBottom w:val="0"/>
              <w:divBdr>
                <w:top w:val="none" w:sz="0" w:space="0" w:color="auto"/>
                <w:left w:val="none" w:sz="0" w:space="0" w:color="auto"/>
                <w:bottom w:val="none" w:sz="0" w:space="0" w:color="auto"/>
                <w:right w:val="none" w:sz="0" w:space="0" w:color="auto"/>
              </w:divBdr>
            </w:div>
          </w:divsChild>
        </w:div>
        <w:div w:id="454717391">
          <w:marLeft w:val="0"/>
          <w:marRight w:val="0"/>
          <w:marTop w:val="0"/>
          <w:marBottom w:val="0"/>
          <w:divBdr>
            <w:top w:val="none" w:sz="0" w:space="0" w:color="auto"/>
            <w:left w:val="none" w:sz="0" w:space="0" w:color="auto"/>
            <w:bottom w:val="none" w:sz="0" w:space="0" w:color="auto"/>
            <w:right w:val="none" w:sz="0" w:space="0" w:color="auto"/>
          </w:divBdr>
        </w:div>
        <w:div w:id="105120101">
          <w:marLeft w:val="0"/>
          <w:marRight w:val="0"/>
          <w:marTop w:val="0"/>
          <w:marBottom w:val="0"/>
          <w:divBdr>
            <w:top w:val="none" w:sz="0" w:space="0" w:color="auto"/>
            <w:left w:val="none" w:sz="0" w:space="0" w:color="auto"/>
            <w:bottom w:val="none" w:sz="0" w:space="0" w:color="auto"/>
            <w:right w:val="none" w:sz="0" w:space="0" w:color="auto"/>
          </w:divBdr>
        </w:div>
        <w:div w:id="1156993688">
          <w:marLeft w:val="0"/>
          <w:marRight w:val="0"/>
          <w:marTop w:val="0"/>
          <w:marBottom w:val="0"/>
          <w:divBdr>
            <w:top w:val="none" w:sz="0" w:space="0" w:color="auto"/>
            <w:left w:val="none" w:sz="0" w:space="0" w:color="auto"/>
            <w:bottom w:val="none" w:sz="0" w:space="0" w:color="auto"/>
            <w:right w:val="none" w:sz="0" w:space="0" w:color="auto"/>
          </w:divBdr>
          <w:divsChild>
            <w:div w:id="2032490497">
              <w:marLeft w:val="0"/>
              <w:marRight w:val="0"/>
              <w:marTop w:val="0"/>
              <w:marBottom w:val="0"/>
              <w:divBdr>
                <w:top w:val="none" w:sz="0" w:space="0" w:color="auto"/>
                <w:left w:val="none" w:sz="0" w:space="0" w:color="auto"/>
                <w:bottom w:val="none" w:sz="0" w:space="0" w:color="auto"/>
                <w:right w:val="none" w:sz="0" w:space="0" w:color="auto"/>
              </w:divBdr>
            </w:div>
          </w:divsChild>
        </w:div>
        <w:div w:id="969941264">
          <w:marLeft w:val="0"/>
          <w:marRight w:val="0"/>
          <w:marTop w:val="0"/>
          <w:marBottom w:val="0"/>
          <w:divBdr>
            <w:top w:val="none" w:sz="0" w:space="0" w:color="auto"/>
            <w:left w:val="none" w:sz="0" w:space="0" w:color="auto"/>
            <w:bottom w:val="none" w:sz="0" w:space="0" w:color="auto"/>
            <w:right w:val="none" w:sz="0" w:space="0" w:color="auto"/>
          </w:divBdr>
        </w:div>
        <w:div w:id="62140310">
          <w:marLeft w:val="0"/>
          <w:marRight w:val="0"/>
          <w:marTop w:val="0"/>
          <w:marBottom w:val="0"/>
          <w:divBdr>
            <w:top w:val="none" w:sz="0" w:space="0" w:color="auto"/>
            <w:left w:val="none" w:sz="0" w:space="0" w:color="auto"/>
            <w:bottom w:val="none" w:sz="0" w:space="0" w:color="auto"/>
            <w:right w:val="none" w:sz="0" w:space="0" w:color="auto"/>
          </w:divBdr>
        </w:div>
        <w:div w:id="389349764">
          <w:marLeft w:val="0"/>
          <w:marRight w:val="0"/>
          <w:marTop w:val="0"/>
          <w:marBottom w:val="0"/>
          <w:divBdr>
            <w:top w:val="none" w:sz="0" w:space="0" w:color="auto"/>
            <w:left w:val="none" w:sz="0" w:space="0" w:color="auto"/>
            <w:bottom w:val="none" w:sz="0" w:space="0" w:color="auto"/>
            <w:right w:val="none" w:sz="0" w:space="0" w:color="auto"/>
          </w:divBdr>
          <w:divsChild>
            <w:div w:id="720981508">
              <w:marLeft w:val="0"/>
              <w:marRight w:val="0"/>
              <w:marTop w:val="0"/>
              <w:marBottom w:val="0"/>
              <w:divBdr>
                <w:top w:val="none" w:sz="0" w:space="0" w:color="auto"/>
                <w:left w:val="none" w:sz="0" w:space="0" w:color="auto"/>
                <w:bottom w:val="none" w:sz="0" w:space="0" w:color="auto"/>
                <w:right w:val="none" w:sz="0" w:space="0" w:color="auto"/>
              </w:divBdr>
            </w:div>
          </w:divsChild>
        </w:div>
        <w:div w:id="1071736890">
          <w:marLeft w:val="0"/>
          <w:marRight w:val="0"/>
          <w:marTop w:val="0"/>
          <w:marBottom w:val="0"/>
          <w:divBdr>
            <w:top w:val="none" w:sz="0" w:space="0" w:color="auto"/>
            <w:left w:val="none" w:sz="0" w:space="0" w:color="auto"/>
            <w:bottom w:val="none" w:sz="0" w:space="0" w:color="auto"/>
            <w:right w:val="none" w:sz="0" w:space="0" w:color="auto"/>
          </w:divBdr>
        </w:div>
        <w:div w:id="225265576">
          <w:marLeft w:val="0"/>
          <w:marRight w:val="0"/>
          <w:marTop w:val="0"/>
          <w:marBottom w:val="0"/>
          <w:divBdr>
            <w:top w:val="none" w:sz="0" w:space="0" w:color="auto"/>
            <w:left w:val="none" w:sz="0" w:space="0" w:color="auto"/>
            <w:bottom w:val="none" w:sz="0" w:space="0" w:color="auto"/>
            <w:right w:val="none" w:sz="0" w:space="0" w:color="auto"/>
          </w:divBdr>
        </w:div>
        <w:div w:id="1024137851">
          <w:marLeft w:val="0"/>
          <w:marRight w:val="0"/>
          <w:marTop w:val="0"/>
          <w:marBottom w:val="0"/>
          <w:divBdr>
            <w:top w:val="none" w:sz="0" w:space="0" w:color="auto"/>
            <w:left w:val="none" w:sz="0" w:space="0" w:color="auto"/>
            <w:bottom w:val="none" w:sz="0" w:space="0" w:color="auto"/>
            <w:right w:val="none" w:sz="0" w:space="0" w:color="auto"/>
          </w:divBdr>
          <w:divsChild>
            <w:div w:id="637878878">
              <w:marLeft w:val="0"/>
              <w:marRight w:val="0"/>
              <w:marTop w:val="0"/>
              <w:marBottom w:val="0"/>
              <w:divBdr>
                <w:top w:val="none" w:sz="0" w:space="0" w:color="auto"/>
                <w:left w:val="none" w:sz="0" w:space="0" w:color="auto"/>
                <w:bottom w:val="none" w:sz="0" w:space="0" w:color="auto"/>
                <w:right w:val="none" w:sz="0" w:space="0" w:color="auto"/>
              </w:divBdr>
            </w:div>
          </w:divsChild>
        </w:div>
        <w:div w:id="1729765930">
          <w:marLeft w:val="0"/>
          <w:marRight w:val="0"/>
          <w:marTop w:val="0"/>
          <w:marBottom w:val="0"/>
          <w:divBdr>
            <w:top w:val="none" w:sz="0" w:space="0" w:color="auto"/>
            <w:left w:val="none" w:sz="0" w:space="0" w:color="auto"/>
            <w:bottom w:val="none" w:sz="0" w:space="0" w:color="auto"/>
            <w:right w:val="none" w:sz="0" w:space="0" w:color="auto"/>
          </w:divBdr>
        </w:div>
        <w:div w:id="1069613195">
          <w:marLeft w:val="0"/>
          <w:marRight w:val="0"/>
          <w:marTop w:val="0"/>
          <w:marBottom w:val="0"/>
          <w:divBdr>
            <w:top w:val="none" w:sz="0" w:space="0" w:color="auto"/>
            <w:left w:val="none" w:sz="0" w:space="0" w:color="auto"/>
            <w:bottom w:val="none" w:sz="0" w:space="0" w:color="auto"/>
            <w:right w:val="none" w:sz="0" w:space="0" w:color="auto"/>
          </w:divBdr>
        </w:div>
        <w:div w:id="1630936726">
          <w:marLeft w:val="0"/>
          <w:marRight w:val="0"/>
          <w:marTop w:val="0"/>
          <w:marBottom w:val="0"/>
          <w:divBdr>
            <w:top w:val="none" w:sz="0" w:space="0" w:color="auto"/>
            <w:left w:val="none" w:sz="0" w:space="0" w:color="auto"/>
            <w:bottom w:val="none" w:sz="0" w:space="0" w:color="auto"/>
            <w:right w:val="none" w:sz="0" w:space="0" w:color="auto"/>
          </w:divBdr>
          <w:divsChild>
            <w:div w:id="1596206653">
              <w:marLeft w:val="0"/>
              <w:marRight w:val="0"/>
              <w:marTop w:val="0"/>
              <w:marBottom w:val="0"/>
              <w:divBdr>
                <w:top w:val="none" w:sz="0" w:space="0" w:color="auto"/>
                <w:left w:val="none" w:sz="0" w:space="0" w:color="auto"/>
                <w:bottom w:val="none" w:sz="0" w:space="0" w:color="auto"/>
                <w:right w:val="none" w:sz="0" w:space="0" w:color="auto"/>
              </w:divBdr>
            </w:div>
          </w:divsChild>
        </w:div>
        <w:div w:id="1974796709">
          <w:marLeft w:val="0"/>
          <w:marRight w:val="0"/>
          <w:marTop w:val="0"/>
          <w:marBottom w:val="0"/>
          <w:divBdr>
            <w:top w:val="none" w:sz="0" w:space="0" w:color="auto"/>
            <w:left w:val="none" w:sz="0" w:space="0" w:color="auto"/>
            <w:bottom w:val="none" w:sz="0" w:space="0" w:color="auto"/>
            <w:right w:val="none" w:sz="0" w:space="0" w:color="auto"/>
          </w:divBdr>
        </w:div>
        <w:div w:id="264505450">
          <w:marLeft w:val="0"/>
          <w:marRight w:val="0"/>
          <w:marTop w:val="0"/>
          <w:marBottom w:val="0"/>
          <w:divBdr>
            <w:top w:val="none" w:sz="0" w:space="0" w:color="auto"/>
            <w:left w:val="none" w:sz="0" w:space="0" w:color="auto"/>
            <w:bottom w:val="none" w:sz="0" w:space="0" w:color="auto"/>
            <w:right w:val="none" w:sz="0" w:space="0" w:color="auto"/>
          </w:divBdr>
        </w:div>
        <w:div w:id="1743671392">
          <w:marLeft w:val="0"/>
          <w:marRight w:val="0"/>
          <w:marTop w:val="0"/>
          <w:marBottom w:val="0"/>
          <w:divBdr>
            <w:top w:val="none" w:sz="0" w:space="0" w:color="auto"/>
            <w:left w:val="none" w:sz="0" w:space="0" w:color="auto"/>
            <w:bottom w:val="none" w:sz="0" w:space="0" w:color="auto"/>
            <w:right w:val="none" w:sz="0" w:space="0" w:color="auto"/>
          </w:divBdr>
        </w:div>
        <w:div w:id="181866616">
          <w:marLeft w:val="0"/>
          <w:marRight w:val="0"/>
          <w:marTop w:val="0"/>
          <w:marBottom w:val="0"/>
          <w:divBdr>
            <w:top w:val="none" w:sz="0" w:space="0" w:color="auto"/>
            <w:left w:val="none" w:sz="0" w:space="0" w:color="auto"/>
            <w:bottom w:val="none" w:sz="0" w:space="0" w:color="auto"/>
            <w:right w:val="none" w:sz="0" w:space="0" w:color="auto"/>
          </w:divBdr>
          <w:divsChild>
            <w:div w:id="273945775">
              <w:marLeft w:val="0"/>
              <w:marRight w:val="0"/>
              <w:marTop w:val="0"/>
              <w:marBottom w:val="0"/>
              <w:divBdr>
                <w:top w:val="none" w:sz="0" w:space="0" w:color="auto"/>
                <w:left w:val="none" w:sz="0" w:space="0" w:color="auto"/>
                <w:bottom w:val="none" w:sz="0" w:space="0" w:color="auto"/>
                <w:right w:val="none" w:sz="0" w:space="0" w:color="auto"/>
              </w:divBdr>
            </w:div>
          </w:divsChild>
        </w:div>
        <w:div w:id="1430201844">
          <w:marLeft w:val="0"/>
          <w:marRight w:val="0"/>
          <w:marTop w:val="0"/>
          <w:marBottom w:val="0"/>
          <w:divBdr>
            <w:top w:val="none" w:sz="0" w:space="0" w:color="auto"/>
            <w:left w:val="none" w:sz="0" w:space="0" w:color="auto"/>
            <w:bottom w:val="none" w:sz="0" w:space="0" w:color="auto"/>
            <w:right w:val="none" w:sz="0" w:space="0" w:color="auto"/>
          </w:divBdr>
        </w:div>
        <w:div w:id="163327103">
          <w:marLeft w:val="0"/>
          <w:marRight w:val="0"/>
          <w:marTop w:val="0"/>
          <w:marBottom w:val="0"/>
          <w:divBdr>
            <w:top w:val="none" w:sz="0" w:space="0" w:color="auto"/>
            <w:left w:val="none" w:sz="0" w:space="0" w:color="auto"/>
            <w:bottom w:val="none" w:sz="0" w:space="0" w:color="auto"/>
            <w:right w:val="none" w:sz="0" w:space="0" w:color="auto"/>
          </w:divBdr>
        </w:div>
        <w:div w:id="47461049">
          <w:marLeft w:val="0"/>
          <w:marRight w:val="0"/>
          <w:marTop w:val="0"/>
          <w:marBottom w:val="0"/>
          <w:divBdr>
            <w:top w:val="none" w:sz="0" w:space="0" w:color="auto"/>
            <w:left w:val="none" w:sz="0" w:space="0" w:color="auto"/>
            <w:bottom w:val="none" w:sz="0" w:space="0" w:color="auto"/>
            <w:right w:val="none" w:sz="0" w:space="0" w:color="auto"/>
          </w:divBdr>
          <w:divsChild>
            <w:div w:id="553346382">
              <w:marLeft w:val="0"/>
              <w:marRight w:val="0"/>
              <w:marTop w:val="0"/>
              <w:marBottom w:val="0"/>
              <w:divBdr>
                <w:top w:val="none" w:sz="0" w:space="0" w:color="auto"/>
                <w:left w:val="none" w:sz="0" w:space="0" w:color="auto"/>
                <w:bottom w:val="none" w:sz="0" w:space="0" w:color="auto"/>
                <w:right w:val="none" w:sz="0" w:space="0" w:color="auto"/>
              </w:divBdr>
            </w:div>
          </w:divsChild>
        </w:div>
        <w:div w:id="1772163772">
          <w:marLeft w:val="0"/>
          <w:marRight w:val="0"/>
          <w:marTop w:val="0"/>
          <w:marBottom w:val="0"/>
          <w:divBdr>
            <w:top w:val="none" w:sz="0" w:space="0" w:color="auto"/>
            <w:left w:val="none" w:sz="0" w:space="0" w:color="auto"/>
            <w:bottom w:val="none" w:sz="0" w:space="0" w:color="auto"/>
            <w:right w:val="none" w:sz="0" w:space="0" w:color="auto"/>
          </w:divBdr>
        </w:div>
        <w:div w:id="914709827">
          <w:marLeft w:val="0"/>
          <w:marRight w:val="0"/>
          <w:marTop w:val="0"/>
          <w:marBottom w:val="0"/>
          <w:divBdr>
            <w:top w:val="none" w:sz="0" w:space="0" w:color="auto"/>
            <w:left w:val="none" w:sz="0" w:space="0" w:color="auto"/>
            <w:bottom w:val="none" w:sz="0" w:space="0" w:color="auto"/>
            <w:right w:val="none" w:sz="0" w:space="0" w:color="auto"/>
          </w:divBdr>
        </w:div>
        <w:div w:id="1435511953">
          <w:marLeft w:val="0"/>
          <w:marRight w:val="0"/>
          <w:marTop w:val="0"/>
          <w:marBottom w:val="0"/>
          <w:divBdr>
            <w:top w:val="none" w:sz="0" w:space="0" w:color="auto"/>
            <w:left w:val="none" w:sz="0" w:space="0" w:color="auto"/>
            <w:bottom w:val="none" w:sz="0" w:space="0" w:color="auto"/>
            <w:right w:val="none" w:sz="0" w:space="0" w:color="auto"/>
          </w:divBdr>
          <w:divsChild>
            <w:div w:id="1899586749">
              <w:marLeft w:val="0"/>
              <w:marRight w:val="0"/>
              <w:marTop w:val="0"/>
              <w:marBottom w:val="0"/>
              <w:divBdr>
                <w:top w:val="none" w:sz="0" w:space="0" w:color="auto"/>
                <w:left w:val="none" w:sz="0" w:space="0" w:color="auto"/>
                <w:bottom w:val="none" w:sz="0" w:space="0" w:color="auto"/>
                <w:right w:val="none" w:sz="0" w:space="0" w:color="auto"/>
              </w:divBdr>
            </w:div>
          </w:divsChild>
        </w:div>
        <w:div w:id="1265455023">
          <w:marLeft w:val="0"/>
          <w:marRight w:val="0"/>
          <w:marTop w:val="0"/>
          <w:marBottom w:val="0"/>
          <w:divBdr>
            <w:top w:val="none" w:sz="0" w:space="0" w:color="auto"/>
            <w:left w:val="none" w:sz="0" w:space="0" w:color="auto"/>
            <w:bottom w:val="none" w:sz="0" w:space="0" w:color="auto"/>
            <w:right w:val="none" w:sz="0" w:space="0" w:color="auto"/>
          </w:divBdr>
        </w:div>
        <w:div w:id="97063448">
          <w:marLeft w:val="0"/>
          <w:marRight w:val="0"/>
          <w:marTop w:val="0"/>
          <w:marBottom w:val="0"/>
          <w:divBdr>
            <w:top w:val="none" w:sz="0" w:space="0" w:color="auto"/>
            <w:left w:val="none" w:sz="0" w:space="0" w:color="auto"/>
            <w:bottom w:val="none" w:sz="0" w:space="0" w:color="auto"/>
            <w:right w:val="none" w:sz="0" w:space="0" w:color="auto"/>
          </w:divBdr>
        </w:div>
        <w:div w:id="1606425799">
          <w:marLeft w:val="0"/>
          <w:marRight w:val="0"/>
          <w:marTop w:val="0"/>
          <w:marBottom w:val="0"/>
          <w:divBdr>
            <w:top w:val="none" w:sz="0" w:space="0" w:color="auto"/>
            <w:left w:val="none" w:sz="0" w:space="0" w:color="auto"/>
            <w:bottom w:val="none" w:sz="0" w:space="0" w:color="auto"/>
            <w:right w:val="none" w:sz="0" w:space="0" w:color="auto"/>
          </w:divBdr>
          <w:divsChild>
            <w:div w:id="869415626">
              <w:marLeft w:val="0"/>
              <w:marRight w:val="0"/>
              <w:marTop w:val="0"/>
              <w:marBottom w:val="0"/>
              <w:divBdr>
                <w:top w:val="none" w:sz="0" w:space="0" w:color="auto"/>
                <w:left w:val="none" w:sz="0" w:space="0" w:color="auto"/>
                <w:bottom w:val="none" w:sz="0" w:space="0" w:color="auto"/>
                <w:right w:val="none" w:sz="0" w:space="0" w:color="auto"/>
              </w:divBdr>
            </w:div>
          </w:divsChild>
        </w:div>
        <w:div w:id="93792773">
          <w:marLeft w:val="0"/>
          <w:marRight w:val="0"/>
          <w:marTop w:val="0"/>
          <w:marBottom w:val="0"/>
          <w:divBdr>
            <w:top w:val="none" w:sz="0" w:space="0" w:color="auto"/>
            <w:left w:val="none" w:sz="0" w:space="0" w:color="auto"/>
            <w:bottom w:val="none" w:sz="0" w:space="0" w:color="auto"/>
            <w:right w:val="none" w:sz="0" w:space="0" w:color="auto"/>
          </w:divBdr>
        </w:div>
        <w:div w:id="105539096">
          <w:marLeft w:val="0"/>
          <w:marRight w:val="0"/>
          <w:marTop w:val="0"/>
          <w:marBottom w:val="0"/>
          <w:divBdr>
            <w:top w:val="none" w:sz="0" w:space="0" w:color="auto"/>
            <w:left w:val="none" w:sz="0" w:space="0" w:color="auto"/>
            <w:bottom w:val="none" w:sz="0" w:space="0" w:color="auto"/>
            <w:right w:val="none" w:sz="0" w:space="0" w:color="auto"/>
          </w:divBdr>
        </w:div>
        <w:div w:id="1297681344">
          <w:marLeft w:val="0"/>
          <w:marRight w:val="0"/>
          <w:marTop w:val="0"/>
          <w:marBottom w:val="0"/>
          <w:divBdr>
            <w:top w:val="none" w:sz="0" w:space="0" w:color="auto"/>
            <w:left w:val="none" w:sz="0" w:space="0" w:color="auto"/>
            <w:bottom w:val="none" w:sz="0" w:space="0" w:color="auto"/>
            <w:right w:val="none" w:sz="0" w:space="0" w:color="auto"/>
          </w:divBdr>
          <w:divsChild>
            <w:div w:id="1160460327">
              <w:marLeft w:val="0"/>
              <w:marRight w:val="0"/>
              <w:marTop w:val="0"/>
              <w:marBottom w:val="0"/>
              <w:divBdr>
                <w:top w:val="none" w:sz="0" w:space="0" w:color="auto"/>
                <w:left w:val="none" w:sz="0" w:space="0" w:color="auto"/>
                <w:bottom w:val="none" w:sz="0" w:space="0" w:color="auto"/>
                <w:right w:val="none" w:sz="0" w:space="0" w:color="auto"/>
              </w:divBdr>
            </w:div>
          </w:divsChild>
        </w:div>
        <w:div w:id="1249577041">
          <w:marLeft w:val="0"/>
          <w:marRight w:val="0"/>
          <w:marTop w:val="0"/>
          <w:marBottom w:val="0"/>
          <w:divBdr>
            <w:top w:val="none" w:sz="0" w:space="0" w:color="auto"/>
            <w:left w:val="none" w:sz="0" w:space="0" w:color="auto"/>
            <w:bottom w:val="none" w:sz="0" w:space="0" w:color="auto"/>
            <w:right w:val="none" w:sz="0" w:space="0" w:color="auto"/>
          </w:divBdr>
        </w:div>
        <w:div w:id="361978886">
          <w:marLeft w:val="0"/>
          <w:marRight w:val="0"/>
          <w:marTop w:val="0"/>
          <w:marBottom w:val="0"/>
          <w:divBdr>
            <w:top w:val="none" w:sz="0" w:space="0" w:color="auto"/>
            <w:left w:val="none" w:sz="0" w:space="0" w:color="auto"/>
            <w:bottom w:val="none" w:sz="0" w:space="0" w:color="auto"/>
            <w:right w:val="none" w:sz="0" w:space="0" w:color="auto"/>
          </w:divBdr>
        </w:div>
        <w:div w:id="2082945767">
          <w:marLeft w:val="0"/>
          <w:marRight w:val="0"/>
          <w:marTop w:val="0"/>
          <w:marBottom w:val="0"/>
          <w:divBdr>
            <w:top w:val="none" w:sz="0" w:space="0" w:color="auto"/>
            <w:left w:val="none" w:sz="0" w:space="0" w:color="auto"/>
            <w:bottom w:val="none" w:sz="0" w:space="0" w:color="auto"/>
            <w:right w:val="none" w:sz="0" w:space="0" w:color="auto"/>
          </w:divBdr>
        </w:div>
        <w:div w:id="1891720063">
          <w:marLeft w:val="0"/>
          <w:marRight w:val="0"/>
          <w:marTop w:val="0"/>
          <w:marBottom w:val="0"/>
          <w:divBdr>
            <w:top w:val="none" w:sz="0" w:space="0" w:color="auto"/>
            <w:left w:val="none" w:sz="0" w:space="0" w:color="auto"/>
            <w:bottom w:val="none" w:sz="0" w:space="0" w:color="auto"/>
            <w:right w:val="none" w:sz="0" w:space="0" w:color="auto"/>
          </w:divBdr>
          <w:divsChild>
            <w:div w:id="1177620394">
              <w:marLeft w:val="0"/>
              <w:marRight w:val="0"/>
              <w:marTop w:val="0"/>
              <w:marBottom w:val="0"/>
              <w:divBdr>
                <w:top w:val="none" w:sz="0" w:space="0" w:color="auto"/>
                <w:left w:val="none" w:sz="0" w:space="0" w:color="auto"/>
                <w:bottom w:val="none" w:sz="0" w:space="0" w:color="auto"/>
                <w:right w:val="none" w:sz="0" w:space="0" w:color="auto"/>
              </w:divBdr>
            </w:div>
          </w:divsChild>
        </w:div>
        <w:div w:id="1197550290">
          <w:marLeft w:val="0"/>
          <w:marRight w:val="0"/>
          <w:marTop w:val="0"/>
          <w:marBottom w:val="0"/>
          <w:divBdr>
            <w:top w:val="none" w:sz="0" w:space="0" w:color="auto"/>
            <w:left w:val="none" w:sz="0" w:space="0" w:color="auto"/>
            <w:bottom w:val="none" w:sz="0" w:space="0" w:color="auto"/>
            <w:right w:val="none" w:sz="0" w:space="0" w:color="auto"/>
          </w:divBdr>
        </w:div>
        <w:div w:id="1373766133">
          <w:marLeft w:val="0"/>
          <w:marRight w:val="0"/>
          <w:marTop w:val="0"/>
          <w:marBottom w:val="0"/>
          <w:divBdr>
            <w:top w:val="none" w:sz="0" w:space="0" w:color="auto"/>
            <w:left w:val="none" w:sz="0" w:space="0" w:color="auto"/>
            <w:bottom w:val="none" w:sz="0" w:space="0" w:color="auto"/>
            <w:right w:val="none" w:sz="0" w:space="0" w:color="auto"/>
          </w:divBdr>
        </w:div>
        <w:div w:id="221716594">
          <w:marLeft w:val="0"/>
          <w:marRight w:val="0"/>
          <w:marTop w:val="0"/>
          <w:marBottom w:val="0"/>
          <w:divBdr>
            <w:top w:val="none" w:sz="0" w:space="0" w:color="auto"/>
            <w:left w:val="none" w:sz="0" w:space="0" w:color="auto"/>
            <w:bottom w:val="none" w:sz="0" w:space="0" w:color="auto"/>
            <w:right w:val="none" w:sz="0" w:space="0" w:color="auto"/>
          </w:divBdr>
        </w:div>
        <w:div w:id="2082945218">
          <w:marLeft w:val="0"/>
          <w:marRight w:val="0"/>
          <w:marTop w:val="0"/>
          <w:marBottom w:val="0"/>
          <w:divBdr>
            <w:top w:val="none" w:sz="0" w:space="0" w:color="auto"/>
            <w:left w:val="none" w:sz="0" w:space="0" w:color="auto"/>
            <w:bottom w:val="none" w:sz="0" w:space="0" w:color="auto"/>
            <w:right w:val="none" w:sz="0" w:space="0" w:color="auto"/>
          </w:divBdr>
          <w:divsChild>
            <w:div w:id="874924774">
              <w:marLeft w:val="0"/>
              <w:marRight w:val="0"/>
              <w:marTop w:val="0"/>
              <w:marBottom w:val="0"/>
              <w:divBdr>
                <w:top w:val="none" w:sz="0" w:space="0" w:color="auto"/>
                <w:left w:val="none" w:sz="0" w:space="0" w:color="auto"/>
                <w:bottom w:val="none" w:sz="0" w:space="0" w:color="auto"/>
                <w:right w:val="none" w:sz="0" w:space="0" w:color="auto"/>
              </w:divBdr>
            </w:div>
          </w:divsChild>
        </w:div>
        <w:div w:id="2056002201">
          <w:marLeft w:val="0"/>
          <w:marRight w:val="0"/>
          <w:marTop w:val="0"/>
          <w:marBottom w:val="0"/>
          <w:divBdr>
            <w:top w:val="none" w:sz="0" w:space="0" w:color="auto"/>
            <w:left w:val="none" w:sz="0" w:space="0" w:color="auto"/>
            <w:bottom w:val="none" w:sz="0" w:space="0" w:color="auto"/>
            <w:right w:val="none" w:sz="0" w:space="0" w:color="auto"/>
          </w:divBdr>
        </w:div>
        <w:div w:id="2125075956">
          <w:marLeft w:val="0"/>
          <w:marRight w:val="0"/>
          <w:marTop w:val="0"/>
          <w:marBottom w:val="0"/>
          <w:divBdr>
            <w:top w:val="none" w:sz="0" w:space="0" w:color="auto"/>
            <w:left w:val="none" w:sz="0" w:space="0" w:color="auto"/>
            <w:bottom w:val="none" w:sz="0" w:space="0" w:color="auto"/>
            <w:right w:val="none" w:sz="0" w:space="0" w:color="auto"/>
          </w:divBdr>
        </w:div>
        <w:div w:id="464396639">
          <w:marLeft w:val="0"/>
          <w:marRight w:val="0"/>
          <w:marTop w:val="0"/>
          <w:marBottom w:val="0"/>
          <w:divBdr>
            <w:top w:val="none" w:sz="0" w:space="0" w:color="auto"/>
            <w:left w:val="none" w:sz="0" w:space="0" w:color="auto"/>
            <w:bottom w:val="none" w:sz="0" w:space="0" w:color="auto"/>
            <w:right w:val="none" w:sz="0" w:space="0" w:color="auto"/>
          </w:divBdr>
          <w:divsChild>
            <w:div w:id="787775401">
              <w:marLeft w:val="0"/>
              <w:marRight w:val="0"/>
              <w:marTop w:val="0"/>
              <w:marBottom w:val="0"/>
              <w:divBdr>
                <w:top w:val="none" w:sz="0" w:space="0" w:color="auto"/>
                <w:left w:val="none" w:sz="0" w:space="0" w:color="auto"/>
                <w:bottom w:val="none" w:sz="0" w:space="0" w:color="auto"/>
                <w:right w:val="none" w:sz="0" w:space="0" w:color="auto"/>
              </w:divBdr>
            </w:div>
          </w:divsChild>
        </w:div>
        <w:div w:id="1181091785">
          <w:marLeft w:val="0"/>
          <w:marRight w:val="0"/>
          <w:marTop w:val="0"/>
          <w:marBottom w:val="0"/>
          <w:divBdr>
            <w:top w:val="none" w:sz="0" w:space="0" w:color="auto"/>
            <w:left w:val="none" w:sz="0" w:space="0" w:color="auto"/>
            <w:bottom w:val="none" w:sz="0" w:space="0" w:color="auto"/>
            <w:right w:val="none" w:sz="0" w:space="0" w:color="auto"/>
          </w:divBdr>
        </w:div>
        <w:div w:id="857502375">
          <w:marLeft w:val="0"/>
          <w:marRight w:val="0"/>
          <w:marTop w:val="0"/>
          <w:marBottom w:val="0"/>
          <w:divBdr>
            <w:top w:val="none" w:sz="0" w:space="0" w:color="auto"/>
            <w:left w:val="none" w:sz="0" w:space="0" w:color="auto"/>
            <w:bottom w:val="none" w:sz="0" w:space="0" w:color="auto"/>
            <w:right w:val="none" w:sz="0" w:space="0" w:color="auto"/>
          </w:divBdr>
        </w:div>
        <w:div w:id="1218398401">
          <w:marLeft w:val="0"/>
          <w:marRight w:val="0"/>
          <w:marTop w:val="0"/>
          <w:marBottom w:val="0"/>
          <w:divBdr>
            <w:top w:val="none" w:sz="0" w:space="0" w:color="auto"/>
            <w:left w:val="none" w:sz="0" w:space="0" w:color="auto"/>
            <w:bottom w:val="none" w:sz="0" w:space="0" w:color="auto"/>
            <w:right w:val="none" w:sz="0" w:space="0" w:color="auto"/>
          </w:divBdr>
          <w:divsChild>
            <w:div w:id="193544986">
              <w:marLeft w:val="0"/>
              <w:marRight w:val="0"/>
              <w:marTop w:val="0"/>
              <w:marBottom w:val="0"/>
              <w:divBdr>
                <w:top w:val="none" w:sz="0" w:space="0" w:color="auto"/>
                <w:left w:val="none" w:sz="0" w:space="0" w:color="auto"/>
                <w:bottom w:val="none" w:sz="0" w:space="0" w:color="auto"/>
                <w:right w:val="none" w:sz="0" w:space="0" w:color="auto"/>
              </w:divBdr>
            </w:div>
          </w:divsChild>
        </w:div>
        <w:div w:id="843473910">
          <w:marLeft w:val="0"/>
          <w:marRight w:val="0"/>
          <w:marTop w:val="0"/>
          <w:marBottom w:val="0"/>
          <w:divBdr>
            <w:top w:val="none" w:sz="0" w:space="0" w:color="auto"/>
            <w:left w:val="none" w:sz="0" w:space="0" w:color="auto"/>
            <w:bottom w:val="none" w:sz="0" w:space="0" w:color="auto"/>
            <w:right w:val="none" w:sz="0" w:space="0" w:color="auto"/>
          </w:divBdr>
        </w:div>
        <w:div w:id="1926717878">
          <w:marLeft w:val="0"/>
          <w:marRight w:val="0"/>
          <w:marTop w:val="0"/>
          <w:marBottom w:val="0"/>
          <w:divBdr>
            <w:top w:val="none" w:sz="0" w:space="0" w:color="auto"/>
            <w:left w:val="none" w:sz="0" w:space="0" w:color="auto"/>
            <w:bottom w:val="none" w:sz="0" w:space="0" w:color="auto"/>
            <w:right w:val="none" w:sz="0" w:space="0" w:color="auto"/>
          </w:divBdr>
        </w:div>
        <w:div w:id="1220018562">
          <w:marLeft w:val="0"/>
          <w:marRight w:val="0"/>
          <w:marTop w:val="0"/>
          <w:marBottom w:val="0"/>
          <w:divBdr>
            <w:top w:val="none" w:sz="0" w:space="0" w:color="auto"/>
            <w:left w:val="none" w:sz="0" w:space="0" w:color="auto"/>
            <w:bottom w:val="none" w:sz="0" w:space="0" w:color="auto"/>
            <w:right w:val="none" w:sz="0" w:space="0" w:color="auto"/>
          </w:divBdr>
          <w:divsChild>
            <w:div w:id="905988460">
              <w:marLeft w:val="0"/>
              <w:marRight w:val="0"/>
              <w:marTop w:val="0"/>
              <w:marBottom w:val="0"/>
              <w:divBdr>
                <w:top w:val="none" w:sz="0" w:space="0" w:color="auto"/>
                <w:left w:val="none" w:sz="0" w:space="0" w:color="auto"/>
                <w:bottom w:val="none" w:sz="0" w:space="0" w:color="auto"/>
                <w:right w:val="none" w:sz="0" w:space="0" w:color="auto"/>
              </w:divBdr>
            </w:div>
          </w:divsChild>
        </w:div>
        <w:div w:id="1321886267">
          <w:marLeft w:val="0"/>
          <w:marRight w:val="0"/>
          <w:marTop w:val="0"/>
          <w:marBottom w:val="0"/>
          <w:divBdr>
            <w:top w:val="none" w:sz="0" w:space="0" w:color="auto"/>
            <w:left w:val="none" w:sz="0" w:space="0" w:color="auto"/>
            <w:bottom w:val="none" w:sz="0" w:space="0" w:color="auto"/>
            <w:right w:val="none" w:sz="0" w:space="0" w:color="auto"/>
          </w:divBdr>
        </w:div>
        <w:div w:id="154534902">
          <w:marLeft w:val="0"/>
          <w:marRight w:val="0"/>
          <w:marTop w:val="0"/>
          <w:marBottom w:val="0"/>
          <w:divBdr>
            <w:top w:val="none" w:sz="0" w:space="0" w:color="auto"/>
            <w:left w:val="none" w:sz="0" w:space="0" w:color="auto"/>
            <w:bottom w:val="none" w:sz="0" w:space="0" w:color="auto"/>
            <w:right w:val="none" w:sz="0" w:space="0" w:color="auto"/>
          </w:divBdr>
        </w:div>
        <w:div w:id="216474135">
          <w:marLeft w:val="0"/>
          <w:marRight w:val="0"/>
          <w:marTop w:val="0"/>
          <w:marBottom w:val="0"/>
          <w:divBdr>
            <w:top w:val="none" w:sz="0" w:space="0" w:color="auto"/>
            <w:left w:val="none" w:sz="0" w:space="0" w:color="auto"/>
            <w:bottom w:val="none" w:sz="0" w:space="0" w:color="auto"/>
            <w:right w:val="none" w:sz="0" w:space="0" w:color="auto"/>
          </w:divBdr>
          <w:divsChild>
            <w:div w:id="142088754">
              <w:marLeft w:val="0"/>
              <w:marRight w:val="0"/>
              <w:marTop w:val="0"/>
              <w:marBottom w:val="0"/>
              <w:divBdr>
                <w:top w:val="none" w:sz="0" w:space="0" w:color="auto"/>
                <w:left w:val="none" w:sz="0" w:space="0" w:color="auto"/>
                <w:bottom w:val="none" w:sz="0" w:space="0" w:color="auto"/>
                <w:right w:val="none" w:sz="0" w:space="0" w:color="auto"/>
              </w:divBdr>
            </w:div>
          </w:divsChild>
        </w:div>
        <w:div w:id="1263493384">
          <w:marLeft w:val="0"/>
          <w:marRight w:val="0"/>
          <w:marTop w:val="0"/>
          <w:marBottom w:val="0"/>
          <w:divBdr>
            <w:top w:val="none" w:sz="0" w:space="0" w:color="auto"/>
            <w:left w:val="none" w:sz="0" w:space="0" w:color="auto"/>
            <w:bottom w:val="none" w:sz="0" w:space="0" w:color="auto"/>
            <w:right w:val="none" w:sz="0" w:space="0" w:color="auto"/>
          </w:divBdr>
        </w:div>
        <w:div w:id="280308114">
          <w:marLeft w:val="0"/>
          <w:marRight w:val="0"/>
          <w:marTop w:val="0"/>
          <w:marBottom w:val="0"/>
          <w:divBdr>
            <w:top w:val="none" w:sz="0" w:space="0" w:color="auto"/>
            <w:left w:val="none" w:sz="0" w:space="0" w:color="auto"/>
            <w:bottom w:val="none" w:sz="0" w:space="0" w:color="auto"/>
            <w:right w:val="none" w:sz="0" w:space="0" w:color="auto"/>
          </w:divBdr>
        </w:div>
        <w:div w:id="1589344276">
          <w:marLeft w:val="0"/>
          <w:marRight w:val="0"/>
          <w:marTop w:val="0"/>
          <w:marBottom w:val="0"/>
          <w:divBdr>
            <w:top w:val="none" w:sz="0" w:space="0" w:color="auto"/>
            <w:left w:val="none" w:sz="0" w:space="0" w:color="auto"/>
            <w:bottom w:val="none" w:sz="0" w:space="0" w:color="auto"/>
            <w:right w:val="none" w:sz="0" w:space="0" w:color="auto"/>
          </w:divBdr>
        </w:div>
        <w:div w:id="1690908574">
          <w:marLeft w:val="0"/>
          <w:marRight w:val="0"/>
          <w:marTop w:val="0"/>
          <w:marBottom w:val="0"/>
          <w:divBdr>
            <w:top w:val="none" w:sz="0" w:space="0" w:color="auto"/>
            <w:left w:val="none" w:sz="0" w:space="0" w:color="auto"/>
            <w:bottom w:val="none" w:sz="0" w:space="0" w:color="auto"/>
            <w:right w:val="none" w:sz="0" w:space="0" w:color="auto"/>
          </w:divBdr>
          <w:divsChild>
            <w:div w:id="863665564">
              <w:marLeft w:val="0"/>
              <w:marRight w:val="0"/>
              <w:marTop w:val="0"/>
              <w:marBottom w:val="0"/>
              <w:divBdr>
                <w:top w:val="none" w:sz="0" w:space="0" w:color="auto"/>
                <w:left w:val="none" w:sz="0" w:space="0" w:color="auto"/>
                <w:bottom w:val="none" w:sz="0" w:space="0" w:color="auto"/>
                <w:right w:val="none" w:sz="0" w:space="0" w:color="auto"/>
              </w:divBdr>
            </w:div>
          </w:divsChild>
        </w:div>
        <w:div w:id="972829772">
          <w:marLeft w:val="0"/>
          <w:marRight w:val="0"/>
          <w:marTop w:val="0"/>
          <w:marBottom w:val="0"/>
          <w:divBdr>
            <w:top w:val="none" w:sz="0" w:space="0" w:color="auto"/>
            <w:left w:val="none" w:sz="0" w:space="0" w:color="auto"/>
            <w:bottom w:val="none" w:sz="0" w:space="0" w:color="auto"/>
            <w:right w:val="none" w:sz="0" w:space="0" w:color="auto"/>
          </w:divBdr>
        </w:div>
        <w:div w:id="1882588921">
          <w:marLeft w:val="0"/>
          <w:marRight w:val="0"/>
          <w:marTop w:val="0"/>
          <w:marBottom w:val="0"/>
          <w:divBdr>
            <w:top w:val="none" w:sz="0" w:space="0" w:color="auto"/>
            <w:left w:val="none" w:sz="0" w:space="0" w:color="auto"/>
            <w:bottom w:val="none" w:sz="0" w:space="0" w:color="auto"/>
            <w:right w:val="none" w:sz="0" w:space="0" w:color="auto"/>
          </w:divBdr>
        </w:div>
        <w:div w:id="26875662">
          <w:marLeft w:val="0"/>
          <w:marRight w:val="0"/>
          <w:marTop w:val="0"/>
          <w:marBottom w:val="0"/>
          <w:divBdr>
            <w:top w:val="none" w:sz="0" w:space="0" w:color="auto"/>
            <w:left w:val="none" w:sz="0" w:space="0" w:color="auto"/>
            <w:bottom w:val="none" w:sz="0" w:space="0" w:color="auto"/>
            <w:right w:val="none" w:sz="0" w:space="0" w:color="auto"/>
          </w:divBdr>
        </w:div>
        <w:div w:id="1508593790">
          <w:marLeft w:val="0"/>
          <w:marRight w:val="0"/>
          <w:marTop w:val="0"/>
          <w:marBottom w:val="0"/>
          <w:divBdr>
            <w:top w:val="none" w:sz="0" w:space="0" w:color="auto"/>
            <w:left w:val="none" w:sz="0" w:space="0" w:color="auto"/>
            <w:bottom w:val="none" w:sz="0" w:space="0" w:color="auto"/>
            <w:right w:val="none" w:sz="0" w:space="0" w:color="auto"/>
          </w:divBdr>
          <w:divsChild>
            <w:div w:id="65156262">
              <w:marLeft w:val="0"/>
              <w:marRight w:val="0"/>
              <w:marTop w:val="0"/>
              <w:marBottom w:val="0"/>
              <w:divBdr>
                <w:top w:val="none" w:sz="0" w:space="0" w:color="auto"/>
                <w:left w:val="none" w:sz="0" w:space="0" w:color="auto"/>
                <w:bottom w:val="none" w:sz="0" w:space="0" w:color="auto"/>
                <w:right w:val="none" w:sz="0" w:space="0" w:color="auto"/>
              </w:divBdr>
            </w:div>
          </w:divsChild>
        </w:div>
        <w:div w:id="480931766">
          <w:marLeft w:val="0"/>
          <w:marRight w:val="0"/>
          <w:marTop w:val="0"/>
          <w:marBottom w:val="0"/>
          <w:divBdr>
            <w:top w:val="none" w:sz="0" w:space="0" w:color="auto"/>
            <w:left w:val="none" w:sz="0" w:space="0" w:color="auto"/>
            <w:bottom w:val="none" w:sz="0" w:space="0" w:color="auto"/>
            <w:right w:val="none" w:sz="0" w:space="0" w:color="auto"/>
          </w:divBdr>
        </w:div>
        <w:div w:id="1175532343">
          <w:marLeft w:val="0"/>
          <w:marRight w:val="0"/>
          <w:marTop w:val="0"/>
          <w:marBottom w:val="0"/>
          <w:divBdr>
            <w:top w:val="none" w:sz="0" w:space="0" w:color="auto"/>
            <w:left w:val="none" w:sz="0" w:space="0" w:color="auto"/>
            <w:bottom w:val="none" w:sz="0" w:space="0" w:color="auto"/>
            <w:right w:val="none" w:sz="0" w:space="0" w:color="auto"/>
          </w:divBdr>
        </w:div>
        <w:div w:id="1854832317">
          <w:marLeft w:val="0"/>
          <w:marRight w:val="0"/>
          <w:marTop w:val="0"/>
          <w:marBottom w:val="0"/>
          <w:divBdr>
            <w:top w:val="none" w:sz="0" w:space="0" w:color="auto"/>
            <w:left w:val="none" w:sz="0" w:space="0" w:color="auto"/>
            <w:bottom w:val="none" w:sz="0" w:space="0" w:color="auto"/>
            <w:right w:val="none" w:sz="0" w:space="0" w:color="auto"/>
          </w:divBdr>
        </w:div>
        <w:div w:id="947396771">
          <w:marLeft w:val="0"/>
          <w:marRight w:val="0"/>
          <w:marTop w:val="0"/>
          <w:marBottom w:val="0"/>
          <w:divBdr>
            <w:top w:val="none" w:sz="0" w:space="0" w:color="auto"/>
            <w:left w:val="none" w:sz="0" w:space="0" w:color="auto"/>
            <w:bottom w:val="none" w:sz="0" w:space="0" w:color="auto"/>
            <w:right w:val="none" w:sz="0" w:space="0" w:color="auto"/>
          </w:divBdr>
          <w:divsChild>
            <w:div w:id="1365016163">
              <w:marLeft w:val="0"/>
              <w:marRight w:val="0"/>
              <w:marTop w:val="0"/>
              <w:marBottom w:val="0"/>
              <w:divBdr>
                <w:top w:val="none" w:sz="0" w:space="0" w:color="auto"/>
                <w:left w:val="none" w:sz="0" w:space="0" w:color="auto"/>
                <w:bottom w:val="none" w:sz="0" w:space="0" w:color="auto"/>
                <w:right w:val="none" w:sz="0" w:space="0" w:color="auto"/>
              </w:divBdr>
            </w:div>
          </w:divsChild>
        </w:div>
        <w:div w:id="783888878">
          <w:marLeft w:val="0"/>
          <w:marRight w:val="0"/>
          <w:marTop w:val="0"/>
          <w:marBottom w:val="0"/>
          <w:divBdr>
            <w:top w:val="none" w:sz="0" w:space="0" w:color="auto"/>
            <w:left w:val="none" w:sz="0" w:space="0" w:color="auto"/>
            <w:bottom w:val="none" w:sz="0" w:space="0" w:color="auto"/>
            <w:right w:val="none" w:sz="0" w:space="0" w:color="auto"/>
          </w:divBdr>
        </w:div>
        <w:div w:id="556860109">
          <w:marLeft w:val="0"/>
          <w:marRight w:val="0"/>
          <w:marTop w:val="0"/>
          <w:marBottom w:val="0"/>
          <w:divBdr>
            <w:top w:val="none" w:sz="0" w:space="0" w:color="auto"/>
            <w:left w:val="none" w:sz="0" w:space="0" w:color="auto"/>
            <w:bottom w:val="none" w:sz="0" w:space="0" w:color="auto"/>
            <w:right w:val="none" w:sz="0" w:space="0" w:color="auto"/>
          </w:divBdr>
        </w:div>
        <w:div w:id="127091608">
          <w:marLeft w:val="0"/>
          <w:marRight w:val="0"/>
          <w:marTop w:val="0"/>
          <w:marBottom w:val="0"/>
          <w:divBdr>
            <w:top w:val="none" w:sz="0" w:space="0" w:color="auto"/>
            <w:left w:val="none" w:sz="0" w:space="0" w:color="auto"/>
            <w:bottom w:val="none" w:sz="0" w:space="0" w:color="auto"/>
            <w:right w:val="none" w:sz="0" w:space="0" w:color="auto"/>
          </w:divBdr>
        </w:div>
        <w:div w:id="146946186">
          <w:marLeft w:val="0"/>
          <w:marRight w:val="0"/>
          <w:marTop w:val="0"/>
          <w:marBottom w:val="0"/>
          <w:divBdr>
            <w:top w:val="none" w:sz="0" w:space="0" w:color="auto"/>
            <w:left w:val="none" w:sz="0" w:space="0" w:color="auto"/>
            <w:bottom w:val="none" w:sz="0" w:space="0" w:color="auto"/>
            <w:right w:val="none" w:sz="0" w:space="0" w:color="auto"/>
          </w:divBdr>
          <w:divsChild>
            <w:div w:id="1239173245">
              <w:marLeft w:val="0"/>
              <w:marRight w:val="0"/>
              <w:marTop w:val="0"/>
              <w:marBottom w:val="0"/>
              <w:divBdr>
                <w:top w:val="none" w:sz="0" w:space="0" w:color="auto"/>
                <w:left w:val="none" w:sz="0" w:space="0" w:color="auto"/>
                <w:bottom w:val="none" w:sz="0" w:space="0" w:color="auto"/>
                <w:right w:val="none" w:sz="0" w:space="0" w:color="auto"/>
              </w:divBdr>
            </w:div>
          </w:divsChild>
        </w:div>
        <w:div w:id="597908798">
          <w:marLeft w:val="0"/>
          <w:marRight w:val="0"/>
          <w:marTop w:val="0"/>
          <w:marBottom w:val="0"/>
          <w:divBdr>
            <w:top w:val="none" w:sz="0" w:space="0" w:color="auto"/>
            <w:left w:val="none" w:sz="0" w:space="0" w:color="auto"/>
            <w:bottom w:val="none" w:sz="0" w:space="0" w:color="auto"/>
            <w:right w:val="none" w:sz="0" w:space="0" w:color="auto"/>
          </w:divBdr>
        </w:div>
        <w:div w:id="677850720">
          <w:marLeft w:val="0"/>
          <w:marRight w:val="0"/>
          <w:marTop w:val="0"/>
          <w:marBottom w:val="0"/>
          <w:divBdr>
            <w:top w:val="none" w:sz="0" w:space="0" w:color="auto"/>
            <w:left w:val="none" w:sz="0" w:space="0" w:color="auto"/>
            <w:bottom w:val="none" w:sz="0" w:space="0" w:color="auto"/>
            <w:right w:val="none" w:sz="0" w:space="0" w:color="auto"/>
          </w:divBdr>
        </w:div>
        <w:div w:id="665205421">
          <w:marLeft w:val="0"/>
          <w:marRight w:val="0"/>
          <w:marTop w:val="0"/>
          <w:marBottom w:val="0"/>
          <w:divBdr>
            <w:top w:val="none" w:sz="0" w:space="0" w:color="auto"/>
            <w:left w:val="none" w:sz="0" w:space="0" w:color="auto"/>
            <w:bottom w:val="none" w:sz="0" w:space="0" w:color="auto"/>
            <w:right w:val="none" w:sz="0" w:space="0" w:color="auto"/>
          </w:divBdr>
        </w:div>
        <w:div w:id="1780639454">
          <w:marLeft w:val="0"/>
          <w:marRight w:val="0"/>
          <w:marTop w:val="0"/>
          <w:marBottom w:val="0"/>
          <w:divBdr>
            <w:top w:val="none" w:sz="0" w:space="0" w:color="auto"/>
            <w:left w:val="none" w:sz="0" w:space="0" w:color="auto"/>
            <w:bottom w:val="none" w:sz="0" w:space="0" w:color="auto"/>
            <w:right w:val="none" w:sz="0" w:space="0" w:color="auto"/>
          </w:divBdr>
          <w:divsChild>
            <w:div w:id="113985233">
              <w:marLeft w:val="0"/>
              <w:marRight w:val="0"/>
              <w:marTop w:val="0"/>
              <w:marBottom w:val="0"/>
              <w:divBdr>
                <w:top w:val="none" w:sz="0" w:space="0" w:color="auto"/>
                <w:left w:val="none" w:sz="0" w:space="0" w:color="auto"/>
                <w:bottom w:val="none" w:sz="0" w:space="0" w:color="auto"/>
                <w:right w:val="none" w:sz="0" w:space="0" w:color="auto"/>
              </w:divBdr>
            </w:div>
          </w:divsChild>
        </w:div>
        <w:div w:id="1856844847">
          <w:marLeft w:val="0"/>
          <w:marRight w:val="0"/>
          <w:marTop w:val="0"/>
          <w:marBottom w:val="0"/>
          <w:divBdr>
            <w:top w:val="none" w:sz="0" w:space="0" w:color="auto"/>
            <w:left w:val="none" w:sz="0" w:space="0" w:color="auto"/>
            <w:bottom w:val="none" w:sz="0" w:space="0" w:color="auto"/>
            <w:right w:val="none" w:sz="0" w:space="0" w:color="auto"/>
          </w:divBdr>
        </w:div>
        <w:div w:id="119495985">
          <w:marLeft w:val="0"/>
          <w:marRight w:val="0"/>
          <w:marTop w:val="0"/>
          <w:marBottom w:val="0"/>
          <w:divBdr>
            <w:top w:val="none" w:sz="0" w:space="0" w:color="auto"/>
            <w:left w:val="none" w:sz="0" w:space="0" w:color="auto"/>
            <w:bottom w:val="none" w:sz="0" w:space="0" w:color="auto"/>
            <w:right w:val="none" w:sz="0" w:space="0" w:color="auto"/>
          </w:divBdr>
        </w:div>
        <w:div w:id="1067728679">
          <w:marLeft w:val="0"/>
          <w:marRight w:val="0"/>
          <w:marTop w:val="0"/>
          <w:marBottom w:val="0"/>
          <w:divBdr>
            <w:top w:val="none" w:sz="0" w:space="0" w:color="auto"/>
            <w:left w:val="none" w:sz="0" w:space="0" w:color="auto"/>
            <w:bottom w:val="none" w:sz="0" w:space="0" w:color="auto"/>
            <w:right w:val="none" w:sz="0" w:space="0" w:color="auto"/>
          </w:divBdr>
        </w:div>
        <w:div w:id="2122063411">
          <w:marLeft w:val="0"/>
          <w:marRight w:val="0"/>
          <w:marTop w:val="0"/>
          <w:marBottom w:val="0"/>
          <w:divBdr>
            <w:top w:val="none" w:sz="0" w:space="0" w:color="auto"/>
            <w:left w:val="none" w:sz="0" w:space="0" w:color="auto"/>
            <w:bottom w:val="none" w:sz="0" w:space="0" w:color="auto"/>
            <w:right w:val="none" w:sz="0" w:space="0" w:color="auto"/>
          </w:divBdr>
          <w:divsChild>
            <w:div w:id="1510366251">
              <w:marLeft w:val="0"/>
              <w:marRight w:val="0"/>
              <w:marTop w:val="0"/>
              <w:marBottom w:val="0"/>
              <w:divBdr>
                <w:top w:val="none" w:sz="0" w:space="0" w:color="auto"/>
                <w:left w:val="none" w:sz="0" w:space="0" w:color="auto"/>
                <w:bottom w:val="none" w:sz="0" w:space="0" w:color="auto"/>
                <w:right w:val="none" w:sz="0" w:space="0" w:color="auto"/>
              </w:divBdr>
            </w:div>
          </w:divsChild>
        </w:div>
        <w:div w:id="487329598">
          <w:marLeft w:val="0"/>
          <w:marRight w:val="0"/>
          <w:marTop w:val="0"/>
          <w:marBottom w:val="0"/>
          <w:divBdr>
            <w:top w:val="none" w:sz="0" w:space="0" w:color="auto"/>
            <w:left w:val="none" w:sz="0" w:space="0" w:color="auto"/>
            <w:bottom w:val="none" w:sz="0" w:space="0" w:color="auto"/>
            <w:right w:val="none" w:sz="0" w:space="0" w:color="auto"/>
          </w:divBdr>
        </w:div>
        <w:div w:id="1356928198">
          <w:marLeft w:val="0"/>
          <w:marRight w:val="0"/>
          <w:marTop w:val="0"/>
          <w:marBottom w:val="0"/>
          <w:divBdr>
            <w:top w:val="none" w:sz="0" w:space="0" w:color="auto"/>
            <w:left w:val="none" w:sz="0" w:space="0" w:color="auto"/>
            <w:bottom w:val="none" w:sz="0" w:space="0" w:color="auto"/>
            <w:right w:val="none" w:sz="0" w:space="0" w:color="auto"/>
          </w:divBdr>
        </w:div>
      </w:divsChild>
    </w:div>
    <w:div w:id="1919360444">
      <w:bodyDiv w:val="1"/>
      <w:marLeft w:val="0"/>
      <w:marRight w:val="0"/>
      <w:marTop w:val="0"/>
      <w:marBottom w:val="0"/>
      <w:divBdr>
        <w:top w:val="none" w:sz="0" w:space="0" w:color="auto"/>
        <w:left w:val="none" w:sz="0" w:space="0" w:color="auto"/>
        <w:bottom w:val="none" w:sz="0" w:space="0" w:color="auto"/>
        <w:right w:val="none" w:sz="0" w:space="0" w:color="auto"/>
      </w:divBdr>
      <w:divsChild>
        <w:div w:id="647979304">
          <w:marLeft w:val="0"/>
          <w:marRight w:val="0"/>
          <w:marTop w:val="0"/>
          <w:marBottom w:val="120"/>
          <w:divBdr>
            <w:top w:val="none" w:sz="0" w:space="0" w:color="auto"/>
            <w:left w:val="none" w:sz="0" w:space="0" w:color="auto"/>
            <w:bottom w:val="none" w:sz="0" w:space="0" w:color="auto"/>
            <w:right w:val="none" w:sz="0" w:space="0" w:color="auto"/>
          </w:divBdr>
          <w:divsChild>
            <w:div w:id="462306065">
              <w:marLeft w:val="0"/>
              <w:marRight w:val="0"/>
              <w:marTop w:val="0"/>
              <w:marBottom w:val="0"/>
              <w:divBdr>
                <w:top w:val="none" w:sz="0" w:space="0" w:color="auto"/>
                <w:left w:val="none" w:sz="0" w:space="0" w:color="auto"/>
                <w:bottom w:val="none" w:sz="0" w:space="0" w:color="auto"/>
                <w:right w:val="none" w:sz="0" w:space="0" w:color="auto"/>
              </w:divBdr>
              <w:divsChild>
                <w:div w:id="1796681965">
                  <w:marLeft w:val="0"/>
                  <w:marRight w:val="0"/>
                  <w:marTop w:val="0"/>
                  <w:marBottom w:val="0"/>
                  <w:divBdr>
                    <w:top w:val="none" w:sz="0" w:space="0" w:color="auto"/>
                    <w:left w:val="none" w:sz="0" w:space="0" w:color="auto"/>
                    <w:bottom w:val="none" w:sz="0" w:space="0" w:color="auto"/>
                    <w:right w:val="none" w:sz="0" w:space="0" w:color="auto"/>
                  </w:divBdr>
                  <w:divsChild>
                    <w:div w:id="2023433748">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sChild>
    </w:div>
    <w:div w:id="1926259226">
      <w:bodyDiv w:val="1"/>
      <w:marLeft w:val="0"/>
      <w:marRight w:val="0"/>
      <w:marTop w:val="0"/>
      <w:marBottom w:val="0"/>
      <w:divBdr>
        <w:top w:val="none" w:sz="0" w:space="0" w:color="auto"/>
        <w:left w:val="none" w:sz="0" w:space="0" w:color="auto"/>
        <w:bottom w:val="none" w:sz="0" w:space="0" w:color="auto"/>
        <w:right w:val="none" w:sz="0" w:space="0" w:color="auto"/>
      </w:divBdr>
      <w:divsChild>
        <w:div w:id="1987970737">
          <w:marLeft w:val="0"/>
          <w:marRight w:val="0"/>
          <w:marTop w:val="0"/>
          <w:marBottom w:val="0"/>
          <w:divBdr>
            <w:top w:val="none" w:sz="0" w:space="0" w:color="auto"/>
            <w:left w:val="none" w:sz="0" w:space="0" w:color="auto"/>
            <w:bottom w:val="none" w:sz="0" w:space="0" w:color="auto"/>
            <w:right w:val="none" w:sz="0" w:space="0" w:color="auto"/>
          </w:divBdr>
          <w:divsChild>
            <w:div w:id="1905068269">
              <w:marLeft w:val="0"/>
              <w:marRight w:val="0"/>
              <w:marTop w:val="0"/>
              <w:marBottom w:val="120"/>
              <w:divBdr>
                <w:top w:val="none" w:sz="0" w:space="0" w:color="auto"/>
                <w:left w:val="none" w:sz="0" w:space="0" w:color="auto"/>
                <w:bottom w:val="none" w:sz="0" w:space="0" w:color="auto"/>
                <w:right w:val="none" w:sz="0" w:space="0" w:color="auto"/>
              </w:divBdr>
              <w:divsChild>
                <w:div w:id="1959296133">
                  <w:marLeft w:val="0"/>
                  <w:marRight w:val="0"/>
                  <w:marTop w:val="0"/>
                  <w:marBottom w:val="0"/>
                  <w:divBdr>
                    <w:top w:val="none" w:sz="0" w:space="0" w:color="auto"/>
                    <w:left w:val="none" w:sz="0" w:space="0" w:color="auto"/>
                    <w:bottom w:val="none" w:sz="0" w:space="0" w:color="auto"/>
                    <w:right w:val="none" w:sz="0" w:space="0" w:color="auto"/>
                  </w:divBdr>
                </w:div>
                <w:div w:id="420414751">
                  <w:marLeft w:val="0"/>
                  <w:marRight w:val="0"/>
                  <w:marTop w:val="0"/>
                  <w:marBottom w:val="0"/>
                  <w:divBdr>
                    <w:top w:val="none" w:sz="0" w:space="0" w:color="auto"/>
                    <w:left w:val="none" w:sz="0" w:space="0" w:color="auto"/>
                    <w:bottom w:val="none" w:sz="0" w:space="0" w:color="auto"/>
                    <w:right w:val="none" w:sz="0" w:space="0" w:color="auto"/>
                  </w:divBdr>
                </w:div>
                <w:div w:id="2003390787">
                  <w:marLeft w:val="0"/>
                  <w:marRight w:val="0"/>
                  <w:marTop w:val="0"/>
                  <w:marBottom w:val="0"/>
                  <w:divBdr>
                    <w:top w:val="none" w:sz="0" w:space="0" w:color="auto"/>
                    <w:left w:val="none" w:sz="0" w:space="0" w:color="auto"/>
                    <w:bottom w:val="none" w:sz="0" w:space="0" w:color="auto"/>
                    <w:right w:val="none" w:sz="0" w:space="0" w:color="auto"/>
                  </w:divBdr>
                </w:div>
                <w:div w:id="131799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9981034">
          <w:marLeft w:val="0"/>
          <w:marRight w:val="0"/>
          <w:marTop w:val="0"/>
          <w:marBottom w:val="0"/>
          <w:divBdr>
            <w:top w:val="none" w:sz="0" w:space="0" w:color="auto"/>
            <w:left w:val="none" w:sz="0" w:space="0" w:color="auto"/>
            <w:bottom w:val="none" w:sz="0" w:space="0" w:color="auto"/>
            <w:right w:val="none" w:sz="0" w:space="0" w:color="auto"/>
          </w:divBdr>
          <w:divsChild>
            <w:div w:id="869879218">
              <w:marLeft w:val="0"/>
              <w:marRight w:val="0"/>
              <w:marTop w:val="0"/>
              <w:marBottom w:val="0"/>
              <w:divBdr>
                <w:top w:val="none" w:sz="0" w:space="0" w:color="auto"/>
                <w:left w:val="none" w:sz="0" w:space="0" w:color="auto"/>
                <w:bottom w:val="none" w:sz="0" w:space="0" w:color="auto"/>
                <w:right w:val="none" w:sz="0" w:space="0" w:color="auto"/>
              </w:divBdr>
              <w:divsChild>
                <w:div w:id="119614169">
                  <w:marLeft w:val="0"/>
                  <w:marRight w:val="0"/>
                  <w:marTop w:val="0"/>
                  <w:marBottom w:val="0"/>
                  <w:divBdr>
                    <w:top w:val="none" w:sz="0" w:space="0" w:color="auto"/>
                    <w:left w:val="none" w:sz="0" w:space="0" w:color="auto"/>
                    <w:bottom w:val="none" w:sz="0" w:space="0" w:color="auto"/>
                    <w:right w:val="none" w:sz="0" w:space="0" w:color="auto"/>
                  </w:divBdr>
                </w:div>
                <w:div w:id="548805599">
                  <w:marLeft w:val="0"/>
                  <w:marRight w:val="0"/>
                  <w:marTop w:val="0"/>
                  <w:marBottom w:val="0"/>
                  <w:divBdr>
                    <w:top w:val="none" w:sz="0" w:space="0" w:color="auto"/>
                    <w:left w:val="none" w:sz="0" w:space="0" w:color="auto"/>
                    <w:bottom w:val="none" w:sz="0" w:space="0" w:color="auto"/>
                    <w:right w:val="none" w:sz="0" w:space="0" w:color="auto"/>
                  </w:divBdr>
                  <w:divsChild>
                    <w:div w:id="1486700696">
                      <w:marLeft w:val="0"/>
                      <w:marRight w:val="0"/>
                      <w:marTop w:val="240"/>
                      <w:marBottom w:val="240"/>
                      <w:divBdr>
                        <w:top w:val="single" w:sz="12" w:space="0" w:color="EBEBEB"/>
                        <w:left w:val="none" w:sz="0" w:space="0" w:color="auto"/>
                        <w:bottom w:val="single" w:sz="12" w:space="0" w:color="EBEBEB"/>
                        <w:right w:val="none" w:sz="0" w:space="0" w:color="auto"/>
                      </w:divBdr>
                      <w:divsChild>
                        <w:div w:id="21273350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04453015">
                  <w:marLeft w:val="0"/>
                  <w:marRight w:val="0"/>
                  <w:marTop w:val="0"/>
                  <w:marBottom w:val="0"/>
                  <w:divBdr>
                    <w:top w:val="none" w:sz="0" w:space="0" w:color="auto"/>
                    <w:left w:val="none" w:sz="0" w:space="0" w:color="auto"/>
                    <w:bottom w:val="none" w:sz="0" w:space="0" w:color="auto"/>
                    <w:right w:val="none" w:sz="0" w:space="0" w:color="auto"/>
                  </w:divBdr>
                  <w:divsChild>
                    <w:div w:id="968316706">
                      <w:marLeft w:val="0"/>
                      <w:marRight w:val="0"/>
                      <w:marTop w:val="240"/>
                      <w:marBottom w:val="240"/>
                      <w:divBdr>
                        <w:top w:val="single" w:sz="12" w:space="0" w:color="EBEBEB"/>
                        <w:left w:val="none" w:sz="0" w:space="0" w:color="auto"/>
                        <w:bottom w:val="single" w:sz="12" w:space="0" w:color="EBEBEB"/>
                        <w:right w:val="none" w:sz="0" w:space="0" w:color="auto"/>
                      </w:divBdr>
                      <w:divsChild>
                        <w:div w:id="179988192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722440341">
                  <w:marLeft w:val="0"/>
                  <w:marRight w:val="0"/>
                  <w:marTop w:val="0"/>
                  <w:marBottom w:val="0"/>
                  <w:divBdr>
                    <w:top w:val="none" w:sz="0" w:space="0" w:color="auto"/>
                    <w:left w:val="none" w:sz="0" w:space="0" w:color="auto"/>
                    <w:bottom w:val="none" w:sz="0" w:space="0" w:color="auto"/>
                    <w:right w:val="none" w:sz="0" w:space="0" w:color="auto"/>
                  </w:divBdr>
                  <w:divsChild>
                    <w:div w:id="725419825">
                      <w:marLeft w:val="0"/>
                      <w:marRight w:val="0"/>
                      <w:marTop w:val="240"/>
                      <w:marBottom w:val="240"/>
                      <w:divBdr>
                        <w:top w:val="single" w:sz="12" w:space="0" w:color="EBEBEB"/>
                        <w:left w:val="none" w:sz="0" w:space="0" w:color="auto"/>
                        <w:bottom w:val="single" w:sz="12" w:space="0" w:color="EBEBEB"/>
                        <w:right w:val="none" w:sz="0" w:space="0" w:color="auto"/>
                      </w:divBdr>
                      <w:divsChild>
                        <w:div w:id="206379467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610431278">
          <w:marLeft w:val="0"/>
          <w:marRight w:val="0"/>
          <w:marTop w:val="0"/>
          <w:marBottom w:val="120"/>
          <w:divBdr>
            <w:top w:val="none" w:sz="0" w:space="0" w:color="auto"/>
            <w:left w:val="none" w:sz="0" w:space="0" w:color="auto"/>
            <w:bottom w:val="none" w:sz="0" w:space="0" w:color="auto"/>
            <w:right w:val="none" w:sz="0" w:space="0" w:color="auto"/>
          </w:divBdr>
          <w:divsChild>
            <w:div w:id="2002611836">
              <w:marLeft w:val="0"/>
              <w:marRight w:val="0"/>
              <w:marTop w:val="0"/>
              <w:marBottom w:val="240"/>
              <w:divBdr>
                <w:top w:val="none" w:sz="0" w:space="0" w:color="auto"/>
                <w:left w:val="none" w:sz="0" w:space="0" w:color="auto"/>
                <w:bottom w:val="none" w:sz="0" w:space="0" w:color="auto"/>
                <w:right w:val="none" w:sz="0" w:space="0" w:color="auto"/>
              </w:divBdr>
              <w:divsChild>
                <w:div w:id="492797657">
                  <w:marLeft w:val="0"/>
                  <w:marRight w:val="0"/>
                  <w:marTop w:val="0"/>
                  <w:marBottom w:val="0"/>
                  <w:divBdr>
                    <w:top w:val="none" w:sz="0" w:space="0" w:color="auto"/>
                    <w:left w:val="none" w:sz="0" w:space="0" w:color="auto"/>
                    <w:bottom w:val="none" w:sz="0" w:space="0" w:color="auto"/>
                    <w:right w:val="none" w:sz="0" w:space="0" w:color="auto"/>
                  </w:divBdr>
                  <w:divsChild>
                    <w:div w:id="1211961569">
                      <w:marLeft w:val="480"/>
                      <w:marRight w:val="0"/>
                      <w:marTop w:val="0"/>
                      <w:marBottom w:val="0"/>
                      <w:divBdr>
                        <w:top w:val="none" w:sz="0" w:space="0" w:color="auto"/>
                        <w:left w:val="none" w:sz="0" w:space="0" w:color="auto"/>
                        <w:bottom w:val="none" w:sz="0" w:space="0" w:color="auto"/>
                        <w:right w:val="none" w:sz="0" w:space="0" w:color="auto"/>
                      </w:divBdr>
                      <w:divsChild>
                        <w:div w:id="1303317080">
                          <w:marLeft w:val="0"/>
                          <w:marRight w:val="0"/>
                          <w:marTop w:val="0"/>
                          <w:marBottom w:val="0"/>
                          <w:divBdr>
                            <w:top w:val="none" w:sz="0" w:space="0" w:color="auto"/>
                            <w:left w:val="none" w:sz="0" w:space="0" w:color="auto"/>
                            <w:bottom w:val="none" w:sz="0" w:space="0" w:color="auto"/>
                            <w:right w:val="none" w:sz="0" w:space="0" w:color="auto"/>
                          </w:divBdr>
                        </w:div>
                        <w:div w:id="1265529196">
                          <w:marLeft w:val="0"/>
                          <w:marRight w:val="0"/>
                          <w:marTop w:val="0"/>
                          <w:marBottom w:val="0"/>
                          <w:divBdr>
                            <w:top w:val="none" w:sz="0" w:space="0" w:color="auto"/>
                            <w:left w:val="none" w:sz="0" w:space="0" w:color="auto"/>
                            <w:bottom w:val="none" w:sz="0" w:space="0" w:color="auto"/>
                            <w:right w:val="none" w:sz="0" w:space="0" w:color="auto"/>
                          </w:divBdr>
                          <w:divsChild>
                            <w:div w:id="1466268125">
                              <w:marLeft w:val="0"/>
                              <w:marRight w:val="0"/>
                              <w:marTop w:val="0"/>
                              <w:marBottom w:val="0"/>
                              <w:divBdr>
                                <w:top w:val="none" w:sz="0" w:space="0" w:color="auto"/>
                                <w:left w:val="none" w:sz="0" w:space="0" w:color="auto"/>
                                <w:bottom w:val="none" w:sz="0" w:space="0" w:color="auto"/>
                                <w:right w:val="none" w:sz="0" w:space="0" w:color="auto"/>
                              </w:divBdr>
                              <w:divsChild>
                                <w:div w:id="1802765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2367273">
                          <w:marLeft w:val="0"/>
                          <w:marRight w:val="0"/>
                          <w:marTop w:val="0"/>
                          <w:marBottom w:val="0"/>
                          <w:divBdr>
                            <w:top w:val="none" w:sz="0" w:space="0" w:color="auto"/>
                            <w:left w:val="none" w:sz="0" w:space="0" w:color="auto"/>
                            <w:bottom w:val="none" w:sz="0" w:space="0" w:color="auto"/>
                            <w:right w:val="none" w:sz="0" w:space="0" w:color="auto"/>
                          </w:divBdr>
                          <w:divsChild>
                            <w:div w:id="1046372673">
                              <w:marLeft w:val="0"/>
                              <w:marRight w:val="0"/>
                              <w:marTop w:val="0"/>
                              <w:marBottom w:val="0"/>
                              <w:divBdr>
                                <w:top w:val="none" w:sz="0" w:space="0" w:color="auto"/>
                                <w:left w:val="none" w:sz="0" w:space="0" w:color="auto"/>
                                <w:bottom w:val="none" w:sz="0" w:space="0" w:color="auto"/>
                                <w:right w:val="none" w:sz="0" w:space="0" w:color="auto"/>
                              </w:divBdr>
                              <w:divsChild>
                                <w:div w:id="1732579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5168323">
                          <w:marLeft w:val="0"/>
                          <w:marRight w:val="0"/>
                          <w:marTop w:val="0"/>
                          <w:marBottom w:val="0"/>
                          <w:divBdr>
                            <w:top w:val="none" w:sz="0" w:space="0" w:color="auto"/>
                            <w:left w:val="none" w:sz="0" w:space="0" w:color="auto"/>
                            <w:bottom w:val="none" w:sz="0" w:space="0" w:color="auto"/>
                            <w:right w:val="none" w:sz="0" w:space="0" w:color="auto"/>
                          </w:divBdr>
                          <w:divsChild>
                            <w:div w:id="436145873">
                              <w:marLeft w:val="0"/>
                              <w:marRight w:val="0"/>
                              <w:marTop w:val="0"/>
                              <w:marBottom w:val="0"/>
                              <w:divBdr>
                                <w:top w:val="none" w:sz="0" w:space="0" w:color="auto"/>
                                <w:left w:val="none" w:sz="0" w:space="0" w:color="auto"/>
                                <w:bottom w:val="none" w:sz="0" w:space="0" w:color="auto"/>
                                <w:right w:val="none" w:sz="0" w:space="0" w:color="auto"/>
                              </w:divBdr>
                            </w:div>
                            <w:div w:id="2038965938">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107584155">
          <w:marLeft w:val="0"/>
          <w:marRight w:val="0"/>
          <w:marTop w:val="0"/>
          <w:marBottom w:val="0"/>
          <w:divBdr>
            <w:top w:val="none" w:sz="0" w:space="0" w:color="auto"/>
            <w:left w:val="none" w:sz="0" w:space="0" w:color="auto"/>
            <w:bottom w:val="none" w:sz="0" w:space="0" w:color="auto"/>
            <w:right w:val="none" w:sz="0" w:space="0" w:color="auto"/>
          </w:divBdr>
          <w:divsChild>
            <w:div w:id="530384491">
              <w:marLeft w:val="0"/>
              <w:marRight w:val="0"/>
              <w:marTop w:val="0"/>
              <w:marBottom w:val="0"/>
              <w:divBdr>
                <w:top w:val="none" w:sz="0" w:space="0" w:color="auto"/>
                <w:left w:val="none" w:sz="0" w:space="0" w:color="auto"/>
                <w:bottom w:val="none" w:sz="0" w:space="0" w:color="auto"/>
                <w:right w:val="none" w:sz="0" w:space="0" w:color="auto"/>
              </w:divBdr>
            </w:div>
          </w:divsChild>
        </w:div>
        <w:div w:id="730352291">
          <w:marLeft w:val="0"/>
          <w:marRight w:val="0"/>
          <w:marTop w:val="0"/>
          <w:marBottom w:val="0"/>
          <w:divBdr>
            <w:top w:val="none" w:sz="0" w:space="0" w:color="auto"/>
            <w:left w:val="none" w:sz="0" w:space="0" w:color="auto"/>
            <w:bottom w:val="none" w:sz="0" w:space="0" w:color="auto"/>
            <w:right w:val="none" w:sz="0" w:space="0" w:color="auto"/>
          </w:divBdr>
        </w:div>
        <w:div w:id="1919092769">
          <w:marLeft w:val="0"/>
          <w:marRight w:val="0"/>
          <w:marTop w:val="0"/>
          <w:marBottom w:val="0"/>
          <w:divBdr>
            <w:top w:val="none" w:sz="0" w:space="0" w:color="auto"/>
            <w:left w:val="none" w:sz="0" w:space="0" w:color="auto"/>
            <w:bottom w:val="none" w:sz="0" w:space="0" w:color="auto"/>
            <w:right w:val="none" w:sz="0" w:space="0" w:color="auto"/>
          </w:divBdr>
        </w:div>
        <w:div w:id="352541379">
          <w:marLeft w:val="0"/>
          <w:marRight w:val="0"/>
          <w:marTop w:val="0"/>
          <w:marBottom w:val="0"/>
          <w:divBdr>
            <w:top w:val="none" w:sz="0" w:space="0" w:color="auto"/>
            <w:left w:val="none" w:sz="0" w:space="0" w:color="auto"/>
            <w:bottom w:val="none" w:sz="0" w:space="0" w:color="auto"/>
            <w:right w:val="none" w:sz="0" w:space="0" w:color="auto"/>
          </w:divBdr>
          <w:divsChild>
            <w:div w:id="1554197387">
              <w:marLeft w:val="0"/>
              <w:marRight w:val="0"/>
              <w:marTop w:val="0"/>
              <w:marBottom w:val="0"/>
              <w:divBdr>
                <w:top w:val="none" w:sz="0" w:space="0" w:color="auto"/>
                <w:left w:val="none" w:sz="0" w:space="0" w:color="auto"/>
                <w:bottom w:val="none" w:sz="0" w:space="0" w:color="auto"/>
                <w:right w:val="none" w:sz="0" w:space="0" w:color="auto"/>
              </w:divBdr>
            </w:div>
          </w:divsChild>
        </w:div>
        <w:div w:id="503010060">
          <w:marLeft w:val="0"/>
          <w:marRight w:val="0"/>
          <w:marTop w:val="0"/>
          <w:marBottom w:val="0"/>
          <w:divBdr>
            <w:top w:val="none" w:sz="0" w:space="0" w:color="auto"/>
            <w:left w:val="none" w:sz="0" w:space="0" w:color="auto"/>
            <w:bottom w:val="none" w:sz="0" w:space="0" w:color="auto"/>
            <w:right w:val="none" w:sz="0" w:space="0" w:color="auto"/>
          </w:divBdr>
        </w:div>
        <w:div w:id="144200284">
          <w:marLeft w:val="0"/>
          <w:marRight w:val="0"/>
          <w:marTop w:val="0"/>
          <w:marBottom w:val="0"/>
          <w:divBdr>
            <w:top w:val="none" w:sz="0" w:space="0" w:color="auto"/>
            <w:left w:val="none" w:sz="0" w:space="0" w:color="auto"/>
            <w:bottom w:val="none" w:sz="0" w:space="0" w:color="auto"/>
            <w:right w:val="none" w:sz="0" w:space="0" w:color="auto"/>
          </w:divBdr>
        </w:div>
        <w:div w:id="850483944">
          <w:marLeft w:val="0"/>
          <w:marRight w:val="0"/>
          <w:marTop w:val="0"/>
          <w:marBottom w:val="0"/>
          <w:divBdr>
            <w:top w:val="none" w:sz="0" w:space="0" w:color="auto"/>
            <w:left w:val="none" w:sz="0" w:space="0" w:color="auto"/>
            <w:bottom w:val="none" w:sz="0" w:space="0" w:color="auto"/>
            <w:right w:val="none" w:sz="0" w:space="0" w:color="auto"/>
          </w:divBdr>
          <w:divsChild>
            <w:div w:id="944313320">
              <w:marLeft w:val="0"/>
              <w:marRight w:val="0"/>
              <w:marTop w:val="0"/>
              <w:marBottom w:val="0"/>
              <w:divBdr>
                <w:top w:val="none" w:sz="0" w:space="0" w:color="auto"/>
                <w:left w:val="none" w:sz="0" w:space="0" w:color="auto"/>
                <w:bottom w:val="none" w:sz="0" w:space="0" w:color="auto"/>
                <w:right w:val="none" w:sz="0" w:space="0" w:color="auto"/>
              </w:divBdr>
            </w:div>
          </w:divsChild>
        </w:div>
        <w:div w:id="109010216">
          <w:marLeft w:val="0"/>
          <w:marRight w:val="0"/>
          <w:marTop w:val="0"/>
          <w:marBottom w:val="0"/>
          <w:divBdr>
            <w:top w:val="none" w:sz="0" w:space="0" w:color="auto"/>
            <w:left w:val="none" w:sz="0" w:space="0" w:color="auto"/>
            <w:bottom w:val="none" w:sz="0" w:space="0" w:color="auto"/>
            <w:right w:val="none" w:sz="0" w:space="0" w:color="auto"/>
          </w:divBdr>
        </w:div>
        <w:div w:id="1805349623">
          <w:marLeft w:val="0"/>
          <w:marRight w:val="0"/>
          <w:marTop w:val="0"/>
          <w:marBottom w:val="0"/>
          <w:divBdr>
            <w:top w:val="none" w:sz="0" w:space="0" w:color="auto"/>
            <w:left w:val="none" w:sz="0" w:space="0" w:color="auto"/>
            <w:bottom w:val="none" w:sz="0" w:space="0" w:color="auto"/>
            <w:right w:val="none" w:sz="0" w:space="0" w:color="auto"/>
          </w:divBdr>
        </w:div>
        <w:div w:id="628047508">
          <w:marLeft w:val="0"/>
          <w:marRight w:val="0"/>
          <w:marTop w:val="0"/>
          <w:marBottom w:val="0"/>
          <w:divBdr>
            <w:top w:val="none" w:sz="0" w:space="0" w:color="auto"/>
            <w:left w:val="none" w:sz="0" w:space="0" w:color="auto"/>
            <w:bottom w:val="none" w:sz="0" w:space="0" w:color="auto"/>
            <w:right w:val="none" w:sz="0" w:space="0" w:color="auto"/>
          </w:divBdr>
        </w:div>
        <w:div w:id="1848133844">
          <w:marLeft w:val="0"/>
          <w:marRight w:val="0"/>
          <w:marTop w:val="0"/>
          <w:marBottom w:val="0"/>
          <w:divBdr>
            <w:top w:val="none" w:sz="0" w:space="0" w:color="auto"/>
            <w:left w:val="none" w:sz="0" w:space="0" w:color="auto"/>
            <w:bottom w:val="none" w:sz="0" w:space="0" w:color="auto"/>
            <w:right w:val="none" w:sz="0" w:space="0" w:color="auto"/>
          </w:divBdr>
          <w:divsChild>
            <w:div w:id="1456481342">
              <w:marLeft w:val="0"/>
              <w:marRight w:val="0"/>
              <w:marTop w:val="0"/>
              <w:marBottom w:val="0"/>
              <w:divBdr>
                <w:top w:val="none" w:sz="0" w:space="0" w:color="auto"/>
                <w:left w:val="none" w:sz="0" w:space="0" w:color="auto"/>
                <w:bottom w:val="none" w:sz="0" w:space="0" w:color="auto"/>
                <w:right w:val="none" w:sz="0" w:space="0" w:color="auto"/>
              </w:divBdr>
            </w:div>
          </w:divsChild>
        </w:div>
        <w:div w:id="454910227">
          <w:marLeft w:val="0"/>
          <w:marRight w:val="0"/>
          <w:marTop w:val="0"/>
          <w:marBottom w:val="0"/>
          <w:divBdr>
            <w:top w:val="none" w:sz="0" w:space="0" w:color="auto"/>
            <w:left w:val="none" w:sz="0" w:space="0" w:color="auto"/>
            <w:bottom w:val="none" w:sz="0" w:space="0" w:color="auto"/>
            <w:right w:val="none" w:sz="0" w:space="0" w:color="auto"/>
          </w:divBdr>
        </w:div>
        <w:div w:id="1006597216">
          <w:marLeft w:val="0"/>
          <w:marRight w:val="0"/>
          <w:marTop w:val="0"/>
          <w:marBottom w:val="0"/>
          <w:divBdr>
            <w:top w:val="none" w:sz="0" w:space="0" w:color="auto"/>
            <w:left w:val="none" w:sz="0" w:space="0" w:color="auto"/>
            <w:bottom w:val="none" w:sz="0" w:space="0" w:color="auto"/>
            <w:right w:val="none" w:sz="0" w:space="0" w:color="auto"/>
          </w:divBdr>
        </w:div>
        <w:div w:id="967784312">
          <w:marLeft w:val="0"/>
          <w:marRight w:val="0"/>
          <w:marTop w:val="0"/>
          <w:marBottom w:val="0"/>
          <w:divBdr>
            <w:top w:val="none" w:sz="0" w:space="0" w:color="auto"/>
            <w:left w:val="none" w:sz="0" w:space="0" w:color="auto"/>
            <w:bottom w:val="none" w:sz="0" w:space="0" w:color="auto"/>
            <w:right w:val="none" w:sz="0" w:space="0" w:color="auto"/>
          </w:divBdr>
          <w:divsChild>
            <w:div w:id="986586883">
              <w:marLeft w:val="0"/>
              <w:marRight w:val="0"/>
              <w:marTop w:val="0"/>
              <w:marBottom w:val="0"/>
              <w:divBdr>
                <w:top w:val="none" w:sz="0" w:space="0" w:color="auto"/>
                <w:left w:val="none" w:sz="0" w:space="0" w:color="auto"/>
                <w:bottom w:val="none" w:sz="0" w:space="0" w:color="auto"/>
                <w:right w:val="none" w:sz="0" w:space="0" w:color="auto"/>
              </w:divBdr>
            </w:div>
          </w:divsChild>
        </w:div>
        <w:div w:id="152645894">
          <w:marLeft w:val="0"/>
          <w:marRight w:val="0"/>
          <w:marTop w:val="0"/>
          <w:marBottom w:val="0"/>
          <w:divBdr>
            <w:top w:val="none" w:sz="0" w:space="0" w:color="auto"/>
            <w:left w:val="none" w:sz="0" w:space="0" w:color="auto"/>
            <w:bottom w:val="none" w:sz="0" w:space="0" w:color="auto"/>
            <w:right w:val="none" w:sz="0" w:space="0" w:color="auto"/>
          </w:divBdr>
        </w:div>
        <w:div w:id="1094127252">
          <w:marLeft w:val="0"/>
          <w:marRight w:val="0"/>
          <w:marTop w:val="0"/>
          <w:marBottom w:val="0"/>
          <w:divBdr>
            <w:top w:val="none" w:sz="0" w:space="0" w:color="auto"/>
            <w:left w:val="none" w:sz="0" w:space="0" w:color="auto"/>
            <w:bottom w:val="none" w:sz="0" w:space="0" w:color="auto"/>
            <w:right w:val="none" w:sz="0" w:space="0" w:color="auto"/>
          </w:divBdr>
        </w:div>
        <w:div w:id="1079787059">
          <w:marLeft w:val="0"/>
          <w:marRight w:val="0"/>
          <w:marTop w:val="0"/>
          <w:marBottom w:val="0"/>
          <w:divBdr>
            <w:top w:val="none" w:sz="0" w:space="0" w:color="auto"/>
            <w:left w:val="none" w:sz="0" w:space="0" w:color="auto"/>
            <w:bottom w:val="none" w:sz="0" w:space="0" w:color="auto"/>
            <w:right w:val="none" w:sz="0" w:space="0" w:color="auto"/>
          </w:divBdr>
          <w:divsChild>
            <w:div w:id="1365404161">
              <w:marLeft w:val="0"/>
              <w:marRight w:val="0"/>
              <w:marTop w:val="0"/>
              <w:marBottom w:val="0"/>
              <w:divBdr>
                <w:top w:val="none" w:sz="0" w:space="0" w:color="auto"/>
                <w:left w:val="none" w:sz="0" w:space="0" w:color="auto"/>
                <w:bottom w:val="none" w:sz="0" w:space="0" w:color="auto"/>
                <w:right w:val="none" w:sz="0" w:space="0" w:color="auto"/>
              </w:divBdr>
            </w:div>
          </w:divsChild>
        </w:div>
        <w:div w:id="1044215452">
          <w:marLeft w:val="0"/>
          <w:marRight w:val="0"/>
          <w:marTop w:val="0"/>
          <w:marBottom w:val="0"/>
          <w:divBdr>
            <w:top w:val="none" w:sz="0" w:space="0" w:color="auto"/>
            <w:left w:val="none" w:sz="0" w:space="0" w:color="auto"/>
            <w:bottom w:val="none" w:sz="0" w:space="0" w:color="auto"/>
            <w:right w:val="none" w:sz="0" w:space="0" w:color="auto"/>
          </w:divBdr>
        </w:div>
        <w:div w:id="2091196046">
          <w:marLeft w:val="0"/>
          <w:marRight w:val="0"/>
          <w:marTop w:val="0"/>
          <w:marBottom w:val="0"/>
          <w:divBdr>
            <w:top w:val="none" w:sz="0" w:space="0" w:color="auto"/>
            <w:left w:val="none" w:sz="0" w:space="0" w:color="auto"/>
            <w:bottom w:val="none" w:sz="0" w:space="0" w:color="auto"/>
            <w:right w:val="none" w:sz="0" w:space="0" w:color="auto"/>
          </w:divBdr>
        </w:div>
        <w:div w:id="942299119">
          <w:marLeft w:val="0"/>
          <w:marRight w:val="0"/>
          <w:marTop w:val="0"/>
          <w:marBottom w:val="0"/>
          <w:divBdr>
            <w:top w:val="none" w:sz="0" w:space="0" w:color="auto"/>
            <w:left w:val="none" w:sz="0" w:space="0" w:color="auto"/>
            <w:bottom w:val="none" w:sz="0" w:space="0" w:color="auto"/>
            <w:right w:val="none" w:sz="0" w:space="0" w:color="auto"/>
          </w:divBdr>
        </w:div>
        <w:div w:id="1644847110">
          <w:marLeft w:val="0"/>
          <w:marRight w:val="0"/>
          <w:marTop w:val="0"/>
          <w:marBottom w:val="0"/>
          <w:divBdr>
            <w:top w:val="none" w:sz="0" w:space="0" w:color="auto"/>
            <w:left w:val="none" w:sz="0" w:space="0" w:color="auto"/>
            <w:bottom w:val="none" w:sz="0" w:space="0" w:color="auto"/>
            <w:right w:val="none" w:sz="0" w:space="0" w:color="auto"/>
          </w:divBdr>
          <w:divsChild>
            <w:div w:id="425687808">
              <w:marLeft w:val="0"/>
              <w:marRight w:val="0"/>
              <w:marTop w:val="0"/>
              <w:marBottom w:val="0"/>
              <w:divBdr>
                <w:top w:val="none" w:sz="0" w:space="0" w:color="auto"/>
                <w:left w:val="none" w:sz="0" w:space="0" w:color="auto"/>
                <w:bottom w:val="none" w:sz="0" w:space="0" w:color="auto"/>
                <w:right w:val="none" w:sz="0" w:space="0" w:color="auto"/>
              </w:divBdr>
            </w:div>
          </w:divsChild>
        </w:div>
        <w:div w:id="1841002649">
          <w:marLeft w:val="0"/>
          <w:marRight w:val="0"/>
          <w:marTop w:val="0"/>
          <w:marBottom w:val="0"/>
          <w:divBdr>
            <w:top w:val="none" w:sz="0" w:space="0" w:color="auto"/>
            <w:left w:val="none" w:sz="0" w:space="0" w:color="auto"/>
            <w:bottom w:val="none" w:sz="0" w:space="0" w:color="auto"/>
            <w:right w:val="none" w:sz="0" w:space="0" w:color="auto"/>
          </w:divBdr>
        </w:div>
        <w:div w:id="1021005870">
          <w:marLeft w:val="0"/>
          <w:marRight w:val="0"/>
          <w:marTop w:val="0"/>
          <w:marBottom w:val="0"/>
          <w:divBdr>
            <w:top w:val="none" w:sz="0" w:space="0" w:color="auto"/>
            <w:left w:val="none" w:sz="0" w:space="0" w:color="auto"/>
            <w:bottom w:val="none" w:sz="0" w:space="0" w:color="auto"/>
            <w:right w:val="none" w:sz="0" w:space="0" w:color="auto"/>
          </w:divBdr>
        </w:div>
        <w:div w:id="1324973270">
          <w:marLeft w:val="0"/>
          <w:marRight w:val="0"/>
          <w:marTop w:val="0"/>
          <w:marBottom w:val="0"/>
          <w:divBdr>
            <w:top w:val="none" w:sz="0" w:space="0" w:color="auto"/>
            <w:left w:val="none" w:sz="0" w:space="0" w:color="auto"/>
            <w:bottom w:val="none" w:sz="0" w:space="0" w:color="auto"/>
            <w:right w:val="none" w:sz="0" w:space="0" w:color="auto"/>
          </w:divBdr>
          <w:divsChild>
            <w:div w:id="255788998">
              <w:marLeft w:val="0"/>
              <w:marRight w:val="0"/>
              <w:marTop w:val="0"/>
              <w:marBottom w:val="0"/>
              <w:divBdr>
                <w:top w:val="none" w:sz="0" w:space="0" w:color="auto"/>
                <w:left w:val="none" w:sz="0" w:space="0" w:color="auto"/>
                <w:bottom w:val="none" w:sz="0" w:space="0" w:color="auto"/>
                <w:right w:val="none" w:sz="0" w:space="0" w:color="auto"/>
              </w:divBdr>
            </w:div>
          </w:divsChild>
        </w:div>
        <w:div w:id="1329285480">
          <w:marLeft w:val="0"/>
          <w:marRight w:val="0"/>
          <w:marTop w:val="0"/>
          <w:marBottom w:val="0"/>
          <w:divBdr>
            <w:top w:val="none" w:sz="0" w:space="0" w:color="auto"/>
            <w:left w:val="none" w:sz="0" w:space="0" w:color="auto"/>
            <w:bottom w:val="none" w:sz="0" w:space="0" w:color="auto"/>
            <w:right w:val="none" w:sz="0" w:space="0" w:color="auto"/>
          </w:divBdr>
        </w:div>
        <w:div w:id="1066957764">
          <w:marLeft w:val="0"/>
          <w:marRight w:val="0"/>
          <w:marTop w:val="0"/>
          <w:marBottom w:val="0"/>
          <w:divBdr>
            <w:top w:val="none" w:sz="0" w:space="0" w:color="auto"/>
            <w:left w:val="none" w:sz="0" w:space="0" w:color="auto"/>
            <w:bottom w:val="none" w:sz="0" w:space="0" w:color="auto"/>
            <w:right w:val="none" w:sz="0" w:space="0" w:color="auto"/>
          </w:divBdr>
        </w:div>
        <w:div w:id="1100100170">
          <w:marLeft w:val="0"/>
          <w:marRight w:val="0"/>
          <w:marTop w:val="0"/>
          <w:marBottom w:val="0"/>
          <w:divBdr>
            <w:top w:val="none" w:sz="0" w:space="0" w:color="auto"/>
            <w:left w:val="none" w:sz="0" w:space="0" w:color="auto"/>
            <w:bottom w:val="none" w:sz="0" w:space="0" w:color="auto"/>
            <w:right w:val="none" w:sz="0" w:space="0" w:color="auto"/>
          </w:divBdr>
          <w:divsChild>
            <w:div w:id="707410433">
              <w:marLeft w:val="0"/>
              <w:marRight w:val="0"/>
              <w:marTop w:val="0"/>
              <w:marBottom w:val="0"/>
              <w:divBdr>
                <w:top w:val="none" w:sz="0" w:space="0" w:color="auto"/>
                <w:left w:val="none" w:sz="0" w:space="0" w:color="auto"/>
                <w:bottom w:val="none" w:sz="0" w:space="0" w:color="auto"/>
                <w:right w:val="none" w:sz="0" w:space="0" w:color="auto"/>
              </w:divBdr>
            </w:div>
          </w:divsChild>
        </w:div>
        <w:div w:id="1188907631">
          <w:marLeft w:val="0"/>
          <w:marRight w:val="0"/>
          <w:marTop w:val="0"/>
          <w:marBottom w:val="0"/>
          <w:divBdr>
            <w:top w:val="none" w:sz="0" w:space="0" w:color="auto"/>
            <w:left w:val="none" w:sz="0" w:space="0" w:color="auto"/>
            <w:bottom w:val="none" w:sz="0" w:space="0" w:color="auto"/>
            <w:right w:val="none" w:sz="0" w:space="0" w:color="auto"/>
          </w:divBdr>
        </w:div>
        <w:div w:id="801465795">
          <w:marLeft w:val="0"/>
          <w:marRight w:val="0"/>
          <w:marTop w:val="0"/>
          <w:marBottom w:val="0"/>
          <w:divBdr>
            <w:top w:val="none" w:sz="0" w:space="0" w:color="auto"/>
            <w:left w:val="none" w:sz="0" w:space="0" w:color="auto"/>
            <w:bottom w:val="none" w:sz="0" w:space="0" w:color="auto"/>
            <w:right w:val="none" w:sz="0" w:space="0" w:color="auto"/>
          </w:divBdr>
        </w:div>
        <w:div w:id="1504970295">
          <w:marLeft w:val="0"/>
          <w:marRight w:val="0"/>
          <w:marTop w:val="0"/>
          <w:marBottom w:val="0"/>
          <w:divBdr>
            <w:top w:val="none" w:sz="0" w:space="0" w:color="auto"/>
            <w:left w:val="none" w:sz="0" w:space="0" w:color="auto"/>
            <w:bottom w:val="none" w:sz="0" w:space="0" w:color="auto"/>
            <w:right w:val="none" w:sz="0" w:space="0" w:color="auto"/>
          </w:divBdr>
          <w:divsChild>
            <w:div w:id="390615255">
              <w:marLeft w:val="0"/>
              <w:marRight w:val="0"/>
              <w:marTop w:val="0"/>
              <w:marBottom w:val="0"/>
              <w:divBdr>
                <w:top w:val="none" w:sz="0" w:space="0" w:color="auto"/>
                <w:left w:val="none" w:sz="0" w:space="0" w:color="auto"/>
                <w:bottom w:val="none" w:sz="0" w:space="0" w:color="auto"/>
                <w:right w:val="none" w:sz="0" w:space="0" w:color="auto"/>
              </w:divBdr>
            </w:div>
          </w:divsChild>
        </w:div>
        <w:div w:id="22681775">
          <w:marLeft w:val="0"/>
          <w:marRight w:val="0"/>
          <w:marTop w:val="0"/>
          <w:marBottom w:val="0"/>
          <w:divBdr>
            <w:top w:val="none" w:sz="0" w:space="0" w:color="auto"/>
            <w:left w:val="none" w:sz="0" w:space="0" w:color="auto"/>
            <w:bottom w:val="none" w:sz="0" w:space="0" w:color="auto"/>
            <w:right w:val="none" w:sz="0" w:space="0" w:color="auto"/>
          </w:divBdr>
        </w:div>
        <w:div w:id="191311935">
          <w:marLeft w:val="0"/>
          <w:marRight w:val="0"/>
          <w:marTop w:val="0"/>
          <w:marBottom w:val="0"/>
          <w:divBdr>
            <w:top w:val="none" w:sz="0" w:space="0" w:color="auto"/>
            <w:left w:val="none" w:sz="0" w:space="0" w:color="auto"/>
            <w:bottom w:val="none" w:sz="0" w:space="0" w:color="auto"/>
            <w:right w:val="none" w:sz="0" w:space="0" w:color="auto"/>
          </w:divBdr>
        </w:div>
        <w:div w:id="1563364794">
          <w:marLeft w:val="0"/>
          <w:marRight w:val="0"/>
          <w:marTop w:val="0"/>
          <w:marBottom w:val="0"/>
          <w:divBdr>
            <w:top w:val="none" w:sz="0" w:space="0" w:color="auto"/>
            <w:left w:val="none" w:sz="0" w:space="0" w:color="auto"/>
            <w:bottom w:val="none" w:sz="0" w:space="0" w:color="auto"/>
            <w:right w:val="none" w:sz="0" w:space="0" w:color="auto"/>
          </w:divBdr>
          <w:divsChild>
            <w:div w:id="108595103">
              <w:marLeft w:val="0"/>
              <w:marRight w:val="0"/>
              <w:marTop w:val="0"/>
              <w:marBottom w:val="0"/>
              <w:divBdr>
                <w:top w:val="none" w:sz="0" w:space="0" w:color="auto"/>
                <w:left w:val="none" w:sz="0" w:space="0" w:color="auto"/>
                <w:bottom w:val="none" w:sz="0" w:space="0" w:color="auto"/>
                <w:right w:val="none" w:sz="0" w:space="0" w:color="auto"/>
              </w:divBdr>
            </w:div>
          </w:divsChild>
        </w:div>
        <w:div w:id="379090114">
          <w:marLeft w:val="0"/>
          <w:marRight w:val="0"/>
          <w:marTop w:val="0"/>
          <w:marBottom w:val="0"/>
          <w:divBdr>
            <w:top w:val="none" w:sz="0" w:space="0" w:color="auto"/>
            <w:left w:val="none" w:sz="0" w:space="0" w:color="auto"/>
            <w:bottom w:val="none" w:sz="0" w:space="0" w:color="auto"/>
            <w:right w:val="none" w:sz="0" w:space="0" w:color="auto"/>
          </w:divBdr>
        </w:div>
        <w:div w:id="1649164164">
          <w:marLeft w:val="0"/>
          <w:marRight w:val="0"/>
          <w:marTop w:val="0"/>
          <w:marBottom w:val="0"/>
          <w:divBdr>
            <w:top w:val="none" w:sz="0" w:space="0" w:color="auto"/>
            <w:left w:val="none" w:sz="0" w:space="0" w:color="auto"/>
            <w:bottom w:val="none" w:sz="0" w:space="0" w:color="auto"/>
            <w:right w:val="none" w:sz="0" w:space="0" w:color="auto"/>
          </w:divBdr>
        </w:div>
        <w:div w:id="1295335343">
          <w:marLeft w:val="0"/>
          <w:marRight w:val="0"/>
          <w:marTop w:val="0"/>
          <w:marBottom w:val="0"/>
          <w:divBdr>
            <w:top w:val="none" w:sz="0" w:space="0" w:color="auto"/>
            <w:left w:val="none" w:sz="0" w:space="0" w:color="auto"/>
            <w:bottom w:val="none" w:sz="0" w:space="0" w:color="auto"/>
            <w:right w:val="none" w:sz="0" w:space="0" w:color="auto"/>
          </w:divBdr>
          <w:divsChild>
            <w:div w:id="1040860897">
              <w:marLeft w:val="0"/>
              <w:marRight w:val="0"/>
              <w:marTop w:val="0"/>
              <w:marBottom w:val="0"/>
              <w:divBdr>
                <w:top w:val="none" w:sz="0" w:space="0" w:color="auto"/>
                <w:left w:val="none" w:sz="0" w:space="0" w:color="auto"/>
                <w:bottom w:val="none" w:sz="0" w:space="0" w:color="auto"/>
                <w:right w:val="none" w:sz="0" w:space="0" w:color="auto"/>
              </w:divBdr>
            </w:div>
          </w:divsChild>
        </w:div>
        <w:div w:id="883175242">
          <w:marLeft w:val="0"/>
          <w:marRight w:val="0"/>
          <w:marTop w:val="0"/>
          <w:marBottom w:val="0"/>
          <w:divBdr>
            <w:top w:val="none" w:sz="0" w:space="0" w:color="auto"/>
            <w:left w:val="none" w:sz="0" w:space="0" w:color="auto"/>
            <w:bottom w:val="none" w:sz="0" w:space="0" w:color="auto"/>
            <w:right w:val="none" w:sz="0" w:space="0" w:color="auto"/>
          </w:divBdr>
        </w:div>
        <w:div w:id="904730176">
          <w:marLeft w:val="0"/>
          <w:marRight w:val="0"/>
          <w:marTop w:val="0"/>
          <w:marBottom w:val="0"/>
          <w:divBdr>
            <w:top w:val="none" w:sz="0" w:space="0" w:color="auto"/>
            <w:left w:val="none" w:sz="0" w:space="0" w:color="auto"/>
            <w:bottom w:val="none" w:sz="0" w:space="0" w:color="auto"/>
            <w:right w:val="none" w:sz="0" w:space="0" w:color="auto"/>
          </w:divBdr>
        </w:div>
        <w:div w:id="1065300868">
          <w:marLeft w:val="0"/>
          <w:marRight w:val="0"/>
          <w:marTop w:val="0"/>
          <w:marBottom w:val="0"/>
          <w:divBdr>
            <w:top w:val="none" w:sz="0" w:space="0" w:color="auto"/>
            <w:left w:val="none" w:sz="0" w:space="0" w:color="auto"/>
            <w:bottom w:val="none" w:sz="0" w:space="0" w:color="auto"/>
            <w:right w:val="none" w:sz="0" w:space="0" w:color="auto"/>
          </w:divBdr>
          <w:divsChild>
            <w:div w:id="699546393">
              <w:marLeft w:val="0"/>
              <w:marRight w:val="0"/>
              <w:marTop w:val="0"/>
              <w:marBottom w:val="0"/>
              <w:divBdr>
                <w:top w:val="none" w:sz="0" w:space="0" w:color="auto"/>
                <w:left w:val="none" w:sz="0" w:space="0" w:color="auto"/>
                <w:bottom w:val="none" w:sz="0" w:space="0" w:color="auto"/>
                <w:right w:val="none" w:sz="0" w:space="0" w:color="auto"/>
              </w:divBdr>
            </w:div>
          </w:divsChild>
        </w:div>
        <w:div w:id="1443109699">
          <w:marLeft w:val="0"/>
          <w:marRight w:val="0"/>
          <w:marTop w:val="0"/>
          <w:marBottom w:val="0"/>
          <w:divBdr>
            <w:top w:val="none" w:sz="0" w:space="0" w:color="auto"/>
            <w:left w:val="none" w:sz="0" w:space="0" w:color="auto"/>
            <w:bottom w:val="none" w:sz="0" w:space="0" w:color="auto"/>
            <w:right w:val="none" w:sz="0" w:space="0" w:color="auto"/>
          </w:divBdr>
        </w:div>
        <w:div w:id="1516461174">
          <w:marLeft w:val="0"/>
          <w:marRight w:val="0"/>
          <w:marTop w:val="0"/>
          <w:marBottom w:val="0"/>
          <w:divBdr>
            <w:top w:val="none" w:sz="0" w:space="0" w:color="auto"/>
            <w:left w:val="none" w:sz="0" w:space="0" w:color="auto"/>
            <w:bottom w:val="none" w:sz="0" w:space="0" w:color="auto"/>
            <w:right w:val="none" w:sz="0" w:space="0" w:color="auto"/>
          </w:divBdr>
        </w:div>
        <w:div w:id="2089380537">
          <w:marLeft w:val="0"/>
          <w:marRight w:val="0"/>
          <w:marTop w:val="0"/>
          <w:marBottom w:val="0"/>
          <w:divBdr>
            <w:top w:val="none" w:sz="0" w:space="0" w:color="auto"/>
            <w:left w:val="none" w:sz="0" w:space="0" w:color="auto"/>
            <w:bottom w:val="none" w:sz="0" w:space="0" w:color="auto"/>
            <w:right w:val="none" w:sz="0" w:space="0" w:color="auto"/>
          </w:divBdr>
          <w:divsChild>
            <w:div w:id="1132480377">
              <w:marLeft w:val="0"/>
              <w:marRight w:val="0"/>
              <w:marTop w:val="0"/>
              <w:marBottom w:val="0"/>
              <w:divBdr>
                <w:top w:val="none" w:sz="0" w:space="0" w:color="auto"/>
                <w:left w:val="none" w:sz="0" w:space="0" w:color="auto"/>
                <w:bottom w:val="none" w:sz="0" w:space="0" w:color="auto"/>
                <w:right w:val="none" w:sz="0" w:space="0" w:color="auto"/>
              </w:divBdr>
            </w:div>
          </w:divsChild>
        </w:div>
        <w:div w:id="1473523951">
          <w:marLeft w:val="0"/>
          <w:marRight w:val="0"/>
          <w:marTop w:val="0"/>
          <w:marBottom w:val="0"/>
          <w:divBdr>
            <w:top w:val="none" w:sz="0" w:space="0" w:color="auto"/>
            <w:left w:val="none" w:sz="0" w:space="0" w:color="auto"/>
            <w:bottom w:val="none" w:sz="0" w:space="0" w:color="auto"/>
            <w:right w:val="none" w:sz="0" w:space="0" w:color="auto"/>
          </w:divBdr>
        </w:div>
        <w:div w:id="1437872260">
          <w:marLeft w:val="0"/>
          <w:marRight w:val="0"/>
          <w:marTop w:val="0"/>
          <w:marBottom w:val="0"/>
          <w:divBdr>
            <w:top w:val="none" w:sz="0" w:space="0" w:color="auto"/>
            <w:left w:val="none" w:sz="0" w:space="0" w:color="auto"/>
            <w:bottom w:val="none" w:sz="0" w:space="0" w:color="auto"/>
            <w:right w:val="none" w:sz="0" w:space="0" w:color="auto"/>
          </w:divBdr>
        </w:div>
        <w:div w:id="1573345280">
          <w:marLeft w:val="0"/>
          <w:marRight w:val="0"/>
          <w:marTop w:val="0"/>
          <w:marBottom w:val="0"/>
          <w:divBdr>
            <w:top w:val="none" w:sz="0" w:space="0" w:color="auto"/>
            <w:left w:val="none" w:sz="0" w:space="0" w:color="auto"/>
            <w:bottom w:val="none" w:sz="0" w:space="0" w:color="auto"/>
            <w:right w:val="none" w:sz="0" w:space="0" w:color="auto"/>
          </w:divBdr>
          <w:divsChild>
            <w:div w:id="1571227828">
              <w:marLeft w:val="0"/>
              <w:marRight w:val="0"/>
              <w:marTop w:val="0"/>
              <w:marBottom w:val="0"/>
              <w:divBdr>
                <w:top w:val="none" w:sz="0" w:space="0" w:color="auto"/>
                <w:left w:val="none" w:sz="0" w:space="0" w:color="auto"/>
                <w:bottom w:val="none" w:sz="0" w:space="0" w:color="auto"/>
                <w:right w:val="none" w:sz="0" w:space="0" w:color="auto"/>
              </w:divBdr>
            </w:div>
          </w:divsChild>
        </w:div>
        <w:div w:id="262886186">
          <w:marLeft w:val="0"/>
          <w:marRight w:val="0"/>
          <w:marTop w:val="0"/>
          <w:marBottom w:val="0"/>
          <w:divBdr>
            <w:top w:val="none" w:sz="0" w:space="0" w:color="auto"/>
            <w:left w:val="none" w:sz="0" w:space="0" w:color="auto"/>
            <w:bottom w:val="none" w:sz="0" w:space="0" w:color="auto"/>
            <w:right w:val="none" w:sz="0" w:space="0" w:color="auto"/>
          </w:divBdr>
        </w:div>
        <w:div w:id="326591033">
          <w:marLeft w:val="0"/>
          <w:marRight w:val="0"/>
          <w:marTop w:val="0"/>
          <w:marBottom w:val="0"/>
          <w:divBdr>
            <w:top w:val="none" w:sz="0" w:space="0" w:color="auto"/>
            <w:left w:val="none" w:sz="0" w:space="0" w:color="auto"/>
            <w:bottom w:val="none" w:sz="0" w:space="0" w:color="auto"/>
            <w:right w:val="none" w:sz="0" w:space="0" w:color="auto"/>
          </w:divBdr>
        </w:div>
        <w:div w:id="611941336">
          <w:marLeft w:val="0"/>
          <w:marRight w:val="0"/>
          <w:marTop w:val="0"/>
          <w:marBottom w:val="0"/>
          <w:divBdr>
            <w:top w:val="none" w:sz="0" w:space="0" w:color="auto"/>
            <w:left w:val="none" w:sz="0" w:space="0" w:color="auto"/>
            <w:bottom w:val="none" w:sz="0" w:space="0" w:color="auto"/>
            <w:right w:val="none" w:sz="0" w:space="0" w:color="auto"/>
          </w:divBdr>
          <w:divsChild>
            <w:div w:id="1199657714">
              <w:marLeft w:val="0"/>
              <w:marRight w:val="0"/>
              <w:marTop w:val="0"/>
              <w:marBottom w:val="0"/>
              <w:divBdr>
                <w:top w:val="none" w:sz="0" w:space="0" w:color="auto"/>
                <w:left w:val="none" w:sz="0" w:space="0" w:color="auto"/>
                <w:bottom w:val="none" w:sz="0" w:space="0" w:color="auto"/>
                <w:right w:val="none" w:sz="0" w:space="0" w:color="auto"/>
              </w:divBdr>
            </w:div>
          </w:divsChild>
        </w:div>
        <w:div w:id="892277599">
          <w:marLeft w:val="0"/>
          <w:marRight w:val="0"/>
          <w:marTop w:val="0"/>
          <w:marBottom w:val="0"/>
          <w:divBdr>
            <w:top w:val="none" w:sz="0" w:space="0" w:color="auto"/>
            <w:left w:val="none" w:sz="0" w:space="0" w:color="auto"/>
            <w:bottom w:val="none" w:sz="0" w:space="0" w:color="auto"/>
            <w:right w:val="none" w:sz="0" w:space="0" w:color="auto"/>
          </w:divBdr>
        </w:div>
        <w:div w:id="692851324">
          <w:marLeft w:val="0"/>
          <w:marRight w:val="0"/>
          <w:marTop w:val="0"/>
          <w:marBottom w:val="0"/>
          <w:divBdr>
            <w:top w:val="none" w:sz="0" w:space="0" w:color="auto"/>
            <w:left w:val="none" w:sz="0" w:space="0" w:color="auto"/>
            <w:bottom w:val="none" w:sz="0" w:space="0" w:color="auto"/>
            <w:right w:val="none" w:sz="0" w:space="0" w:color="auto"/>
          </w:divBdr>
        </w:div>
        <w:div w:id="1434590578">
          <w:marLeft w:val="0"/>
          <w:marRight w:val="0"/>
          <w:marTop w:val="0"/>
          <w:marBottom w:val="0"/>
          <w:divBdr>
            <w:top w:val="none" w:sz="0" w:space="0" w:color="auto"/>
            <w:left w:val="none" w:sz="0" w:space="0" w:color="auto"/>
            <w:bottom w:val="none" w:sz="0" w:space="0" w:color="auto"/>
            <w:right w:val="none" w:sz="0" w:space="0" w:color="auto"/>
          </w:divBdr>
          <w:divsChild>
            <w:div w:id="620574696">
              <w:marLeft w:val="0"/>
              <w:marRight w:val="0"/>
              <w:marTop w:val="0"/>
              <w:marBottom w:val="0"/>
              <w:divBdr>
                <w:top w:val="none" w:sz="0" w:space="0" w:color="auto"/>
                <w:left w:val="none" w:sz="0" w:space="0" w:color="auto"/>
                <w:bottom w:val="none" w:sz="0" w:space="0" w:color="auto"/>
                <w:right w:val="none" w:sz="0" w:space="0" w:color="auto"/>
              </w:divBdr>
            </w:div>
          </w:divsChild>
        </w:div>
        <w:div w:id="722678279">
          <w:marLeft w:val="0"/>
          <w:marRight w:val="0"/>
          <w:marTop w:val="0"/>
          <w:marBottom w:val="0"/>
          <w:divBdr>
            <w:top w:val="none" w:sz="0" w:space="0" w:color="auto"/>
            <w:left w:val="none" w:sz="0" w:space="0" w:color="auto"/>
            <w:bottom w:val="none" w:sz="0" w:space="0" w:color="auto"/>
            <w:right w:val="none" w:sz="0" w:space="0" w:color="auto"/>
          </w:divBdr>
        </w:div>
        <w:div w:id="1147894512">
          <w:marLeft w:val="0"/>
          <w:marRight w:val="0"/>
          <w:marTop w:val="0"/>
          <w:marBottom w:val="0"/>
          <w:divBdr>
            <w:top w:val="none" w:sz="0" w:space="0" w:color="auto"/>
            <w:left w:val="none" w:sz="0" w:space="0" w:color="auto"/>
            <w:bottom w:val="none" w:sz="0" w:space="0" w:color="auto"/>
            <w:right w:val="none" w:sz="0" w:space="0" w:color="auto"/>
          </w:divBdr>
        </w:div>
        <w:div w:id="562177912">
          <w:marLeft w:val="0"/>
          <w:marRight w:val="0"/>
          <w:marTop w:val="0"/>
          <w:marBottom w:val="0"/>
          <w:divBdr>
            <w:top w:val="none" w:sz="0" w:space="0" w:color="auto"/>
            <w:left w:val="none" w:sz="0" w:space="0" w:color="auto"/>
            <w:bottom w:val="none" w:sz="0" w:space="0" w:color="auto"/>
            <w:right w:val="none" w:sz="0" w:space="0" w:color="auto"/>
          </w:divBdr>
          <w:divsChild>
            <w:div w:id="1967814392">
              <w:marLeft w:val="0"/>
              <w:marRight w:val="0"/>
              <w:marTop w:val="0"/>
              <w:marBottom w:val="0"/>
              <w:divBdr>
                <w:top w:val="none" w:sz="0" w:space="0" w:color="auto"/>
                <w:left w:val="none" w:sz="0" w:space="0" w:color="auto"/>
                <w:bottom w:val="none" w:sz="0" w:space="0" w:color="auto"/>
                <w:right w:val="none" w:sz="0" w:space="0" w:color="auto"/>
              </w:divBdr>
            </w:div>
          </w:divsChild>
        </w:div>
        <w:div w:id="1034884469">
          <w:marLeft w:val="0"/>
          <w:marRight w:val="0"/>
          <w:marTop w:val="0"/>
          <w:marBottom w:val="0"/>
          <w:divBdr>
            <w:top w:val="none" w:sz="0" w:space="0" w:color="auto"/>
            <w:left w:val="none" w:sz="0" w:space="0" w:color="auto"/>
            <w:bottom w:val="none" w:sz="0" w:space="0" w:color="auto"/>
            <w:right w:val="none" w:sz="0" w:space="0" w:color="auto"/>
          </w:divBdr>
        </w:div>
        <w:div w:id="1037465363">
          <w:marLeft w:val="0"/>
          <w:marRight w:val="0"/>
          <w:marTop w:val="0"/>
          <w:marBottom w:val="0"/>
          <w:divBdr>
            <w:top w:val="none" w:sz="0" w:space="0" w:color="auto"/>
            <w:left w:val="none" w:sz="0" w:space="0" w:color="auto"/>
            <w:bottom w:val="none" w:sz="0" w:space="0" w:color="auto"/>
            <w:right w:val="none" w:sz="0" w:space="0" w:color="auto"/>
          </w:divBdr>
        </w:div>
        <w:div w:id="944195977">
          <w:marLeft w:val="0"/>
          <w:marRight w:val="0"/>
          <w:marTop w:val="0"/>
          <w:marBottom w:val="0"/>
          <w:divBdr>
            <w:top w:val="none" w:sz="0" w:space="0" w:color="auto"/>
            <w:left w:val="none" w:sz="0" w:space="0" w:color="auto"/>
            <w:bottom w:val="none" w:sz="0" w:space="0" w:color="auto"/>
            <w:right w:val="none" w:sz="0" w:space="0" w:color="auto"/>
          </w:divBdr>
          <w:divsChild>
            <w:div w:id="1239749775">
              <w:marLeft w:val="0"/>
              <w:marRight w:val="0"/>
              <w:marTop w:val="0"/>
              <w:marBottom w:val="0"/>
              <w:divBdr>
                <w:top w:val="none" w:sz="0" w:space="0" w:color="auto"/>
                <w:left w:val="none" w:sz="0" w:space="0" w:color="auto"/>
                <w:bottom w:val="none" w:sz="0" w:space="0" w:color="auto"/>
                <w:right w:val="none" w:sz="0" w:space="0" w:color="auto"/>
              </w:divBdr>
            </w:div>
          </w:divsChild>
        </w:div>
        <w:div w:id="579486757">
          <w:marLeft w:val="0"/>
          <w:marRight w:val="0"/>
          <w:marTop w:val="0"/>
          <w:marBottom w:val="0"/>
          <w:divBdr>
            <w:top w:val="none" w:sz="0" w:space="0" w:color="auto"/>
            <w:left w:val="none" w:sz="0" w:space="0" w:color="auto"/>
            <w:bottom w:val="none" w:sz="0" w:space="0" w:color="auto"/>
            <w:right w:val="none" w:sz="0" w:space="0" w:color="auto"/>
          </w:divBdr>
        </w:div>
        <w:div w:id="1228959370">
          <w:marLeft w:val="0"/>
          <w:marRight w:val="0"/>
          <w:marTop w:val="0"/>
          <w:marBottom w:val="0"/>
          <w:divBdr>
            <w:top w:val="none" w:sz="0" w:space="0" w:color="auto"/>
            <w:left w:val="none" w:sz="0" w:space="0" w:color="auto"/>
            <w:bottom w:val="none" w:sz="0" w:space="0" w:color="auto"/>
            <w:right w:val="none" w:sz="0" w:space="0" w:color="auto"/>
          </w:divBdr>
        </w:div>
        <w:div w:id="1694257579">
          <w:marLeft w:val="0"/>
          <w:marRight w:val="0"/>
          <w:marTop w:val="0"/>
          <w:marBottom w:val="0"/>
          <w:divBdr>
            <w:top w:val="none" w:sz="0" w:space="0" w:color="auto"/>
            <w:left w:val="none" w:sz="0" w:space="0" w:color="auto"/>
            <w:bottom w:val="none" w:sz="0" w:space="0" w:color="auto"/>
            <w:right w:val="none" w:sz="0" w:space="0" w:color="auto"/>
          </w:divBdr>
          <w:divsChild>
            <w:div w:id="1250433539">
              <w:marLeft w:val="0"/>
              <w:marRight w:val="0"/>
              <w:marTop w:val="0"/>
              <w:marBottom w:val="0"/>
              <w:divBdr>
                <w:top w:val="none" w:sz="0" w:space="0" w:color="auto"/>
                <w:left w:val="none" w:sz="0" w:space="0" w:color="auto"/>
                <w:bottom w:val="none" w:sz="0" w:space="0" w:color="auto"/>
                <w:right w:val="none" w:sz="0" w:space="0" w:color="auto"/>
              </w:divBdr>
            </w:div>
          </w:divsChild>
        </w:div>
        <w:div w:id="969625371">
          <w:marLeft w:val="0"/>
          <w:marRight w:val="0"/>
          <w:marTop w:val="0"/>
          <w:marBottom w:val="0"/>
          <w:divBdr>
            <w:top w:val="none" w:sz="0" w:space="0" w:color="auto"/>
            <w:left w:val="none" w:sz="0" w:space="0" w:color="auto"/>
            <w:bottom w:val="none" w:sz="0" w:space="0" w:color="auto"/>
            <w:right w:val="none" w:sz="0" w:space="0" w:color="auto"/>
          </w:divBdr>
        </w:div>
        <w:div w:id="1285110838">
          <w:marLeft w:val="0"/>
          <w:marRight w:val="0"/>
          <w:marTop w:val="0"/>
          <w:marBottom w:val="0"/>
          <w:divBdr>
            <w:top w:val="none" w:sz="0" w:space="0" w:color="auto"/>
            <w:left w:val="none" w:sz="0" w:space="0" w:color="auto"/>
            <w:bottom w:val="none" w:sz="0" w:space="0" w:color="auto"/>
            <w:right w:val="none" w:sz="0" w:space="0" w:color="auto"/>
          </w:divBdr>
        </w:div>
        <w:div w:id="866721301">
          <w:marLeft w:val="0"/>
          <w:marRight w:val="0"/>
          <w:marTop w:val="0"/>
          <w:marBottom w:val="0"/>
          <w:divBdr>
            <w:top w:val="none" w:sz="0" w:space="0" w:color="auto"/>
            <w:left w:val="none" w:sz="0" w:space="0" w:color="auto"/>
            <w:bottom w:val="none" w:sz="0" w:space="0" w:color="auto"/>
            <w:right w:val="none" w:sz="0" w:space="0" w:color="auto"/>
          </w:divBdr>
          <w:divsChild>
            <w:div w:id="2080784880">
              <w:marLeft w:val="0"/>
              <w:marRight w:val="0"/>
              <w:marTop w:val="0"/>
              <w:marBottom w:val="0"/>
              <w:divBdr>
                <w:top w:val="none" w:sz="0" w:space="0" w:color="auto"/>
                <w:left w:val="none" w:sz="0" w:space="0" w:color="auto"/>
                <w:bottom w:val="none" w:sz="0" w:space="0" w:color="auto"/>
                <w:right w:val="none" w:sz="0" w:space="0" w:color="auto"/>
              </w:divBdr>
            </w:div>
          </w:divsChild>
        </w:div>
        <w:div w:id="621809622">
          <w:marLeft w:val="0"/>
          <w:marRight w:val="0"/>
          <w:marTop w:val="0"/>
          <w:marBottom w:val="0"/>
          <w:divBdr>
            <w:top w:val="none" w:sz="0" w:space="0" w:color="auto"/>
            <w:left w:val="none" w:sz="0" w:space="0" w:color="auto"/>
            <w:bottom w:val="none" w:sz="0" w:space="0" w:color="auto"/>
            <w:right w:val="none" w:sz="0" w:space="0" w:color="auto"/>
          </w:divBdr>
        </w:div>
        <w:div w:id="260837101">
          <w:marLeft w:val="0"/>
          <w:marRight w:val="0"/>
          <w:marTop w:val="0"/>
          <w:marBottom w:val="0"/>
          <w:divBdr>
            <w:top w:val="none" w:sz="0" w:space="0" w:color="auto"/>
            <w:left w:val="none" w:sz="0" w:space="0" w:color="auto"/>
            <w:bottom w:val="none" w:sz="0" w:space="0" w:color="auto"/>
            <w:right w:val="none" w:sz="0" w:space="0" w:color="auto"/>
          </w:divBdr>
        </w:div>
        <w:div w:id="791440404">
          <w:marLeft w:val="0"/>
          <w:marRight w:val="0"/>
          <w:marTop w:val="0"/>
          <w:marBottom w:val="0"/>
          <w:divBdr>
            <w:top w:val="none" w:sz="0" w:space="0" w:color="auto"/>
            <w:left w:val="none" w:sz="0" w:space="0" w:color="auto"/>
            <w:bottom w:val="none" w:sz="0" w:space="0" w:color="auto"/>
            <w:right w:val="none" w:sz="0" w:space="0" w:color="auto"/>
          </w:divBdr>
          <w:divsChild>
            <w:div w:id="413361704">
              <w:marLeft w:val="0"/>
              <w:marRight w:val="0"/>
              <w:marTop w:val="0"/>
              <w:marBottom w:val="0"/>
              <w:divBdr>
                <w:top w:val="none" w:sz="0" w:space="0" w:color="auto"/>
                <w:left w:val="none" w:sz="0" w:space="0" w:color="auto"/>
                <w:bottom w:val="none" w:sz="0" w:space="0" w:color="auto"/>
                <w:right w:val="none" w:sz="0" w:space="0" w:color="auto"/>
              </w:divBdr>
            </w:div>
          </w:divsChild>
        </w:div>
        <w:div w:id="1636254623">
          <w:marLeft w:val="0"/>
          <w:marRight w:val="0"/>
          <w:marTop w:val="0"/>
          <w:marBottom w:val="0"/>
          <w:divBdr>
            <w:top w:val="none" w:sz="0" w:space="0" w:color="auto"/>
            <w:left w:val="none" w:sz="0" w:space="0" w:color="auto"/>
            <w:bottom w:val="none" w:sz="0" w:space="0" w:color="auto"/>
            <w:right w:val="none" w:sz="0" w:space="0" w:color="auto"/>
          </w:divBdr>
        </w:div>
        <w:div w:id="896665325">
          <w:marLeft w:val="0"/>
          <w:marRight w:val="0"/>
          <w:marTop w:val="0"/>
          <w:marBottom w:val="0"/>
          <w:divBdr>
            <w:top w:val="none" w:sz="0" w:space="0" w:color="auto"/>
            <w:left w:val="none" w:sz="0" w:space="0" w:color="auto"/>
            <w:bottom w:val="none" w:sz="0" w:space="0" w:color="auto"/>
            <w:right w:val="none" w:sz="0" w:space="0" w:color="auto"/>
          </w:divBdr>
        </w:div>
        <w:div w:id="165024698">
          <w:marLeft w:val="0"/>
          <w:marRight w:val="0"/>
          <w:marTop w:val="0"/>
          <w:marBottom w:val="0"/>
          <w:divBdr>
            <w:top w:val="none" w:sz="0" w:space="0" w:color="auto"/>
            <w:left w:val="none" w:sz="0" w:space="0" w:color="auto"/>
            <w:bottom w:val="none" w:sz="0" w:space="0" w:color="auto"/>
            <w:right w:val="none" w:sz="0" w:space="0" w:color="auto"/>
          </w:divBdr>
          <w:divsChild>
            <w:div w:id="935673934">
              <w:marLeft w:val="0"/>
              <w:marRight w:val="0"/>
              <w:marTop w:val="0"/>
              <w:marBottom w:val="0"/>
              <w:divBdr>
                <w:top w:val="none" w:sz="0" w:space="0" w:color="auto"/>
                <w:left w:val="none" w:sz="0" w:space="0" w:color="auto"/>
                <w:bottom w:val="none" w:sz="0" w:space="0" w:color="auto"/>
                <w:right w:val="none" w:sz="0" w:space="0" w:color="auto"/>
              </w:divBdr>
            </w:div>
          </w:divsChild>
        </w:div>
        <w:div w:id="1432699612">
          <w:marLeft w:val="0"/>
          <w:marRight w:val="0"/>
          <w:marTop w:val="0"/>
          <w:marBottom w:val="0"/>
          <w:divBdr>
            <w:top w:val="none" w:sz="0" w:space="0" w:color="auto"/>
            <w:left w:val="none" w:sz="0" w:space="0" w:color="auto"/>
            <w:bottom w:val="none" w:sz="0" w:space="0" w:color="auto"/>
            <w:right w:val="none" w:sz="0" w:space="0" w:color="auto"/>
          </w:divBdr>
        </w:div>
        <w:div w:id="525407252">
          <w:marLeft w:val="0"/>
          <w:marRight w:val="0"/>
          <w:marTop w:val="0"/>
          <w:marBottom w:val="0"/>
          <w:divBdr>
            <w:top w:val="none" w:sz="0" w:space="0" w:color="auto"/>
            <w:left w:val="none" w:sz="0" w:space="0" w:color="auto"/>
            <w:bottom w:val="none" w:sz="0" w:space="0" w:color="auto"/>
            <w:right w:val="none" w:sz="0" w:space="0" w:color="auto"/>
          </w:divBdr>
        </w:div>
        <w:div w:id="207031459">
          <w:marLeft w:val="0"/>
          <w:marRight w:val="0"/>
          <w:marTop w:val="0"/>
          <w:marBottom w:val="0"/>
          <w:divBdr>
            <w:top w:val="none" w:sz="0" w:space="0" w:color="auto"/>
            <w:left w:val="none" w:sz="0" w:space="0" w:color="auto"/>
            <w:bottom w:val="none" w:sz="0" w:space="0" w:color="auto"/>
            <w:right w:val="none" w:sz="0" w:space="0" w:color="auto"/>
          </w:divBdr>
          <w:divsChild>
            <w:div w:id="1181361418">
              <w:marLeft w:val="0"/>
              <w:marRight w:val="0"/>
              <w:marTop w:val="0"/>
              <w:marBottom w:val="0"/>
              <w:divBdr>
                <w:top w:val="none" w:sz="0" w:space="0" w:color="auto"/>
                <w:left w:val="none" w:sz="0" w:space="0" w:color="auto"/>
                <w:bottom w:val="none" w:sz="0" w:space="0" w:color="auto"/>
                <w:right w:val="none" w:sz="0" w:space="0" w:color="auto"/>
              </w:divBdr>
            </w:div>
          </w:divsChild>
        </w:div>
        <w:div w:id="1348561208">
          <w:marLeft w:val="0"/>
          <w:marRight w:val="0"/>
          <w:marTop w:val="0"/>
          <w:marBottom w:val="0"/>
          <w:divBdr>
            <w:top w:val="none" w:sz="0" w:space="0" w:color="auto"/>
            <w:left w:val="none" w:sz="0" w:space="0" w:color="auto"/>
            <w:bottom w:val="none" w:sz="0" w:space="0" w:color="auto"/>
            <w:right w:val="none" w:sz="0" w:space="0" w:color="auto"/>
          </w:divBdr>
        </w:div>
        <w:div w:id="867139487">
          <w:marLeft w:val="0"/>
          <w:marRight w:val="0"/>
          <w:marTop w:val="0"/>
          <w:marBottom w:val="0"/>
          <w:divBdr>
            <w:top w:val="none" w:sz="0" w:space="0" w:color="auto"/>
            <w:left w:val="none" w:sz="0" w:space="0" w:color="auto"/>
            <w:bottom w:val="none" w:sz="0" w:space="0" w:color="auto"/>
            <w:right w:val="none" w:sz="0" w:space="0" w:color="auto"/>
          </w:divBdr>
        </w:div>
        <w:div w:id="695079306">
          <w:marLeft w:val="0"/>
          <w:marRight w:val="0"/>
          <w:marTop w:val="0"/>
          <w:marBottom w:val="0"/>
          <w:divBdr>
            <w:top w:val="none" w:sz="0" w:space="0" w:color="auto"/>
            <w:left w:val="none" w:sz="0" w:space="0" w:color="auto"/>
            <w:bottom w:val="none" w:sz="0" w:space="0" w:color="auto"/>
            <w:right w:val="none" w:sz="0" w:space="0" w:color="auto"/>
          </w:divBdr>
          <w:divsChild>
            <w:div w:id="506485043">
              <w:marLeft w:val="0"/>
              <w:marRight w:val="0"/>
              <w:marTop w:val="0"/>
              <w:marBottom w:val="0"/>
              <w:divBdr>
                <w:top w:val="none" w:sz="0" w:space="0" w:color="auto"/>
                <w:left w:val="none" w:sz="0" w:space="0" w:color="auto"/>
                <w:bottom w:val="none" w:sz="0" w:space="0" w:color="auto"/>
                <w:right w:val="none" w:sz="0" w:space="0" w:color="auto"/>
              </w:divBdr>
            </w:div>
          </w:divsChild>
        </w:div>
        <w:div w:id="1600748995">
          <w:marLeft w:val="0"/>
          <w:marRight w:val="0"/>
          <w:marTop w:val="0"/>
          <w:marBottom w:val="0"/>
          <w:divBdr>
            <w:top w:val="none" w:sz="0" w:space="0" w:color="auto"/>
            <w:left w:val="none" w:sz="0" w:space="0" w:color="auto"/>
            <w:bottom w:val="none" w:sz="0" w:space="0" w:color="auto"/>
            <w:right w:val="none" w:sz="0" w:space="0" w:color="auto"/>
          </w:divBdr>
        </w:div>
        <w:div w:id="1304962621">
          <w:marLeft w:val="0"/>
          <w:marRight w:val="0"/>
          <w:marTop w:val="0"/>
          <w:marBottom w:val="0"/>
          <w:divBdr>
            <w:top w:val="none" w:sz="0" w:space="0" w:color="auto"/>
            <w:left w:val="none" w:sz="0" w:space="0" w:color="auto"/>
            <w:bottom w:val="none" w:sz="0" w:space="0" w:color="auto"/>
            <w:right w:val="none" w:sz="0" w:space="0" w:color="auto"/>
          </w:divBdr>
        </w:div>
        <w:div w:id="148325117">
          <w:marLeft w:val="0"/>
          <w:marRight w:val="0"/>
          <w:marTop w:val="0"/>
          <w:marBottom w:val="0"/>
          <w:divBdr>
            <w:top w:val="none" w:sz="0" w:space="0" w:color="auto"/>
            <w:left w:val="none" w:sz="0" w:space="0" w:color="auto"/>
            <w:bottom w:val="none" w:sz="0" w:space="0" w:color="auto"/>
            <w:right w:val="none" w:sz="0" w:space="0" w:color="auto"/>
          </w:divBdr>
        </w:div>
        <w:div w:id="1906984363">
          <w:marLeft w:val="0"/>
          <w:marRight w:val="0"/>
          <w:marTop w:val="0"/>
          <w:marBottom w:val="0"/>
          <w:divBdr>
            <w:top w:val="none" w:sz="0" w:space="0" w:color="auto"/>
            <w:left w:val="none" w:sz="0" w:space="0" w:color="auto"/>
            <w:bottom w:val="none" w:sz="0" w:space="0" w:color="auto"/>
            <w:right w:val="none" w:sz="0" w:space="0" w:color="auto"/>
          </w:divBdr>
          <w:divsChild>
            <w:div w:id="1984699203">
              <w:marLeft w:val="0"/>
              <w:marRight w:val="0"/>
              <w:marTop w:val="0"/>
              <w:marBottom w:val="0"/>
              <w:divBdr>
                <w:top w:val="none" w:sz="0" w:space="0" w:color="auto"/>
                <w:left w:val="none" w:sz="0" w:space="0" w:color="auto"/>
                <w:bottom w:val="none" w:sz="0" w:space="0" w:color="auto"/>
                <w:right w:val="none" w:sz="0" w:space="0" w:color="auto"/>
              </w:divBdr>
            </w:div>
          </w:divsChild>
        </w:div>
        <w:div w:id="1435124804">
          <w:marLeft w:val="0"/>
          <w:marRight w:val="0"/>
          <w:marTop w:val="0"/>
          <w:marBottom w:val="0"/>
          <w:divBdr>
            <w:top w:val="none" w:sz="0" w:space="0" w:color="auto"/>
            <w:left w:val="none" w:sz="0" w:space="0" w:color="auto"/>
            <w:bottom w:val="none" w:sz="0" w:space="0" w:color="auto"/>
            <w:right w:val="none" w:sz="0" w:space="0" w:color="auto"/>
          </w:divBdr>
        </w:div>
        <w:div w:id="319313785">
          <w:marLeft w:val="0"/>
          <w:marRight w:val="0"/>
          <w:marTop w:val="0"/>
          <w:marBottom w:val="0"/>
          <w:divBdr>
            <w:top w:val="none" w:sz="0" w:space="0" w:color="auto"/>
            <w:left w:val="none" w:sz="0" w:space="0" w:color="auto"/>
            <w:bottom w:val="none" w:sz="0" w:space="0" w:color="auto"/>
            <w:right w:val="none" w:sz="0" w:space="0" w:color="auto"/>
          </w:divBdr>
        </w:div>
        <w:div w:id="1214076615">
          <w:marLeft w:val="0"/>
          <w:marRight w:val="0"/>
          <w:marTop w:val="0"/>
          <w:marBottom w:val="0"/>
          <w:divBdr>
            <w:top w:val="none" w:sz="0" w:space="0" w:color="auto"/>
            <w:left w:val="none" w:sz="0" w:space="0" w:color="auto"/>
            <w:bottom w:val="none" w:sz="0" w:space="0" w:color="auto"/>
            <w:right w:val="none" w:sz="0" w:space="0" w:color="auto"/>
          </w:divBdr>
          <w:divsChild>
            <w:div w:id="1491363402">
              <w:marLeft w:val="0"/>
              <w:marRight w:val="0"/>
              <w:marTop w:val="0"/>
              <w:marBottom w:val="0"/>
              <w:divBdr>
                <w:top w:val="none" w:sz="0" w:space="0" w:color="auto"/>
                <w:left w:val="none" w:sz="0" w:space="0" w:color="auto"/>
                <w:bottom w:val="none" w:sz="0" w:space="0" w:color="auto"/>
                <w:right w:val="none" w:sz="0" w:space="0" w:color="auto"/>
              </w:divBdr>
            </w:div>
          </w:divsChild>
        </w:div>
        <w:div w:id="1079786949">
          <w:marLeft w:val="0"/>
          <w:marRight w:val="0"/>
          <w:marTop w:val="0"/>
          <w:marBottom w:val="0"/>
          <w:divBdr>
            <w:top w:val="none" w:sz="0" w:space="0" w:color="auto"/>
            <w:left w:val="none" w:sz="0" w:space="0" w:color="auto"/>
            <w:bottom w:val="none" w:sz="0" w:space="0" w:color="auto"/>
            <w:right w:val="none" w:sz="0" w:space="0" w:color="auto"/>
          </w:divBdr>
        </w:div>
        <w:div w:id="990451465">
          <w:marLeft w:val="0"/>
          <w:marRight w:val="0"/>
          <w:marTop w:val="0"/>
          <w:marBottom w:val="0"/>
          <w:divBdr>
            <w:top w:val="none" w:sz="0" w:space="0" w:color="auto"/>
            <w:left w:val="none" w:sz="0" w:space="0" w:color="auto"/>
            <w:bottom w:val="none" w:sz="0" w:space="0" w:color="auto"/>
            <w:right w:val="none" w:sz="0" w:space="0" w:color="auto"/>
          </w:divBdr>
        </w:div>
        <w:div w:id="1336031935">
          <w:marLeft w:val="0"/>
          <w:marRight w:val="0"/>
          <w:marTop w:val="0"/>
          <w:marBottom w:val="0"/>
          <w:divBdr>
            <w:top w:val="none" w:sz="0" w:space="0" w:color="auto"/>
            <w:left w:val="none" w:sz="0" w:space="0" w:color="auto"/>
            <w:bottom w:val="none" w:sz="0" w:space="0" w:color="auto"/>
            <w:right w:val="none" w:sz="0" w:space="0" w:color="auto"/>
          </w:divBdr>
          <w:divsChild>
            <w:div w:id="1444421886">
              <w:marLeft w:val="0"/>
              <w:marRight w:val="0"/>
              <w:marTop w:val="0"/>
              <w:marBottom w:val="0"/>
              <w:divBdr>
                <w:top w:val="none" w:sz="0" w:space="0" w:color="auto"/>
                <w:left w:val="none" w:sz="0" w:space="0" w:color="auto"/>
                <w:bottom w:val="none" w:sz="0" w:space="0" w:color="auto"/>
                <w:right w:val="none" w:sz="0" w:space="0" w:color="auto"/>
              </w:divBdr>
            </w:div>
          </w:divsChild>
        </w:div>
        <w:div w:id="1531649053">
          <w:marLeft w:val="0"/>
          <w:marRight w:val="0"/>
          <w:marTop w:val="0"/>
          <w:marBottom w:val="0"/>
          <w:divBdr>
            <w:top w:val="none" w:sz="0" w:space="0" w:color="auto"/>
            <w:left w:val="none" w:sz="0" w:space="0" w:color="auto"/>
            <w:bottom w:val="none" w:sz="0" w:space="0" w:color="auto"/>
            <w:right w:val="none" w:sz="0" w:space="0" w:color="auto"/>
          </w:divBdr>
        </w:div>
        <w:div w:id="64301334">
          <w:marLeft w:val="0"/>
          <w:marRight w:val="0"/>
          <w:marTop w:val="0"/>
          <w:marBottom w:val="0"/>
          <w:divBdr>
            <w:top w:val="none" w:sz="0" w:space="0" w:color="auto"/>
            <w:left w:val="none" w:sz="0" w:space="0" w:color="auto"/>
            <w:bottom w:val="none" w:sz="0" w:space="0" w:color="auto"/>
            <w:right w:val="none" w:sz="0" w:space="0" w:color="auto"/>
          </w:divBdr>
        </w:div>
        <w:div w:id="1298343361">
          <w:marLeft w:val="0"/>
          <w:marRight w:val="0"/>
          <w:marTop w:val="0"/>
          <w:marBottom w:val="0"/>
          <w:divBdr>
            <w:top w:val="none" w:sz="0" w:space="0" w:color="auto"/>
            <w:left w:val="none" w:sz="0" w:space="0" w:color="auto"/>
            <w:bottom w:val="none" w:sz="0" w:space="0" w:color="auto"/>
            <w:right w:val="none" w:sz="0" w:space="0" w:color="auto"/>
          </w:divBdr>
        </w:div>
        <w:div w:id="658508499">
          <w:marLeft w:val="0"/>
          <w:marRight w:val="0"/>
          <w:marTop w:val="0"/>
          <w:marBottom w:val="0"/>
          <w:divBdr>
            <w:top w:val="none" w:sz="0" w:space="0" w:color="auto"/>
            <w:left w:val="none" w:sz="0" w:space="0" w:color="auto"/>
            <w:bottom w:val="none" w:sz="0" w:space="0" w:color="auto"/>
            <w:right w:val="none" w:sz="0" w:space="0" w:color="auto"/>
          </w:divBdr>
          <w:divsChild>
            <w:div w:id="1811826994">
              <w:marLeft w:val="0"/>
              <w:marRight w:val="0"/>
              <w:marTop w:val="0"/>
              <w:marBottom w:val="0"/>
              <w:divBdr>
                <w:top w:val="none" w:sz="0" w:space="0" w:color="auto"/>
                <w:left w:val="none" w:sz="0" w:space="0" w:color="auto"/>
                <w:bottom w:val="none" w:sz="0" w:space="0" w:color="auto"/>
                <w:right w:val="none" w:sz="0" w:space="0" w:color="auto"/>
              </w:divBdr>
            </w:div>
          </w:divsChild>
        </w:div>
        <w:div w:id="1112238727">
          <w:marLeft w:val="0"/>
          <w:marRight w:val="0"/>
          <w:marTop w:val="0"/>
          <w:marBottom w:val="0"/>
          <w:divBdr>
            <w:top w:val="none" w:sz="0" w:space="0" w:color="auto"/>
            <w:left w:val="none" w:sz="0" w:space="0" w:color="auto"/>
            <w:bottom w:val="none" w:sz="0" w:space="0" w:color="auto"/>
            <w:right w:val="none" w:sz="0" w:space="0" w:color="auto"/>
          </w:divBdr>
        </w:div>
        <w:div w:id="1395735250">
          <w:marLeft w:val="0"/>
          <w:marRight w:val="0"/>
          <w:marTop w:val="0"/>
          <w:marBottom w:val="0"/>
          <w:divBdr>
            <w:top w:val="none" w:sz="0" w:space="0" w:color="auto"/>
            <w:left w:val="none" w:sz="0" w:space="0" w:color="auto"/>
            <w:bottom w:val="none" w:sz="0" w:space="0" w:color="auto"/>
            <w:right w:val="none" w:sz="0" w:space="0" w:color="auto"/>
          </w:divBdr>
        </w:div>
        <w:div w:id="467939873">
          <w:marLeft w:val="0"/>
          <w:marRight w:val="0"/>
          <w:marTop w:val="0"/>
          <w:marBottom w:val="0"/>
          <w:divBdr>
            <w:top w:val="none" w:sz="0" w:space="0" w:color="auto"/>
            <w:left w:val="none" w:sz="0" w:space="0" w:color="auto"/>
            <w:bottom w:val="none" w:sz="0" w:space="0" w:color="auto"/>
            <w:right w:val="none" w:sz="0" w:space="0" w:color="auto"/>
          </w:divBdr>
        </w:div>
        <w:div w:id="201602940">
          <w:marLeft w:val="0"/>
          <w:marRight w:val="0"/>
          <w:marTop w:val="0"/>
          <w:marBottom w:val="0"/>
          <w:divBdr>
            <w:top w:val="none" w:sz="0" w:space="0" w:color="auto"/>
            <w:left w:val="none" w:sz="0" w:space="0" w:color="auto"/>
            <w:bottom w:val="none" w:sz="0" w:space="0" w:color="auto"/>
            <w:right w:val="none" w:sz="0" w:space="0" w:color="auto"/>
          </w:divBdr>
          <w:divsChild>
            <w:div w:id="749349818">
              <w:marLeft w:val="0"/>
              <w:marRight w:val="0"/>
              <w:marTop w:val="0"/>
              <w:marBottom w:val="0"/>
              <w:divBdr>
                <w:top w:val="none" w:sz="0" w:space="0" w:color="auto"/>
                <w:left w:val="none" w:sz="0" w:space="0" w:color="auto"/>
                <w:bottom w:val="none" w:sz="0" w:space="0" w:color="auto"/>
                <w:right w:val="none" w:sz="0" w:space="0" w:color="auto"/>
              </w:divBdr>
            </w:div>
          </w:divsChild>
        </w:div>
        <w:div w:id="884411407">
          <w:marLeft w:val="0"/>
          <w:marRight w:val="0"/>
          <w:marTop w:val="0"/>
          <w:marBottom w:val="0"/>
          <w:divBdr>
            <w:top w:val="none" w:sz="0" w:space="0" w:color="auto"/>
            <w:left w:val="none" w:sz="0" w:space="0" w:color="auto"/>
            <w:bottom w:val="none" w:sz="0" w:space="0" w:color="auto"/>
            <w:right w:val="none" w:sz="0" w:space="0" w:color="auto"/>
          </w:divBdr>
        </w:div>
        <w:div w:id="431050775">
          <w:marLeft w:val="0"/>
          <w:marRight w:val="0"/>
          <w:marTop w:val="0"/>
          <w:marBottom w:val="0"/>
          <w:divBdr>
            <w:top w:val="none" w:sz="0" w:space="0" w:color="auto"/>
            <w:left w:val="none" w:sz="0" w:space="0" w:color="auto"/>
            <w:bottom w:val="none" w:sz="0" w:space="0" w:color="auto"/>
            <w:right w:val="none" w:sz="0" w:space="0" w:color="auto"/>
          </w:divBdr>
        </w:div>
        <w:div w:id="337805198">
          <w:marLeft w:val="0"/>
          <w:marRight w:val="0"/>
          <w:marTop w:val="0"/>
          <w:marBottom w:val="0"/>
          <w:divBdr>
            <w:top w:val="none" w:sz="0" w:space="0" w:color="auto"/>
            <w:left w:val="none" w:sz="0" w:space="0" w:color="auto"/>
            <w:bottom w:val="none" w:sz="0" w:space="0" w:color="auto"/>
            <w:right w:val="none" w:sz="0" w:space="0" w:color="auto"/>
          </w:divBdr>
          <w:divsChild>
            <w:div w:id="442043230">
              <w:marLeft w:val="0"/>
              <w:marRight w:val="0"/>
              <w:marTop w:val="0"/>
              <w:marBottom w:val="0"/>
              <w:divBdr>
                <w:top w:val="none" w:sz="0" w:space="0" w:color="auto"/>
                <w:left w:val="none" w:sz="0" w:space="0" w:color="auto"/>
                <w:bottom w:val="none" w:sz="0" w:space="0" w:color="auto"/>
                <w:right w:val="none" w:sz="0" w:space="0" w:color="auto"/>
              </w:divBdr>
            </w:div>
          </w:divsChild>
        </w:div>
        <w:div w:id="269894928">
          <w:marLeft w:val="0"/>
          <w:marRight w:val="0"/>
          <w:marTop w:val="0"/>
          <w:marBottom w:val="0"/>
          <w:divBdr>
            <w:top w:val="none" w:sz="0" w:space="0" w:color="auto"/>
            <w:left w:val="none" w:sz="0" w:space="0" w:color="auto"/>
            <w:bottom w:val="none" w:sz="0" w:space="0" w:color="auto"/>
            <w:right w:val="none" w:sz="0" w:space="0" w:color="auto"/>
          </w:divBdr>
        </w:div>
        <w:div w:id="585967877">
          <w:marLeft w:val="0"/>
          <w:marRight w:val="0"/>
          <w:marTop w:val="0"/>
          <w:marBottom w:val="0"/>
          <w:divBdr>
            <w:top w:val="none" w:sz="0" w:space="0" w:color="auto"/>
            <w:left w:val="none" w:sz="0" w:space="0" w:color="auto"/>
            <w:bottom w:val="none" w:sz="0" w:space="0" w:color="auto"/>
            <w:right w:val="none" w:sz="0" w:space="0" w:color="auto"/>
          </w:divBdr>
        </w:div>
        <w:div w:id="1384989192">
          <w:marLeft w:val="0"/>
          <w:marRight w:val="0"/>
          <w:marTop w:val="0"/>
          <w:marBottom w:val="0"/>
          <w:divBdr>
            <w:top w:val="none" w:sz="0" w:space="0" w:color="auto"/>
            <w:left w:val="none" w:sz="0" w:space="0" w:color="auto"/>
            <w:bottom w:val="none" w:sz="0" w:space="0" w:color="auto"/>
            <w:right w:val="none" w:sz="0" w:space="0" w:color="auto"/>
          </w:divBdr>
          <w:divsChild>
            <w:div w:id="1030649269">
              <w:marLeft w:val="0"/>
              <w:marRight w:val="0"/>
              <w:marTop w:val="0"/>
              <w:marBottom w:val="0"/>
              <w:divBdr>
                <w:top w:val="none" w:sz="0" w:space="0" w:color="auto"/>
                <w:left w:val="none" w:sz="0" w:space="0" w:color="auto"/>
                <w:bottom w:val="none" w:sz="0" w:space="0" w:color="auto"/>
                <w:right w:val="none" w:sz="0" w:space="0" w:color="auto"/>
              </w:divBdr>
            </w:div>
          </w:divsChild>
        </w:div>
        <w:div w:id="936405602">
          <w:marLeft w:val="0"/>
          <w:marRight w:val="0"/>
          <w:marTop w:val="0"/>
          <w:marBottom w:val="0"/>
          <w:divBdr>
            <w:top w:val="none" w:sz="0" w:space="0" w:color="auto"/>
            <w:left w:val="none" w:sz="0" w:space="0" w:color="auto"/>
            <w:bottom w:val="none" w:sz="0" w:space="0" w:color="auto"/>
            <w:right w:val="none" w:sz="0" w:space="0" w:color="auto"/>
          </w:divBdr>
        </w:div>
        <w:div w:id="1248808782">
          <w:marLeft w:val="0"/>
          <w:marRight w:val="0"/>
          <w:marTop w:val="0"/>
          <w:marBottom w:val="0"/>
          <w:divBdr>
            <w:top w:val="none" w:sz="0" w:space="0" w:color="auto"/>
            <w:left w:val="none" w:sz="0" w:space="0" w:color="auto"/>
            <w:bottom w:val="none" w:sz="0" w:space="0" w:color="auto"/>
            <w:right w:val="none" w:sz="0" w:space="0" w:color="auto"/>
          </w:divBdr>
        </w:div>
        <w:div w:id="368459513">
          <w:marLeft w:val="0"/>
          <w:marRight w:val="0"/>
          <w:marTop w:val="0"/>
          <w:marBottom w:val="0"/>
          <w:divBdr>
            <w:top w:val="none" w:sz="0" w:space="0" w:color="auto"/>
            <w:left w:val="none" w:sz="0" w:space="0" w:color="auto"/>
            <w:bottom w:val="none" w:sz="0" w:space="0" w:color="auto"/>
            <w:right w:val="none" w:sz="0" w:space="0" w:color="auto"/>
          </w:divBdr>
          <w:divsChild>
            <w:div w:id="99572729">
              <w:marLeft w:val="0"/>
              <w:marRight w:val="0"/>
              <w:marTop w:val="0"/>
              <w:marBottom w:val="0"/>
              <w:divBdr>
                <w:top w:val="none" w:sz="0" w:space="0" w:color="auto"/>
                <w:left w:val="none" w:sz="0" w:space="0" w:color="auto"/>
                <w:bottom w:val="none" w:sz="0" w:space="0" w:color="auto"/>
                <w:right w:val="none" w:sz="0" w:space="0" w:color="auto"/>
              </w:divBdr>
            </w:div>
          </w:divsChild>
        </w:div>
        <w:div w:id="1584601510">
          <w:marLeft w:val="0"/>
          <w:marRight w:val="0"/>
          <w:marTop w:val="0"/>
          <w:marBottom w:val="0"/>
          <w:divBdr>
            <w:top w:val="none" w:sz="0" w:space="0" w:color="auto"/>
            <w:left w:val="none" w:sz="0" w:space="0" w:color="auto"/>
            <w:bottom w:val="none" w:sz="0" w:space="0" w:color="auto"/>
            <w:right w:val="none" w:sz="0" w:space="0" w:color="auto"/>
          </w:divBdr>
        </w:div>
        <w:div w:id="320935024">
          <w:marLeft w:val="0"/>
          <w:marRight w:val="0"/>
          <w:marTop w:val="0"/>
          <w:marBottom w:val="0"/>
          <w:divBdr>
            <w:top w:val="none" w:sz="0" w:space="0" w:color="auto"/>
            <w:left w:val="none" w:sz="0" w:space="0" w:color="auto"/>
            <w:bottom w:val="none" w:sz="0" w:space="0" w:color="auto"/>
            <w:right w:val="none" w:sz="0" w:space="0" w:color="auto"/>
          </w:divBdr>
        </w:div>
        <w:div w:id="295140699">
          <w:marLeft w:val="0"/>
          <w:marRight w:val="0"/>
          <w:marTop w:val="0"/>
          <w:marBottom w:val="0"/>
          <w:divBdr>
            <w:top w:val="none" w:sz="0" w:space="0" w:color="auto"/>
            <w:left w:val="none" w:sz="0" w:space="0" w:color="auto"/>
            <w:bottom w:val="none" w:sz="0" w:space="0" w:color="auto"/>
            <w:right w:val="none" w:sz="0" w:space="0" w:color="auto"/>
          </w:divBdr>
          <w:divsChild>
            <w:div w:id="714039623">
              <w:marLeft w:val="0"/>
              <w:marRight w:val="0"/>
              <w:marTop w:val="0"/>
              <w:marBottom w:val="0"/>
              <w:divBdr>
                <w:top w:val="none" w:sz="0" w:space="0" w:color="auto"/>
                <w:left w:val="none" w:sz="0" w:space="0" w:color="auto"/>
                <w:bottom w:val="none" w:sz="0" w:space="0" w:color="auto"/>
                <w:right w:val="none" w:sz="0" w:space="0" w:color="auto"/>
              </w:divBdr>
            </w:div>
          </w:divsChild>
        </w:div>
        <w:div w:id="1268661394">
          <w:marLeft w:val="0"/>
          <w:marRight w:val="0"/>
          <w:marTop w:val="0"/>
          <w:marBottom w:val="0"/>
          <w:divBdr>
            <w:top w:val="none" w:sz="0" w:space="0" w:color="auto"/>
            <w:left w:val="none" w:sz="0" w:space="0" w:color="auto"/>
            <w:bottom w:val="none" w:sz="0" w:space="0" w:color="auto"/>
            <w:right w:val="none" w:sz="0" w:space="0" w:color="auto"/>
          </w:divBdr>
        </w:div>
        <w:div w:id="1013993332">
          <w:marLeft w:val="0"/>
          <w:marRight w:val="0"/>
          <w:marTop w:val="0"/>
          <w:marBottom w:val="0"/>
          <w:divBdr>
            <w:top w:val="none" w:sz="0" w:space="0" w:color="auto"/>
            <w:left w:val="none" w:sz="0" w:space="0" w:color="auto"/>
            <w:bottom w:val="none" w:sz="0" w:space="0" w:color="auto"/>
            <w:right w:val="none" w:sz="0" w:space="0" w:color="auto"/>
          </w:divBdr>
        </w:div>
        <w:div w:id="1855419785">
          <w:marLeft w:val="0"/>
          <w:marRight w:val="0"/>
          <w:marTop w:val="0"/>
          <w:marBottom w:val="0"/>
          <w:divBdr>
            <w:top w:val="none" w:sz="0" w:space="0" w:color="auto"/>
            <w:left w:val="none" w:sz="0" w:space="0" w:color="auto"/>
            <w:bottom w:val="none" w:sz="0" w:space="0" w:color="auto"/>
            <w:right w:val="none" w:sz="0" w:space="0" w:color="auto"/>
          </w:divBdr>
          <w:divsChild>
            <w:div w:id="779566260">
              <w:marLeft w:val="0"/>
              <w:marRight w:val="0"/>
              <w:marTop w:val="0"/>
              <w:marBottom w:val="0"/>
              <w:divBdr>
                <w:top w:val="none" w:sz="0" w:space="0" w:color="auto"/>
                <w:left w:val="none" w:sz="0" w:space="0" w:color="auto"/>
                <w:bottom w:val="none" w:sz="0" w:space="0" w:color="auto"/>
                <w:right w:val="none" w:sz="0" w:space="0" w:color="auto"/>
              </w:divBdr>
            </w:div>
          </w:divsChild>
        </w:div>
        <w:div w:id="1012878802">
          <w:marLeft w:val="0"/>
          <w:marRight w:val="0"/>
          <w:marTop w:val="0"/>
          <w:marBottom w:val="0"/>
          <w:divBdr>
            <w:top w:val="none" w:sz="0" w:space="0" w:color="auto"/>
            <w:left w:val="none" w:sz="0" w:space="0" w:color="auto"/>
            <w:bottom w:val="none" w:sz="0" w:space="0" w:color="auto"/>
            <w:right w:val="none" w:sz="0" w:space="0" w:color="auto"/>
          </w:divBdr>
        </w:div>
        <w:div w:id="259411061">
          <w:marLeft w:val="0"/>
          <w:marRight w:val="0"/>
          <w:marTop w:val="0"/>
          <w:marBottom w:val="0"/>
          <w:divBdr>
            <w:top w:val="none" w:sz="0" w:space="0" w:color="auto"/>
            <w:left w:val="none" w:sz="0" w:space="0" w:color="auto"/>
            <w:bottom w:val="none" w:sz="0" w:space="0" w:color="auto"/>
            <w:right w:val="none" w:sz="0" w:space="0" w:color="auto"/>
          </w:divBdr>
        </w:div>
        <w:div w:id="1206866622">
          <w:marLeft w:val="0"/>
          <w:marRight w:val="0"/>
          <w:marTop w:val="0"/>
          <w:marBottom w:val="0"/>
          <w:divBdr>
            <w:top w:val="none" w:sz="0" w:space="0" w:color="auto"/>
            <w:left w:val="none" w:sz="0" w:space="0" w:color="auto"/>
            <w:bottom w:val="none" w:sz="0" w:space="0" w:color="auto"/>
            <w:right w:val="none" w:sz="0" w:space="0" w:color="auto"/>
          </w:divBdr>
        </w:div>
        <w:div w:id="1160076206">
          <w:marLeft w:val="0"/>
          <w:marRight w:val="0"/>
          <w:marTop w:val="0"/>
          <w:marBottom w:val="0"/>
          <w:divBdr>
            <w:top w:val="none" w:sz="0" w:space="0" w:color="auto"/>
            <w:left w:val="none" w:sz="0" w:space="0" w:color="auto"/>
            <w:bottom w:val="none" w:sz="0" w:space="0" w:color="auto"/>
            <w:right w:val="none" w:sz="0" w:space="0" w:color="auto"/>
          </w:divBdr>
          <w:divsChild>
            <w:div w:id="1722513455">
              <w:marLeft w:val="0"/>
              <w:marRight w:val="0"/>
              <w:marTop w:val="0"/>
              <w:marBottom w:val="0"/>
              <w:divBdr>
                <w:top w:val="none" w:sz="0" w:space="0" w:color="auto"/>
                <w:left w:val="none" w:sz="0" w:space="0" w:color="auto"/>
                <w:bottom w:val="none" w:sz="0" w:space="0" w:color="auto"/>
                <w:right w:val="none" w:sz="0" w:space="0" w:color="auto"/>
              </w:divBdr>
            </w:div>
          </w:divsChild>
        </w:div>
        <w:div w:id="1025709533">
          <w:marLeft w:val="0"/>
          <w:marRight w:val="0"/>
          <w:marTop w:val="0"/>
          <w:marBottom w:val="0"/>
          <w:divBdr>
            <w:top w:val="none" w:sz="0" w:space="0" w:color="auto"/>
            <w:left w:val="none" w:sz="0" w:space="0" w:color="auto"/>
            <w:bottom w:val="none" w:sz="0" w:space="0" w:color="auto"/>
            <w:right w:val="none" w:sz="0" w:space="0" w:color="auto"/>
          </w:divBdr>
        </w:div>
        <w:div w:id="1586647868">
          <w:marLeft w:val="0"/>
          <w:marRight w:val="0"/>
          <w:marTop w:val="0"/>
          <w:marBottom w:val="0"/>
          <w:divBdr>
            <w:top w:val="none" w:sz="0" w:space="0" w:color="auto"/>
            <w:left w:val="none" w:sz="0" w:space="0" w:color="auto"/>
            <w:bottom w:val="none" w:sz="0" w:space="0" w:color="auto"/>
            <w:right w:val="none" w:sz="0" w:space="0" w:color="auto"/>
          </w:divBdr>
        </w:div>
        <w:div w:id="1126310368">
          <w:marLeft w:val="0"/>
          <w:marRight w:val="0"/>
          <w:marTop w:val="0"/>
          <w:marBottom w:val="0"/>
          <w:divBdr>
            <w:top w:val="none" w:sz="0" w:space="0" w:color="auto"/>
            <w:left w:val="none" w:sz="0" w:space="0" w:color="auto"/>
            <w:bottom w:val="none" w:sz="0" w:space="0" w:color="auto"/>
            <w:right w:val="none" w:sz="0" w:space="0" w:color="auto"/>
          </w:divBdr>
          <w:divsChild>
            <w:div w:id="1262839033">
              <w:marLeft w:val="0"/>
              <w:marRight w:val="0"/>
              <w:marTop w:val="0"/>
              <w:marBottom w:val="0"/>
              <w:divBdr>
                <w:top w:val="none" w:sz="0" w:space="0" w:color="auto"/>
                <w:left w:val="none" w:sz="0" w:space="0" w:color="auto"/>
                <w:bottom w:val="none" w:sz="0" w:space="0" w:color="auto"/>
                <w:right w:val="none" w:sz="0" w:space="0" w:color="auto"/>
              </w:divBdr>
            </w:div>
          </w:divsChild>
        </w:div>
        <w:div w:id="828911028">
          <w:marLeft w:val="0"/>
          <w:marRight w:val="0"/>
          <w:marTop w:val="0"/>
          <w:marBottom w:val="0"/>
          <w:divBdr>
            <w:top w:val="none" w:sz="0" w:space="0" w:color="auto"/>
            <w:left w:val="none" w:sz="0" w:space="0" w:color="auto"/>
            <w:bottom w:val="none" w:sz="0" w:space="0" w:color="auto"/>
            <w:right w:val="none" w:sz="0" w:space="0" w:color="auto"/>
          </w:divBdr>
        </w:div>
        <w:div w:id="1434353436">
          <w:marLeft w:val="0"/>
          <w:marRight w:val="0"/>
          <w:marTop w:val="0"/>
          <w:marBottom w:val="0"/>
          <w:divBdr>
            <w:top w:val="none" w:sz="0" w:space="0" w:color="auto"/>
            <w:left w:val="none" w:sz="0" w:space="0" w:color="auto"/>
            <w:bottom w:val="none" w:sz="0" w:space="0" w:color="auto"/>
            <w:right w:val="none" w:sz="0" w:space="0" w:color="auto"/>
          </w:divBdr>
        </w:div>
      </w:divsChild>
    </w:div>
    <w:div w:id="1938518532">
      <w:bodyDiv w:val="1"/>
      <w:marLeft w:val="0"/>
      <w:marRight w:val="0"/>
      <w:marTop w:val="0"/>
      <w:marBottom w:val="0"/>
      <w:divBdr>
        <w:top w:val="none" w:sz="0" w:space="0" w:color="auto"/>
        <w:left w:val="none" w:sz="0" w:space="0" w:color="auto"/>
        <w:bottom w:val="none" w:sz="0" w:space="0" w:color="auto"/>
        <w:right w:val="none" w:sz="0" w:space="0" w:color="auto"/>
      </w:divBdr>
      <w:divsChild>
        <w:div w:id="1694964221">
          <w:marLeft w:val="0"/>
          <w:marRight w:val="0"/>
          <w:marTop w:val="0"/>
          <w:marBottom w:val="330"/>
          <w:divBdr>
            <w:top w:val="none" w:sz="0" w:space="0" w:color="auto"/>
            <w:left w:val="none" w:sz="0" w:space="0" w:color="auto"/>
            <w:bottom w:val="single" w:sz="12" w:space="0" w:color="CCCCCC"/>
            <w:right w:val="none" w:sz="0" w:space="0" w:color="auto"/>
          </w:divBdr>
        </w:div>
        <w:div w:id="3485072">
          <w:marLeft w:val="0"/>
          <w:marRight w:val="0"/>
          <w:marTop w:val="0"/>
          <w:marBottom w:val="0"/>
          <w:divBdr>
            <w:top w:val="none" w:sz="0" w:space="0" w:color="auto"/>
            <w:left w:val="none" w:sz="0" w:space="0" w:color="auto"/>
            <w:bottom w:val="none" w:sz="0" w:space="0" w:color="auto"/>
            <w:right w:val="none" w:sz="0" w:space="0" w:color="auto"/>
          </w:divBdr>
          <w:divsChild>
            <w:div w:id="2125730567">
              <w:marLeft w:val="0"/>
              <w:marRight w:val="0"/>
              <w:marTop w:val="0"/>
              <w:marBottom w:val="0"/>
              <w:divBdr>
                <w:top w:val="none" w:sz="0" w:space="0" w:color="auto"/>
                <w:left w:val="none" w:sz="0" w:space="0" w:color="auto"/>
                <w:bottom w:val="none" w:sz="0" w:space="0" w:color="auto"/>
                <w:right w:val="none" w:sz="0" w:space="0" w:color="auto"/>
              </w:divBdr>
              <w:divsChild>
                <w:div w:id="616763568">
                  <w:marLeft w:val="0"/>
                  <w:marRight w:val="0"/>
                  <w:marTop w:val="0"/>
                  <w:marBottom w:val="330"/>
                  <w:divBdr>
                    <w:top w:val="none" w:sz="0" w:space="0" w:color="auto"/>
                    <w:left w:val="none" w:sz="0" w:space="0" w:color="auto"/>
                    <w:bottom w:val="none" w:sz="0" w:space="0" w:color="auto"/>
                    <w:right w:val="none" w:sz="0" w:space="0" w:color="auto"/>
                  </w:divBdr>
                  <w:divsChild>
                    <w:div w:id="486822925">
                      <w:marLeft w:val="0"/>
                      <w:marRight w:val="0"/>
                      <w:marTop w:val="0"/>
                      <w:marBottom w:val="0"/>
                      <w:divBdr>
                        <w:top w:val="none" w:sz="0" w:space="0" w:color="auto"/>
                        <w:left w:val="none" w:sz="0" w:space="0" w:color="auto"/>
                        <w:bottom w:val="none" w:sz="0" w:space="0" w:color="auto"/>
                        <w:right w:val="none" w:sz="0" w:space="0" w:color="auto"/>
                      </w:divBdr>
                    </w:div>
                  </w:divsChild>
                </w:div>
                <w:div w:id="792210321">
                  <w:marLeft w:val="0"/>
                  <w:marRight w:val="0"/>
                  <w:marTop w:val="0"/>
                  <w:marBottom w:val="0"/>
                  <w:divBdr>
                    <w:top w:val="none" w:sz="0" w:space="0" w:color="auto"/>
                    <w:left w:val="none" w:sz="0" w:space="0" w:color="auto"/>
                    <w:bottom w:val="none" w:sz="0" w:space="0" w:color="auto"/>
                    <w:right w:val="none" w:sz="0" w:space="0" w:color="auto"/>
                  </w:divBdr>
                  <w:divsChild>
                    <w:div w:id="2088382885">
                      <w:marLeft w:val="0"/>
                      <w:marRight w:val="0"/>
                      <w:marTop w:val="0"/>
                      <w:marBottom w:val="0"/>
                      <w:divBdr>
                        <w:top w:val="none" w:sz="0" w:space="0" w:color="auto"/>
                        <w:left w:val="none" w:sz="0" w:space="0" w:color="auto"/>
                        <w:bottom w:val="none" w:sz="0" w:space="0" w:color="auto"/>
                        <w:right w:val="none" w:sz="0" w:space="0" w:color="auto"/>
                      </w:divBdr>
                      <w:divsChild>
                        <w:div w:id="889611331">
                          <w:marLeft w:val="0"/>
                          <w:marRight w:val="0"/>
                          <w:marTop w:val="0"/>
                          <w:marBottom w:val="0"/>
                          <w:divBdr>
                            <w:top w:val="none" w:sz="0" w:space="0" w:color="auto"/>
                            <w:left w:val="none" w:sz="0" w:space="0" w:color="auto"/>
                            <w:bottom w:val="none" w:sz="0" w:space="0" w:color="auto"/>
                            <w:right w:val="none" w:sz="0" w:space="0" w:color="auto"/>
                          </w:divBdr>
                          <w:divsChild>
                            <w:div w:id="919682114">
                              <w:marLeft w:val="0"/>
                              <w:marRight w:val="0"/>
                              <w:marTop w:val="0"/>
                              <w:marBottom w:val="0"/>
                              <w:divBdr>
                                <w:top w:val="none" w:sz="0" w:space="0" w:color="auto"/>
                                <w:left w:val="none" w:sz="0" w:space="0" w:color="auto"/>
                                <w:bottom w:val="none" w:sz="0" w:space="0" w:color="auto"/>
                                <w:right w:val="none" w:sz="0" w:space="0" w:color="auto"/>
                              </w:divBdr>
                            </w:div>
                            <w:div w:id="1003970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43951163">
      <w:bodyDiv w:val="1"/>
      <w:marLeft w:val="0"/>
      <w:marRight w:val="0"/>
      <w:marTop w:val="0"/>
      <w:marBottom w:val="0"/>
      <w:divBdr>
        <w:top w:val="none" w:sz="0" w:space="0" w:color="auto"/>
        <w:left w:val="none" w:sz="0" w:space="0" w:color="auto"/>
        <w:bottom w:val="none" w:sz="0" w:space="0" w:color="auto"/>
        <w:right w:val="none" w:sz="0" w:space="0" w:color="auto"/>
      </w:divBdr>
      <w:divsChild>
        <w:div w:id="1992981139">
          <w:marLeft w:val="0"/>
          <w:marRight w:val="0"/>
          <w:marTop w:val="0"/>
          <w:marBottom w:val="0"/>
          <w:divBdr>
            <w:top w:val="none" w:sz="0" w:space="0" w:color="auto"/>
            <w:left w:val="none" w:sz="0" w:space="0" w:color="auto"/>
            <w:bottom w:val="none" w:sz="0" w:space="0" w:color="auto"/>
            <w:right w:val="none" w:sz="0" w:space="0" w:color="auto"/>
          </w:divBdr>
        </w:div>
        <w:div w:id="2010327776">
          <w:marLeft w:val="0"/>
          <w:marRight w:val="0"/>
          <w:marTop w:val="0"/>
          <w:marBottom w:val="0"/>
          <w:divBdr>
            <w:top w:val="none" w:sz="0" w:space="0" w:color="auto"/>
            <w:left w:val="none" w:sz="0" w:space="0" w:color="auto"/>
            <w:bottom w:val="none" w:sz="0" w:space="0" w:color="auto"/>
            <w:right w:val="none" w:sz="0" w:space="0" w:color="auto"/>
          </w:divBdr>
        </w:div>
      </w:divsChild>
    </w:div>
    <w:div w:id="1955361607">
      <w:bodyDiv w:val="1"/>
      <w:marLeft w:val="0"/>
      <w:marRight w:val="0"/>
      <w:marTop w:val="0"/>
      <w:marBottom w:val="0"/>
      <w:divBdr>
        <w:top w:val="none" w:sz="0" w:space="0" w:color="auto"/>
        <w:left w:val="none" w:sz="0" w:space="0" w:color="auto"/>
        <w:bottom w:val="none" w:sz="0" w:space="0" w:color="auto"/>
        <w:right w:val="none" w:sz="0" w:space="0" w:color="auto"/>
      </w:divBdr>
      <w:divsChild>
        <w:div w:id="1249847431">
          <w:marLeft w:val="0"/>
          <w:marRight w:val="0"/>
          <w:marTop w:val="0"/>
          <w:marBottom w:val="0"/>
          <w:divBdr>
            <w:top w:val="none" w:sz="0" w:space="0" w:color="auto"/>
            <w:left w:val="none" w:sz="0" w:space="0" w:color="auto"/>
            <w:bottom w:val="none" w:sz="0" w:space="0" w:color="auto"/>
            <w:right w:val="none" w:sz="0" w:space="0" w:color="auto"/>
          </w:divBdr>
          <w:divsChild>
            <w:div w:id="329062013">
              <w:marLeft w:val="0"/>
              <w:marRight w:val="0"/>
              <w:marTop w:val="0"/>
              <w:marBottom w:val="600"/>
              <w:divBdr>
                <w:top w:val="none" w:sz="0" w:space="0" w:color="auto"/>
                <w:left w:val="none" w:sz="0" w:space="0" w:color="auto"/>
                <w:bottom w:val="none" w:sz="0" w:space="0" w:color="auto"/>
                <w:right w:val="none" w:sz="0" w:space="0" w:color="auto"/>
              </w:divBdr>
            </w:div>
          </w:divsChild>
        </w:div>
        <w:div w:id="342324107">
          <w:marLeft w:val="0"/>
          <w:marRight w:val="0"/>
          <w:marTop w:val="0"/>
          <w:marBottom w:val="0"/>
          <w:divBdr>
            <w:top w:val="none" w:sz="0" w:space="0" w:color="auto"/>
            <w:left w:val="none" w:sz="0" w:space="0" w:color="auto"/>
            <w:bottom w:val="none" w:sz="0" w:space="0" w:color="auto"/>
            <w:right w:val="none" w:sz="0" w:space="0" w:color="auto"/>
          </w:divBdr>
          <w:divsChild>
            <w:div w:id="1200166407">
              <w:marLeft w:val="0"/>
              <w:marRight w:val="0"/>
              <w:marTop w:val="0"/>
              <w:marBottom w:val="600"/>
              <w:divBdr>
                <w:top w:val="none" w:sz="0" w:space="0" w:color="auto"/>
                <w:left w:val="none" w:sz="0" w:space="0" w:color="auto"/>
                <w:bottom w:val="none" w:sz="0" w:space="0" w:color="auto"/>
                <w:right w:val="none" w:sz="0" w:space="0" w:color="auto"/>
              </w:divBdr>
            </w:div>
          </w:divsChild>
        </w:div>
        <w:div w:id="1954896750">
          <w:marLeft w:val="0"/>
          <w:marRight w:val="0"/>
          <w:marTop w:val="0"/>
          <w:marBottom w:val="0"/>
          <w:divBdr>
            <w:top w:val="none" w:sz="0" w:space="0" w:color="auto"/>
            <w:left w:val="none" w:sz="0" w:space="0" w:color="auto"/>
            <w:bottom w:val="none" w:sz="0" w:space="0" w:color="auto"/>
            <w:right w:val="none" w:sz="0" w:space="0" w:color="auto"/>
          </w:divBdr>
          <w:divsChild>
            <w:div w:id="498736670">
              <w:marLeft w:val="0"/>
              <w:marRight w:val="0"/>
              <w:marTop w:val="0"/>
              <w:marBottom w:val="600"/>
              <w:divBdr>
                <w:top w:val="none" w:sz="0" w:space="0" w:color="auto"/>
                <w:left w:val="none" w:sz="0" w:space="0" w:color="auto"/>
                <w:bottom w:val="none" w:sz="0" w:space="0" w:color="auto"/>
                <w:right w:val="none" w:sz="0" w:space="0" w:color="auto"/>
              </w:divBdr>
              <w:divsChild>
                <w:div w:id="56173044">
                  <w:marLeft w:val="0"/>
                  <w:marRight w:val="0"/>
                  <w:marTop w:val="0"/>
                  <w:marBottom w:val="360"/>
                  <w:divBdr>
                    <w:top w:val="single" w:sz="12" w:space="15" w:color="D5D5D5"/>
                    <w:left w:val="single" w:sz="12" w:space="8" w:color="D5D5D5"/>
                    <w:bottom w:val="single" w:sz="12" w:space="15" w:color="D5D5D5"/>
                    <w:right w:val="single" w:sz="12" w:space="8" w:color="D5D5D5"/>
                  </w:divBdr>
                  <w:divsChild>
                    <w:div w:id="1560363550">
                      <w:marLeft w:val="0"/>
                      <w:marRight w:val="0"/>
                      <w:marTop w:val="0"/>
                      <w:marBottom w:val="240"/>
                      <w:divBdr>
                        <w:top w:val="none" w:sz="0" w:space="0" w:color="auto"/>
                        <w:left w:val="none" w:sz="0" w:space="0" w:color="auto"/>
                        <w:bottom w:val="none" w:sz="0" w:space="0" w:color="auto"/>
                        <w:right w:val="none" w:sz="0" w:space="0" w:color="auto"/>
                      </w:divBdr>
                      <w:divsChild>
                        <w:div w:id="866992525">
                          <w:marLeft w:val="0"/>
                          <w:marRight w:val="0"/>
                          <w:marTop w:val="0"/>
                          <w:marBottom w:val="0"/>
                          <w:divBdr>
                            <w:top w:val="none" w:sz="0" w:space="0" w:color="auto"/>
                            <w:left w:val="none" w:sz="0" w:space="0" w:color="auto"/>
                            <w:bottom w:val="none" w:sz="0" w:space="0" w:color="auto"/>
                            <w:right w:val="none" w:sz="0" w:space="0" w:color="auto"/>
                          </w:divBdr>
                        </w:div>
                        <w:div w:id="1218512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9746083">
                  <w:marLeft w:val="0"/>
                  <w:marRight w:val="0"/>
                  <w:marTop w:val="0"/>
                  <w:marBottom w:val="360"/>
                  <w:divBdr>
                    <w:top w:val="single" w:sz="12" w:space="15" w:color="D5D5D5"/>
                    <w:left w:val="single" w:sz="12" w:space="8" w:color="D5D5D5"/>
                    <w:bottom w:val="single" w:sz="12" w:space="15" w:color="D5D5D5"/>
                    <w:right w:val="single" w:sz="12" w:space="8" w:color="D5D5D5"/>
                  </w:divBdr>
                  <w:divsChild>
                    <w:div w:id="1243370690">
                      <w:marLeft w:val="0"/>
                      <w:marRight w:val="0"/>
                      <w:marTop w:val="0"/>
                      <w:marBottom w:val="240"/>
                      <w:divBdr>
                        <w:top w:val="none" w:sz="0" w:space="0" w:color="auto"/>
                        <w:left w:val="none" w:sz="0" w:space="0" w:color="auto"/>
                        <w:bottom w:val="none" w:sz="0" w:space="0" w:color="auto"/>
                        <w:right w:val="none" w:sz="0" w:space="0" w:color="auto"/>
                      </w:divBdr>
                      <w:divsChild>
                        <w:div w:id="404378888">
                          <w:marLeft w:val="0"/>
                          <w:marRight w:val="0"/>
                          <w:marTop w:val="0"/>
                          <w:marBottom w:val="0"/>
                          <w:divBdr>
                            <w:top w:val="none" w:sz="0" w:space="0" w:color="auto"/>
                            <w:left w:val="none" w:sz="0" w:space="0" w:color="auto"/>
                            <w:bottom w:val="none" w:sz="0" w:space="0" w:color="auto"/>
                            <w:right w:val="none" w:sz="0" w:space="0" w:color="auto"/>
                          </w:divBdr>
                        </w:div>
                        <w:div w:id="791748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3933677">
          <w:marLeft w:val="0"/>
          <w:marRight w:val="0"/>
          <w:marTop w:val="0"/>
          <w:marBottom w:val="0"/>
          <w:divBdr>
            <w:top w:val="none" w:sz="0" w:space="0" w:color="auto"/>
            <w:left w:val="none" w:sz="0" w:space="0" w:color="auto"/>
            <w:bottom w:val="none" w:sz="0" w:space="0" w:color="auto"/>
            <w:right w:val="none" w:sz="0" w:space="0" w:color="auto"/>
          </w:divBdr>
          <w:divsChild>
            <w:div w:id="246771137">
              <w:marLeft w:val="0"/>
              <w:marRight w:val="0"/>
              <w:marTop w:val="0"/>
              <w:marBottom w:val="600"/>
              <w:divBdr>
                <w:top w:val="none" w:sz="0" w:space="0" w:color="auto"/>
                <w:left w:val="none" w:sz="0" w:space="0" w:color="auto"/>
                <w:bottom w:val="none" w:sz="0" w:space="0" w:color="auto"/>
                <w:right w:val="none" w:sz="0" w:space="0" w:color="auto"/>
              </w:divBdr>
              <w:divsChild>
                <w:div w:id="591208072">
                  <w:marLeft w:val="0"/>
                  <w:marRight w:val="0"/>
                  <w:marTop w:val="0"/>
                  <w:marBottom w:val="360"/>
                  <w:divBdr>
                    <w:top w:val="single" w:sz="12" w:space="15" w:color="D5D5D5"/>
                    <w:left w:val="single" w:sz="12" w:space="8" w:color="D5D5D5"/>
                    <w:bottom w:val="single" w:sz="12" w:space="15" w:color="D5D5D5"/>
                    <w:right w:val="single" w:sz="12" w:space="8" w:color="D5D5D5"/>
                  </w:divBdr>
                </w:div>
                <w:div w:id="830220517">
                  <w:marLeft w:val="0"/>
                  <w:marRight w:val="0"/>
                  <w:marTop w:val="0"/>
                  <w:marBottom w:val="360"/>
                  <w:divBdr>
                    <w:top w:val="single" w:sz="12" w:space="15" w:color="D5D5D5"/>
                    <w:left w:val="single" w:sz="12" w:space="8" w:color="D5D5D5"/>
                    <w:bottom w:val="single" w:sz="12" w:space="15" w:color="D5D5D5"/>
                    <w:right w:val="single" w:sz="12" w:space="8" w:color="D5D5D5"/>
                  </w:divBdr>
                  <w:divsChild>
                    <w:div w:id="2064983137">
                      <w:marLeft w:val="0"/>
                      <w:marRight w:val="0"/>
                      <w:marTop w:val="0"/>
                      <w:marBottom w:val="240"/>
                      <w:divBdr>
                        <w:top w:val="none" w:sz="0" w:space="0" w:color="auto"/>
                        <w:left w:val="none" w:sz="0" w:space="0" w:color="auto"/>
                        <w:bottom w:val="none" w:sz="0" w:space="0" w:color="auto"/>
                        <w:right w:val="none" w:sz="0" w:space="0" w:color="auto"/>
                      </w:divBdr>
                      <w:divsChild>
                        <w:div w:id="1655332593">
                          <w:marLeft w:val="0"/>
                          <w:marRight w:val="0"/>
                          <w:marTop w:val="0"/>
                          <w:marBottom w:val="0"/>
                          <w:divBdr>
                            <w:top w:val="none" w:sz="0" w:space="0" w:color="auto"/>
                            <w:left w:val="none" w:sz="0" w:space="0" w:color="auto"/>
                            <w:bottom w:val="none" w:sz="0" w:space="0" w:color="auto"/>
                            <w:right w:val="none" w:sz="0" w:space="0" w:color="auto"/>
                          </w:divBdr>
                        </w:div>
                        <w:div w:id="1889294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7127451">
                  <w:marLeft w:val="0"/>
                  <w:marRight w:val="0"/>
                  <w:marTop w:val="0"/>
                  <w:marBottom w:val="360"/>
                  <w:divBdr>
                    <w:top w:val="single" w:sz="12" w:space="15" w:color="D5D5D5"/>
                    <w:left w:val="single" w:sz="12" w:space="8" w:color="D5D5D5"/>
                    <w:bottom w:val="single" w:sz="12" w:space="15" w:color="D5D5D5"/>
                    <w:right w:val="single" w:sz="12" w:space="8" w:color="D5D5D5"/>
                  </w:divBdr>
                  <w:divsChild>
                    <w:div w:id="1904488733">
                      <w:marLeft w:val="0"/>
                      <w:marRight w:val="0"/>
                      <w:marTop w:val="0"/>
                      <w:marBottom w:val="240"/>
                      <w:divBdr>
                        <w:top w:val="none" w:sz="0" w:space="0" w:color="auto"/>
                        <w:left w:val="none" w:sz="0" w:space="0" w:color="auto"/>
                        <w:bottom w:val="none" w:sz="0" w:space="0" w:color="auto"/>
                        <w:right w:val="none" w:sz="0" w:space="0" w:color="auto"/>
                      </w:divBdr>
                      <w:divsChild>
                        <w:div w:id="1838377127">
                          <w:marLeft w:val="0"/>
                          <w:marRight w:val="0"/>
                          <w:marTop w:val="0"/>
                          <w:marBottom w:val="0"/>
                          <w:divBdr>
                            <w:top w:val="none" w:sz="0" w:space="0" w:color="auto"/>
                            <w:left w:val="none" w:sz="0" w:space="0" w:color="auto"/>
                            <w:bottom w:val="none" w:sz="0" w:space="0" w:color="auto"/>
                            <w:right w:val="none" w:sz="0" w:space="0" w:color="auto"/>
                          </w:divBdr>
                        </w:div>
                        <w:div w:id="184008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5448272">
          <w:marLeft w:val="0"/>
          <w:marRight w:val="0"/>
          <w:marTop w:val="0"/>
          <w:marBottom w:val="0"/>
          <w:divBdr>
            <w:top w:val="none" w:sz="0" w:space="0" w:color="auto"/>
            <w:left w:val="none" w:sz="0" w:space="0" w:color="auto"/>
            <w:bottom w:val="none" w:sz="0" w:space="0" w:color="auto"/>
            <w:right w:val="none" w:sz="0" w:space="0" w:color="auto"/>
          </w:divBdr>
          <w:divsChild>
            <w:div w:id="1342661867">
              <w:marLeft w:val="0"/>
              <w:marRight w:val="0"/>
              <w:marTop w:val="0"/>
              <w:marBottom w:val="600"/>
              <w:divBdr>
                <w:top w:val="none" w:sz="0" w:space="0" w:color="auto"/>
                <w:left w:val="none" w:sz="0" w:space="0" w:color="auto"/>
                <w:bottom w:val="none" w:sz="0" w:space="0" w:color="auto"/>
                <w:right w:val="none" w:sz="0" w:space="0" w:color="auto"/>
              </w:divBdr>
            </w:div>
          </w:divsChild>
        </w:div>
        <w:div w:id="2021471305">
          <w:marLeft w:val="0"/>
          <w:marRight w:val="0"/>
          <w:marTop w:val="0"/>
          <w:marBottom w:val="0"/>
          <w:divBdr>
            <w:top w:val="none" w:sz="0" w:space="0" w:color="auto"/>
            <w:left w:val="none" w:sz="0" w:space="0" w:color="auto"/>
            <w:bottom w:val="none" w:sz="0" w:space="0" w:color="auto"/>
            <w:right w:val="none" w:sz="0" w:space="0" w:color="auto"/>
          </w:divBdr>
          <w:divsChild>
            <w:div w:id="1855727238">
              <w:marLeft w:val="0"/>
              <w:marRight w:val="0"/>
              <w:marTop w:val="0"/>
              <w:marBottom w:val="600"/>
              <w:divBdr>
                <w:top w:val="none" w:sz="0" w:space="0" w:color="auto"/>
                <w:left w:val="none" w:sz="0" w:space="0" w:color="auto"/>
                <w:bottom w:val="none" w:sz="0" w:space="0" w:color="auto"/>
                <w:right w:val="none" w:sz="0" w:space="0" w:color="auto"/>
              </w:divBdr>
            </w:div>
          </w:divsChild>
        </w:div>
        <w:div w:id="135727776">
          <w:marLeft w:val="0"/>
          <w:marRight w:val="0"/>
          <w:marTop w:val="0"/>
          <w:marBottom w:val="0"/>
          <w:divBdr>
            <w:top w:val="none" w:sz="0" w:space="0" w:color="auto"/>
            <w:left w:val="none" w:sz="0" w:space="0" w:color="auto"/>
            <w:bottom w:val="none" w:sz="0" w:space="0" w:color="auto"/>
            <w:right w:val="none" w:sz="0" w:space="0" w:color="auto"/>
          </w:divBdr>
          <w:divsChild>
            <w:div w:id="714160626">
              <w:marLeft w:val="0"/>
              <w:marRight w:val="0"/>
              <w:marTop w:val="0"/>
              <w:marBottom w:val="0"/>
              <w:divBdr>
                <w:top w:val="none" w:sz="0" w:space="0" w:color="auto"/>
                <w:left w:val="none" w:sz="0" w:space="0" w:color="auto"/>
                <w:bottom w:val="none" w:sz="0" w:space="0" w:color="auto"/>
                <w:right w:val="none" w:sz="0" w:space="0" w:color="auto"/>
              </w:divBdr>
              <w:divsChild>
                <w:div w:id="1189031467">
                  <w:marLeft w:val="0"/>
                  <w:marRight w:val="0"/>
                  <w:marTop w:val="0"/>
                  <w:marBottom w:val="600"/>
                  <w:divBdr>
                    <w:top w:val="none" w:sz="0" w:space="0" w:color="auto"/>
                    <w:left w:val="none" w:sz="0" w:space="0" w:color="auto"/>
                    <w:bottom w:val="none" w:sz="0" w:space="0" w:color="auto"/>
                    <w:right w:val="none" w:sz="0" w:space="0" w:color="auto"/>
                  </w:divBdr>
                  <w:divsChild>
                    <w:div w:id="121576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9933054">
          <w:marLeft w:val="0"/>
          <w:marRight w:val="0"/>
          <w:marTop w:val="0"/>
          <w:marBottom w:val="0"/>
          <w:divBdr>
            <w:top w:val="none" w:sz="0" w:space="0" w:color="auto"/>
            <w:left w:val="none" w:sz="0" w:space="0" w:color="auto"/>
            <w:bottom w:val="none" w:sz="0" w:space="0" w:color="auto"/>
            <w:right w:val="none" w:sz="0" w:space="0" w:color="auto"/>
          </w:divBdr>
          <w:divsChild>
            <w:div w:id="883177679">
              <w:marLeft w:val="0"/>
              <w:marRight w:val="0"/>
              <w:marTop w:val="0"/>
              <w:marBottom w:val="600"/>
              <w:divBdr>
                <w:top w:val="none" w:sz="0" w:space="0" w:color="auto"/>
                <w:left w:val="none" w:sz="0" w:space="0" w:color="auto"/>
                <w:bottom w:val="none" w:sz="0" w:space="0" w:color="auto"/>
                <w:right w:val="none" w:sz="0" w:space="0" w:color="auto"/>
              </w:divBdr>
            </w:div>
          </w:divsChild>
        </w:div>
        <w:div w:id="1930502556">
          <w:marLeft w:val="0"/>
          <w:marRight w:val="0"/>
          <w:marTop w:val="0"/>
          <w:marBottom w:val="0"/>
          <w:divBdr>
            <w:top w:val="none" w:sz="0" w:space="0" w:color="auto"/>
            <w:left w:val="none" w:sz="0" w:space="0" w:color="auto"/>
            <w:bottom w:val="none" w:sz="0" w:space="0" w:color="auto"/>
            <w:right w:val="none" w:sz="0" w:space="0" w:color="auto"/>
          </w:divBdr>
          <w:divsChild>
            <w:div w:id="1691294651">
              <w:marLeft w:val="0"/>
              <w:marRight w:val="0"/>
              <w:marTop w:val="0"/>
              <w:marBottom w:val="600"/>
              <w:divBdr>
                <w:top w:val="none" w:sz="0" w:space="0" w:color="auto"/>
                <w:left w:val="none" w:sz="0" w:space="0" w:color="auto"/>
                <w:bottom w:val="none" w:sz="0" w:space="0" w:color="auto"/>
                <w:right w:val="none" w:sz="0" w:space="0" w:color="auto"/>
              </w:divBdr>
            </w:div>
          </w:divsChild>
        </w:div>
        <w:div w:id="421339754">
          <w:marLeft w:val="0"/>
          <w:marRight w:val="0"/>
          <w:marTop w:val="0"/>
          <w:marBottom w:val="0"/>
          <w:divBdr>
            <w:top w:val="none" w:sz="0" w:space="0" w:color="auto"/>
            <w:left w:val="none" w:sz="0" w:space="0" w:color="auto"/>
            <w:bottom w:val="none" w:sz="0" w:space="0" w:color="auto"/>
            <w:right w:val="none" w:sz="0" w:space="0" w:color="auto"/>
          </w:divBdr>
          <w:divsChild>
            <w:div w:id="1778065834">
              <w:marLeft w:val="0"/>
              <w:marRight w:val="0"/>
              <w:marTop w:val="0"/>
              <w:marBottom w:val="600"/>
              <w:divBdr>
                <w:top w:val="none" w:sz="0" w:space="0" w:color="auto"/>
                <w:left w:val="none" w:sz="0" w:space="0" w:color="auto"/>
                <w:bottom w:val="none" w:sz="0" w:space="0" w:color="auto"/>
                <w:right w:val="none" w:sz="0" w:space="0" w:color="auto"/>
              </w:divBdr>
            </w:div>
          </w:divsChild>
        </w:div>
        <w:div w:id="1662126083">
          <w:marLeft w:val="0"/>
          <w:marRight w:val="0"/>
          <w:marTop w:val="0"/>
          <w:marBottom w:val="0"/>
          <w:divBdr>
            <w:top w:val="none" w:sz="0" w:space="0" w:color="auto"/>
            <w:left w:val="none" w:sz="0" w:space="0" w:color="auto"/>
            <w:bottom w:val="none" w:sz="0" w:space="0" w:color="auto"/>
            <w:right w:val="none" w:sz="0" w:space="0" w:color="auto"/>
          </w:divBdr>
          <w:divsChild>
            <w:div w:id="1044015361">
              <w:marLeft w:val="0"/>
              <w:marRight w:val="0"/>
              <w:marTop w:val="0"/>
              <w:marBottom w:val="600"/>
              <w:divBdr>
                <w:top w:val="none" w:sz="0" w:space="0" w:color="auto"/>
                <w:left w:val="none" w:sz="0" w:space="0" w:color="auto"/>
                <w:bottom w:val="none" w:sz="0" w:space="0" w:color="auto"/>
                <w:right w:val="none" w:sz="0" w:space="0" w:color="auto"/>
              </w:divBdr>
            </w:div>
          </w:divsChild>
        </w:div>
        <w:div w:id="169686649">
          <w:marLeft w:val="0"/>
          <w:marRight w:val="0"/>
          <w:marTop w:val="0"/>
          <w:marBottom w:val="0"/>
          <w:divBdr>
            <w:top w:val="none" w:sz="0" w:space="0" w:color="auto"/>
            <w:left w:val="none" w:sz="0" w:space="0" w:color="auto"/>
            <w:bottom w:val="none" w:sz="0" w:space="0" w:color="auto"/>
            <w:right w:val="none" w:sz="0" w:space="0" w:color="auto"/>
          </w:divBdr>
          <w:divsChild>
            <w:div w:id="2002272187">
              <w:marLeft w:val="0"/>
              <w:marRight w:val="0"/>
              <w:marTop w:val="0"/>
              <w:marBottom w:val="600"/>
              <w:divBdr>
                <w:top w:val="none" w:sz="0" w:space="0" w:color="auto"/>
                <w:left w:val="none" w:sz="0" w:space="0" w:color="auto"/>
                <w:bottom w:val="none" w:sz="0" w:space="0" w:color="auto"/>
                <w:right w:val="none" w:sz="0" w:space="0" w:color="auto"/>
              </w:divBdr>
            </w:div>
          </w:divsChild>
        </w:div>
        <w:div w:id="1323587893">
          <w:marLeft w:val="0"/>
          <w:marRight w:val="0"/>
          <w:marTop w:val="0"/>
          <w:marBottom w:val="0"/>
          <w:divBdr>
            <w:top w:val="none" w:sz="0" w:space="0" w:color="auto"/>
            <w:left w:val="none" w:sz="0" w:space="0" w:color="auto"/>
            <w:bottom w:val="none" w:sz="0" w:space="0" w:color="auto"/>
            <w:right w:val="none" w:sz="0" w:space="0" w:color="auto"/>
          </w:divBdr>
          <w:divsChild>
            <w:div w:id="696731995">
              <w:marLeft w:val="0"/>
              <w:marRight w:val="0"/>
              <w:marTop w:val="0"/>
              <w:marBottom w:val="600"/>
              <w:divBdr>
                <w:top w:val="none" w:sz="0" w:space="0" w:color="auto"/>
                <w:left w:val="none" w:sz="0" w:space="0" w:color="auto"/>
                <w:bottom w:val="none" w:sz="0" w:space="0" w:color="auto"/>
                <w:right w:val="none" w:sz="0" w:space="0" w:color="auto"/>
              </w:divBdr>
              <w:divsChild>
                <w:div w:id="1470368092">
                  <w:marLeft w:val="0"/>
                  <w:marRight w:val="0"/>
                  <w:marTop w:val="0"/>
                  <w:marBottom w:val="0"/>
                  <w:divBdr>
                    <w:top w:val="none" w:sz="0" w:space="0" w:color="auto"/>
                    <w:left w:val="none" w:sz="0" w:space="0" w:color="auto"/>
                    <w:bottom w:val="none" w:sz="0" w:space="0" w:color="auto"/>
                    <w:right w:val="none" w:sz="0" w:space="0" w:color="auto"/>
                  </w:divBdr>
                  <w:divsChild>
                    <w:div w:id="1235049338">
                      <w:marLeft w:val="0"/>
                      <w:marRight w:val="360"/>
                      <w:marTop w:val="0"/>
                      <w:marBottom w:val="0"/>
                      <w:divBdr>
                        <w:top w:val="none" w:sz="0" w:space="0" w:color="auto"/>
                        <w:left w:val="none" w:sz="0" w:space="0" w:color="auto"/>
                        <w:bottom w:val="none" w:sz="0" w:space="0" w:color="auto"/>
                        <w:right w:val="single" w:sz="6" w:space="0" w:color="D5D5D5"/>
                      </w:divBdr>
                    </w:div>
                    <w:div w:id="740559785">
                      <w:marLeft w:val="0"/>
                      <w:marRight w:val="0"/>
                      <w:marTop w:val="0"/>
                      <w:marBottom w:val="0"/>
                      <w:divBdr>
                        <w:top w:val="none" w:sz="0" w:space="0" w:color="auto"/>
                        <w:left w:val="none" w:sz="0" w:space="0" w:color="auto"/>
                        <w:bottom w:val="none" w:sz="0" w:space="0" w:color="auto"/>
                        <w:right w:val="none" w:sz="0" w:space="0" w:color="auto"/>
                      </w:divBdr>
                      <w:divsChild>
                        <w:div w:id="63995860">
                          <w:marLeft w:val="0"/>
                          <w:marRight w:val="0"/>
                          <w:marTop w:val="0"/>
                          <w:marBottom w:val="0"/>
                          <w:divBdr>
                            <w:top w:val="none" w:sz="0" w:space="0" w:color="auto"/>
                            <w:left w:val="none" w:sz="0" w:space="0" w:color="auto"/>
                            <w:bottom w:val="none" w:sz="0" w:space="0" w:color="auto"/>
                            <w:right w:val="none" w:sz="0" w:space="0" w:color="auto"/>
                          </w:divBdr>
                          <w:divsChild>
                            <w:div w:id="883178794">
                              <w:marLeft w:val="0"/>
                              <w:marRight w:val="0"/>
                              <w:marTop w:val="0"/>
                              <w:marBottom w:val="0"/>
                              <w:divBdr>
                                <w:top w:val="none" w:sz="0" w:space="0" w:color="auto"/>
                                <w:left w:val="none" w:sz="0" w:space="0" w:color="auto"/>
                                <w:bottom w:val="none" w:sz="0" w:space="0" w:color="auto"/>
                                <w:right w:val="none" w:sz="0" w:space="0" w:color="auto"/>
                              </w:divBdr>
                            </w:div>
                          </w:divsChild>
                        </w:div>
                        <w:div w:id="2026974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65231309">
      <w:bodyDiv w:val="1"/>
      <w:marLeft w:val="0"/>
      <w:marRight w:val="0"/>
      <w:marTop w:val="0"/>
      <w:marBottom w:val="0"/>
      <w:divBdr>
        <w:top w:val="none" w:sz="0" w:space="0" w:color="auto"/>
        <w:left w:val="none" w:sz="0" w:space="0" w:color="auto"/>
        <w:bottom w:val="none" w:sz="0" w:space="0" w:color="auto"/>
        <w:right w:val="none" w:sz="0" w:space="0" w:color="auto"/>
      </w:divBdr>
      <w:divsChild>
        <w:div w:id="1856263398">
          <w:marLeft w:val="0"/>
          <w:marRight w:val="0"/>
          <w:marTop w:val="0"/>
          <w:marBottom w:val="0"/>
          <w:divBdr>
            <w:top w:val="none" w:sz="0" w:space="0" w:color="auto"/>
            <w:left w:val="none" w:sz="0" w:space="0" w:color="auto"/>
            <w:bottom w:val="none" w:sz="0" w:space="0" w:color="auto"/>
            <w:right w:val="none" w:sz="0" w:space="0" w:color="auto"/>
          </w:divBdr>
        </w:div>
        <w:div w:id="470826955">
          <w:marLeft w:val="0"/>
          <w:marRight w:val="0"/>
          <w:marTop w:val="75"/>
          <w:marBottom w:val="0"/>
          <w:divBdr>
            <w:top w:val="none" w:sz="0" w:space="0" w:color="auto"/>
            <w:left w:val="none" w:sz="0" w:space="0" w:color="auto"/>
            <w:bottom w:val="none" w:sz="0" w:space="0" w:color="auto"/>
            <w:right w:val="none" w:sz="0" w:space="0" w:color="auto"/>
          </w:divBdr>
        </w:div>
      </w:divsChild>
    </w:div>
    <w:div w:id="1974096783">
      <w:bodyDiv w:val="1"/>
      <w:marLeft w:val="0"/>
      <w:marRight w:val="0"/>
      <w:marTop w:val="0"/>
      <w:marBottom w:val="0"/>
      <w:divBdr>
        <w:top w:val="none" w:sz="0" w:space="0" w:color="auto"/>
        <w:left w:val="none" w:sz="0" w:space="0" w:color="auto"/>
        <w:bottom w:val="none" w:sz="0" w:space="0" w:color="auto"/>
        <w:right w:val="none" w:sz="0" w:space="0" w:color="auto"/>
      </w:divBdr>
    </w:div>
    <w:div w:id="1985114590">
      <w:bodyDiv w:val="1"/>
      <w:marLeft w:val="0"/>
      <w:marRight w:val="0"/>
      <w:marTop w:val="0"/>
      <w:marBottom w:val="0"/>
      <w:divBdr>
        <w:top w:val="none" w:sz="0" w:space="0" w:color="auto"/>
        <w:left w:val="none" w:sz="0" w:space="0" w:color="auto"/>
        <w:bottom w:val="none" w:sz="0" w:space="0" w:color="auto"/>
        <w:right w:val="none" w:sz="0" w:space="0" w:color="auto"/>
      </w:divBdr>
      <w:divsChild>
        <w:div w:id="2003392520">
          <w:marLeft w:val="0"/>
          <w:marRight w:val="0"/>
          <w:marTop w:val="0"/>
          <w:marBottom w:val="270"/>
          <w:divBdr>
            <w:top w:val="none" w:sz="0" w:space="0" w:color="auto"/>
            <w:left w:val="none" w:sz="0" w:space="0" w:color="auto"/>
            <w:bottom w:val="none" w:sz="0" w:space="0" w:color="auto"/>
            <w:right w:val="none" w:sz="0" w:space="0" w:color="auto"/>
          </w:divBdr>
          <w:divsChild>
            <w:div w:id="1284264038">
              <w:marLeft w:val="0"/>
              <w:marRight w:val="0"/>
              <w:marTop w:val="0"/>
              <w:marBottom w:val="0"/>
              <w:divBdr>
                <w:top w:val="none" w:sz="0" w:space="0" w:color="auto"/>
                <w:left w:val="none" w:sz="0" w:space="0" w:color="auto"/>
                <w:bottom w:val="none" w:sz="0" w:space="0" w:color="auto"/>
                <w:right w:val="none" w:sz="0" w:space="0" w:color="auto"/>
              </w:divBdr>
              <w:divsChild>
                <w:div w:id="1434519144">
                  <w:marLeft w:val="0"/>
                  <w:marRight w:val="0"/>
                  <w:marTop w:val="225"/>
                  <w:marBottom w:val="225"/>
                  <w:divBdr>
                    <w:top w:val="none" w:sz="0" w:space="0" w:color="auto"/>
                    <w:left w:val="none" w:sz="0" w:space="0" w:color="auto"/>
                    <w:bottom w:val="none" w:sz="0" w:space="0" w:color="auto"/>
                    <w:right w:val="none" w:sz="0" w:space="0" w:color="auto"/>
                  </w:divBdr>
                  <w:divsChild>
                    <w:div w:id="1627353625">
                      <w:marLeft w:val="0"/>
                      <w:marRight w:val="0"/>
                      <w:marTop w:val="0"/>
                      <w:marBottom w:val="0"/>
                      <w:divBdr>
                        <w:top w:val="none" w:sz="0" w:space="0" w:color="auto"/>
                        <w:left w:val="none" w:sz="0" w:space="0" w:color="auto"/>
                        <w:bottom w:val="none" w:sz="0" w:space="0" w:color="auto"/>
                        <w:right w:val="none" w:sz="0" w:space="0" w:color="auto"/>
                      </w:divBdr>
                      <w:divsChild>
                        <w:div w:id="6831514">
                          <w:marLeft w:val="0"/>
                          <w:marRight w:val="0"/>
                          <w:marTop w:val="0"/>
                          <w:marBottom w:val="0"/>
                          <w:divBdr>
                            <w:top w:val="none" w:sz="0" w:space="0" w:color="auto"/>
                            <w:left w:val="none" w:sz="0" w:space="0" w:color="auto"/>
                            <w:bottom w:val="none" w:sz="0" w:space="0" w:color="auto"/>
                            <w:right w:val="none" w:sz="0" w:space="0" w:color="auto"/>
                          </w:divBdr>
                          <w:divsChild>
                            <w:div w:id="88621912">
                              <w:marLeft w:val="0"/>
                              <w:marRight w:val="0"/>
                              <w:marTop w:val="0"/>
                              <w:marBottom w:val="0"/>
                              <w:divBdr>
                                <w:top w:val="none" w:sz="0" w:space="0" w:color="auto"/>
                                <w:left w:val="none" w:sz="0" w:space="0" w:color="auto"/>
                                <w:bottom w:val="none" w:sz="0" w:space="0" w:color="auto"/>
                                <w:right w:val="none" w:sz="0" w:space="0" w:color="auto"/>
                              </w:divBdr>
                            </w:div>
                            <w:div w:id="273437684">
                              <w:marLeft w:val="0"/>
                              <w:marRight w:val="0"/>
                              <w:marTop w:val="0"/>
                              <w:marBottom w:val="0"/>
                              <w:divBdr>
                                <w:top w:val="none" w:sz="0" w:space="0" w:color="auto"/>
                                <w:left w:val="none" w:sz="0" w:space="0" w:color="auto"/>
                                <w:bottom w:val="none" w:sz="0" w:space="0" w:color="auto"/>
                                <w:right w:val="none" w:sz="0" w:space="0" w:color="auto"/>
                              </w:divBdr>
                            </w:div>
                            <w:div w:id="1445534226">
                              <w:marLeft w:val="0"/>
                              <w:marRight w:val="0"/>
                              <w:marTop w:val="0"/>
                              <w:marBottom w:val="0"/>
                              <w:divBdr>
                                <w:top w:val="none" w:sz="0" w:space="0" w:color="auto"/>
                                <w:left w:val="none" w:sz="0" w:space="0" w:color="auto"/>
                                <w:bottom w:val="none" w:sz="0" w:space="0" w:color="auto"/>
                                <w:right w:val="none" w:sz="0" w:space="0" w:color="auto"/>
                              </w:divBdr>
                            </w:div>
                            <w:div w:id="609120168">
                              <w:marLeft w:val="0"/>
                              <w:marRight w:val="0"/>
                              <w:marTop w:val="0"/>
                              <w:marBottom w:val="0"/>
                              <w:divBdr>
                                <w:top w:val="none" w:sz="0" w:space="0" w:color="auto"/>
                                <w:left w:val="none" w:sz="0" w:space="0" w:color="auto"/>
                                <w:bottom w:val="none" w:sz="0" w:space="0" w:color="auto"/>
                                <w:right w:val="none" w:sz="0" w:space="0" w:color="auto"/>
                              </w:divBdr>
                            </w:div>
                            <w:div w:id="668752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7621550">
                  <w:marLeft w:val="0"/>
                  <w:marRight w:val="0"/>
                  <w:marTop w:val="225"/>
                  <w:marBottom w:val="225"/>
                  <w:divBdr>
                    <w:top w:val="none" w:sz="0" w:space="0" w:color="auto"/>
                    <w:left w:val="none" w:sz="0" w:space="0" w:color="auto"/>
                    <w:bottom w:val="none" w:sz="0" w:space="0" w:color="auto"/>
                    <w:right w:val="none" w:sz="0" w:space="0" w:color="auto"/>
                  </w:divBdr>
                  <w:divsChild>
                    <w:div w:id="1481997081">
                      <w:marLeft w:val="0"/>
                      <w:marRight w:val="0"/>
                      <w:marTop w:val="0"/>
                      <w:marBottom w:val="0"/>
                      <w:divBdr>
                        <w:top w:val="none" w:sz="0" w:space="0" w:color="auto"/>
                        <w:left w:val="none" w:sz="0" w:space="0" w:color="auto"/>
                        <w:bottom w:val="none" w:sz="0" w:space="0" w:color="auto"/>
                        <w:right w:val="none" w:sz="0" w:space="0" w:color="auto"/>
                      </w:divBdr>
                    </w:div>
                    <w:div w:id="379672451">
                      <w:marLeft w:val="0"/>
                      <w:marRight w:val="0"/>
                      <w:marTop w:val="0"/>
                      <w:marBottom w:val="0"/>
                      <w:divBdr>
                        <w:top w:val="none" w:sz="0" w:space="0" w:color="auto"/>
                        <w:left w:val="none" w:sz="0" w:space="0" w:color="auto"/>
                        <w:bottom w:val="none" w:sz="0" w:space="0" w:color="auto"/>
                        <w:right w:val="none" w:sz="0" w:space="0" w:color="auto"/>
                      </w:divBdr>
                    </w:div>
                    <w:div w:id="1679843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2369590">
          <w:marLeft w:val="0"/>
          <w:marRight w:val="0"/>
          <w:marTop w:val="0"/>
          <w:marBottom w:val="0"/>
          <w:divBdr>
            <w:top w:val="none" w:sz="0" w:space="0" w:color="auto"/>
            <w:left w:val="none" w:sz="0" w:space="0" w:color="auto"/>
            <w:bottom w:val="none" w:sz="0" w:space="0" w:color="auto"/>
            <w:right w:val="none" w:sz="0" w:space="0" w:color="auto"/>
          </w:divBdr>
          <w:divsChild>
            <w:div w:id="1640574157">
              <w:marLeft w:val="0"/>
              <w:marRight w:val="0"/>
              <w:marTop w:val="0"/>
              <w:marBottom w:val="0"/>
              <w:divBdr>
                <w:top w:val="none" w:sz="0" w:space="0" w:color="auto"/>
                <w:left w:val="none" w:sz="0" w:space="0" w:color="auto"/>
                <w:bottom w:val="single" w:sz="12" w:space="0" w:color="D8D9DA"/>
                <w:right w:val="none" w:sz="0" w:space="0" w:color="auto"/>
              </w:divBdr>
              <w:divsChild>
                <w:div w:id="1351637183">
                  <w:marLeft w:val="0"/>
                  <w:marRight w:val="0"/>
                  <w:marTop w:val="0"/>
                  <w:marBottom w:val="0"/>
                  <w:divBdr>
                    <w:top w:val="none" w:sz="0" w:space="0" w:color="auto"/>
                    <w:left w:val="none" w:sz="0" w:space="0" w:color="auto"/>
                    <w:bottom w:val="none" w:sz="0" w:space="0" w:color="auto"/>
                    <w:right w:val="none" w:sz="0" w:space="0" w:color="auto"/>
                  </w:divBdr>
                  <w:divsChild>
                    <w:div w:id="1594363877">
                      <w:marLeft w:val="0"/>
                      <w:marRight w:val="0"/>
                      <w:marTop w:val="0"/>
                      <w:marBottom w:val="0"/>
                      <w:divBdr>
                        <w:top w:val="none" w:sz="0" w:space="0" w:color="auto"/>
                        <w:left w:val="none" w:sz="0" w:space="0" w:color="auto"/>
                        <w:bottom w:val="none" w:sz="0" w:space="0" w:color="auto"/>
                        <w:right w:val="none" w:sz="0" w:space="0" w:color="auto"/>
                      </w:divBdr>
                    </w:div>
                  </w:divsChild>
                </w:div>
                <w:div w:id="977762582">
                  <w:marLeft w:val="0"/>
                  <w:marRight w:val="0"/>
                  <w:marTop w:val="0"/>
                  <w:marBottom w:val="0"/>
                  <w:divBdr>
                    <w:top w:val="none" w:sz="0" w:space="0" w:color="auto"/>
                    <w:left w:val="none" w:sz="0" w:space="0" w:color="auto"/>
                    <w:bottom w:val="none" w:sz="0" w:space="0" w:color="auto"/>
                    <w:right w:val="none" w:sz="0" w:space="0" w:color="auto"/>
                  </w:divBdr>
                  <w:divsChild>
                    <w:div w:id="1175219191">
                      <w:marLeft w:val="0"/>
                      <w:marRight w:val="0"/>
                      <w:marTop w:val="0"/>
                      <w:marBottom w:val="0"/>
                      <w:divBdr>
                        <w:top w:val="none" w:sz="0" w:space="0" w:color="auto"/>
                        <w:left w:val="none" w:sz="0" w:space="0" w:color="auto"/>
                        <w:bottom w:val="none" w:sz="0" w:space="0" w:color="auto"/>
                        <w:right w:val="none" w:sz="0" w:space="0" w:color="auto"/>
                      </w:divBdr>
                    </w:div>
                    <w:div w:id="349917031">
                      <w:marLeft w:val="270"/>
                      <w:marRight w:val="0"/>
                      <w:marTop w:val="0"/>
                      <w:marBottom w:val="0"/>
                      <w:divBdr>
                        <w:top w:val="none" w:sz="0" w:space="0" w:color="auto"/>
                        <w:left w:val="none" w:sz="0" w:space="0" w:color="auto"/>
                        <w:bottom w:val="none" w:sz="0" w:space="0" w:color="auto"/>
                        <w:right w:val="none" w:sz="0" w:space="0" w:color="auto"/>
                      </w:divBdr>
                    </w:div>
                    <w:div w:id="1046299330">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8273337">
          <w:marLeft w:val="0"/>
          <w:marRight w:val="0"/>
          <w:marTop w:val="300"/>
          <w:marBottom w:val="0"/>
          <w:divBdr>
            <w:top w:val="none" w:sz="0" w:space="0" w:color="auto"/>
            <w:left w:val="none" w:sz="0" w:space="0" w:color="auto"/>
            <w:bottom w:val="none" w:sz="0" w:space="0" w:color="auto"/>
            <w:right w:val="none" w:sz="0" w:space="0" w:color="auto"/>
          </w:divBdr>
          <w:divsChild>
            <w:div w:id="1211309663">
              <w:marLeft w:val="0"/>
              <w:marRight w:val="0"/>
              <w:marTop w:val="0"/>
              <w:marBottom w:val="0"/>
              <w:divBdr>
                <w:top w:val="none" w:sz="0" w:space="0" w:color="auto"/>
                <w:left w:val="none" w:sz="0" w:space="0" w:color="auto"/>
                <w:bottom w:val="none" w:sz="0" w:space="0" w:color="auto"/>
                <w:right w:val="none" w:sz="0" w:space="0" w:color="auto"/>
              </w:divBdr>
            </w:div>
            <w:div w:id="1027944948">
              <w:marLeft w:val="0"/>
              <w:marRight w:val="0"/>
              <w:marTop w:val="0"/>
              <w:marBottom w:val="450"/>
              <w:divBdr>
                <w:top w:val="none" w:sz="0" w:space="0" w:color="auto"/>
                <w:left w:val="none" w:sz="0" w:space="0" w:color="auto"/>
                <w:bottom w:val="none" w:sz="0" w:space="0" w:color="auto"/>
                <w:right w:val="none" w:sz="0" w:space="0" w:color="auto"/>
              </w:divBdr>
              <w:divsChild>
                <w:div w:id="2094739066">
                  <w:marLeft w:val="0"/>
                  <w:marRight w:val="0"/>
                  <w:marTop w:val="225"/>
                  <w:marBottom w:val="0"/>
                  <w:divBdr>
                    <w:top w:val="none" w:sz="0" w:space="0" w:color="auto"/>
                    <w:left w:val="none" w:sz="0" w:space="0" w:color="auto"/>
                    <w:bottom w:val="none" w:sz="0" w:space="0" w:color="auto"/>
                    <w:right w:val="none" w:sz="0" w:space="0" w:color="auto"/>
                  </w:divBdr>
                </w:div>
                <w:div w:id="1925189658">
                  <w:marLeft w:val="0"/>
                  <w:marRight w:val="0"/>
                  <w:marTop w:val="0"/>
                  <w:marBottom w:val="0"/>
                  <w:divBdr>
                    <w:top w:val="none" w:sz="0" w:space="0" w:color="auto"/>
                    <w:left w:val="none" w:sz="0" w:space="0" w:color="auto"/>
                    <w:bottom w:val="none" w:sz="0" w:space="0" w:color="auto"/>
                    <w:right w:val="none" w:sz="0" w:space="0" w:color="auto"/>
                  </w:divBdr>
                </w:div>
              </w:divsChild>
            </w:div>
            <w:div w:id="841314122">
              <w:marLeft w:val="0"/>
              <w:marRight w:val="0"/>
              <w:marTop w:val="0"/>
              <w:marBottom w:val="450"/>
              <w:divBdr>
                <w:top w:val="none" w:sz="0" w:space="0" w:color="auto"/>
                <w:left w:val="none" w:sz="0" w:space="0" w:color="auto"/>
                <w:bottom w:val="none" w:sz="0" w:space="0" w:color="auto"/>
                <w:right w:val="none" w:sz="0" w:space="0" w:color="auto"/>
              </w:divBdr>
              <w:divsChild>
                <w:div w:id="1197159198">
                  <w:marLeft w:val="0"/>
                  <w:marRight w:val="0"/>
                  <w:marTop w:val="225"/>
                  <w:marBottom w:val="0"/>
                  <w:divBdr>
                    <w:top w:val="none" w:sz="0" w:space="0" w:color="auto"/>
                    <w:left w:val="none" w:sz="0" w:space="0" w:color="auto"/>
                    <w:bottom w:val="none" w:sz="0" w:space="0" w:color="auto"/>
                    <w:right w:val="none" w:sz="0" w:space="0" w:color="auto"/>
                  </w:divBdr>
                </w:div>
                <w:div w:id="726682344">
                  <w:marLeft w:val="0"/>
                  <w:marRight w:val="0"/>
                  <w:marTop w:val="0"/>
                  <w:marBottom w:val="0"/>
                  <w:divBdr>
                    <w:top w:val="none" w:sz="0" w:space="0" w:color="auto"/>
                    <w:left w:val="none" w:sz="0" w:space="0" w:color="auto"/>
                    <w:bottom w:val="none" w:sz="0" w:space="0" w:color="auto"/>
                    <w:right w:val="none" w:sz="0" w:space="0" w:color="auto"/>
                  </w:divBdr>
                </w:div>
              </w:divsChild>
            </w:div>
            <w:div w:id="383069357">
              <w:marLeft w:val="0"/>
              <w:marRight w:val="0"/>
              <w:marTop w:val="0"/>
              <w:marBottom w:val="0"/>
              <w:divBdr>
                <w:top w:val="none" w:sz="0" w:space="0" w:color="auto"/>
                <w:left w:val="none" w:sz="0" w:space="0" w:color="auto"/>
                <w:bottom w:val="none" w:sz="0" w:space="0" w:color="auto"/>
                <w:right w:val="none" w:sz="0" w:space="0" w:color="auto"/>
              </w:divBdr>
            </w:div>
            <w:div w:id="777602658">
              <w:marLeft w:val="0"/>
              <w:marRight w:val="0"/>
              <w:marTop w:val="480"/>
              <w:marBottom w:val="360"/>
              <w:divBdr>
                <w:top w:val="none" w:sz="0" w:space="0" w:color="auto"/>
                <w:left w:val="none" w:sz="0" w:space="0" w:color="auto"/>
                <w:bottom w:val="none" w:sz="0" w:space="0" w:color="auto"/>
                <w:right w:val="none" w:sz="0" w:space="0" w:color="auto"/>
              </w:divBdr>
              <w:divsChild>
                <w:div w:id="235937671">
                  <w:marLeft w:val="0"/>
                  <w:marRight w:val="0"/>
                  <w:marTop w:val="0"/>
                  <w:marBottom w:val="0"/>
                  <w:divBdr>
                    <w:top w:val="none" w:sz="0" w:space="0" w:color="auto"/>
                    <w:left w:val="none" w:sz="0" w:space="0" w:color="auto"/>
                    <w:bottom w:val="none" w:sz="0" w:space="0" w:color="auto"/>
                    <w:right w:val="none" w:sz="0" w:space="0" w:color="auto"/>
                  </w:divBdr>
                </w:div>
                <w:div w:id="1687638640">
                  <w:marLeft w:val="0"/>
                  <w:marRight w:val="0"/>
                  <w:marTop w:val="0"/>
                  <w:marBottom w:val="0"/>
                  <w:divBdr>
                    <w:top w:val="single" w:sz="6" w:space="18" w:color="005274"/>
                    <w:left w:val="single" w:sz="6" w:space="18" w:color="005274"/>
                    <w:bottom w:val="single" w:sz="6" w:space="18" w:color="005274"/>
                    <w:right w:val="single" w:sz="6" w:space="18" w:color="005274"/>
                  </w:divBdr>
                  <w:divsChild>
                    <w:div w:id="1416584999">
                      <w:marLeft w:val="0"/>
                      <w:marRight w:val="0"/>
                      <w:marTop w:val="0"/>
                      <w:marBottom w:val="0"/>
                      <w:divBdr>
                        <w:top w:val="none" w:sz="0" w:space="0" w:color="auto"/>
                        <w:left w:val="none" w:sz="0" w:space="0" w:color="auto"/>
                        <w:bottom w:val="none" w:sz="0" w:space="0" w:color="auto"/>
                        <w:right w:val="none" w:sz="0" w:space="0" w:color="auto"/>
                      </w:divBdr>
                    </w:div>
                    <w:div w:id="214583626">
                      <w:marLeft w:val="0"/>
                      <w:marRight w:val="0"/>
                      <w:marTop w:val="0"/>
                      <w:marBottom w:val="0"/>
                      <w:divBdr>
                        <w:top w:val="none" w:sz="0" w:space="0" w:color="auto"/>
                        <w:left w:val="none" w:sz="0" w:space="0" w:color="auto"/>
                        <w:bottom w:val="none" w:sz="0" w:space="0" w:color="auto"/>
                        <w:right w:val="none" w:sz="0" w:space="0" w:color="auto"/>
                      </w:divBdr>
                    </w:div>
                    <w:div w:id="830566642">
                      <w:marLeft w:val="0"/>
                      <w:marRight w:val="0"/>
                      <w:marTop w:val="0"/>
                      <w:marBottom w:val="0"/>
                      <w:divBdr>
                        <w:top w:val="none" w:sz="0" w:space="0" w:color="auto"/>
                        <w:left w:val="none" w:sz="0" w:space="0" w:color="auto"/>
                        <w:bottom w:val="none" w:sz="0" w:space="0" w:color="auto"/>
                        <w:right w:val="none" w:sz="0" w:space="0" w:color="auto"/>
                      </w:divBdr>
                    </w:div>
                    <w:div w:id="753279517">
                      <w:marLeft w:val="0"/>
                      <w:marRight w:val="0"/>
                      <w:marTop w:val="0"/>
                      <w:marBottom w:val="0"/>
                      <w:divBdr>
                        <w:top w:val="none" w:sz="0" w:space="0" w:color="auto"/>
                        <w:left w:val="none" w:sz="0" w:space="0" w:color="auto"/>
                        <w:bottom w:val="none" w:sz="0" w:space="0" w:color="auto"/>
                        <w:right w:val="none" w:sz="0" w:space="0" w:color="auto"/>
                      </w:divBdr>
                    </w:div>
                    <w:div w:id="1017655553">
                      <w:marLeft w:val="0"/>
                      <w:marRight w:val="0"/>
                      <w:marTop w:val="0"/>
                      <w:marBottom w:val="0"/>
                      <w:divBdr>
                        <w:top w:val="none" w:sz="0" w:space="0" w:color="auto"/>
                        <w:left w:val="none" w:sz="0" w:space="0" w:color="auto"/>
                        <w:bottom w:val="none" w:sz="0" w:space="0" w:color="auto"/>
                        <w:right w:val="none" w:sz="0" w:space="0" w:color="auto"/>
                      </w:divBdr>
                    </w:div>
                    <w:div w:id="2003385723">
                      <w:marLeft w:val="0"/>
                      <w:marRight w:val="0"/>
                      <w:marTop w:val="0"/>
                      <w:marBottom w:val="0"/>
                      <w:divBdr>
                        <w:top w:val="none" w:sz="0" w:space="0" w:color="auto"/>
                        <w:left w:val="none" w:sz="0" w:space="0" w:color="auto"/>
                        <w:bottom w:val="none" w:sz="0" w:space="0" w:color="auto"/>
                        <w:right w:val="none" w:sz="0" w:space="0" w:color="auto"/>
                      </w:divBdr>
                    </w:div>
                    <w:div w:id="1125848509">
                      <w:marLeft w:val="0"/>
                      <w:marRight w:val="0"/>
                      <w:marTop w:val="0"/>
                      <w:marBottom w:val="0"/>
                      <w:divBdr>
                        <w:top w:val="none" w:sz="0" w:space="0" w:color="auto"/>
                        <w:left w:val="none" w:sz="0" w:space="0" w:color="auto"/>
                        <w:bottom w:val="none" w:sz="0" w:space="0" w:color="auto"/>
                        <w:right w:val="none" w:sz="0" w:space="0" w:color="auto"/>
                      </w:divBdr>
                    </w:div>
                    <w:div w:id="177427547">
                      <w:marLeft w:val="0"/>
                      <w:marRight w:val="0"/>
                      <w:marTop w:val="0"/>
                      <w:marBottom w:val="0"/>
                      <w:divBdr>
                        <w:top w:val="none" w:sz="0" w:space="0" w:color="auto"/>
                        <w:left w:val="none" w:sz="0" w:space="0" w:color="auto"/>
                        <w:bottom w:val="none" w:sz="0" w:space="0" w:color="auto"/>
                        <w:right w:val="none" w:sz="0" w:space="0" w:color="auto"/>
                      </w:divBdr>
                    </w:div>
                    <w:div w:id="1415669543">
                      <w:marLeft w:val="0"/>
                      <w:marRight w:val="0"/>
                      <w:marTop w:val="0"/>
                      <w:marBottom w:val="0"/>
                      <w:divBdr>
                        <w:top w:val="none" w:sz="0" w:space="0" w:color="auto"/>
                        <w:left w:val="none" w:sz="0" w:space="0" w:color="auto"/>
                        <w:bottom w:val="none" w:sz="0" w:space="0" w:color="auto"/>
                        <w:right w:val="none" w:sz="0" w:space="0" w:color="auto"/>
                      </w:divBdr>
                    </w:div>
                    <w:div w:id="2098364350">
                      <w:marLeft w:val="0"/>
                      <w:marRight w:val="0"/>
                      <w:marTop w:val="0"/>
                      <w:marBottom w:val="0"/>
                      <w:divBdr>
                        <w:top w:val="none" w:sz="0" w:space="0" w:color="auto"/>
                        <w:left w:val="none" w:sz="0" w:space="0" w:color="auto"/>
                        <w:bottom w:val="none" w:sz="0" w:space="0" w:color="auto"/>
                        <w:right w:val="none" w:sz="0" w:space="0" w:color="auto"/>
                      </w:divBdr>
                    </w:div>
                    <w:div w:id="1349133788">
                      <w:marLeft w:val="0"/>
                      <w:marRight w:val="0"/>
                      <w:marTop w:val="0"/>
                      <w:marBottom w:val="0"/>
                      <w:divBdr>
                        <w:top w:val="none" w:sz="0" w:space="0" w:color="auto"/>
                        <w:left w:val="none" w:sz="0" w:space="0" w:color="auto"/>
                        <w:bottom w:val="none" w:sz="0" w:space="0" w:color="auto"/>
                        <w:right w:val="none" w:sz="0" w:space="0" w:color="auto"/>
                      </w:divBdr>
                    </w:div>
                    <w:div w:id="59063257">
                      <w:marLeft w:val="0"/>
                      <w:marRight w:val="0"/>
                      <w:marTop w:val="0"/>
                      <w:marBottom w:val="0"/>
                      <w:divBdr>
                        <w:top w:val="none" w:sz="0" w:space="0" w:color="auto"/>
                        <w:left w:val="none" w:sz="0" w:space="0" w:color="auto"/>
                        <w:bottom w:val="none" w:sz="0" w:space="0" w:color="auto"/>
                        <w:right w:val="none" w:sz="0" w:space="0" w:color="auto"/>
                      </w:divBdr>
                    </w:div>
                    <w:div w:id="67508891">
                      <w:marLeft w:val="0"/>
                      <w:marRight w:val="0"/>
                      <w:marTop w:val="0"/>
                      <w:marBottom w:val="0"/>
                      <w:divBdr>
                        <w:top w:val="none" w:sz="0" w:space="0" w:color="auto"/>
                        <w:left w:val="none" w:sz="0" w:space="0" w:color="auto"/>
                        <w:bottom w:val="none" w:sz="0" w:space="0" w:color="auto"/>
                        <w:right w:val="none" w:sz="0" w:space="0" w:color="auto"/>
                      </w:divBdr>
                    </w:div>
                    <w:div w:id="1244339020">
                      <w:marLeft w:val="0"/>
                      <w:marRight w:val="0"/>
                      <w:marTop w:val="0"/>
                      <w:marBottom w:val="0"/>
                      <w:divBdr>
                        <w:top w:val="none" w:sz="0" w:space="0" w:color="auto"/>
                        <w:left w:val="none" w:sz="0" w:space="0" w:color="auto"/>
                        <w:bottom w:val="none" w:sz="0" w:space="0" w:color="auto"/>
                        <w:right w:val="none" w:sz="0" w:space="0" w:color="auto"/>
                      </w:divBdr>
                    </w:div>
                    <w:div w:id="813525291">
                      <w:marLeft w:val="0"/>
                      <w:marRight w:val="0"/>
                      <w:marTop w:val="0"/>
                      <w:marBottom w:val="0"/>
                      <w:divBdr>
                        <w:top w:val="none" w:sz="0" w:space="0" w:color="auto"/>
                        <w:left w:val="none" w:sz="0" w:space="0" w:color="auto"/>
                        <w:bottom w:val="none" w:sz="0" w:space="0" w:color="auto"/>
                        <w:right w:val="none" w:sz="0" w:space="0" w:color="auto"/>
                      </w:divBdr>
                    </w:div>
                    <w:div w:id="935871294">
                      <w:marLeft w:val="0"/>
                      <w:marRight w:val="0"/>
                      <w:marTop w:val="0"/>
                      <w:marBottom w:val="0"/>
                      <w:divBdr>
                        <w:top w:val="none" w:sz="0" w:space="0" w:color="auto"/>
                        <w:left w:val="none" w:sz="0" w:space="0" w:color="auto"/>
                        <w:bottom w:val="none" w:sz="0" w:space="0" w:color="auto"/>
                        <w:right w:val="none" w:sz="0" w:space="0" w:color="auto"/>
                      </w:divBdr>
                    </w:div>
                    <w:div w:id="963196459">
                      <w:marLeft w:val="0"/>
                      <w:marRight w:val="0"/>
                      <w:marTop w:val="0"/>
                      <w:marBottom w:val="0"/>
                      <w:divBdr>
                        <w:top w:val="none" w:sz="0" w:space="0" w:color="auto"/>
                        <w:left w:val="none" w:sz="0" w:space="0" w:color="auto"/>
                        <w:bottom w:val="none" w:sz="0" w:space="0" w:color="auto"/>
                        <w:right w:val="none" w:sz="0" w:space="0" w:color="auto"/>
                      </w:divBdr>
                    </w:div>
                    <w:div w:id="494340133">
                      <w:marLeft w:val="0"/>
                      <w:marRight w:val="0"/>
                      <w:marTop w:val="0"/>
                      <w:marBottom w:val="0"/>
                      <w:divBdr>
                        <w:top w:val="none" w:sz="0" w:space="0" w:color="auto"/>
                        <w:left w:val="none" w:sz="0" w:space="0" w:color="auto"/>
                        <w:bottom w:val="none" w:sz="0" w:space="0" w:color="auto"/>
                        <w:right w:val="none" w:sz="0" w:space="0" w:color="auto"/>
                      </w:divBdr>
                    </w:div>
                    <w:div w:id="1849561431">
                      <w:marLeft w:val="0"/>
                      <w:marRight w:val="0"/>
                      <w:marTop w:val="0"/>
                      <w:marBottom w:val="0"/>
                      <w:divBdr>
                        <w:top w:val="none" w:sz="0" w:space="0" w:color="auto"/>
                        <w:left w:val="none" w:sz="0" w:space="0" w:color="auto"/>
                        <w:bottom w:val="none" w:sz="0" w:space="0" w:color="auto"/>
                        <w:right w:val="none" w:sz="0" w:space="0" w:color="auto"/>
                      </w:divBdr>
                    </w:div>
                    <w:div w:id="974986127">
                      <w:marLeft w:val="0"/>
                      <w:marRight w:val="0"/>
                      <w:marTop w:val="0"/>
                      <w:marBottom w:val="0"/>
                      <w:divBdr>
                        <w:top w:val="none" w:sz="0" w:space="0" w:color="auto"/>
                        <w:left w:val="none" w:sz="0" w:space="0" w:color="auto"/>
                        <w:bottom w:val="none" w:sz="0" w:space="0" w:color="auto"/>
                        <w:right w:val="none" w:sz="0" w:space="0" w:color="auto"/>
                      </w:divBdr>
                    </w:div>
                    <w:div w:id="1603801663">
                      <w:marLeft w:val="0"/>
                      <w:marRight w:val="0"/>
                      <w:marTop w:val="0"/>
                      <w:marBottom w:val="0"/>
                      <w:divBdr>
                        <w:top w:val="none" w:sz="0" w:space="0" w:color="auto"/>
                        <w:left w:val="none" w:sz="0" w:space="0" w:color="auto"/>
                        <w:bottom w:val="none" w:sz="0" w:space="0" w:color="auto"/>
                        <w:right w:val="none" w:sz="0" w:space="0" w:color="auto"/>
                      </w:divBdr>
                    </w:div>
                    <w:div w:id="370886205">
                      <w:marLeft w:val="0"/>
                      <w:marRight w:val="0"/>
                      <w:marTop w:val="0"/>
                      <w:marBottom w:val="0"/>
                      <w:divBdr>
                        <w:top w:val="none" w:sz="0" w:space="0" w:color="auto"/>
                        <w:left w:val="none" w:sz="0" w:space="0" w:color="auto"/>
                        <w:bottom w:val="none" w:sz="0" w:space="0" w:color="auto"/>
                        <w:right w:val="none" w:sz="0" w:space="0" w:color="auto"/>
                      </w:divBdr>
                    </w:div>
                    <w:div w:id="1011571487">
                      <w:marLeft w:val="0"/>
                      <w:marRight w:val="0"/>
                      <w:marTop w:val="0"/>
                      <w:marBottom w:val="0"/>
                      <w:divBdr>
                        <w:top w:val="none" w:sz="0" w:space="0" w:color="auto"/>
                        <w:left w:val="none" w:sz="0" w:space="0" w:color="auto"/>
                        <w:bottom w:val="none" w:sz="0" w:space="0" w:color="auto"/>
                        <w:right w:val="none" w:sz="0" w:space="0" w:color="auto"/>
                      </w:divBdr>
                    </w:div>
                    <w:div w:id="1541866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6082123">
      <w:bodyDiv w:val="1"/>
      <w:marLeft w:val="0"/>
      <w:marRight w:val="0"/>
      <w:marTop w:val="0"/>
      <w:marBottom w:val="0"/>
      <w:divBdr>
        <w:top w:val="none" w:sz="0" w:space="0" w:color="auto"/>
        <w:left w:val="none" w:sz="0" w:space="0" w:color="auto"/>
        <w:bottom w:val="none" w:sz="0" w:space="0" w:color="auto"/>
        <w:right w:val="none" w:sz="0" w:space="0" w:color="auto"/>
      </w:divBdr>
      <w:divsChild>
        <w:div w:id="1958636656">
          <w:marLeft w:val="0"/>
          <w:marRight w:val="0"/>
          <w:marTop w:val="150"/>
          <w:marBottom w:val="225"/>
          <w:divBdr>
            <w:top w:val="none" w:sz="0" w:space="0" w:color="auto"/>
            <w:left w:val="none" w:sz="0" w:space="0" w:color="auto"/>
            <w:bottom w:val="none" w:sz="0" w:space="0" w:color="auto"/>
            <w:right w:val="none" w:sz="0" w:space="0" w:color="auto"/>
          </w:divBdr>
        </w:div>
        <w:div w:id="840048814">
          <w:marLeft w:val="0"/>
          <w:marRight w:val="0"/>
          <w:marTop w:val="150"/>
          <w:marBottom w:val="225"/>
          <w:divBdr>
            <w:top w:val="none" w:sz="0" w:space="0" w:color="auto"/>
            <w:left w:val="none" w:sz="0" w:space="0" w:color="auto"/>
            <w:bottom w:val="none" w:sz="0" w:space="0" w:color="auto"/>
            <w:right w:val="none" w:sz="0" w:space="0" w:color="auto"/>
          </w:divBdr>
        </w:div>
        <w:div w:id="938758585">
          <w:marLeft w:val="0"/>
          <w:marRight w:val="0"/>
          <w:marTop w:val="150"/>
          <w:marBottom w:val="225"/>
          <w:divBdr>
            <w:top w:val="none" w:sz="0" w:space="0" w:color="auto"/>
            <w:left w:val="none" w:sz="0" w:space="0" w:color="auto"/>
            <w:bottom w:val="none" w:sz="0" w:space="0" w:color="auto"/>
            <w:right w:val="none" w:sz="0" w:space="0" w:color="auto"/>
          </w:divBdr>
        </w:div>
        <w:div w:id="908921954">
          <w:marLeft w:val="0"/>
          <w:marRight w:val="0"/>
          <w:marTop w:val="0"/>
          <w:marBottom w:val="0"/>
          <w:divBdr>
            <w:top w:val="none" w:sz="0" w:space="0" w:color="auto"/>
            <w:left w:val="none" w:sz="0" w:space="0" w:color="auto"/>
            <w:bottom w:val="none" w:sz="0" w:space="0" w:color="auto"/>
            <w:right w:val="none" w:sz="0" w:space="0" w:color="auto"/>
          </w:divBdr>
        </w:div>
        <w:div w:id="611472485">
          <w:marLeft w:val="0"/>
          <w:marRight w:val="0"/>
          <w:marTop w:val="0"/>
          <w:marBottom w:val="0"/>
          <w:divBdr>
            <w:top w:val="none" w:sz="0" w:space="0" w:color="auto"/>
            <w:left w:val="none" w:sz="0" w:space="0" w:color="auto"/>
            <w:bottom w:val="none" w:sz="0" w:space="0" w:color="auto"/>
            <w:right w:val="none" w:sz="0" w:space="0" w:color="auto"/>
          </w:divBdr>
        </w:div>
        <w:div w:id="1398043624">
          <w:marLeft w:val="0"/>
          <w:marRight w:val="0"/>
          <w:marTop w:val="0"/>
          <w:marBottom w:val="0"/>
          <w:divBdr>
            <w:top w:val="none" w:sz="0" w:space="0" w:color="auto"/>
            <w:left w:val="none" w:sz="0" w:space="0" w:color="auto"/>
            <w:bottom w:val="none" w:sz="0" w:space="0" w:color="auto"/>
            <w:right w:val="none" w:sz="0" w:space="0" w:color="auto"/>
          </w:divBdr>
        </w:div>
        <w:div w:id="692608246">
          <w:marLeft w:val="0"/>
          <w:marRight w:val="0"/>
          <w:marTop w:val="150"/>
          <w:marBottom w:val="225"/>
          <w:divBdr>
            <w:top w:val="none" w:sz="0" w:space="0" w:color="auto"/>
            <w:left w:val="none" w:sz="0" w:space="0" w:color="auto"/>
            <w:bottom w:val="none" w:sz="0" w:space="0" w:color="auto"/>
            <w:right w:val="none" w:sz="0" w:space="0" w:color="auto"/>
          </w:divBdr>
        </w:div>
        <w:div w:id="656034628">
          <w:marLeft w:val="0"/>
          <w:marRight w:val="0"/>
          <w:marTop w:val="0"/>
          <w:marBottom w:val="0"/>
          <w:divBdr>
            <w:top w:val="none" w:sz="0" w:space="0" w:color="auto"/>
            <w:left w:val="none" w:sz="0" w:space="0" w:color="auto"/>
            <w:bottom w:val="none" w:sz="0" w:space="0" w:color="auto"/>
            <w:right w:val="none" w:sz="0" w:space="0" w:color="auto"/>
          </w:divBdr>
          <w:divsChild>
            <w:div w:id="1785925634">
              <w:marLeft w:val="0"/>
              <w:marRight w:val="0"/>
              <w:marTop w:val="0"/>
              <w:marBottom w:val="0"/>
              <w:divBdr>
                <w:top w:val="none" w:sz="0" w:space="0" w:color="auto"/>
                <w:left w:val="none" w:sz="0" w:space="0" w:color="auto"/>
                <w:bottom w:val="none" w:sz="0" w:space="0" w:color="auto"/>
                <w:right w:val="none" w:sz="0" w:space="0" w:color="auto"/>
              </w:divBdr>
              <w:divsChild>
                <w:div w:id="2017802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1175230">
          <w:marLeft w:val="-15"/>
          <w:marRight w:val="-15"/>
          <w:marTop w:val="0"/>
          <w:marBottom w:val="0"/>
          <w:divBdr>
            <w:top w:val="none" w:sz="0" w:space="0" w:color="auto"/>
            <w:left w:val="none" w:sz="0" w:space="0" w:color="auto"/>
            <w:bottom w:val="none" w:sz="0" w:space="0" w:color="auto"/>
            <w:right w:val="none" w:sz="0" w:space="0" w:color="auto"/>
          </w:divBdr>
          <w:divsChild>
            <w:div w:id="1107384494">
              <w:marLeft w:val="0"/>
              <w:marRight w:val="0"/>
              <w:marTop w:val="0"/>
              <w:marBottom w:val="0"/>
              <w:divBdr>
                <w:top w:val="none" w:sz="0" w:space="0" w:color="auto"/>
                <w:left w:val="none" w:sz="0" w:space="0" w:color="auto"/>
                <w:bottom w:val="none" w:sz="0" w:space="0" w:color="auto"/>
                <w:right w:val="none" w:sz="0" w:space="0" w:color="auto"/>
              </w:divBdr>
              <w:divsChild>
                <w:div w:id="930815987">
                  <w:marLeft w:val="0"/>
                  <w:marRight w:val="0"/>
                  <w:marTop w:val="0"/>
                  <w:marBottom w:val="0"/>
                  <w:divBdr>
                    <w:top w:val="none" w:sz="0" w:space="0" w:color="auto"/>
                    <w:left w:val="none" w:sz="0" w:space="0" w:color="auto"/>
                    <w:bottom w:val="none" w:sz="0" w:space="0" w:color="auto"/>
                    <w:right w:val="none" w:sz="0" w:space="0" w:color="auto"/>
                  </w:divBdr>
                  <w:divsChild>
                    <w:div w:id="474838179">
                      <w:marLeft w:val="0"/>
                      <w:marRight w:val="0"/>
                      <w:marTop w:val="0"/>
                      <w:marBottom w:val="150"/>
                      <w:divBdr>
                        <w:top w:val="none" w:sz="0" w:space="0" w:color="auto"/>
                        <w:left w:val="none" w:sz="0" w:space="0" w:color="auto"/>
                        <w:bottom w:val="none" w:sz="0" w:space="0" w:color="auto"/>
                        <w:right w:val="none" w:sz="0" w:space="0" w:color="auto"/>
                      </w:divBdr>
                    </w:div>
                    <w:div w:id="1632785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1612593">
          <w:marLeft w:val="0"/>
          <w:marRight w:val="0"/>
          <w:marTop w:val="150"/>
          <w:marBottom w:val="225"/>
          <w:divBdr>
            <w:top w:val="none" w:sz="0" w:space="0" w:color="auto"/>
            <w:left w:val="none" w:sz="0" w:space="0" w:color="auto"/>
            <w:bottom w:val="none" w:sz="0" w:space="0" w:color="auto"/>
            <w:right w:val="none" w:sz="0" w:space="0" w:color="auto"/>
          </w:divBdr>
        </w:div>
        <w:div w:id="892430171">
          <w:marLeft w:val="0"/>
          <w:marRight w:val="0"/>
          <w:marTop w:val="150"/>
          <w:marBottom w:val="225"/>
          <w:divBdr>
            <w:top w:val="none" w:sz="0" w:space="0" w:color="auto"/>
            <w:left w:val="none" w:sz="0" w:space="0" w:color="auto"/>
            <w:bottom w:val="none" w:sz="0" w:space="0" w:color="auto"/>
            <w:right w:val="none" w:sz="0" w:space="0" w:color="auto"/>
          </w:divBdr>
        </w:div>
        <w:div w:id="717363733">
          <w:marLeft w:val="0"/>
          <w:marRight w:val="0"/>
          <w:marTop w:val="0"/>
          <w:marBottom w:val="0"/>
          <w:divBdr>
            <w:top w:val="none" w:sz="0" w:space="0" w:color="auto"/>
            <w:left w:val="none" w:sz="0" w:space="0" w:color="auto"/>
            <w:bottom w:val="none" w:sz="0" w:space="0" w:color="auto"/>
            <w:right w:val="none" w:sz="0" w:space="0" w:color="auto"/>
          </w:divBdr>
          <w:divsChild>
            <w:div w:id="1632052494">
              <w:marLeft w:val="0"/>
              <w:marRight w:val="0"/>
              <w:marTop w:val="0"/>
              <w:marBottom w:val="0"/>
              <w:divBdr>
                <w:top w:val="none" w:sz="0" w:space="0" w:color="auto"/>
                <w:left w:val="none" w:sz="0" w:space="0" w:color="auto"/>
                <w:bottom w:val="none" w:sz="0" w:space="0" w:color="auto"/>
                <w:right w:val="none" w:sz="0" w:space="0" w:color="auto"/>
              </w:divBdr>
              <w:divsChild>
                <w:div w:id="929854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0793930">
          <w:marLeft w:val="-15"/>
          <w:marRight w:val="-15"/>
          <w:marTop w:val="0"/>
          <w:marBottom w:val="0"/>
          <w:divBdr>
            <w:top w:val="none" w:sz="0" w:space="0" w:color="auto"/>
            <w:left w:val="none" w:sz="0" w:space="0" w:color="auto"/>
            <w:bottom w:val="none" w:sz="0" w:space="0" w:color="auto"/>
            <w:right w:val="none" w:sz="0" w:space="0" w:color="auto"/>
          </w:divBdr>
          <w:divsChild>
            <w:div w:id="411313364">
              <w:marLeft w:val="0"/>
              <w:marRight w:val="0"/>
              <w:marTop w:val="0"/>
              <w:marBottom w:val="0"/>
              <w:divBdr>
                <w:top w:val="none" w:sz="0" w:space="0" w:color="auto"/>
                <w:left w:val="none" w:sz="0" w:space="0" w:color="auto"/>
                <w:bottom w:val="none" w:sz="0" w:space="0" w:color="auto"/>
                <w:right w:val="none" w:sz="0" w:space="0" w:color="auto"/>
              </w:divBdr>
              <w:divsChild>
                <w:div w:id="142428826">
                  <w:marLeft w:val="0"/>
                  <w:marRight w:val="0"/>
                  <w:marTop w:val="0"/>
                  <w:marBottom w:val="0"/>
                  <w:divBdr>
                    <w:top w:val="none" w:sz="0" w:space="0" w:color="auto"/>
                    <w:left w:val="none" w:sz="0" w:space="0" w:color="auto"/>
                    <w:bottom w:val="none" w:sz="0" w:space="0" w:color="auto"/>
                    <w:right w:val="none" w:sz="0" w:space="0" w:color="auto"/>
                  </w:divBdr>
                  <w:divsChild>
                    <w:div w:id="603153392">
                      <w:marLeft w:val="0"/>
                      <w:marRight w:val="0"/>
                      <w:marTop w:val="0"/>
                      <w:marBottom w:val="150"/>
                      <w:divBdr>
                        <w:top w:val="none" w:sz="0" w:space="0" w:color="auto"/>
                        <w:left w:val="none" w:sz="0" w:space="0" w:color="auto"/>
                        <w:bottom w:val="none" w:sz="0" w:space="0" w:color="auto"/>
                        <w:right w:val="none" w:sz="0" w:space="0" w:color="auto"/>
                      </w:divBdr>
                    </w:div>
                    <w:div w:id="532764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7832715">
          <w:marLeft w:val="0"/>
          <w:marRight w:val="0"/>
          <w:marTop w:val="0"/>
          <w:marBottom w:val="0"/>
          <w:divBdr>
            <w:top w:val="none" w:sz="0" w:space="0" w:color="auto"/>
            <w:left w:val="none" w:sz="0" w:space="0" w:color="auto"/>
            <w:bottom w:val="none" w:sz="0" w:space="0" w:color="auto"/>
            <w:right w:val="none" w:sz="0" w:space="0" w:color="auto"/>
          </w:divBdr>
          <w:divsChild>
            <w:div w:id="389427211">
              <w:marLeft w:val="0"/>
              <w:marRight w:val="0"/>
              <w:marTop w:val="0"/>
              <w:marBottom w:val="0"/>
              <w:divBdr>
                <w:top w:val="none" w:sz="0" w:space="0" w:color="auto"/>
                <w:left w:val="none" w:sz="0" w:space="0" w:color="auto"/>
                <w:bottom w:val="none" w:sz="0" w:space="0" w:color="auto"/>
                <w:right w:val="none" w:sz="0" w:space="0" w:color="auto"/>
              </w:divBdr>
              <w:divsChild>
                <w:div w:id="152913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6931337">
          <w:marLeft w:val="-15"/>
          <w:marRight w:val="-15"/>
          <w:marTop w:val="0"/>
          <w:marBottom w:val="0"/>
          <w:divBdr>
            <w:top w:val="none" w:sz="0" w:space="0" w:color="auto"/>
            <w:left w:val="none" w:sz="0" w:space="0" w:color="auto"/>
            <w:bottom w:val="none" w:sz="0" w:space="0" w:color="auto"/>
            <w:right w:val="none" w:sz="0" w:space="0" w:color="auto"/>
          </w:divBdr>
          <w:divsChild>
            <w:div w:id="372193499">
              <w:marLeft w:val="0"/>
              <w:marRight w:val="0"/>
              <w:marTop w:val="0"/>
              <w:marBottom w:val="0"/>
              <w:divBdr>
                <w:top w:val="none" w:sz="0" w:space="0" w:color="auto"/>
                <w:left w:val="none" w:sz="0" w:space="0" w:color="auto"/>
                <w:bottom w:val="none" w:sz="0" w:space="0" w:color="auto"/>
                <w:right w:val="none" w:sz="0" w:space="0" w:color="auto"/>
              </w:divBdr>
              <w:divsChild>
                <w:div w:id="1033967775">
                  <w:marLeft w:val="0"/>
                  <w:marRight w:val="0"/>
                  <w:marTop w:val="0"/>
                  <w:marBottom w:val="0"/>
                  <w:divBdr>
                    <w:top w:val="none" w:sz="0" w:space="0" w:color="auto"/>
                    <w:left w:val="none" w:sz="0" w:space="0" w:color="auto"/>
                    <w:bottom w:val="none" w:sz="0" w:space="0" w:color="auto"/>
                    <w:right w:val="none" w:sz="0" w:space="0" w:color="auto"/>
                  </w:divBdr>
                  <w:divsChild>
                    <w:div w:id="836920730">
                      <w:marLeft w:val="0"/>
                      <w:marRight w:val="0"/>
                      <w:marTop w:val="0"/>
                      <w:marBottom w:val="150"/>
                      <w:divBdr>
                        <w:top w:val="none" w:sz="0" w:space="0" w:color="auto"/>
                        <w:left w:val="none" w:sz="0" w:space="0" w:color="auto"/>
                        <w:bottom w:val="none" w:sz="0" w:space="0" w:color="auto"/>
                        <w:right w:val="none" w:sz="0" w:space="0" w:color="auto"/>
                      </w:divBdr>
                    </w:div>
                    <w:div w:id="325673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9725310">
          <w:marLeft w:val="0"/>
          <w:marRight w:val="0"/>
          <w:marTop w:val="0"/>
          <w:marBottom w:val="0"/>
          <w:divBdr>
            <w:top w:val="none" w:sz="0" w:space="0" w:color="auto"/>
            <w:left w:val="none" w:sz="0" w:space="0" w:color="auto"/>
            <w:bottom w:val="none" w:sz="0" w:space="0" w:color="auto"/>
            <w:right w:val="none" w:sz="0" w:space="0" w:color="auto"/>
          </w:divBdr>
          <w:divsChild>
            <w:div w:id="53696528">
              <w:marLeft w:val="0"/>
              <w:marRight w:val="0"/>
              <w:marTop w:val="0"/>
              <w:marBottom w:val="0"/>
              <w:divBdr>
                <w:top w:val="none" w:sz="0" w:space="0" w:color="auto"/>
                <w:left w:val="none" w:sz="0" w:space="0" w:color="auto"/>
                <w:bottom w:val="none" w:sz="0" w:space="0" w:color="auto"/>
                <w:right w:val="none" w:sz="0" w:space="0" w:color="auto"/>
              </w:divBdr>
              <w:divsChild>
                <w:div w:id="498814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6281217">
          <w:marLeft w:val="-15"/>
          <w:marRight w:val="-15"/>
          <w:marTop w:val="0"/>
          <w:marBottom w:val="0"/>
          <w:divBdr>
            <w:top w:val="none" w:sz="0" w:space="0" w:color="auto"/>
            <w:left w:val="none" w:sz="0" w:space="0" w:color="auto"/>
            <w:bottom w:val="none" w:sz="0" w:space="0" w:color="auto"/>
            <w:right w:val="none" w:sz="0" w:space="0" w:color="auto"/>
          </w:divBdr>
          <w:divsChild>
            <w:div w:id="500509184">
              <w:marLeft w:val="0"/>
              <w:marRight w:val="0"/>
              <w:marTop w:val="0"/>
              <w:marBottom w:val="0"/>
              <w:divBdr>
                <w:top w:val="none" w:sz="0" w:space="0" w:color="auto"/>
                <w:left w:val="none" w:sz="0" w:space="0" w:color="auto"/>
                <w:bottom w:val="none" w:sz="0" w:space="0" w:color="auto"/>
                <w:right w:val="none" w:sz="0" w:space="0" w:color="auto"/>
              </w:divBdr>
              <w:divsChild>
                <w:div w:id="49623548">
                  <w:marLeft w:val="0"/>
                  <w:marRight w:val="0"/>
                  <w:marTop w:val="0"/>
                  <w:marBottom w:val="0"/>
                  <w:divBdr>
                    <w:top w:val="none" w:sz="0" w:space="0" w:color="auto"/>
                    <w:left w:val="none" w:sz="0" w:space="0" w:color="auto"/>
                    <w:bottom w:val="none" w:sz="0" w:space="0" w:color="auto"/>
                    <w:right w:val="none" w:sz="0" w:space="0" w:color="auto"/>
                  </w:divBdr>
                  <w:divsChild>
                    <w:div w:id="1952393527">
                      <w:marLeft w:val="0"/>
                      <w:marRight w:val="0"/>
                      <w:marTop w:val="0"/>
                      <w:marBottom w:val="150"/>
                      <w:divBdr>
                        <w:top w:val="none" w:sz="0" w:space="0" w:color="auto"/>
                        <w:left w:val="none" w:sz="0" w:space="0" w:color="auto"/>
                        <w:bottom w:val="none" w:sz="0" w:space="0" w:color="auto"/>
                        <w:right w:val="none" w:sz="0" w:space="0" w:color="auto"/>
                      </w:divBdr>
                    </w:div>
                    <w:div w:id="722097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474896">
          <w:marLeft w:val="0"/>
          <w:marRight w:val="0"/>
          <w:marTop w:val="0"/>
          <w:marBottom w:val="0"/>
          <w:divBdr>
            <w:top w:val="none" w:sz="0" w:space="0" w:color="auto"/>
            <w:left w:val="none" w:sz="0" w:space="0" w:color="auto"/>
            <w:bottom w:val="none" w:sz="0" w:space="0" w:color="auto"/>
            <w:right w:val="none" w:sz="0" w:space="0" w:color="auto"/>
          </w:divBdr>
          <w:divsChild>
            <w:div w:id="608659867">
              <w:marLeft w:val="0"/>
              <w:marRight w:val="0"/>
              <w:marTop w:val="0"/>
              <w:marBottom w:val="0"/>
              <w:divBdr>
                <w:top w:val="none" w:sz="0" w:space="0" w:color="auto"/>
                <w:left w:val="none" w:sz="0" w:space="0" w:color="auto"/>
                <w:bottom w:val="none" w:sz="0" w:space="0" w:color="auto"/>
                <w:right w:val="none" w:sz="0" w:space="0" w:color="auto"/>
              </w:divBdr>
              <w:divsChild>
                <w:div w:id="1142235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2426400">
          <w:marLeft w:val="-15"/>
          <w:marRight w:val="-15"/>
          <w:marTop w:val="0"/>
          <w:marBottom w:val="0"/>
          <w:divBdr>
            <w:top w:val="none" w:sz="0" w:space="0" w:color="auto"/>
            <w:left w:val="none" w:sz="0" w:space="0" w:color="auto"/>
            <w:bottom w:val="none" w:sz="0" w:space="0" w:color="auto"/>
            <w:right w:val="none" w:sz="0" w:space="0" w:color="auto"/>
          </w:divBdr>
          <w:divsChild>
            <w:div w:id="50274914">
              <w:marLeft w:val="0"/>
              <w:marRight w:val="0"/>
              <w:marTop w:val="0"/>
              <w:marBottom w:val="0"/>
              <w:divBdr>
                <w:top w:val="none" w:sz="0" w:space="0" w:color="auto"/>
                <w:left w:val="none" w:sz="0" w:space="0" w:color="auto"/>
                <w:bottom w:val="none" w:sz="0" w:space="0" w:color="auto"/>
                <w:right w:val="none" w:sz="0" w:space="0" w:color="auto"/>
              </w:divBdr>
              <w:divsChild>
                <w:div w:id="1738702510">
                  <w:marLeft w:val="0"/>
                  <w:marRight w:val="0"/>
                  <w:marTop w:val="0"/>
                  <w:marBottom w:val="0"/>
                  <w:divBdr>
                    <w:top w:val="none" w:sz="0" w:space="0" w:color="auto"/>
                    <w:left w:val="none" w:sz="0" w:space="0" w:color="auto"/>
                    <w:bottom w:val="none" w:sz="0" w:space="0" w:color="auto"/>
                    <w:right w:val="none" w:sz="0" w:space="0" w:color="auto"/>
                  </w:divBdr>
                  <w:divsChild>
                    <w:div w:id="1368408701">
                      <w:marLeft w:val="0"/>
                      <w:marRight w:val="0"/>
                      <w:marTop w:val="0"/>
                      <w:marBottom w:val="150"/>
                      <w:divBdr>
                        <w:top w:val="none" w:sz="0" w:space="0" w:color="auto"/>
                        <w:left w:val="none" w:sz="0" w:space="0" w:color="auto"/>
                        <w:bottom w:val="none" w:sz="0" w:space="0" w:color="auto"/>
                        <w:right w:val="none" w:sz="0" w:space="0" w:color="auto"/>
                      </w:divBdr>
                    </w:div>
                    <w:div w:id="1068966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5158478">
          <w:marLeft w:val="0"/>
          <w:marRight w:val="0"/>
          <w:marTop w:val="150"/>
          <w:marBottom w:val="225"/>
          <w:divBdr>
            <w:top w:val="none" w:sz="0" w:space="0" w:color="auto"/>
            <w:left w:val="none" w:sz="0" w:space="0" w:color="auto"/>
            <w:bottom w:val="none" w:sz="0" w:space="0" w:color="auto"/>
            <w:right w:val="none" w:sz="0" w:space="0" w:color="auto"/>
          </w:divBdr>
        </w:div>
        <w:div w:id="1801261805">
          <w:marLeft w:val="0"/>
          <w:marRight w:val="0"/>
          <w:marTop w:val="0"/>
          <w:marBottom w:val="0"/>
          <w:divBdr>
            <w:top w:val="none" w:sz="0" w:space="0" w:color="auto"/>
            <w:left w:val="none" w:sz="0" w:space="0" w:color="auto"/>
            <w:bottom w:val="none" w:sz="0" w:space="0" w:color="auto"/>
            <w:right w:val="none" w:sz="0" w:space="0" w:color="auto"/>
          </w:divBdr>
        </w:div>
        <w:div w:id="1125343595">
          <w:marLeft w:val="0"/>
          <w:marRight w:val="0"/>
          <w:marTop w:val="0"/>
          <w:marBottom w:val="0"/>
          <w:divBdr>
            <w:top w:val="none" w:sz="0" w:space="0" w:color="auto"/>
            <w:left w:val="none" w:sz="0" w:space="0" w:color="auto"/>
            <w:bottom w:val="none" w:sz="0" w:space="0" w:color="auto"/>
            <w:right w:val="none" w:sz="0" w:space="0" w:color="auto"/>
          </w:divBdr>
          <w:divsChild>
            <w:div w:id="1217278114">
              <w:marLeft w:val="0"/>
              <w:marRight w:val="0"/>
              <w:marTop w:val="0"/>
              <w:marBottom w:val="0"/>
              <w:divBdr>
                <w:top w:val="none" w:sz="0" w:space="0" w:color="auto"/>
                <w:left w:val="none" w:sz="0" w:space="0" w:color="auto"/>
                <w:bottom w:val="none" w:sz="0" w:space="0" w:color="auto"/>
                <w:right w:val="none" w:sz="0" w:space="0" w:color="auto"/>
              </w:divBdr>
              <w:divsChild>
                <w:div w:id="1830555564">
                  <w:marLeft w:val="0"/>
                  <w:marRight w:val="0"/>
                  <w:marTop w:val="0"/>
                  <w:marBottom w:val="0"/>
                  <w:divBdr>
                    <w:top w:val="none" w:sz="0" w:space="0" w:color="auto"/>
                    <w:left w:val="none" w:sz="0" w:space="0" w:color="auto"/>
                    <w:bottom w:val="none" w:sz="0" w:space="0" w:color="auto"/>
                    <w:right w:val="none" w:sz="0" w:space="0" w:color="auto"/>
                  </w:divBdr>
                  <w:divsChild>
                    <w:div w:id="409738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36763">
              <w:marLeft w:val="-15"/>
              <w:marRight w:val="-15"/>
              <w:marTop w:val="0"/>
              <w:marBottom w:val="0"/>
              <w:divBdr>
                <w:top w:val="none" w:sz="0" w:space="0" w:color="auto"/>
                <w:left w:val="none" w:sz="0" w:space="0" w:color="auto"/>
                <w:bottom w:val="none" w:sz="0" w:space="0" w:color="auto"/>
                <w:right w:val="none" w:sz="0" w:space="0" w:color="auto"/>
              </w:divBdr>
              <w:divsChild>
                <w:div w:id="317148499">
                  <w:marLeft w:val="0"/>
                  <w:marRight w:val="0"/>
                  <w:marTop w:val="0"/>
                  <w:marBottom w:val="0"/>
                  <w:divBdr>
                    <w:top w:val="none" w:sz="0" w:space="0" w:color="auto"/>
                    <w:left w:val="none" w:sz="0" w:space="0" w:color="auto"/>
                    <w:bottom w:val="none" w:sz="0" w:space="0" w:color="auto"/>
                    <w:right w:val="none" w:sz="0" w:space="0" w:color="auto"/>
                  </w:divBdr>
                  <w:divsChild>
                    <w:div w:id="742993613">
                      <w:marLeft w:val="0"/>
                      <w:marRight w:val="0"/>
                      <w:marTop w:val="0"/>
                      <w:marBottom w:val="0"/>
                      <w:divBdr>
                        <w:top w:val="none" w:sz="0" w:space="0" w:color="auto"/>
                        <w:left w:val="none" w:sz="0" w:space="0" w:color="auto"/>
                        <w:bottom w:val="none" w:sz="0" w:space="0" w:color="auto"/>
                        <w:right w:val="none" w:sz="0" w:space="0" w:color="auto"/>
                      </w:divBdr>
                      <w:divsChild>
                        <w:div w:id="1394038784">
                          <w:marLeft w:val="0"/>
                          <w:marRight w:val="0"/>
                          <w:marTop w:val="0"/>
                          <w:marBottom w:val="150"/>
                          <w:divBdr>
                            <w:top w:val="none" w:sz="0" w:space="0" w:color="auto"/>
                            <w:left w:val="none" w:sz="0" w:space="0" w:color="auto"/>
                            <w:bottom w:val="none" w:sz="0" w:space="0" w:color="auto"/>
                            <w:right w:val="none" w:sz="0" w:space="0" w:color="auto"/>
                          </w:divBdr>
                        </w:div>
                        <w:div w:id="1103912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3047319">
          <w:marLeft w:val="0"/>
          <w:marRight w:val="0"/>
          <w:marTop w:val="150"/>
          <w:marBottom w:val="225"/>
          <w:divBdr>
            <w:top w:val="none" w:sz="0" w:space="0" w:color="auto"/>
            <w:left w:val="none" w:sz="0" w:space="0" w:color="auto"/>
            <w:bottom w:val="none" w:sz="0" w:space="0" w:color="auto"/>
            <w:right w:val="none" w:sz="0" w:space="0" w:color="auto"/>
          </w:divBdr>
        </w:div>
      </w:divsChild>
    </w:div>
    <w:div w:id="2008317718">
      <w:bodyDiv w:val="1"/>
      <w:marLeft w:val="0"/>
      <w:marRight w:val="0"/>
      <w:marTop w:val="0"/>
      <w:marBottom w:val="0"/>
      <w:divBdr>
        <w:top w:val="none" w:sz="0" w:space="0" w:color="auto"/>
        <w:left w:val="none" w:sz="0" w:space="0" w:color="auto"/>
        <w:bottom w:val="none" w:sz="0" w:space="0" w:color="auto"/>
        <w:right w:val="none" w:sz="0" w:space="0" w:color="auto"/>
      </w:divBdr>
    </w:div>
    <w:div w:id="2021616649">
      <w:bodyDiv w:val="1"/>
      <w:marLeft w:val="0"/>
      <w:marRight w:val="0"/>
      <w:marTop w:val="0"/>
      <w:marBottom w:val="0"/>
      <w:divBdr>
        <w:top w:val="none" w:sz="0" w:space="0" w:color="auto"/>
        <w:left w:val="none" w:sz="0" w:space="0" w:color="auto"/>
        <w:bottom w:val="none" w:sz="0" w:space="0" w:color="auto"/>
        <w:right w:val="none" w:sz="0" w:space="0" w:color="auto"/>
      </w:divBdr>
      <w:divsChild>
        <w:div w:id="1244991851">
          <w:marLeft w:val="0"/>
          <w:marRight w:val="0"/>
          <w:marTop w:val="0"/>
          <w:marBottom w:val="0"/>
          <w:divBdr>
            <w:top w:val="none" w:sz="0" w:space="0" w:color="auto"/>
            <w:left w:val="none" w:sz="0" w:space="0" w:color="auto"/>
            <w:bottom w:val="none" w:sz="0" w:space="0" w:color="auto"/>
            <w:right w:val="none" w:sz="0" w:space="0" w:color="auto"/>
          </w:divBdr>
        </w:div>
        <w:div w:id="1115909347">
          <w:marLeft w:val="0"/>
          <w:marRight w:val="0"/>
          <w:marTop w:val="0"/>
          <w:marBottom w:val="0"/>
          <w:divBdr>
            <w:top w:val="none" w:sz="0" w:space="0" w:color="auto"/>
            <w:left w:val="none" w:sz="0" w:space="0" w:color="auto"/>
            <w:bottom w:val="none" w:sz="0" w:space="0" w:color="auto"/>
            <w:right w:val="none" w:sz="0" w:space="0" w:color="auto"/>
          </w:divBdr>
        </w:div>
        <w:div w:id="1933662740">
          <w:marLeft w:val="0"/>
          <w:marRight w:val="0"/>
          <w:marTop w:val="0"/>
          <w:marBottom w:val="0"/>
          <w:divBdr>
            <w:top w:val="none" w:sz="0" w:space="0" w:color="auto"/>
            <w:left w:val="none" w:sz="0" w:space="0" w:color="auto"/>
            <w:bottom w:val="none" w:sz="0" w:space="0" w:color="auto"/>
            <w:right w:val="none" w:sz="0" w:space="0" w:color="auto"/>
          </w:divBdr>
        </w:div>
        <w:div w:id="1352073499">
          <w:marLeft w:val="0"/>
          <w:marRight w:val="0"/>
          <w:marTop w:val="0"/>
          <w:marBottom w:val="0"/>
          <w:divBdr>
            <w:top w:val="none" w:sz="0" w:space="0" w:color="auto"/>
            <w:left w:val="none" w:sz="0" w:space="0" w:color="auto"/>
            <w:bottom w:val="none" w:sz="0" w:space="0" w:color="auto"/>
            <w:right w:val="none" w:sz="0" w:space="0" w:color="auto"/>
          </w:divBdr>
        </w:div>
        <w:div w:id="52168790">
          <w:marLeft w:val="0"/>
          <w:marRight w:val="0"/>
          <w:marTop w:val="0"/>
          <w:marBottom w:val="0"/>
          <w:divBdr>
            <w:top w:val="none" w:sz="0" w:space="0" w:color="auto"/>
            <w:left w:val="none" w:sz="0" w:space="0" w:color="auto"/>
            <w:bottom w:val="none" w:sz="0" w:space="0" w:color="auto"/>
            <w:right w:val="none" w:sz="0" w:space="0" w:color="auto"/>
          </w:divBdr>
        </w:div>
        <w:div w:id="1155798290">
          <w:marLeft w:val="0"/>
          <w:marRight w:val="0"/>
          <w:marTop w:val="0"/>
          <w:marBottom w:val="0"/>
          <w:divBdr>
            <w:top w:val="none" w:sz="0" w:space="0" w:color="auto"/>
            <w:left w:val="none" w:sz="0" w:space="0" w:color="auto"/>
            <w:bottom w:val="none" w:sz="0" w:space="0" w:color="auto"/>
            <w:right w:val="none" w:sz="0" w:space="0" w:color="auto"/>
          </w:divBdr>
        </w:div>
        <w:div w:id="1918442768">
          <w:marLeft w:val="0"/>
          <w:marRight w:val="0"/>
          <w:marTop w:val="0"/>
          <w:marBottom w:val="0"/>
          <w:divBdr>
            <w:top w:val="none" w:sz="0" w:space="0" w:color="auto"/>
            <w:left w:val="none" w:sz="0" w:space="0" w:color="auto"/>
            <w:bottom w:val="none" w:sz="0" w:space="0" w:color="auto"/>
            <w:right w:val="none" w:sz="0" w:space="0" w:color="auto"/>
          </w:divBdr>
        </w:div>
        <w:div w:id="1830518537">
          <w:marLeft w:val="0"/>
          <w:marRight w:val="0"/>
          <w:marTop w:val="0"/>
          <w:marBottom w:val="0"/>
          <w:divBdr>
            <w:top w:val="none" w:sz="0" w:space="0" w:color="auto"/>
            <w:left w:val="none" w:sz="0" w:space="0" w:color="auto"/>
            <w:bottom w:val="none" w:sz="0" w:space="0" w:color="auto"/>
            <w:right w:val="none" w:sz="0" w:space="0" w:color="auto"/>
          </w:divBdr>
        </w:div>
        <w:div w:id="422117484">
          <w:marLeft w:val="0"/>
          <w:marRight w:val="0"/>
          <w:marTop w:val="0"/>
          <w:marBottom w:val="0"/>
          <w:divBdr>
            <w:top w:val="none" w:sz="0" w:space="0" w:color="auto"/>
            <w:left w:val="none" w:sz="0" w:space="0" w:color="auto"/>
            <w:bottom w:val="none" w:sz="0" w:space="0" w:color="auto"/>
            <w:right w:val="none" w:sz="0" w:space="0" w:color="auto"/>
          </w:divBdr>
        </w:div>
        <w:div w:id="1061756842">
          <w:marLeft w:val="0"/>
          <w:marRight w:val="0"/>
          <w:marTop w:val="0"/>
          <w:marBottom w:val="0"/>
          <w:divBdr>
            <w:top w:val="none" w:sz="0" w:space="0" w:color="auto"/>
            <w:left w:val="none" w:sz="0" w:space="0" w:color="auto"/>
            <w:bottom w:val="none" w:sz="0" w:space="0" w:color="auto"/>
            <w:right w:val="none" w:sz="0" w:space="0" w:color="auto"/>
          </w:divBdr>
        </w:div>
        <w:div w:id="1429345711">
          <w:marLeft w:val="0"/>
          <w:marRight w:val="0"/>
          <w:marTop w:val="0"/>
          <w:marBottom w:val="0"/>
          <w:divBdr>
            <w:top w:val="none" w:sz="0" w:space="0" w:color="auto"/>
            <w:left w:val="none" w:sz="0" w:space="0" w:color="auto"/>
            <w:bottom w:val="none" w:sz="0" w:space="0" w:color="auto"/>
            <w:right w:val="none" w:sz="0" w:space="0" w:color="auto"/>
          </w:divBdr>
        </w:div>
        <w:div w:id="1856186517">
          <w:marLeft w:val="0"/>
          <w:marRight w:val="0"/>
          <w:marTop w:val="0"/>
          <w:marBottom w:val="0"/>
          <w:divBdr>
            <w:top w:val="none" w:sz="0" w:space="0" w:color="auto"/>
            <w:left w:val="none" w:sz="0" w:space="0" w:color="auto"/>
            <w:bottom w:val="none" w:sz="0" w:space="0" w:color="auto"/>
            <w:right w:val="none" w:sz="0" w:space="0" w:color="auto"/>
          </w:divBdr>
        </w:div>
        <w:div w:id="2008895309">
          <w:marLeft w:val="0"/>
          <w:marRight w:val="0"/>
          <w:marTop w:val="0"/>
          <w:marBottom w:val="0"/>
          <w:divBdr>
            <w:top w:val="none" w:sz="0" w:space="0" w:color="auto"/>
            <w:left w:val="none" w:sz="0" w:space="0" w:color="auto"/>
            <w:bottom w:val="none" w:sz="0" w:space="0" w:color="auto"/>
            <w:right w:val="none" w:sz="0" w:space="0" w:color="auto"/>
          </w:divBdr>
        </w:div>
        <w:div w:id="1514952732">
          <w:marLeft w:val="0"/>
          <w:marRight w:val="0"/>
          <w:marTop w:val="0"/>
          <w:marBottom w:val="0"/>
          <w:divBdr>
            <w:top w:val="none" w:sz="0" w:space="0" w:color="auto"/>
            <w:left w:val="none" w:sz="0" w:space="0" w:color="auto"/>
            <w:bottom w:val="none" w:sz="0" w:space="0" w:color="auto"/>
            <w:right w:val="none" w:sz="0" w:space="0" w:color="auto"/>
          </w:divBdr>
        </w:div>
        <w:div w:id="1038242245">
          <w:marLeft w:val="0"/>
          <w:marRight w:val="0"/>
          <w:marTop w:val="0"/>
          <w:marBottom w:val="0"/>
          <w:divBdr>
            <w:top w:val="none" w:sz="0" w:space="0" w:color="auto"/>
            <w:left w:val="none" w:sz="0" w:space="0" w:color="auto"/>
            <w:bottom w:val="none" w:sz="0" w:space="0" w:color="auto"/>
            <w:right w:val="none" w:sz="0" w:space="0" w:color="auto"/>
          </w:divBdr>
        </w:div>
        <w:div w:id="142047328">
          <w:marLeft w:val="0"/>
          <w:marRight w:val="0"/>
          <w:marTop w:val="0"/>
          <w:marBottom w:val="0"/>
          <w:divBdr>
            <w:top w:val="none" w:sz="0" w:space="0" w:color="auto"/>
            <w:left w:val="none" w:sz="0" w:space="0" w:color="auto"/>
            <w:bottom w:val="none" w:sz="0" w:space="0" w:color="auto"/>
            <w:right w:val="none" w:sz="0" w:space="0" w:color="auto"/>
          </w:divBdr>
        </w:div>
        <w:div w:id="854809501">
          <w:marLeft w:val="0"/>
          <w:marRight w:val="0"/>
          <w:marTop w:val="0"/>
          <w:marBottom w:val="0"/>
          <w:divBdr>
            <w:top w:val="none" w:sz="0" w:space="0" w:color="auto"/>
            <w:left w:val="none" w:sz="0" w:space="0" w:color="auto"/>
            <w:bottom w:val="none" w:sz="0" w:space="0" w:color="auto"/>
            <w:right w:val="none" w:sz="0" w:space="0" w:color="auto"/>
          </w:divBdr>
        </w:div>
        <w:div w:id="968629638">
          <w:marLeft w:val="0"/>
          <w:marRight w:val="0"/>
          <w:marTop w:val="0"/>
          <w:marBottom w:val="0"/>
          <w:divBdr>
            <w:top w:val="none" w:sz="0" w:space="0" w:color="auto"/>
            <w:left w:val="none" w:sz="0" w:space="0" w:color="auto"/>
            <w:bottom w:val="none" w:sz="0" w:space="0" w:color="auto"/>
            <w:right w:val="none" w:sz="0" w:space="0" w:color="auto"/>
          </w:divBdr>
        </w:div>
        <w:div w:id="721169957">
          <w:marLeft w:val="0"/>
          <w:marRight w:val="0"/>
          <w:marTop w:val="0"/>
          <w:marBottom w:val="0"/>
          <w:divBdr>
            <w:top w:val="none" w:sz="0" w:space="0" w:color="auto"/>
            <w:left w:val="none" w:sz="0" w:space="0" w:color="auto"/>
            <w:bottom w:val="none" w:sz="0" w:space="0" w:color="auto"/>
            <w:right w:val="none" w:sz="0" w:space="0" w:color="auto"/>
          </w:divBdr>
        </w:div>
        <w:div w:id="1169440218">
          <w:marLeft w:val="0"/>
          <w:marRight w:val="0"/>
          <w:marTop w:val="0"/>
          <w:marBottom w:val="0"/>
          <w:divBdr>
            <w:top w:val="none" w:sz="0" w:space="0" w:color="auto"/>
            <w:left w:val="none" w:sz="0" w:space="0" w:color="auto"/>
            <w:bottom w:val="none" w:sz="0" w:space="0" w:color="auto"/>
            <w:right w:val="none" w:sz="0" w:space="0" w:color="auto"/>
          </w:divBdr>
        </w:div>
        <w:div w:id="2089189287">
          <w:marLeft w:val="0"/>
          <w:marRight w:val="0"/>
          <w:marTop w:val="0"/>
          <w:marBottom w:val="0"/>
          <w:divBdr>
            <w:top w:val="none" w:sz="0" w:space="0" w:color="auto"/>
            <w:left w:val="none" w:sz="0" w:space="0" w:color="auto"/>
            <w:bottom w:val="none" w:sz="0" w:space="0" w:color="auto"/>
            <w:right w:val="none" w:sz="0" w:space="0" w:color="auto"/>
          </w:divBdr>
        </w:div>
        <w:div w:id="1168253319">
          <w:marLeft w:val="0"/>
          <w:marRight w:val="0"/>
          <w:marTop w:val="0"/>
          <w:marBottom w:val="0"/>
          <w:divBdr>
            <w:top w:val="none" w:sz="0" w:space="0" w:color="auto"/>
            <w:left w:val="none" w:sz="0" w:space="0" w:color="auto"/>
            <w:bottom w:val="none" w:sz="0" w:space="0" w:color="auto"/>
            <w:right w:val="none" w:sz="0" w:space="0" w:color="auto"/>
          </w:divBdr>
        </w:div>
        <w:div w:id="996693860">
          <w:marLeft w:val="0"/>
          <w:marRight w:val="0"/>
          <w:marTop w:val="0"/>
          <w:marBottom w:val="0"/>
          <w:divBdr>
            <w:top w:val="none" w:sz="0" w:space="0" w:color="auto"/>
            <w:left w:val="none" w:sz="0" w:space="0" w:color="auto"/>
            <w:bottom w:val="none" w:sz="0" w:space="0" w:color="auto"/>
            <w:right w:val="none" w:sz="0" w:space="0" w:color="auto"/>
          </w:divBdr>
        </w:div>
        <w:div w:id="1117914160">
          <w:marLeft w:val="0"/>
          <w:marRight w:val="0"/>
          <w:marTop w:val="0"/>
          <w:marBottom w:val="0"/>
          <w:divBdr>
            <w:top w:val="none" w:sz="0" w:space="0" w:color="auto"/>
            <w:left w:val="none" w:sz="0" w:space="0" w:color="auto"/>
            <w:bottom w:val="none" w:sz="0" w:space="0" w:color="auto"/>
            <w:right w:val="none" w:sz="0" w:space="0" w:color="auto"/>
          </w:divBdr>
        </w:div>
        <w:div w:id="798035091">
          <w:marLeft w:val="0"/>
          <w:marRight w:val="0"/>
          <w:marTop w:val="0"/>
          <w:marBottom w:val="0"/>
          <w:divBdr>
            <w:top w:val="none" w:sz="0" w:space="0" w:color="auto"/>
            <w:left w:val="none" w:sz="0" w:space="0" w:color="auto"/>
            <w:bottom w:val="none" w:sz="0" w:space="0" w:color="auto"/>
            <w:right w:val="none" w:sz="0" w:space="0" w:color="auto"/>
          </w:divBdr>
        </w:div>
        <w:div w:id="1726836436">
          <w:marLeft w:val="0"/>
          <w:marRight w:val="0"/>
          <w:marTop w:val="0"/>
          <w:marBottom w:val="0"/>
          <w:divBdr>
            <w:top w:val="none" w:sz="0" w:space="0" w:color="auto"/>
            <w:left w:val="none" w:sz="0" w:space="0" w:color="auto"/>
            <w:bottom w:val="none" w:sz="0" w:space="0" w:color="auto"/>
            <w:right w:val="none" w:sz="0" w:space="0" w:color="auto"/>
          </w:divBdr>
        </w:div>
        <w:div w:id="1735199117">
          <w:marLeft w:val="0"/>
          <w:marRight w:val="0"/>
          <w:marTop w:val="0"/>
          <w:marBottom w:val="0"/>
          <w:divBdr>
            <w:top w:val="none" w:sz="0" w:space="0" w:color="auto"/>
            <w:left w:val="none" w:sz="0" w:space="0" w:color="auto"/>
            <w:bottom w:val="none" w:sz="0" w:space="0" w:color="auto"/>
            <w:right w:val="none" w:sz="0" w:space="0" w:color="auto"/>
          </w:divBdr>
        </w:div>
        <w:div w:id="1589341488">
          <w:marLeft w:val="0"/>
          <w:marRight w:val="0"/>
          <w:marTop w:val="0"/>
          <w:marBottom w:val="0"/>
          <w:divBdr>
            <w:top w:val="none" w:sz="0" w:space="0" w:color="auto"/>
            <w:left w:val="none" w:sz="0" w:space="0" w:color="auto"/>
            <w:bottom w:val="none" w:sz="0" w:space="0" w:color="auto"/>
            <w:right w:val="none" w:sz="0" w:space="0" w:color="auto"/>
          </w:divBdr>
        </w:div>
      </w:divsChild>
    </w:div>
    <w:div w:id="2022662869">
      <w:bodyDiv w:val="1"/>
      <w:marLeft w:val="0"/>
      <w:marRight w:val="0"/>
      <w:marTop w:val="0"/>
      <w:marBottom w:val="0"/>
      <w:divBdr>
        <w:top w:val="none" w:sz="0" w:space="0" w:color="auto"/>
        <w:left w:val="none" w:sz="0" w:space="0" w:color="auto"/>
        <w:bottom w:val="none" w:sz="0" w:space="0" w:color="auto"/>
        <w:right w:val="none" w:sz="0" w:space="0" w:color="auto"/>
      </w:divBdr>
      <w:divsChild>
        <w:div w:id="795215480">
          <w:marLeft w:val="0"/>
          <w:marRight w:val="0"/>
          <w:marTop w:val="0"/>
          <w:marBottom w:val="0"/>
          <w:divBdr>
            <w:top w:val="none" w:sz="0" w:space="0" w:color="auto"/>
            <w:left w:val="none" w:sz="0" w:space="0" w:color="auto"/>
            <w:bottom w:val="single" w:sz="6" w:space="12" w:color="DDDDDD"/>
            <w:right w:val="none" w:sz="0" w:space="0" w:color="auto"/>
          </w:divBdr>
          <w:divsChild>
            <w:div w:id="1750616270">
              <w:marLeft w:val="0"/>
              <w:marRight w:val="0"/>
              <w:marTop w:val="0"/>
              <w:marBottom w:val="0"/>
              <w:divBdr>
                <w:top w:val="none" w:sz="0" w:space="0" w:color="auto"/>
                <w:left w:val="none" w:sz="0" w:space="0" w:color="auto"/>
                <w:bottom w:val="none" w:sz="0" w:space="0" w:color="auto"/>
                <w:right w:val="none" w:sz="0" w:space="0" w:color="auto"/>
              </w:divBdr>
              <w:divsChild>
                <w:div w:id="708648301">
                  <w:marLeft w:val="0"/>
                  <w:marRight w:val="0"/>
                  <w:marTop w:val="0"/>
                  <w:marBottom w:val="0"/>
                  <w:divBdr>
                    <w:top w:val="none" w:sz="0" w:space="0" w:color="auto"/>
                    <w:left w:val="none" w:sz="0" w:space="0" w:color="auto"/>
                    <w:bottom w:val="none" w:sz="0" w:space="0" w:color="auto"/>
                    <w:right w:val="none" w:sz="0" w:space="0" w:color="auto"/>
                  </w:divBdr>
                  <w:divsChild>
                    <w:div w:id="1580603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9237341">
          <w:marLeft w:val="0"/>
          <w:marRight w:val="0"/>
          <w:marTop w:val="0"/>
          <w:marBottom w:val="0"/>
          <w:divBdr>
            <w:top w:val="none" w:sz="0" w:space="0" w:color="auto"/>
            <w:left w:val="none" w:sz="0" w:space="0" w:color="auto"/>
            <w:bottom w:val="single" w:sz="6" w:space="12" w:color="DDDDDD"/>
            <w:right w:val="none" w:sz="0" w:space="0" w:color="auto"/>
          </w:divBdr>
          <w:divsChild>
            <w:div w:id="1890343333">
              <w:marLeft w:val="0"/>
              <w:marRight w:val="0"/>
              <w:marTop w:val="0"/>
              <w:marBottom w:val="0"/>
              <w:divBdr>
                <w:top w:val="none" w:sz="0" w:space="0" w:color="auto"/>
                <w:left w:val="none" w:sz="0" w:space="0" w:color="auto"/>
                <w:bottom w:val="none" w:sz="0" w:space="0" w:color="auto"/>
                <w:right w:val="none" w:sz="0" w:space="0" w:color="auto"/>
              </w:divBdr>
              <w:divsChild>
                <w:div w:id="573399336">
                  <w:marLeft w:val="0"/>
                  <w:marRight w:val="0"/>
                  <w:marTop w:val="0"/>
                  <w:marBottom w:val="0"/>
                  <w:divBdr>
                    <w:top w:val="none" w:sz="0" w:space="0" w:color="auto"/>
                    <w:left w:val="none" w:sz="0" w:space="0" w:color="auto"/>
                    <w:bottom w:val="none" w:sz="0" w:space="0" w:color="auto"/>
                    <w:right w:val="none" w:sz="0" w:space="0" w:color="auto"/>
                  </w:divBdr>
                  <w:divsChild>
                    <w:div w:id="800223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8837203">
          <w:marLeft w:val="0"/>
          <w:marRight w:val="0"/>
          <w:marTop w:val="0"/>
          <w:marBottom w:val="0"/>
          <w:divBdr>
            <w:top w:val="none" w:sz="0" w:space="0" w:color="auto"/>
            <w:left w:val="none" w:sz="0" w:space="0" w:color="auto"/>
            <w:bottom w:val="single" w:sz="6" w:space="12" w:color="DDDDDD"/>
            <w:right w:val="none" w:sz="0" w:space="0" w:color="auto"/>
          </w:divBdr>
          <w:divsChild>
            <w:div w:id="1072393293">
              <w:marLeft w:val="0"/>
              <w:marRight w:val="0"/>
              <w:marTop w:val="0"/>
              <w:marBottom w:val="0"/>
              <w:divBdr>
                <w:top w:val="none" w:sz="0" w:space="0" w:color="auto"/>
                <w:left w:val="none" w:sz="0" w:space="0" w:color="auto"/>
                <w:bottom w:val="none" w:sz="0" w:space="0" w:color="auto"/>
                <w:right w:val="none" w:sz="0" w:space="0" w:color="auto"/>
              </w:divBdr>
              <w:divsChild>
                <w:div w:id="1620717473">
                  <w:marLeft w:val="0"/>
                  <w:marRight w:val="0"/>
                  <w:marTop w:val="0"/>
                  <w:marBottom w:val="0"/>
                  <w:divBdr>
                    <w:top w:val="none" w:sz="0" w:space="0" w:color="auto"/>
                    <w:left w:val="none" w:sz="0" w:space="0" w:color="auto"/>
                    <w:bottom w:val="none" w:sz="0" w:space="0" w:color="auto"/>
                    <w:right w:val="none" w:sz="0" w:space="0" w:color="auto"/>
                  </w:divBdr>
                  <w:divsChild>
                    <w:div w:id="1526750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3458183">
          <w:marLeft w:val="0"/>
          <w:marRight w:val="0"/>
          <w:marTop w:val="0"/>
          <w:marBottom w:val="0"/>
          <w:divBdr>
            <w:top w:val="none" w:sz="0" w:space="0" w:color="auto"/>
            <w:left w:val="none" w:sz="0" w:space="0" w:color="auto"/>
            <w:bottom w:val="single" w:sz="6" w:space="12" w:color="DDDDDD"/>
            <w:right w:val="none" w:sz="0" w:space="0" w:color="auto"/>
          </w:divBdr>
          <w:divsChild>
            <w:div w:id="1072972281">
              <w:marLeft w:val="0"/>
              <w:marRight w:val="0"/>
              <w:marTop w:val="0"/>
              <w:marBottom w:val="0"/>
              <w:divBdr>
                <w:top w:val="none" w:sz="0" w:space="0" w:color="auto"/>
                <w:left w:val="none" w:sz="0" w:space="0" w:color="auto"/>
                <w:bottom w:val="none" w:sz="0" w:space="0" w:color="auto"/>
                <w:right w:val="none" w:sz="0" w:space="0" w:color="auto"/>
              </w:divBdr>
              <w:divsChild>
                <w:div w:id="425808543">
                  <w:marLeft w:val="0"/>
                  <w:marRight w:val="0"/>
                  <w:marTop w:val="0"/>
                  <w:marBottom w:val="0"/>
                  <w:divBdr>
                    <w:top w:val="none" w:sz="0" w:space="0" w:color="auto"/>
                    <w:left w:val="none" w:sz="0" w:space="0" w:color="auto"/>
                    <w:bottom w:val="none" w:sz="0" w:space="0" w:color="auto"/>
                    <w:right w:val="none" w:sz="0" w:space="0" w:color="auto"/>
                  </w:divBdr>
                  <w:divsChild>
                    <w:div w:id="2004240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7298434">
          <w:marLeft w:val="0"/>
          <w:marRight w:val="0"/>
          <w:marTop w:val="0"/>
          <w:marBottom w:val="0"/>
          <w:divBdr>
            <w:top w:val="none" w:sz="0" w:space="0" w:color="auto"/>
            <w:left w:val="none" w:sz="0" w:space="0" w:color="auto"/>
            <w:bottom w:val="single" w:sz="6" w:space="12" w:color="DDDDDD"/>
            <w:right w:val="none" w:sz="0" w:space="0" w:color="auto"/>
          </w:divBdr>
          <w:divsChild>
            <w:div w:id="1502768995">
              <w:marLeft w:val="0"/>
              <w:marRight w:val="0"/>
              <w:marTop w:val="0"/>
              <w:marBottom w:val="0"/>
              <w:divBdr>
                <w:top w:val="none" w:sz="0" w:space="0" w:color="auto"/>
                <w:left w:val="none" w:sz="0" w:space="0" w:color="auto"/>
                <w:bottom w:val="none" w:sz="0" w:space="0" w:color="auto"/>
                <w:right w:val="none" w:sz="0" w:space="0" w:color="auto"/>
              </w:divBdr>
              <w:divsChild>
                <w:div w:id="1153789505">
                  <w:marLeft w:val="0"/>
                  <w:marRight w:val="0"/>
                  <w:marTop w:val="0"/>
                  <w:marBottom w:val="0"/>
                  <w:divBdr>
                    <w:top w:val="none" w:sz="0" w:space="0" w:color="auto"/>
                    <w:left w:val="none" w:sz="0" w:space="0" w:color="auto"/>
                    <w:bottom w:val="none" w:sz="0" w:space="0" w:color="auto"/>
                    <w:right w:val="none" w:sz="0" w:space="0" w:color="auto"/>
                  </w:divBdr>
                  <w:divsChild>
                    <w:div w:id="1896157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1841128">
          <w:marLeft w:val="0"/>
          <w:marRight w:val="0"/>
          <w:marTop w:val="0"/>
          <w:marBottom w:val="0"/>
          <w:divBdr>
            <w:top w:val="none" w:sz="0" w:space="0" w:color="auto"/>
            <w:left w:val="none" w:sz="0" w:space="0" w:color="auto"/>
            <w:bottom w:val="single" w:sz="6" w:space="12" w:color="DDDDDD"/>
            <w:right w:val="none" w:sz="0" w:space="0" w:color="auto"/>
          </w:divBdr>
          <w:divsChild>
            <w:div w:id="253712222">
              <w:marLeft w:val="0"/>
              <w:marRight w:val="0"/>
              <w:marTop w:val="0"/>
              <w:marBottom w:val="0"/>
              <w:divBdr>
                <w:top w:val="none" w:sz="0" w:space="0" w:color="auto"/>
                <w:left w:val="none" w:sz="0" w:space="0" w:color="auto"/>
                <w:bottom w:val="none" w:sz="0" w:space="0" w:color="auto"/>
                <w:right w:val="none" w:sz="0" w:space="0" w:color="auto"/>
              </w:divBdr>
              <w:divsChild>
                <w:div w:id="1782916042">
                  <w:marLeft w:val="0"/>
                  <w:marRight w:val="0"/>
                  <w:marTop w:val="0"/>
                  <w:marBottom w:val="0"/>
                  <w:divBdr>
                    <w:top w:val="none" w:sz="0" w:space="0" w:color="auto"/>
                    <w:left w:val="none" w:sz="0" w:space="0" w:color="auto"/>
                    <w:bottom w:val="none" w:sz="0" w:space="0" w:color="auto"/>
                    <w:right w:val="none" w:sz="0" w:space="0" w:color="auto"/>
                  </w:divBdr>
                  <w:divsChild>
                    <w:div w:id="1016616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3840244">
          <w:marLeft w:val="0"/>
          <w:marRight w:val="0"/>
          <w:marTop w:val="0"/>
          <w:marBottom w:val="0"/>
          <w:divBdr>
            <w:top w:val="none" w:sz="0" w:space="0" w:color="auto"/>
            <w:left w:val="none" w:sz="0" w:space="0" w:color="auto"/>
            <w:bottom w:val="single" w:sz="6" w:space="12" w:color="DDDDDD"/>
            <w:right w:val="none" w:sz="0" w:space="0" w:color="auto"/>
          </w:divBdr>
          <w:divsChild>
            <w:div w:id="1118449849">
              <w:marLeft w:val="0"/>
              <w:marRight w:val="0"/>
              <w:marTop w:val="0"/>
              <w:marBottom w:val="0"/>
              <w:divBdr>
                <w:top w:val="none" w:sz="0" w:space="0" w:color="auto"/>
                <w:left w:val="none" w:sz="0" w:space="0" w:color="auto"/>
                <w:bottom w:val="none" w:sz="0" w:space="0" w:color="auto"/>
                <w:right w:val="none" w:sz="0" w:space="0" w:color="auto"/>
              </w:divBdr>
              <w:divsChild>
                <w:div w:id="1855613754">
                  <w:marLeft w:val="0"/>
                  <w:marRight w:val="0"/>
                  <w:marTop w:val="0"/>
                  <w:marBottom w:val="0"/>
                  <w:divBdr>
                    <w:top w:val="none" w:sz="0" w:space="0" w:color="auto"/>
                    <w:left w:val="none" w:sz="0" w:space="0" w:color="auto"/>
                    <w:bottom w:val="none" w:sz="0" w:space="0" w:color="auto"/>
                    <w:right w:val="none" w:sz="0" w:space="0" w:color="auto"/>
                  </w:divBdr>
                  <w:divsChild>
                    <w:div w:id="1778987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04370">
          <w:marLeft w:val="0"/>
          <w:marRight w:val="0"/>
          <w:marTop w:val="0"/>
          <w:marBottom w:val="0"/>
          <w:divBdr>
            <w:top w:val="none" w:sz="0" w:space="0" w:color="auto"/>
            <w:left w:val="none" w:sz="0" w:space="0" w:color="auto"/>
            <w:bottom w:val="single" w:sz="6" w:space="12" w:color="DDDDDD"/>
            <w:right w:val="none" w:sz="0" w:space="0" w:color="auto"/>
          </w:divBdr>
          <w:divsChild>
            <w:div w:id="354962808">
              <w:marLeft w:val="0"/>
              <w:marRight w:val="0"/>
              <w:marTop w:val="0"/>
              <w:marBottom w:val="0"/>
              <w:divBdr>
                <w:top w:val="none" w:sz="0" w:space="0" w:color="auto"/>
                <w:left w:val="none" w:sz="0" w:space="0" w:color="auto"/>
                <w:bottom w:val="none" w:sz="0" w:space="0" w:color="auto"/>
                <w:right w:val="none" w:sz="0" w:space="0" w:color="auto"/>
              </w:divBdr>
              <w:divsChild>
                <w:div w:id="1351494076">
                  <w:marLeft w:val="0"/>
                  <w:marRight w:val="0"/>
                  <w:marTop w:val="0"/>
                  <w:marBottom w:val="0"/>
                  <w:divBdr>
                    <w:top w:val="none" w:sz="0" w:space="0" w:color="auto"/>
                    <w:left w:val="none" w:sz="0" w:space="0" w:color="auto"/>
                    <w:bottom w:val="none" w:sz="0" w:space="0" w:color="auto"/>
                    <w:right w:val="none" w:sz="0" w:space="0" w:color="auto"/>
                  </w:divBdr>
                  <w:divsChild>
                    <w:div w:id="1515222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1120842">
          <w:marLeft w:val="0"/>
          <w:marRight w:val="0"/>
          <w:marTop w:val="0"/>
          <w:marBottom w:val="0"/>
          <w:divBdr>
            <w:top w:val="none" w:sz="0" w:space="0" w:color="auto"/>
            <w:left w:val="none" w:sz="0" w:space="0" w:color="auto"/>
            <w:bottom w:val="single" w:sz="6" w:space="12" w:color="DDDDDD"/>
            <w:right w:val="none" w:sz="0" w:space="0" w:color="auto"/>
          </w:divBdr>
          <w:divsChild>
            <w:div w:id="1924143046">
              <w:marLeft w:val="0"/>
              <w:marRight w:val="0"/>
              <w:marTop w:val="0"/>
              <w:marBottom w:val="0"/>
              <w:divBdr>
                <w:top w:val="none" w:sz="0" w:space="0" w:color="auto"/>
                <w:left w:val="none" w:sz="0" w:space="0" w:color="auto"/>
                <w:bottom w:val="none" w:sz="0" w:space="0" w:color="auto"/>
                <w:right w:val="none" w:sz="0" w:space="0" w:color="auto"/>
              </w:divBdr>
              <w:divsChild>
                <w:div w:id="1351685788">
                  <w:marLeft w:val="0"/>
                  <w:marRight w:val="0"/>
                  <w:marTop w:val="0"/>
                  <w:marBottom w:val="0"/>
                  <w:divBdr>
                    <w:top w:val="none" w:sz="0" w:space="0" w:color="auto"/>
                    <w:left w:val="none" w:sz="0" w:space="0" w:color="auto"/>
                    <w:bottom w:val="none" w:sz="0" w:space="0" w:color="auto"/>
                    <w:right w:val="none" w:sz="0" w:space="0" w:color="auto"/>
                  </w:divBdr>
                  <w:divsChild>
                    <w:div w:id="1192718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7587414">
          <w:marLeft w:val="0"/>
          <w:marRight w:val="0"/>
          <w:marTop w:val="0"/>
          <w:marBottom w:val="0"/>
          <w:divBdr>
            <w:top w:val="none" w:sz="0" w:space="0" w:color="auto"/>
            <w:left w:val="none" w:sz="0" w:space="0" w:color="auto"/>
            <w:bottom w:val="single" w:sz="6" w:space="12" w:color="DDDDDD"/>
            <w:right w:val="none" w:sz="0" w:space="0" w:color="auto"/>
          </w:divBdr>
          <w:divsChild>
            <w:div w:id="721175154">
              <w:marLeft w:val="0"/>
              <w:marRight w:val="0"/>
              <w:marTop w:val="0"/>
              <w:marBottom w:val="0"/>
              <w:divBdr>
                <w:top w:val="none" w:sz="0" w:space="0" w:color="auto"/>
                <w:left w:val="none" w:sz="0" w:space="0" w:color="auto"/>
                <w:bottom w:val="none" w:sz="0" w:space="0" w:color="auto"/>
                <w:right w:val="none" w:sz="0" w:space="0" w:color="auto"/>
              </w:divBdr>
              <w:divsChild>
                <w:div w:id="1543788237">
                  <w:marLeft w:val="0"/>
                  <w:marRight w:val="0"/>
                  <w:marTop w:val="0"/>
                  <w:marBottom w:val="0"/>
                  <w:divBdr>
                    <w:top w:val="none" w:sz="0" w:space="0" w:color="auto"/>
                    <w:left w:val="none" w:sz="0" w:space="0" w:color="auto"/>
                    <w:bottom w:val="none" w:sz="0" w:space="0" w:color="auto"/>
                    <w:right w:val="none" w:sz="0" w:space="0" w:color="auto"/>
                  </w:divBdr>
                  <w:divsChild>
                    <w:div w:id="1343047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9135493">
          <w:marLeft w:val="0"/>
          <w:marRight w:val="0"/>
          <w:marTop w:val="0"/>
          <w:marBottom w:val="0"/>
          <w:divBdr>
            <w:top w:val="none" w:sz="0" w:space="0" w:color="auto"/>
            <w:left w:val="none" w:sz="0" w:space="0" w:color="auto"/>
            <w:bottom w:val="single" w:sz="6" w:space="12" w:color="DDDDDD"/>
            <w:right w:val="none" w:sz="0" w:space="0" w:color="auto"/>
          </w:divBdr>
          <w:divsChild>
            <w:div w:id="1292902525">
              <w:marLeft w:val="0"/>
              <w:marRight w:val="0"/>
              <w:marTop w:val="0"/>
              <w:marBottom w:val="0"/>
              <w:divBdr>
                <w:top w:val="none" w:sz="0" w:space="0" w:color="auto"/>
                <w:left w:val="none" w:sz="0" w:space="0" w:color="auto"/>
                <w:bottom w:val="none" w:sz="0" w:space="0" w:color="auto"/>
                <w:right w:val="none" w:sz="0" w:space="0" w:color="auto"/>
              </w:divBdr>
              <w:divsChild>
                <w:div w:id="1410228513">
                  <w:marLeft w:val="0"/>
                  <w:marRight w:val="0"/>
                  <w:marTop w:val="0"/>
                  <w:marBottom w:val="0"/>
                  <w:divBdr>
                    <w:top w:val="none" w:sz="0" w:space="0" w:color="auto"/>
                    <w:left w:val="none" w:sz="0" w:space="0" w:color="auto"/>
                    <w:bottom w:val="none" w:sz="0" w:space="0" w:color="auto"/>
                    <w:right w:val="none" w:sz="0" w:space="0" w:color="auto"/>
                  </w:divBdr>
                  <w:divsChild>
                    <w:div w:id="1922565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9967963">
          <w:marLeft w:val="0"/>
          <w:marRight w:val="0"/>
          <w:marTop w:val="0"/>
          <w:marBottom w:val="0"/>
          <w:divBdr>
            <w:top w:val="none" w:sz="0" w:space="0" w:color="auto"/>
            <w:left w:val="none" w:sz="0" w:space="0" w:color="auto"/>
            <w:bottom w:val="single" w:sz="6" w:space="12" w:color="DDDDDD"/>
            <w:right w:val="none" w:sz="0" w:space="0" w:color="auto"/>
          </w:divBdr>
          <w:divsChild>
            <w:div w:id="1469526">
              <w:marLeft w:val="0"/>
              <w:marRight w:val="0"/>
              <w:marTop w:val="0"/>
              <w:marBottom w:val="0"/>
              <w:divBdr>
                <w:top w:val="none" w:sz="0" w:space="0" w:color="auto"/>
                <w:left w:val="none" w:sz="0" w:space="0" w:color="auto"/>
                <w:bottom w:val="none" w:sz="0" w:space="0" w:color="auto"/>
                <w:right w:val="none" w:sz="0" w:space="0" w:color="auto"/>
              </w:divBdr>
              <w:divsChild>
                <w:div w:id="1314527227">
                  <w:marLeft w:val="0"/>
                  <w:marRight w:val="0"/>
                  <w:marTop w:val="0"/>
                  <w:marBottom w:val="0"/>
                  <w:divBdr>
                    <w:top w:val="none" w:sz="0" w:space="0" w:color="auto"/>
                    <w:left w:val="none" w:sz="0" w:space="0" w:color="auto"/>
                    <w:bottom w:val="none" w:sz="0" w:space="0" w:color="auto"/>
                    <w:right w:val="none" w:sz="0" w:space="0" w:color="auto"/>
                  </w:divBdr>
                  <w:divsChild>
                    <w:div w:id="2071806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1770588">
          <w:marLeft w:val="0"/>
          <w:marRight w:val="0"/>
          <w:marTop w:val="0"/>
          <w:marBottom w:val="0"/>
          <w:divBdr>
            <w:top w:val="none" w:sz="0" w:space="0" w:color="auto"/>
            <w:left w:val="none" w:sz="0" w:space="0" w:color="auto"/>
            <w:bottom w:val="single" w:sz="6" w:space="12" w:color="DDDDDD"/>
            <w:right w:val="none" w:sz="0" w:space="0" w:color="auto"/>
          </w:divBdr>
          <w:divsChild>
            <w:div w:id="1585609946">
              <w:marLeft w:val="0"/>
              <w:marRight w:val="0"/>
              <w:marTop w:val="0"/>
              <w:marBottom w:val="0"/>
              <w:divBdr>
                <w:top w:val="none" w:sz="0" w:space="0" w:color="auto"/>
                <w:left w:val="none" w:sz="0" w:space="0" w:color="auto"/>
                <w:bottom w:val="none" w:sz="0" w:space="0" w:color="auto"/>
                <w:right w:val="none" w:sz="0" w:space="0" w:color="auto"/>
              </w:divBdr>
              <w:divsChild>
                <w:div w:id="98451853">
                  <w:marLeft w:val="0"/>
                  <w:marRight w:val="0"/>
                  <w:marTop w:val="0"/>
                  <w:marBottom w:val="0"/>
                  <w:divBdr>
                    <w:top w:val="none" w:sz="0" w:space="0" w:color="auto"/>
                    <w:left w:val="none" w:sz="0" w:space="0" w:color="auto"/>
                    <w:bottom w:val="none" w:sz="0" w:space="0" w:color="auto"/>
                    <w:right w:val="none" w:sz="0" w:space="0" w:color="auto"/>
                  </w:divBdr>
                  <w:divsChild>
                    <w:div w:id="758528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3398980">
          <w:marLeft w:val="0"/>
          <w:marRight w:val="0"/>
          <w:marTop w:val="0"/>
          <w:marBottom w:val="0"/>
          <w:divBdr>
            <w:top w:val="none" w:sz="0" w:space="0" w:color="auto"/>
            <w:left w:val="none" w:sz="0" w:space="0" w:color="auto"/>
            <w:bottom w:val="single" w:sz="6" w:space="12" w:color="DDDDDD"/>
            <w:right w:val="none" w:sz="0" w:space="0" w:color="auto"/>
          </w:divBdr>
          <w:divsChild>
            <w:div w:id="1186406279">
              <w:marLeft w:val="0"/>
              <w:marRight w:val="0"/>
              <w:marTop w:val="0"/>
              <w:marBottom w:val="0"/>
              <w:divBdr>
                <w:top w:val="none" w:sz="0" w:space="0" w:color="auto"/>
                <w:left w:val="none" w:sz="0" w:space="0" w:color="auto"/>
                <w:bottom w:val="none" w:sz="0" w:space="0" w:color="auto"/>
                <w:right w:val="none" w:sz="0" w:space="0" w:color="auto"/>
              </w:divBdr>
              <w:divsChild>
                <w:div w:id="329410803">
                  <w:marLeft w:val="0"/>
                  <w:marRight w:val="0"/>
                  <w:marTop w:val="0"/>
                  <w:marBottom w:val="0"/>
                  <w:divBdr>
                    <w:top w:val="none" w:sz="0" w:space="0" w:color="auto"/>
                    <w:left w:val="none" w:sz="0" w:space="0" w:color="auto"/>
                    <w:bottom w:val="none" w:sz="0" w:space="0" w:color="auto"/>
                    <w:right w:val="none" w:sz="0" w:space="0" w:color="auto"/>
                  </w:divBdr>
                  <w:divsChild>
                    <w:div w:id="1056010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1336536">
          <w:marLeft w:val="0"/>
          <w:marRight w:val="0"/>
          <w:marTop w:val="0"/>
          <w:marBottom w:val="0"/>
          <w:divBdr>
            <w:top w:val="none" w:sz="0" w:space="0" w:color="auto"/>
            <w:left w:val="none" w:sz="0" w:space="0" w:color="auto"/>
            <w:bottom w:val="single" w:sz="6" w:space="12" w:color="DDDDDD"/>
            <w:right w:val="none" w:sz="0" w:space="0" w:color="auto"/>
          </w:divBdr>
          <w:divsChild>
            <w:div w:id="698969711">
              <w:marLeft w:val="0"/>
              <w:marRight w:val="0"/>
              <w:marTop w:val="0"/>
              <w:marBottom w:val="0"/>
              <w:divBdr>
                <w:top w:val="none" w:sz="0" w:space="0" w:color="auto"/>
                <w:left w:val="none" w:sz="0" w:space="0" w:color="auto"/>
                <w:bottom w:val="none" w:sz="0" w:space="0" w:color="auto"/>
                <w:right w:val="none" w:sz="0" w:space="0" w:color="auto"/>
              </w:divBdr>
              <w:divsChild>
                <w:div w:id="1804036404">
                  <w:marLeft w:val="0"/>
                  <w:marRight w:val="0"/>
                  <w:marTop w:val="0"/>
                  <w:marBottom w:val="0"/>
                  <w:divBdr>
                    <w:top w:val="none" w:sz="0" w:space="0" w:color="auto"/>
                    <w:left w:val="none" w:sz="0" w:space="0" w:color="auto"/>
                    <w:bottom w:val="none" w:sz="0" w:space="0" w:color="auto"/>
                    <w:right w:val="none" w:sz="0" w:space="0" w:color="auto"/>
                  </w:divBdr>
                  <w:divsChild>
                    <w:div w:id="429661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9713343">
          <w:marLeft w:val="0"/>
          <w:marRight w:val="0"/>
          <w:marTop w:val="0"/>
          <w:marBottom w:val="0"/>
          <w:divBdr>
            <w:top w:val="none" w:sz="0" w:space="0" w:color="auto"/>
            <w:left w:val="none" w:sz="0" w:space="0" w:color="auto"/>
            <w:bottom w:val="none" w:sz="0" w:space="0" w:color="auto"/>
            <w:right w:val="none" w:sz="0" w:space="0" w:color="auto"/>
          </w:divBdr>
          <w:divsChild>
            <w:div w:id="613902848">
              <w:marLeft w:val="0"/>
              <w:marRight w:val="0"/>
              <w:marTop w:val="0"/>
              <w:marBottom w:val="0"/>
              <w:divBdr>
                <w:top w:val="none" w:sz="0" w:space="0" w:color="auto"/>
                <w:left w:val="none" w:sz="0" w:space="0" w:color="auto"/>
                <w:bottom w:val="none" w:sz="0" w:space="0" w:color="auto"/>
                <w:right w:val="none" w:sz="0" w:space="0" w:color="auto"/>
              </w:divBdr>
              <w:divsChild>
                <w:div w:id="1088388095">
                  <w:marLeft w:val="0"/>
                  <w:marRight w:val="0"/>
                  <w:marTop w:val="0"/>
                  <w:marBottom w:val="0"/>
                  <w:divBdr>
                    <w:top w:val="none" w:sz="0" w:space="0" w:color="auto"/>
                    <w:left w:val="none" w:sz="0" w:space="0" w:color="auto"/>
                    <w:bottom w:val="none" w:sz="0" w:space="0" w:color="auto"/>
                    <w:right w:val="none" w:sz="0" w:space="0" w:color="auto"/>
                  </w:divBdr>
                  <w:divsChild>
                    <w:div w:id="1305162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097493">
      <w:bodyDiv w:val="1"/>
      <w:marLeft w:val="0"/>
      <w:marRight w:val="0"/>
      <w:marTop w:val="0"/>
      <w:marBottom w:val="0"/>
      <w:divBdr>
        <w:top w:val="none" w:sz="0" w:space="0" w:color="auto"/>
        <w:left w:val="none" w:sz="0" w:space="0" w:color="auto"/>
        <w:bottom w:val="none" w:sz="0" w:space="0" w:color="auto"/>
        <w:right w:val="none" w:sz="0" w:space="0" w:color="auto"/>
      </w:divBdr>
      <w:divsChild>
        <w:div w:id="1477723324">
          <w:marLeft w:val="0"/>
          <w:marRight w:val="0"/>
          <w:marTop w:val="0"/>
          <w:marBottom w:val="0"/>
          <w:divBdr>
            <w:top w:val="none" w:sz="0" w:space="0" w:color="auto"/>
            <w:left w:val="none" w:sz="0" w:space="0" w:color="auto"/>
            <w:bottom w:val="none" w:sz="0" w:space="0" w:color="auto"/>
            <w:right w:val="none" w:sz="0" w:space="0" w:color="auto"/>
          </w:divBdr>
        </w:div>
        <w:div w:id="189802818">
          <w:marLeft w:val="0"/>
          <w:marRight w:val="0"/>
          <w:marTop w:val="0"/>
          <w:marBottom w:val="0"/>
          <w:divBdr>
            <w:top w:val="none" w:sz="0" w:space="0" w:color="auto"/>
            <w:left w:val="none" w:sz="0" w:space="0" w:color="auto"/>
            <w:bottom w:val="none" w:sz="0" w:space="0" w:color="auto"/>
            <w:right w:val="none" w:sz="0" w:space="0" w:color="auto"/>
          </w:divBdr>
        </w:div>
        <w:div w:id="1486237488">
          <w:marLeft w:val="0"/>
          <w:marRight w:val="0"/>
          <w:marTop w:val="0"/>
          <w:marBottom w:val="0"/>
          <w:divBdr>
            <w:top w:val="none" w:sz="0" w:space="0" w:color="auto"/>
            <w:left w:val="none" w:sz="0" w:space="0" w:color="auto"/>
            <w:bottom w:val="single" w:sz="6" w:space="0" w:color="808080"/>
            <w:right w:val="none" w:sz="0" w:space="0" w:color="auto"/>
          </w:divBdr>
        </w:div>
        <w:div w:id="1984920036">
          <w:marLeft w:val="0"/>
          <w:marRight w:val="0"/>
          <w:marTop w:val="0"/>
          <w:marBottom w:val="0"/>
          <w:divBdr>
            <w:top w:val="none" w:sz="0" w:space="0" w:color="auto"/>
            <w:left w:val="none" w:sz="0" w:space="0" w:color="auto"/>
            <w:bottom w:val="none" w:sz="0" w:space="0" w:color="auto"/>
            <w:right w:val="none" w:sz="0" w:space="0" w:color="auto"/>
          </w:divBdr>
          <w:divsChild>
            <w:div w:id="1529026114">
              <w:marLeft w:val="0"/>
              <w:marRight w:val="0"/>
              <w:marTop w:val="0"/>
              <w:marBottom w:val="0"/>
              <w:divBdr>
                <w:top w:val="none" w:sz="0" w:space="0" w:color="auto"/>
                <w:left w:val="none" w:sz="0" w:space="0" w:color="auto"/>
                <w:bottom w:val="none" w:sz="0" w:space="0" w:color="auto"/>
                <w:right w:val="none" w:sz="0" w:space="0" w:color="auto"/>
              </w:divBdr>
            </w:div>
          </w:divsChild>
        </w:div>
        <w:div w:id="1985356428">
          <w:marLeft w:val="0"/>
          <w:marRight w:val="0"/>
          <w:marTop w:val="0"/>
          <w:marBottom w:val="0"/>
          <w:divBdr>
            <w:top w:val="none" w:sz="0" w:space="0" w:color="auto"/>
            <w:left w:val="none" w:sz="0" w:space="0" w:color="auto"/>
            <w:bottom w:val="none" w:sz="0" w:space="0" w:color="auto"/>
            <w:right w:val="none" w:sz="0" w:space="0" w:color="auto"/>
          </w:divBdr>
          <w:divsChild>
            <w:div w:id="1424646430">
              <w:marLeft w:val="0"/>
              <w:marRight w:val="0"/>
              <w:marTop w:val="0"/>
              <w:marBottom w:val="0"/>
              <w:divBdr>
                <w:top w:val="none" w:sz="0" w:space="0" w:color="auto"/>
                <w:left w:val="none" w:sz="0" w:space="0" w:color="auto"/>
                <w:bottom w:val="none" w:sz="0" w:space="0" w:color="auto"/>
                <w:right w:val="none" w:sz="0" w:space="0" w:color="auto"/>
              </w:divBdr>
            </w:div>
            <w:div w:id="2076658610">
              <w:marLeft w:val="0"/>
              <w:marRight w:val="0"/>
              <w:marTop w:val="0"/>
              <w:marBottom w:val="0"/>
              <w:divBdr>
                <w:top w:val="none" w:sz="0" w:space="0" w:color="auto"/>
                <w:left w:val="none" w:sz="0" w:space="0" w:color="auto"/>
                <w:bottom w:val="none" w:sz="0" w:space="0" w:color="auto"/>
                <w:right w:val="none" w:sz="0" w:space="0" w:color="auto"/>
              </w:divBdr>
              <w:divsChild>
                <w:div w:id="910626813">
                  <w:marLeft w:val="0"/>
                  <w:marRight w:val="0"/>
                  <w:marTop w:val="0"/>
                  <w:marBottom w:val="0"/>
                  <w:divBdr>
                    <w:top w:val="none" w:sz="0" w:space="0" w:color="auto"/>
                    <w:left w:val="none" w:sz="0" w:space="0" w:color="auto"/>
                    <w:bottom w:val="none" w:sz="0" w:space="0" w:color="auto"/>
                    <w:right w:val="none" w:sz="0" w:space="0" w:color="auto"/>
                  </w:divBdr>
                  <w:divsChild>
                    <w:div w:id="487670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265190">
              <w:marLeft w:val="0"/>
              <w:marRight w:val="0"/>
              <w:marTop w:val="0"/>
              <w:marBottom w:val="0"/>
              <w:divBdr>
                <w:top w:val="none" w:sz="0" w:space="0" w:color="auto"/>
                <w:left w:val="none" w:sz="0" w:space="0" w:color="auto"/>
                <w:bottom w:val="none" w:sz="0" w:space="0" w:color="auto"/>
                <w:right w:val="none" w:sz="0" w:space="0" w:color="auto"/>
              </w:divBdr>
            </w:div>
            <w:div w:id="738793947">
              <w:marLeft w:val="0"/>
              <w:marRight w:val="0"/>
              <w:marTop w:val="0"/>
              <w:marBottom w:val="0"/>
              <w:divBdr>
                <w:top w:val="none" w:sz="0" w:space="0" w:color="auto"/>
                <w:left w:val="none" w:sz="0" w:space="0" w:color="auto"/>
                <w:bottom w:val="none" w:sz="0" w:space="0" w:color="auto"/>
                <w:right w:val="none" w:sz="0" w:space="0" w:color="auto"/>
              </w:divBdr>
              <w:divsChild>
                <w:div w:id="107287161">
                  <w:marLeft w:val="0"/>
                  <w:marRight w:val="0"/>
                  <w:marTop w:val="0"/>
                  <w:marBottom w:val="0"/>
                  <w:divBdr>
                    <w:top w:val="none" w:sz="0" w:space="0" w:color="auto"/>
                    <w:left w:val="none" w:sz="0" w:space="0" w:color="auto"/>
                    <w:bottom w:val="none" w:sz="0" w:space="0" w:color="auto"/>
                    <w:right w:val="none" w:sz="0" w:space="0" w:color="auto"/>
                  </w:divBdr>
                  <w:divsChild>
                    <w:div w:id="1014578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3954210">
              <w:marLeft w:val="0"/>
              <w:marRight w:val="0"/>
              <w:marTop w:val="0"/>
              <w:marBottom w:val="0"/>
              <w:divBdr>
                <w:top w:val="none" w:sz="0" w:space="0" w:color="auto"/>
                <w:left w:val="none" w:sz="0" w:space="0" w:color="auto"/>
                <w:bottom w:val="none" w:sz="0" w:space="0" w:color="auto"/>
                <w:right w:val="none" w:sz="0" w:space="0" w:color="auto"/>
              </w:divBdr>
              <w:divsChild>
                <w:div w:id="1562013201">
                  <w:marLeft w:val="0"/>
                  <w:marRight w:val="0"/>
                  <w:marTop w:val="0"/>
                  <w:marBottom w:val="0"/>
                  <w:divBdr>
                    <w:top w:val="none" w:sz="0" w:space="0" w:color="auto"/>
                    <w:left w:val="none" w:sz="0" w:space="0" w:color="auto"/>
                    <w:bottom w:val="none" w:sz="0" w:space="0" w:color="auto"/>
                    <w:right w:val="none" w:sz="0" w:space="0" w:color="auto"/>
                  </w:divBdr>
                </w:div>
              </w:divsChild>
            </w:div>
            <w:div w:id="874390457">
              <w:marLeft w:val="0"/>
              <w:marRight w:val="0"/>
              <w:marTop w:val="0"/>
              <w:marBottom w:val="0"/>
              <w:divBdr>
                <w:top w:val="none" w:sz="0" w:space="0" w:color="auto"/>
                <w:left w:val="none" w:sz="0" w:space="0" w:color="auto"/>
                <w:bottom w:val="none" w:sz="0" w:space="0" w:color="auto"/>
                <w:right w:val="none" w:sz="0" w:space="0" w:color="auto"/>
              </w:divBdr>
              <w:divsChild>
                <w:div w:id="80876773">
                  <w:marLeft w:val="0"/>
                  <w:marRight w:val="0"/>
                  <w:marTop w:val="0"/>
                  <w:marBottom w:val="0"/>
                  <w:divBdr>
                    <w:top w:val="none" w:sz="0" w:space="0" w:color="auto"/>
                    <w:left w:val="none" w:sz="0" w:space="0" w:color="auto"/>
                    <w:bottom w:val="none" w:sz="0" w:space="0" w:color="auto"/>
                    <w:right w:val="none" w:sz="0" w:space="0" w:color="auto"/>
                  </w:divBdr>
                </w:div>
              </w:divsChild>
            </w:div>
            <w:div w:id="1091507793">
              <w:marLeft w:val="0"/>
              <w:marRight w:val="0"/>
              <w:marTop w:val="0"/>
              <w:marBottom w:val="0"/>
              <w:divBdr>
                <w:top w:val="none" w:sz="0" w:space="0" w:color="auto"/>
                <w:left w:val="none" w:sz="0" w:space="0" w:color="auto"/>
                <w:bottom w:val="none" w:sz="0" w:space="0" w:color="auto"/>
                <w:right w:val="none" w:sz="0" w:space="0" w:color="auto"/>
              </w:divBdr>
              <w:divsChild>
                <w:div w:id="2103259648">
                  <w:marLeft w:val="0"/>
                  <w:marRight w:val="0"/>
                  <w:marTop w:val="0"/>
                  <w:marBottom w:val="0"/>
                  <w:divBdr>
                    <w:top w:val="none" w:sz="0" w:space="0" w:color="auto"/>
                    <w:left w:val="none" w:sz="0" w:space="0" w:color="auto"/>
                    <w:bottom w:val="none" w:sz="0" w:space="0" w:color="auto"/>
                    <w:right w:val="none" w:sz="0" w:space="0" w:color="auto"/>
                  </w:divBdr>
                  <w:divsChild>
                    <w:div w:id="948510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0877230">
              <w:marLeft w:val="0"/>
              <w:marRight w:val="0"/>
              <w:marTop w:val="0"/>
              <w:marBottom w:val="0"/>
              <w:divBdr>
                <w:top w:val="none" w:sz="0" w:space="0" w:color="auto"/>
                <w:left w:val="none" w:sz="0" w:space="0" w:color="auto"/>
                <w:bottom w:val="none" w:sz="0" w:space="0" w:color="auto"/>
                <w:right w:val="none" w:sz="0" w:space="0" w:color="auto"/>
              </w:divBdr>
              <w:divsChild>
                <w:div w:id="1263299568">
                  <w:marLeft w:val="0"/>
                  <w:marRight w:val="0"/>
                  <w:marTop w:val="0"/>
                  <w:marBottom w:val="0"/>
                  <w:divBdr>
                    <w:top w:val="none" w:sz="0" w:space="0" w:color="auto"/>
                    <w:left w:val="none" w:sz="0" w:space="0" w:color="auto"/>
                    <w:bottom w:val="none" w:sz="0" w:space="0" w:color="auto"/>
                    <w:right w:val="none" w:sz="0" w:space="0" w:color="auto"/>
                  </w:divBdr>
                </w:div>
              </w:divsChild>
            </w:div>
            <w:div w:id="1350444673">
              <w:marLeft w:val="0"/>
              <w:marRight w:val="0"/>
              <w:marTop w:val="0"/>
              <w:marBottom w:val="0"/>
              <w:divBdr>
                <w:top w:val="none" w:sz="0" w:space="0" w:color="auto"/>
                <w:left w:val="none" w:sz="0" w:space="0" w:color="auto"/>
                <w:bottom w:val="none" w:sz="0" w:space="0" w:color="auto"/>
                <w:right w:val="none" w:sz="0" w:space="0" w:color="auto"/>
              </w:divBdr>
              <w:divsChild>
                <w:div w:id="1054624295">
                  <w:marLeft w:val="0"/>
                  <w:marRight w:val="0"/>
                  <w:marTop w:val="0"/>
                  <w:marBottom w:val="0"/>
                  <w:divBdr>
                    <w:top w:val="none" w:sz="0" w:space="0" w:color="auto"/>
                    <w:left w:val="none" w:sz="0" w:space="0" w:color="auto"/>
                    <w:bottom w:val="none" w:sz="0" w:space="0" w:color="auto"/>
                    <w:right w:val="none" w:sz="0" w:space="0" w:color="auto"/>
                  </w:divBdr>
                </w:div>
              </w:divsChild>
            </w:div>
            <w:div w:id="1514371816">
              <w:marLeft w:val="0"/>
              <w:marRight w:val="0"/>
              <w:marTop w:val="0"/>
              <w:marBottom w:val="0"/>
              <w:divBdr>
                <w:top w:val="none" w:sz="0" w:space="0" w:color="auto"/>
                <w:left w:val="none" w:sz="0" w:space="0" w:color="auto"/>
                <w:bottom w:val="none" w:sz="0" w:space="0" w:color="auto"/>
                <w:right w:val="none" w:sz="0" w:space="0" w:color="auto"/>
              </w:divBdr>
              <w:divsChild>
                <w:div w:id="198207401">
                  <w:marLeft w:val="0"/>
                  <w:marRight w:val="0"/>
                  <w:marTop w:val="0"/>
                  <w:marBottom w:val="0"/>
                  <w:divBdr>
                    <w:top w:val="none" w:sz="0" w:space="0" w:color="auto"/>
                    <w:left w:val="none" w:sz="0" w:space="0" w:color="auto"/>
                    <w:bottom w:val="none" w:sz="0" w:space="0" w:color="auto"/>
                    <w:right w:val="none" w:sz="0" w:space="0" w:color="auto"/>
                  </w:divBdr>
                </w:div>
              </w:divsChild>
            </w:div>
            <w:div w:id="158275615">
              <w:marLeft w:val="0"/>
              <w:marRight w:val="0"/>
              <w:marTop w:val="0"/>
              <w:marBottom w:val="0"/>
              <w:divBdr>
                <w:top w:val="none" w:sz="0" w:space="0" w:color="auto"/>
                <w:left w:val="none" w:sz="0" w:space="0" w:color="auto"/>
                <w:bottom w:val="none" w:sz="0" w:space="0" w:color="auto"/>
                <w:right w:val="none" w:sz="0" w:space="0" w:color="auto"/>
              </w:divBdr>
              <w:divsChild>
                <w:div w:id="1224750901">
                  <w:marLeft w:val="0"/>
                  <w:marRight w:val="0"/>
                  <w:marTop w:val="0"/>
                  <w:marBottom w:val="0"/>
                  <w:divBdr>
                    <w:top w:val="none" w:sz="0" w:space="0" w:color="auto"/>
                    <w:left w:val="none" w:sz="0" w:space="0" w:color="auto"/>
                    <w:bottom w:val="none" w:sz="0" w:space="0" w:color="auto"/>
                    <w:right w:val="none" w:sz="0" w:space="0" w:color="auto"/>
                  </w:divBdr>
                </w:div>
              </w:divsChild>
            </w:div>
            <w:div w:id="544758096">
              <w:marLeft w:val="0"/>
              <w:marRight w:val="0"/>
              <w:marTop w:val="0"/>
              <w:marBottom w:val="0"/>
              <w:divBdr>
                <w:top w:val="none" w:sz="0" w:space="0" w:color="auto"/>
                <w:left w:val="none" w:sz="0" w:space="0" w:color="auto"/>
                <w:bottom w:val="none" w:sz="0" w:space="0" w:color="auto"/>
                <w:right w:val="none" w:sz="0" w:space="0" w:color="auto"/>
              </w:divBdr>
              <w:divsChild>
                <w:div w:id="493451860">
                  <w:marLeft w:val="0"/>
                  <w:marRight w:val="0"/>
                  <w:marTop w:val="0"/>
                  <w:marBottom w:val="0"/>
                  <w:divBdr>
                    <w:top w:val="none" w:sz="0" w:space="0" w:color="auto"/>
                    <w:left w:val="none" w:sz="0" w:space="0" w:color="auto"/>
                    <w:bottom w:val="none" w:sz="0" w:space="0" w:color="auto"/>
                    <w:right w:val="none" w:sz="0" w:space="0" w:color="auto"/>
                  </w:divBdr>
                </w:div>
              </w:divsChild>
            </w:div>
            <w:div w:id="1862812312">
              <w:marLeft w:val="0"/>
              <w:marRight w:val="0"/>
              <w:marTop w:val="0"/>
              <w:marBottom w:val="0"/>
              <w:divBdr>
                <w:top w:val="none" w:sz="0" w:space="0" w:color="auto"/>
                <w:left w:val="none" w:sz="0" w:space="0" w:color="auto"/>
                <w:bottom w:val="none" w:sz="0" w:space="0" w:color="auto"/>
                <w:right w:val="none" w:sz="0" w:space="0" w:color="auto"/>
              </w:divBdr>
              <w:divsChild>
                <w:div w:id="386299645">
                  <w:marLeft w:val="0"/>
                  <w:marRight w:val="0"/>
                  <w:marTop w:val="0"/>
                  <w:marBottom w:val="0"/>
                  <w:divBdr>
                    <w:top w:val="none" w:sz="0" w:space="0" w:color="auto"/>
                    <w:left w:val="none" w:sz="0" w:space="0" w:color="auto"/>
                    <w:bottom w:val="none" w:sz="0" w:space="0" w:color="auto"/>
                    <w:right w:val="none" w:sz="0" w:space="0" w:color="auto"/>
                  </w:divBdr>
                </w:div>
              </w:divsChild>
            </w:div>
            <w:div w:id="597643772">
              <w:marLeft w:val="0"/>
              <w:marRight w:val="0"/>
              <w:marTop w:val="0"/>
              <w:marBottom w:val="0"/>
              <w:divBdr>
                <w:top w:val="none" w:sz="0" w:space="0" w:color="auto"/>
                <w:left w:val="none" w:sz="0" w:space="0" w:color="auto"/>
                <w:bottom w:val="none" w:sz="0" w:space="0" w:color="auto"/>
                <w:right w:val="none" w:sz="0" w:space="0" w:color="auto"/>
              </w:divBdr>
              <w:divsChild>
                <w:div w:id="566844130">
                  <w:marLeft w:val="0"/>
                  <w:marRight w:val="0"/>
                  <w:marTop w:val="0"/>
                  <w:marBottom w:val="0"/>
                  <w:divBdr>
                    <w:top w:val="none" w:sz="0" w:space="0" w:color="auto"/>
                    <w:left w:val="none" w:sz="0" w:space="0" w:color="auto"/>
                    <w:bottom w:val="none" w:sz="0" w:space="0" w:color="auto"/>
                    <w:right w:val="none" w:sz="0" w:space="0" w:color="auto"/>
                  </w:divBdr>
                </w:div>
              </w:divsChild>
            </w:div>
            <w:div w:id="333726262">
              <w:marLeft w:val="0"/>
              <w:marRight w:val="0"/>
              <w:marTop w:val="0"/>
              <w:marBottom w:val="0"/>
              <w:divBdr>
                <w:top w:val="none" w:sz="0" w:space="0" w:color="auto"/>
                <w:left w:val="none" w:sz="0" w:space="0" w:color="auto"/>
                <w:bottom w:val="none" w:sz="0" w:space="0" w:color="auto"/>
                <w:right w:val="none" w:sz="0" w:space="0" w:color="auto"/>
              </w:divBdr>
              <w:divsChild>
                <w:div w:id="991176674">
                  <w:marLeft w:val="0"/>
                  <w:marRight w:val="0"/>
                  <w:marTop w:val="0"/>
                  <w:marBottom w:val="0"/>
                  <w:divBdr>
                    <w:top w:val="none" w:sz="0" w:space="0" w:color="auto"/>
                    <w:left w:val="none" w:sz="0" w:space="0" w:color="auto"/>
                    <w:bottom w:val="none" w:sz="0" w:space="0" w:color="auto"/>
                    <w:right w:val="none" w:sz="0" w:space="0" w:color="auto"/>
                  </w:divBdr>
                </w:div>
              </w:divsChild>
            </w:div>
            <w:div w:id="1394617660">
              <w:marLeft w:val="0"/>
              <w:marRight w:val="0"/>
              <w:marTop w:val="0"/>
              <w:marBottom w:val="0"/>
              <w:divBdr>
                <w:top w:val="none" w:sz="0" w:space="0" w:color="auto"/>
                <w:left w:val="none" w:sz="0" w:space="0" w:color="auto"/>
                <w:bottom w:val="none" w:sz="0" w:space="0" w:color="auto"/>
                <w:right w:val="none" w:sz="0" w:space="0" w:color="auto"/>
              </w:divBdr>
              <w:divsChild>
                <w:div w:id="1868134370">
                  <w:marLeft w:val="0"/>
                  <w:marRight w:val="0"/>
                  <w:marTop w:val="0"/>
                  <w:marBottom w:val="0"/>
                  <w:divBdr>
                    <w:top w:val="none" w:sz="0" w:space="0" w:color="auto"/>
                    <w:left w:val="none" w:sz="0" w:space="0" w:color="auto"/>
                    <w:bottom w:val="none" w:sz="0" w:space="0" w:color="auto"/>
                    <w:right w:val="none" w:sz="0" w:space="0" w:color="auto"/>
                  </w:divBdr>
                </w:div>
              </w:divsChild>
            </w:div>
            <w:div w:id="306595122">
              <w:marLeft w:val="0"/>
              <w:marRight w:val="0"/>
              <w:marTop w:val="0"/>
              <w:marBottom w:val="0"/>
              <w:divBdr>
                <w:top w:val="none" w:sz="0" w:space="0" w:color="auto"/>
                <w:left w:val="none" w:sz="0" w:space="0" w:color="auto"/>
                <w:bottom w:val="none" w:sz="0" w:space="0" w:color="auto"/>
                <w:right w:val="none" w:sz="0" w:space="0" w:color="auto"/>
              </w:divBdr>
              <w:divsChild>
                <w:div w:id="1884169529">
                  <w:marLeft w:val="0"/>
                  <w:marRight w:val="0"/>
                  <w:marTop w:val="0"/>
                  <w:marBottom w:val="0"/>
                  <w:divBdr>
                    <w:top w:val="none" w:sz="0" w:space="0" w:color="auto"/>
                    <w:left w:val="none" w:sz="0" w:space="0" w:color="auto"/>
                    <w:bottom w:val="none" w:sz="0" w:space="0" w:color="auto"/>
                    <w:right w:val="none" w:sz="0" w:space="0" w:color="auto"/>
                  </w:divBdr>
                </w:div>
              </w:divsChild>
            </w:div>
            <w:div w:id="1526406774">
              <w:marLeft w:val="0"/>
              <w:marRight w:val="0"/>
              <w:marTop w:val="0"/>
              <w:marBottom w:val="0"/>
              <w:divBdr>
                <w:top w:val="none" w:sz="0" w:space="0" w:color="auto"/>
                <w:left w:val="none" w:sz="0" w:space="0" w:color="auto"/>
                <w:bottom w:val="none" w:sz="0" w:space="0" w:color="auto"/>
                <w:right w:val="none" w:sz="0" w:space="0" w:color="auto"/>
              </w:divBdr>
              <w:divsChild>
                <w:div w:id="1673877519">
                  <w:marLeft w:val="0"/>
                  <w:marRight w:val="0"/>
                  <w:marTop w:val="0"/>
                  <w:marBottom w:val="0"/>
                  <w:divBdr>
                    <w:top w:val="none" w:sz="0" w:space="0" w:color="auto"/>
                    <w:left w:val="none" w:sz="0" w:space="0" w:color="auto"/>
                    <w:bottom w:val="none" w:sz="0" w:space="0" w:color="auto"/>
                    <w:right w:val="none" w:sz="0" w:space="0" w:color="auto"/>
                  </w:divBdr>
                </w:div>
              </w:divsChild>
            </w:div>
            <w:div w:id="1220441493">
              <w:marLeft w:val="0"/>
              <w:marRight w:val="0"/>
              <w:marTop w:val="0"/>
              <w:marBottom w:val="0"/>
              <w:divBdr>
                <w:top w:val="none" w:sz="0" w:space="0" w:color="auto"/>
                <w:left w:val="none" w:sz="0" w:space="0" w:color="auto"/>
                <w:bottom w:val="none" w:sz="0" w:space="0" w:color="auto"/>
                <w:right w:val="none" w:sz="0" w:space="0" w:color="auto"/>
              </w:divBdr>
              <w:divsChild>
                <w:div w:id="704982111">
                  <w:marLeft w:val="0"/>
                  <w:marRight w:val="0"/>
                  <w:marTop w:val="0"/>
                  <w:marBottom w:val="0"/>
                  <w:divBdr>
                    <w:top w:val="none" w:sz="0" w:space="0" w:color="auto"/>
                    <w:left w:val="none" w:sz="0" w:space="0" w:color="auto"/>
                    <w:bottom w:val="none" w:sz="0" w:space="0" w:color="auto"/>
                    <w:right w:val="none" w:sz="0" w:space="0" w:color="auto"/>
                  </w:divBdr>
                </w:div>
              </w:divsChild>
            </w:div>
            <w:div w:id="716779930">
              <w:marLeft w:val="0"/>
              <w:marRight w:val="0"/>
              <w:marTop w:val="0"/>
              <w:marBottom w:val="0"/>
              <w:divBdr>
                <w:top w:val="none" w:sz="0" w:space="0" w:color="auto"/>
                <w:left w:val="none" w:sz="0" w:space="0" w:color="auto"/>
                <w:bottom w:val="none" w:sz="0" w:space="0" w:color="auto"/>
                <w:right w:val="none" w:sz="0" w:space="0" w:color="auto"/>
              </w:divBdr>
              <w:divsChild>
                <w:div w:id="1309939788">
                  <w:marLeft w:val="0"/>
                  <w:marRight w:val="0"/>
                  <w:marTop w:val="0"/>
                  <w:marBottom w:val="0"/>
                  <w:divBdr>
                    <w:top w:val="none" w:sz="0" w:space="0" w:color="auto"/>
                    <w:left w:val="none" w:sz="0" w:space="0" w:color="auto"/>
                    <w:bottom w:val="none" w:sz="0" w:space="0" w:color="auto"/>
                    <w:right w:val="none" w:sz="0" w:space="0" w:color="auto"/>
                  </w:divBdr>
                </w:div>
              </w:divsChild>
            </w:div>
            <w:div w:id="1792557275">
              <w:marLeft w:val="0"/>
              <w:marRight w:val="0"/>
              <w:marTop w:val="0"/>
              <w:marBottom w:val="0"/>
              <w:divBdr>
                <w:top w:val="none" w:sz="0" w:space="0" w:color="auto"/>
                <w:left w:val="none" w:sz="0" w:space="0" w:color="auto"/>
                <w:bottom w:val="none" w:sz="0" w:space="0" w:color="auto"/>
                <w:right w:val="none" w:sz="0" w:space="0" w:color="auto"/>
              </w:divBdr>
              <w:divsChild>
                <w:div w:id="2105494242">
                  <w:marLeft w:val="0"/>
                  <w:marRight w:val="0"/>
                  <w:marTop w:val="0"/>
                  <w:marBottom w:val="0"/>
                  <w:divBdr>
                    <w:top w:val="none" w:sz="0" w:space="0" w:color="auto"/>
                    <w:left w:val="none" w:sz="0" w:space="0" w:color="auto"/>
                    <w:bottom w:val="none" w:sz="0" w:space="0" w:color="auto"/>
                    <w:right w:val="none" w:sz="0" w:space="0" w:color="auto"/>
                  </w:divBdr>
                </w:div>
              </w:divsChild>
            </w:div>
            <w:div w:id="1232276912">
              <w:marLeft w:val="0"/>
              <w:marRight w:val="0"/>
              <w:marTop w:val="0"/>
              <w:marBottom w:val="0"/>
              <w:divBdr>
                <w:top w:val="none" w:sz="0" w:space="0" w:color="auto"/>
                <w:left w:val="none" w:sz="0" w:space="0" w:color="auto"/>
                <w:bottom w:val="none" w:sz="0" w:space="0" w:color="auto"/>
                <w:right w:val="none" w:sz="0" w:space="0" w:color="auto"/>
              </w:divBdr>
              <w:divsChild>
                <w:div w:id="24715922">
                  <w:marLeft w:val="0"/>
                  <w:marRight w:val="0"/>
                  <w:marTop w:val="0"/>
                  <w:marBottom w:val="0"/>
                  <w:divBdr>
                    <w:top w:val="none" w:sz="0" w:space="0" w:color="auto"/>
                    <w:left w:val="none" w:sz="0" w:space="0" w:color="auto"/>
                    <w:bottom w:val="none" w:sz="0" w:space="0" w:color="auto"/>
                    <w:right w:val="none" w:sz="0" w:space="0" w:color="auto"/>
                  </w:divBdr>
                </w:div>
              </w:divsChild>
            </w:div>
            <w:div w:id="1850755441">
              <w:marLeft w:val="0"/>
              <w:marRight w:val="0"/>
              <w:marTop w:val="0"/>
              <w:marBottom w:val="0"/>
              <w:divBdr>
                <w:top w:val="none" w:sz="0" w:space="0" w:color="auto"/>
                <w:left w:val="none" w:sz="0" w:space="0" w:color="auto"/>
                <w:bottom w:val="none" w:sz="0" w:space="0" w:color="auto"/>
                <w:right w:val="none" w:sz="0" w:space="0" w:color="auto"/>
              </w:divBdr>
              <w:divsChild>
                <w:div w:id="407389865">
                  <w:marLeft w:val="0"/>
                  <w:marRight w:val="0"/>
                  <w:marTop w:val="0"/>
                  <w:marBottom w:val="0"/>
                  <w:divBdr>
                    <w:top w:val="none" w:sz="0" w:space="0" w:color="auto"/>
                    <w:left w:val="none" w:sz="0" w:space="0" w:color="auto"/>
                    <w:bottom w:val="none" w:sz="0" w:space="0" w:color="auto"/>
                    <w:right w:val="none" w:sz="0" w:space="0" w:color="auto"/>
                  </w:divBdr>
                </w:div>
              </w:divsChild>
            </w:div>
            <w:div w:id="1006253976">
              <w:marLeft w:val="0"/>
              <w:marRight w:val="0"/>
              <w:marTop w:val="0"/>
              <w:marBottom w:val="0"/>
              <w:divBdr>
                <w:top w:val="none" w:sz="0" w:space="0" w:color="auto"/>
                <w:left w:val="none" w:sz="0" w:space="0" w:color="auto"/>
                <w:bottom w:val="none" w:sz="0" w:space="0" w:color="auto"/>
                <w:right w:val="none" w:sz="0" w:space="0" w:color="auto"/>
              </w:divBdr>
              <w:divsChild>
                <w:div w:id="1530338935">
                  <w:marLeft w:val="0"/>
                  <w:marRight w:val="0"/>
                  <w:marTop w:val="0"/>
                  <w:marBottom w:val="0"/>
                  <w:divBdr>
                    <w:top w:val="none" w:sz="0" w:space="0" w:color="auto"/>
                    <w:left w:val="none" w:sz="0" w:space="0" w:color="auto"/>
                    <w:bottom w:val="none" w:sz="0" w:space="0" w:color="auto"/>
                    <w:right w:val="none" w:sz="0" w:space="0" w:color="auto"/>
                  </w:divBdr>
                </w:div>
              </w:divsChild>
            </w:div>
            <w:div w:id="1032145430">
              <w:marLeft w:val="0"/>
              <w:marRight w:val="0"/>
              <w:marTop w:val="0"/>
              <w:marBottom w:val="0"/>
              <w:divBdr>
                <w:top w:val="none" w:sz="0" w:space="0" w:color="auto"/>
                <w:left w:val="none" w:sz="0" w:space="0" w:color="auto"/>
                <w:bottom w:val="none" w:sz="0" w:space="0" w:color="auto"/>
                <w:right w:val="none" w:sz="0" w:space="0" w:color="auto"/>
              </w:divBdr>
              <w:divsChild>
                <w:div w:id="1142113757">
                  <w:marLeft w:val="0"/>
                  <w:marRight w:val="0"/>
                  <w:marTop w:val="0"/>
                  <w:marBottom w:val="0"/>
                  <w:divBdr>
                    <w:top w:val="none" w:sz="0" w:space="0" w:color="auto"/>
                    <w:left w:val="none" w:sz="0" w:space="0" w:color="auto"/>
                    <w:bottom w:val="none" w:sz="0" w:space="0" w:color="auto"/>
                    <w:right w:val="none" w:sz="0" w:space="0" w:color="auto"/>
                  </w:divBdr>
                </w:div>
              </w:divsChild>
            </w:div>
            <w:div w:id="1841700281">
              <w:marLeft w:val="0"/>
              <w:marRight w:val="0"/>
              <w:marTop w:val="0"/>
              <w:marBottom w:val="0"/>
              <w:divBdr>
                <w:top w:val="none" w:sz="0" w:space="0" w:color="auto"/>
                <w:left w:val="none" w:sz="0" w:space="0" w:color="auto"/>
                <w:bottom w:val="none" w:sz="0" w:space="0" w:color="auto"/>
                <w:right w:val="none" w:sz="0" w:space="0" w:color="auto"/>
              </w:divBdr>
              <w:divsChild>
                <w:div w:id="567501273">
                  <w:marLeft w:val="0"/>
                  <w:marRight w:val="0"/>
                  <w:marTop w:val="0"/>
                  <w:marBottom w:val="0"/>
                  <w:divBdr>
                    <w:top w:val="none" w:sz="0" w:space="0" w:color="auto"/>
                    <w:left w:val="none" w:sz="0" w:space="0" w:color="auto"/>
                    <w:bottom w:val="none" w:sz="0" w:space="0" w:color="auto"/>
                    <w:right w:val="none" w:sz="0" w:space="0" w:color="auto"/>
                  </w:divBdr>
                </w:div>
              </w:divsChild>
            </w:div>
            <w:div w:id="1590117848">
              <w:marLeft w:val="0"/>
              <w:marRight w:val="0"/>
              <w:marTop w:val="0"/>
              <w:marBottom w:val="0"/>
              <w:divBdr>
                <w:top w:val="none" w:sz="0" w:space="0" w:color="auto"/>
                <w:left w:val="none" w:sz="0" w:space="0" w:color="auto"/>
                <w:bottom w:val="none" w:sz="0" w:space="0" w:color="auto"/>
                <w:right w:val="none" w:sz="0" w:space="0" w:color="auto"/>
              </w:divBdr>
              <w:divsChild>
                <w:div w:id="1985314317">
                  <w:marLeft w:val="0"/>
                  <w:marRight w:val="0"/>
                  <w:marTop w:val="0"/>
                  <w:marBottom w:val="0"/>
                  <w:divBdr>
                    <w:top w:val="none" w:sz="0" w:space="0" w:color="auto"/>
                    <w:left w:val="none" w:sz="0" w:space="0" w:color="auto"/>
                    <w:bottom w:val="none" w:sz="0" w:space="0" w:color="auto"/>
                    <w:right w:val="none" w:sz="0" w:space="0" w:color="auto"/>
                  </w:divBdr>
                </w:div>
              </w:divsChild>
            </w:div>
            <w:div w:id="1162234584">
              <w:marLeft w:val="0"/>
              <w:marRight w:val="0"/>
              <w:marTop w:val="0"/>
              <w:marBottom w:val="0"/>
              <w:divBdr>
                <w:top w:val="none" w:sz="0" w:space="0" w:color="auto"/>
                <w:left w:val="none" w:sz="0" w:space="0" w:color="auto"/>
                <w:bottom w:val="none" w:sz="0" w:space="0" w:color="auto"/>
                <w:right w:val="none" w:sz="0" w:space="0" w:color="auto"/>
              </w:divBdr>
              <w:divsChild>
                <w:div w:id="1522039845">
                  <w:marLeft w:val="0"/>
                  <w:marRight w:val="0"/>
                  <w:marTop w:val="0"/>
                  <w:marBottom w:val="0"/>
                  <w:divBdr>
                    <w:top w:val="none" w:sz="0" w:space="0" w:color="auto"/>
                    <w:left w:val="none" w:sz="0" w:space="0" w:color="auto"/>
                    <w:bottom w:val="none" w:sz="0" w:space="0" w:color="auto"/>
                    <w:right w:val="none" w:sz="0" w:space="0" w:color="auto"/>
                  </w:divBdr>
                </w:div>
              </w:divsChild>
            </w:div>
            <w:div w:id="1640184669">
              <w:marLeft w:val="0"/>
              <w:marRight w:val="0"/>
              <w:marTop w:val="0"/>
              <w:marBottom w:val="0"/>
              <w:divBdr>
                <w:top w:val="none" w:sz="0" w:space="0" w:color="auto"/>
                <w:left w:val="none" w:sz="0" w:space="0" w:color="auto"/>
                <w:bottom w:val="none" w:sz="0" w:space="0" w:color="auto"/>
                <w:right w:val="none" w:sz="0" w:space="0" w:color="auto"/>
              </w:divBdr>
              <w:divsChild>
                <w:div w:id="821508079">
                  <w:marLeft w:val="0"/>
                  <w:marRight w:val="0"/>
                  <w:marTop w:val="0"/>
                  <w:marBottom w:val="0"/>
                  <w:divBdr>
                    <w:top w:val="none" w:sz="0" w:space="0" w:color="auto"/>
                    <w:left w:val="none" w:sz="0" w:space="0" w:color="auto"/>
                    <w:bottom w:val="none" w:sz="0" w:space="0" w:color="auto"/>
                    <w:right w:val="none" w:sz="0" w:space="0" w:color="auto"/>
                  </w:divBdr>
                </w:div>
              </w:divsChild>
            </w:div>
            <w:div w:id="1251163822">
              <w:marLeft w:val="0"/>
              <w:marRight w:val="0"/>
              <w:marTop w:val="0"/>
              <w:marBottom w:val="0"/>
              <w:divBdr>
                <w:top w:val="none" w:sz="0" w:space="0" w:color="auto"/>
                <w:left w:val="none" w:sz="0" w:space="0" w:color="auto"/>
                <w:bottom w:val="none" w:sz="0" w:space="0" w:color="auto"/>
                <w:right w:val="none" w:sz="0" w:space="0" w:color="auto"/>
              </w:divBdr>
              <w:divsChild>
                <w:div w:id="502860075">
                  <w:marLeft w:val="0"/>
                  <w:marRight w:val="0"/>
                  <w:marTop w:val="0"/>
                  <w:marBottom w:val="0"/>
                  <w:divBdr>
                    <w:top w:val="none" w:sz="0" w:space="0" w:color="auto"/>
                    <w:left w:val="none" w:sz="0" w:space="0" w:color="auto"/>
                    <w:bottom w:val="none" w:sz="0" w:space="0" w:color="auto"/>
                    <w:right w:val="none" w:sz="0" w:space="0" w:color="auto"/>
                  </w:divBdr>
                </w:div>
              </w:divsChild>
            </w:div>
            <w:div w:id="801002250">
              <w:marLeft w:val="0"/>
              <w:marRight w:val="0"/>
              <w:marTop w:val="0"/>
              <w:marBottom w:val="0"/>
              <w:divBdr>
                <w:top w:val="none" w:sz="0" w:space="0" w:color="auto"/>
                <w:left w:val="none" w:sz="0" w:space="0" w:color="auto"/>
                <w:bottom w:val="none" w:sz="0" w:space="0" w:color="auto"/>
                <w:right w:val="none" w:sz="0" w:space="0" w:color="auto"/>
              </w:divBdr>
              <w:divsChild>
                <w:div w:id="29964373">
                  <w:marLeft w:val="0"/>
                  <w:marRight w:val="0"/>
                  <w:marTop w:val="0"/>
                  <w:marBottom w:val="0"/>
                  <w:divBdr>
                    <w:top w:val="none" w:sz="0" w:space="0" w:color="auto"/>
                    <w:left w:val="none" w:sz="0" w:space="0" w:color="auto"/>
                    <w:bottom w:val="none" w:sz="0" w:space="0" w:color="auto"/>
                    <w:right w:val="none" w:sz="0" w:space="0" w:color="auto"/>
                  </w:divBdr>
                </w:div>
              </w:divsChild>
            </w:div>
            <w:div w:id="2034333634">
              <w:marLeft w:val="0"/>
              <w:marRight w:val="0"/>
              <w:marTop w:val="0"/>
              <w:marBottom w:val="0"/>
              <w:divBdr>
                <w:top w:val="none" w:sz="0" w:space="0" w:color="auto"/>
                <w:left w:val="none" w:sz="0" w:space="0" w:color="auto"/>
                <w:bottom w:val="none" w:sz="0" w:space="0" w:color="auto"/>
                <w:right w:val="none" w:sz="0" w:space="0" w:color="auto"/>
              </w:divBdr>
              <w:divsChild>
                <w:div w:id="200367127">
                  <w:marLeft w:val="0"/>
                  <w:marRight w:val="0"/>
                  <w:marTop w:val="0"/>
                  <w:marBottom w:val="0"/>
                  <w:divBdr>
                    <w:top w:val="none" w:sz="0" w:space="0" w:color="auto"/>
                    <w:left w:val="none" w:sz="0" w:space="0" w:color="auto"/>
                    <w:bottom w:val="none" w:sz="0" w:space="0" w:color="auto"/>
                    <w:right w:val="none" w:sz="0" w:space="0" w:color="auto"/>
                  </w:divBdr>
                </w:div>
              </w:divsChild>
            </w:div>
            <w:div w:id="1429152045">
              <w:marLeft w:val="0"/>
              <w:marRight w:val="0"/>
              <w:marTop w:val="0"/>
              <w:marBottom w:val="0"/>
              <w:divBdr>
                <w:top w:val="none" w:sz="0" w:space="0" w:color="auto"/>
                <w:left w:val="none" w:sz="0" w:space="0" w:color="auto"/>
                <w:bottom w:val="none" w:sz="0" w:space="0" w:color="auto"/>
                <w:right w:val="none" w:sz="0" w:space="0" w:color="auto"/>
              </w:divBdr>
              <w:divsChild>
                <w:div w:id="1871719002">
                  <w:marLeft w:val="0"/>
                  <w:marRight w:val="0"/>
                  <w:marTop w:val="0"/>
                  <w:marBottom w:val="0"/>
                  <w:divBdr>
                    <w:top w:val="none" w:sz="0" w:space="0" w:color="auto"/>
                    <w:left w:val="none" w:sz="0" w:space="0" w:color="auto"/>
                    <w:bottom w:val="none" w:sz="0" w:space="0" w:color="auto"/>
                    <w:right w:val="none" w:sz="0" w:space="0" w:color="auto"/>
                  </w:divBdr>
                </w:div>
              </w:divsChild>
            </w:div>
            <w:div w:id="1544978092">
              <w:marLeft w:val="0"/>
              <w:marRight w:val="0"/>
              <w:marTop w:val="0"/>
              <w:marBottom w:val="0"/>
              <w:divBdr>
                <w:top w:val="none" w:sz="0" w:space="0" w:color="auto"/>
                <w:left w:val="none" w:sz="0" w:space="0" w:color="auto"/>
                <w:bottom w:val="none" w:sz="0" w:space="0" w:color="auto"/>
                <w:right w:val="none" w:sz="0" w:space="0" w:color="auto"/>
              </w:divBdr>
              <w:divsChild>
                <w:div w:id="1293750896">
                  <w:marLeft w:val="0"/>
                  <w:marRight w:val="0"/>
                  <w:marTop w:val="0"/>
                  <w:marBottom w:val="0"/>
                  <w:divBdr>
                    <w:top w:val="none" w:sz="0" w:space="0" w:color="auto"/>
                    <w:left w:val="none" w:sz="0" w:space="0" w:color="auto"/>
                    <w:bottom w:val="none" w:sz="0" w:space="0" w:color="auto"/>
                    <w:right w:val="none" w:sz="0" w:space="0" w:color="auto"/>
                  </w:divBdr>
                </w:div>
              </w:divsChild>
            </w:div>
            <w:div w:id="1127816590">
              <w:marLeft w:val="0"/>
              <w:marRight w:val="0"/>
              <w:marTop w:val="0"/>
              <w:marBottom w:val="0"/>
              <w:divBdr>
                <w:top w:val="none" w:sz="0" w:space="0" w:color="auto"/>
                <w:left w:val="none" w:sz="0" w:space="0" w:color="auto"/>
                <w:bottom w:val="none" w:sz="0" w:space="0" w:color="auto"/>
                <w:right w:val="none" w:sz="0" w:space="0" w:color="auto"/>
              </w:divBdr>
              <w:divsChild>
                <w:div w:id="1221091817">
                  <w:marLeft w:val="0"/>
                  <w:marRight w:val="0"/>
                  <w:marTop w:val="0"/>
                  <w:marBottom w:val="0"/>
                  <w:divBdr>
                    <w:top w:val="none" w:sz="0" w:space="0" w:color="auto"/>
                    <w:left w:val="none" w:sz="0" w:space="0" w:color="auto"/>
                    <w:bottom w:val="none" w:sz="0" w:space="0" w:color="auto"/>
                    <w:right w:val="none" w:sz="0" w:space="0" w:color="auto"/>
                  </w:divBdr>
                </w:div>
              </w:divsChild>
            </w:div>
            <w:div w:id="1223369499">
              <w:marLeft w:val="0"/>
              <w:marRight w:val="0"/>
              <w:marTop w:val="0"/>
              <w:marBottom w:val="0"/>
              <w:divBdr>
                <w:top w:val="none" w:sz="0" w:space="0" w:color="auto"/>
                <w:left w:val="none" w:sz="0" w:space="0" w:color="auto"/>
                <w:bottom w:val="none" w:sz="0" w:space="0" w:color="auto"/>
                <w:right w:val="none" w:sz="0" w:space="0" w:color="auto"/>
              </w:divBdr>
              <w:divsChild>
                <w:div w:id="918440230">
                  <w:marLeft w:val="0"/>
                  <w:marRight w:val="0"/>
                  <w:marTop w:val="0"/>
                  <w:marBottom w:val="0"/>
                  <w:divBdr>
                    <w:top w:val="none" w:sz="0" w:space="0" w:color="auto"/>
                    <w:left w:val="none" w:sz="0" w:space="0" w:color="auto"/>
                    <w:bottom w:val="none" w:sz="0" w:space="0" w:color="auto"/>
                    <w:right w:val="none" w:sz="0" w:space="0" w:color="auto"/>
                  </w:divBdr>
                </w:div>
              </w:divsChild>
            </w:div>
            <w:div w:id="2036273594">
              <w:marLeft w:val="0"/>
              <w:marRight w:val="0"/>
              <w:marTop w:val="0"/>
              <w:marBottom w:val="0"/>
              <w:divBdr>
                <w:top w:val="none" w:sz="0" w:space="0" w:color="auto"/>
                <w:left w:val="none" w:sz="0" w:space="0" w:color="auto"/>
                <w:bottom w:val="none" w:sz="0" w:space="0" w:color="auto"/>
                <w:right w:val="none" w:sz="0" w:space="0" w:color="auto"/>
              </w:divBdr>
              <w:divsChild>
                <w:div w:id="1111511766">
                  <w:marLeft w:val="0"/>
                  <w:marRight w:val="0"/>
                  <w:marTop w:val="0"/>
                  <w:marBottom w:val="0"/>
                  <w:divBdr>
                    <w:top w:val="none" w:sz="0" w:space="0" w:color="auto"/>
                    <w:left w:val="none" w:sz="0" w:space="0" w:color="auto"/>
                    <w:bottom w:val="none" w:sz="0" w:space="0" w:color="auto"/>
                    <w:right w:val="none" w:sz="0" w:space="0" w:color="auto"/>
                  </w:divBdr>
                </w:div>
              </w:divsChild>
            </w:div>
            <w:div w:id="1090077797">
              <w:marLeft w:val="0"/>
              <w:marRight w:val="0"/>
              <w:marTop w:val="0"/>
              <w:marBottom w:val="0"/>
              <w:divBdr>
                <w:top w:val="none" w:sz="0" w:space="0" w:color="auto"/>
                <w:left w:val="none" w:sz="0" w:space="0" w:color="auto"/>
                <w:bottom w:val="none" w:sz="0" w:space="0" w:color="auto"/>
                <w:right w:val="none" w:sz="0" w:space="0" w:color="auto"/>
              </w:divBdr>
              <w:divsChild>
                <w:div w:id="1503083599">
                  <w:marLeft w:val="0"/>
                  <w:marRight w:val="0"/>
                  <w:marTop w:val="0"/>
                  <w:marBottom w:val="0"/>
                  <w:divBdr>
                    <w:top w:val="none" w:sz="0" w:space="0" w:color="auto"/>
                    <w:left w:val="none" w:sz="0" w:space="0" w:color="auto"/>
                    <w:bottom w:val="none" w:sz="0" w:space="0" w:color="auto"/>
                    <w:right w:val="none" w:sz="0" w:space="0" w:color="auto"/>
                  </w:divBdr>
                </w:div>
              </w:divsChild>
            </w:div>
            <w:div w:id="192575776">
              <w:marLeft w:val="0"/>
              <w:marRight w:val="0"/>
              <w:marTop w:val="0"/>
              <w:marBottom w:val="0"/>
              <w:divBdr>
                <w:top w:val="none" w:sz="0" w:space="0" w:color="auto"/>
                <w:left w:val="none" w:sz="0" w:space="0" w:color="auto"/>
                <w:bottom w:val="none" w:sz="0" w:space="0" w:color="auto"/>
                <w:right w:val="none" w:sz="0" w:space="0" w:color="auto"/>
              </w:divBdr>
              <w:divsChild>
                <w:div w:id="2056614964">
                  <w:marLeft w:val="0"/>
                  <w:marRight w:val="0"/>
                  <w:marTop w:val="0"/>
                  <w:marBottom w:val="0"/>
                  <w:divBdr>
                    <w:top w:val="none" w:sz="0" w:space="0" w:color="auto"/>
                    <w:left w:val="none" w:sz="0" w:space="0" w:color="auto"/>
                    <w:bottom w:val="none" w:sz="0" w:space="0" w:color="auto"/>
                    <w:right w:val="none" w:sz="0" w:space="0" w:color="auto"/>
                  </w:divBdr>
                </w:div>
              </w:divsChild>
            </w:div>
            <w:div w:id="1780174645">
              <w:marLeft w:val="0"/>
              <w:marRight w:val="0"/>
              <w:marTop w:val="0"/>
              <w:marBottom w:val="0"/>
              <w:divBdr>
                <w:top w:val="none" w:sz="0" w:space="0" w:color="auto"/>
                <w:left w:val="none" w:sz="0" w:space="0" w:color="auto"/>
                <w:bottom w:val="none" w:sz="0" w:space="0" w:color="auto"/>
                <w:right w:val="none" w:sz="0" w:space="0" w:color="auto"/>
              </w:divBdr>
            </w:div>
            <w:div w:id="255016221">
              <w:marLeft w:val="0"/>
              <w:marRight w:val="0"/>
              <w:marTop w:val="0"/>
              <w:marBottom w:val="0"/>
              <w:divBdr>
                <w:top w:val="none" w:sz="0" w:space="0" w:color="auto"/>
                <w:left w:val="none" w:sz="0" w:space="0" w:color="auto"/>
                <w:bottom w:val="none" w:sz="0" w:space="0" w:color="auto"/>
                <w:right w:val="none" w:sz="0" w:space="0" w:color="auto"/>
              </w:divBdr>
              <w:divsChild>
                <w:div w:id="826477522">
                  <w:marLeft w:val="0"/>
                  <w:marRight w:val="0"/>
                  <w:marTop w:val="0"/>
                  <w:marBottom w:val="0"/>
                  <w:divBdr>
                    <w:top w:val="none" w:sz="0" w:space="0" w:color="auto"/>
                    <w:left w:val="none" w:sz="0" w:space="0" w:color="auto"/>
                    <w:bottom w:val="none" w:sz="0" w:space="0" w:color="auto"/>
                    <w:right w:val="none" w:sz="0" w:space="0" w:color="auto"/>
                  </w:divBdr>
                </w:div>
              </w:divsChild>
            </w:div>
            <w:div w:id="949360813">
              <w:marLeft w:val="0"/>
              <w:marRight w:val="0"/>
              <w:marTop w:val="0"/>
              <w:marBottom w:val="0"/>
              <w:divBdr>
                <w:top w:val="none" w:sz="0" w:space="0" w:color="auto"/>
                <w:left w:val="none" w:sz="0" w:space="0" w:color="auto"/>
                <w:bottom w:val="none" w:sz="0" w:space="0" w:color="auto"/>
                <w:right w:val="none" w:sz="0" w:space="0" w:color="auto"/>
              </w:divBdr>
              <w:divsChild>
                <w:div w:id="1089890416">
                  <w:marLeft w:val="0"/>
                  <w:marRight w:val="0"/>
                  <w:marTop w:val="0"/>
                  <w:marBottom w:val="0"/>
                  <w:divBdr>
                    <w:top w:val="none" w:sz="0" w:space="0" w:color="auto"/>
                    <w:left w:val="none" w:sz="0" w:space="0" w:color="auto"/>
                    <w:bottom w:val="none" w:sz="0" w:space="0" w:color="auto"/>
                    <w:right w:val="none" w:sz="0" w:space="0" w:color="auto"/>
                  </w:divBdr>
                </w:div>
              </w:divsChild>
            </w:div>
            <w:div w:id="672684997">
              <w:marLeft w:val="0"/>
              <w:marRight w:val="0"/>
              <w:marTop w:val="0"/>
              <w:marBottom w:val="0"/>
              <w:divBdr>
                <w:top w:val="none" w:sz="0" w:space="0" w:color="auto"/>
                <w:left w:val="none" w:sz="0" w:space="0" w:color="auto"/>
                <w:bottom w:val="none" w:sz="0" w:space="0" w:color="auto"/>
                <w:right w:val="none" w:sz="0" w:space="0" w:color="auto"/>
              </w:divBdr>
              <w:divsChild>
                <w:div w:id="1219591064">
                  <w:marLeft w:val="0"/>
                  <w:marRight w:val="0"/>
                  <w:marTop w:val="0"/>
                  <w:marBottom w:val="0"/>
                  <w:divBdr>
                    <w:top w:val="none" w:sz="0" w:space="0" w:color="auto"/>
                    <w:left w:val="none" w:sz="0" w:space="0" w:color="auto"/>
                    <w:bottom w:val="none" w:sz="0" w:space="0" w:color="auto"/>
                    <w:right w:val="none" w:sz="0" w:space="0" w:color="auto"/>
                  </w:divBdr>
                </w:div>
              </w:divsChild>
            </w:div>
            <w:div w:id="2032947388">
              <w:marLeft w:val="0"/>
              <w:marRight w:val="0"/>
              <w:marTop w:val="0"/>
              <w:marBottom w:val="0"/>
              <w:divBdr>
                <w:top w:val="none" w:sz="0" w:space="0" w:color="auto"/>
                <w:left w:val="none" w:sz="0" w:space="0" w:color="auto"/>
                <w:bottom w:val="none" w:sz="0" w:space="0" w:color="auto"/>
                <w:right w:val="none" w:sz="0" w:space="0" w:color="auto"/>
              </w:divBdr>
              <w:divsChild>
                <w:div w:id="351880320">
                  <w:marLeft w:val="0"/>
                  <w:marRight w:val="0"/>
                  <w:marTop w:val="0"/>
                  <w:marBottom w:val="0"/>
                  <w:divBdr>
                    <w:top w:val="none" w:sz="0" w:space="0" w:color="auto"/>
                    <w:left w:val="none" w:sz="0" w:space="0" w:color="auto"/>
                    <w:bottom w:val="none" w:sz="0" w:space="0" w:color="auto"/>
                    <w:right w:val="none" w:sz="0" w:space="0" w:color="auto"/>
                  </w:divBdr>
                </w:div>
              </w:divsChild>
            </w:div>
            <w:div w:id="1909342284">
              <w:marLeft w:val="0"/>
              <w:marRight w:val="0"/>
              <w:marTop w:val="0"/>
              <w:marBottom w:val="0"/>
              <w:divBdr>
                <w:top w:val="none" w:sz="0" w:space="0" w:color="auto"/>
                <w:left w:val="none" w:sz="0" w:space="0" w:color="auto"/>
                <w:bottom w:val="none" w:sz="0" w:space="0" w:color="auto"/>
                <w:right w:val="none" w:sz="0" w:space="0" w:color="auto"/>
              </w:divBdr>
              <w:divsChild>
                <w:div w:id="600457881">
                  <w:marLeft w:val="0"/>
                  <w:marRight w:val="0"/>
                  <w:marTop w:val="0"/>
                  <w:marBottom w:val="0"/>
                  <w:divBdr>
                    <w:top w:val="none" w:sz="0" w:space="0" w:color="auto"/>
                    <w:left w:val="none" w:sz="0" w:space="0" w:color="auto"/>
                    <w:bottom w:val="none" w:sz="0" w:space="0" w:color="auto"/>
                    <w:right w:val="none" w:sz="0" w:space="0" w:color="auto"/>
                  </w:divBdr>
                </w:div>
              </w:divsChild>
            </w:div>
            <w:div w:id="1127040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8290710">
      <w:bodyDiv w:val="1"/>
      <w:marLeft w:val="0"/>
      <w:marRight w:val="0"/>
      <w:marTop w:val="0"/>
      <w:marBottom w:val="0"/>
      <w:divBdr>
        <w:top w:val="none" w:sz="0" w:space="0" w:color="auto"/>
        <w:left w:val="none" w:sz="0" w:space="0" w:color="auto"/>
        <w:bottom w:val="none" w:sz="0" w:space="0" w:color="auto"/>
        <w:right w:val="none" w:sz="0" w:space="0" w:color="auto"/>
      </w:divBdr>
      <w:divsChild>
        <w:div w:id="476726064">
          <w:marLeft w:val="0"/>
          <w:marRight w:val="0"/>
          <w:marTop w:val="75"/>
          <w:marBottom w:val="0"/>
          <w:divBdr>
            <w:top w:val="none" w:sz="0" w:space="0" w:color="auto"/>
            <w:left w:val="none" w:sz="0" w:space="0" w:color="auto"/>
            <w:bottom w:val="none" w:sz="0" w:space="0" w:color="auto"/>
            <w:right w:val="none" w:sz="0" w:space="0" w:color="auto"/>
          </w:divBdr>
          <w:divsChild>
            <w:div w:id="262228488">
              <w:marLeft w:val="0"/>
              <w:marRight w:val="0"/>
              <w:marTop w:val="0"/>
              <w:marBottom w:val="0"/>
              <w:divBdr>
                <w:top w:val="none" w:sz="0" w:space="0" w:color="auto"/>
                <w:left w:val="none" w:sz="0" w:space="0" w:color="auto"/>
                <w:bottom w:val="none" w:sz="0" w:space="0" w:color="auto"/>
                <w:right w:val="none" w:sz="0" w:space="0" w:color="auto"/>
              </w:divBdr>
            </w:div>
            <w:div w:id="1011645109">
              <w:marLeft w:val="0"/>
              <w:marRight w:val="0"/>
              <w:marTop w:val="0"/>
              <w:marBottom w:val="0"/>
              <w:divBdr>
                <w:top w:val="none" w:sz="0" w:space="0" w:color="auto"/>
                <w:left w:val="none" w:sz="0" w:space="0" w:color="auto"/>
                <w:bottom w:val="none" w:sz="0" w:space="0" w:color="auto"/>
                <w:right w:val="none" w:sz="0" w:space="0" w:color="auto"/>
              </w:divBdr>
            </w:div>
          </w:divsChild>
        </w:div>
        <w:div w:id="441415468">
          <w:marLeft w:val="0"/>
          <w:marRight w:val="0"/>
          <w:marTop w:val="0"/>
          <w:marBottom w:val="0"/>
          <w:divBdr>
            <w:top w:val="none" w:sz="0" w:space="0" w:color="auto"/>
            <w:left w:val="none" w:sz="0" w:space="0" w:color="auto"/>
            <w:bottom w:val="none" w:sz="0" w:space="0" w:color="auto"/>
            <w:right w:val="none" w:sz="0" w:space="0" w:color="auto"/>
          </w:divBdr>
          <w:divsChild>
            <w:div w:id="537468664">
              <w:marLeft w:val="0"/>
              <w:marRight w:val="0"/>
              <w:marTop w:val="0"/>
              <w:marBottom w:val="0"/>
              <w:divBdr>
                <w:top w:val="none" w:sz="0" w:space="0" w:color="auto"/>
                <w:left w:val="none" w:sz="0" w:space="0" w:color="auto"/>
                <w:bottom w:val="none" w:sz="0" w:space="0" w:color="auto"/>
                <w:right w:val="none" w:sz="0" w:space="0" w:color="auto"/>
              </w:divBdr>
              <w:divsChild>
                <w:div w:id="922370640">
                  <w:marLeft w:val="0"/>
                  <w:marRight w:val="0"/>
                  <w:marTop w:val="0"/>
                  <w:marBottom w:val="0"/>
                  <w:divBdr>
                    <w:top w:val="none" w:sz="0" w:space="0" w:color="auto"/>
                    <w:left w:val="none" w:sz="0" w:space="0" w:color="auto"/>
                    <w:bottom w:val="none" w:sz="0" w:space="0" w:color="auto"/>
                    <w:right w:val="none" w:sz="0" w:space="0" w:color="auto"/>
                  </w:divBdr>
                </w:div>
                <w:div w:id="2003970368">
                  <w:marLeft w:val="300"/>
                  <w:marRight w:val="0"/>
                  <w:marTop w:val="0"/>
                  <w:marBottom w:val="0"/>
                  <w:divBdr>
                    <w:top w:val="none" w:sz="0" w:space="0" w:color="auto"/>
                    <w:left w:val="none" w:sz="0" w:space="0" w:color="auto"/>
                    <w:bottom w:val="none" w:sz="0" w:space="0" w:color="auto"/>
                    <w:right w:val="none" w:sz="0" w:space="0" w:color="auto"/>
                  </w:divBdr>
                  <w:divsChild>
                    <w:div w:id="2014456494">
                      <w:marLeft w:val="0"/>
                      <w:marRight w:val="0"/>
                      <w:marTop w:val="0"/>
                      <w:marBottom w:val="375"/>
                      <w:divBdr>
                        <w:top w:val="none" w:sz="0" w:space="0" w:color="auto"/>
                        <w:left w:val="none" w:sz="0" w:space="0" w:color="auto"/>
                        <w:bottom w:val="none" w:sz="0" w:space="0" w:color="auto"/>
                        <w:right w:val="none" w:sz="0" w:space="0" w:color="auto"/>
                      </w:divBdr>
                      <w:divsChild>
                        <w:div w:id="572551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4625001">
              <w:marLeft w:val="0"/>
              <w:marRight w:val="0"/>
              <w:marTop w:val="0"/>
              <w:marBottom w:val="0"/>
              <w:divBdr>
                <w:top w:val="none" w:sz="0" w:space="0" w:color="auto"/>
                <w:left w:val="none" w:sz="0" w:space="0" w:color="auto"/>
                <w:bottom w:val="none" w:sz="0" w:space="0" w:color="auto"/>
                <w:right w:val="none" w:sz="0" w:space="0" w:color="auto"/>
              </w:divBdr>
              <w:divsChild>
                <w:div w:id="600451796">
                  <w:marLeft w:val="0"/>
                  <w:marRight w:val="0"/>
                  <w:marTop w:val="0"/>
                  <w:marBottom w:val="0"/>
                  <w:divBdr>
                    <w:top w:val="none" w:sz="0" w:space="0" w:color="auto"/>
                    <w:left w:val="none" w:sz="0" w:space="0" w:color="auto"/>
                    <w:bottom w:val="none" w:sz="0" w:space="0" w:color="auto"/>
                    <w:right w:val="none" w:sz="0" w:space="0" w:color="auto"/>
                  </w:divBdr>
                </w:div>
                <w:div w:id="275210943">
                  <w:marLeft w:val="0"/>
                  <w:marRight w:val="0"/>
                  <w:marTop w:val="0"/>
                  <w:marBottom w:val="0"/>
                  <w:divBdr>
                    <w:top w:val="none" w:sz="0" w:space="0" w:color="auto"/>
                    <w:left w:val="none" w:sz="0" w:space="0" w:color="auto"/>
                    <w:bottom w:val="none" w:sz="0" w:space="0" w:color="auto"/>
                    <w:right w:val="none" w:sz="0" w:space="0" w:color="auto"/>
                  </w:divBdr>
                </w:div>
                <w:div w:id="1861429213">
                  <w:marLeft w:val="0"/>
                  <w:marRight w:val="0"/>
                  <w:marTop w:val="0"/>
                  <w:marBottom w:val="0"/>
                  <w:divBdr>
                    <w:top w:val="none" w:sz="0" w:space="0" w:color="auto"/>
                    <w:left w:val="none" w:sz="0" w:space="0" w:color="auto"/>
                    <w:bottom w:val="none" w:sz="0" w:space="0" w:color="auto"/>
                    <w:right w:val="none" w:sz="0" w:space="0" w:color="auto"/>
                  </w:divBdr>
                </w:div>
                <w:div w:id="487286973">
                  <w:marLeft w:val="375"/>
                  <w:marRight w:val="375"/>
                  <w:marTop w:val="0"/>
                  <w:marBottom w:val="0"/>
                  <w:divBdr>
                    <w:top w:val="none" w:sz="0" w:space="0" w:color="auto"/>
                    <w:left w:val="none" w:sz="0" w:space="0" w:color="auto"/>
                    <w:bottom w:val="none" w:sz="0" w:space="0" w:color="auto"/>
                    <w:right w:val="none" w:sz="0" w:space="0" w:color="auto"/>
                  </w:divBdr>
                  <w:divsChild>
                    <w:div w:id="296692680">
                      <w:marLeft w:val="0"/>
                      <w:marRight w:val="0"/>
                      <w:marTop w:val="0"/>
                      <w:marBottom w:val="0"/>
                      <w:divBdr>
                        <w:top w:val="none" w:sz="0" w:space="0" w:color="auto"/>
                        <w:left w:val="none" w:sz="0" w:space="0" w:color="auto"/>
                        <w:bottom w:val="none" w:sz="0" w:space="0" w:color="auto"/>
                        <w:right w:val="none" w:sz="0" w:space="0" w:color="auto"/>
                      </w:divBdr>
                    </w:div>
                    <w:div w:id="902061597">
                      <w:marLeft w:val="0"/>
                      <w:marRight w:val="0"/>
                      <w:marTop w:val="150"/>
                      <w:marBottom w:val="0"/>
                      <w:divBdr>
                        <w:top w:val="none" w:sz="0" w:space="0" w:color="auto"/>
                        <w:left w:val="none" w:sz="0" w:space="0" w:color="auto"/>
                        <w:bottom w:val="none" w:sz="0" w:space="0" w:color="auto"/>
                        <w:right w:val="none" w:sz="0" w:space="0" w:color="auto"/>
                      </w:divBdr>
                    </w:div>
                  </w:divsChild>
                </w:div>
                <w:div w:id="885727202">
                  <w:marLeft w:val="0"/>
                  <w:marRight w:val="0"/>
                  <w:marTop w:val="240"/>
                  <w:marBottom w:val="240"/>
                  <w:divBdr>
                    <w:top w:val="none" w:sz="0" w:space="0" w:color="auto"/>
                    <w:left w:val="none" w:sz="0" w:space="0" w:color="auto"/>
                    <w:bottom w:val="none" w:sz="0" w:space="0" w:color="auto"/>
                    <w:right w:val="none" w:sz="0" w:space="0" w:color="auto"/>
                  </w:divBdr>
                </w:div>
                <w:div w:id="510724474">
                  <w:marLeft w:val="0"/>
                  <w:marRight w:val="0"/>
                  <w:marTop w:val="240"/>
                  <w:marBottom w:val="240"/>
                  <w:divBdr>
                    <w:top w:val="none" w:sz="0" w:space="0" w:color="auto"/>
                    <w:left w:val="none" w:sz="0" w:space="0" w:color="auto"/>
                    <w:bottom w:val="none" w:sz="0" w:space="0" w:color="auto"/>
                    <w:right w:val="none" w:sz="0" w:space="0" w:color="auto"/>
                  </w:divBdr>
                </w:div>
                <w:div w:id="2080133053">
                  <w:marLeft w:val="0"/>
                  <w:marRight w:val="0"/>
                  <w:marTop w:val="240"/>
                  <w:marBottom w:val="240"/>
                  <w:divBdr>
                    <w:top w:val="none" w:sz="0" w:space="0" w:color="auto"/>
                    <w:left w:val="none" w:sz="0" w:space="0" w:color="auto"/>
                    <w:bottom w:val="none" w:sz="0" w:space="0" w:color="auto"/>
                    <w:right w:val="none" w:sz="0" w:space="0" w:color="auto"/>
                  </w:divBdr>
                </w:div>
                <w:div w:id="1098595738">
                  <w:marLeft w:val="0"/>
                  <w:marRight w:val="0"/>
                  <w:marTop w:val="0"/>
                  <w:marBottom w:val="0"/>
                  <w:divBdr>
                    <w:top w:val="none" w:sz="0" w:space="0" w:color="auto"/>
                    <w:left w:val="none" w:sz="0" w:space="0" w:color="auto"/>
                    <w:bottom w:val="none" w:sz="0" w:space="0" w:color="auto"/>
                    <w:right w:val="none" w:sz="0" w:space="0" w:color="auto"/>
                  </w:divBdr>
                  <w:divsChild>
                    <w:div w:id="475951540">
                      <w:marLeft w:val="300"/>
                      <w:marRight w:val="0"/>
                      <w:marTop w:val="0"/>
                      <w:marBottom w:val="0"/>
                      <w:divBdr>
                        <w:top w:val="none" w:sz="0" w:space="0" w:color="auto"/>
                        <w:left w:val="none" w:sz="0" w:space="0" w:color="auto"/>
                        <w:bottom w:val="none" w:sz="0" w:space="0" w:color="auto"/>
                        <w:right w:val="none" w:sz="0" w:space="0" w:color="auto"/>
                      </w:divBdr>
                    </w:div>
                    <w:div w:id="1339503428">
                      <w:marLeft w:val="300"/>
                      <w:marRight w:val="0"/>
                      <w:marTop w:val="0"/>
                      <w:marBottom w:val="0"/>
                      <w:divBdr>
                        <w:top w:val="none" w:sz="0" w:space="0" w:color="auto"/>
                        <w:left w:val="none" w:sz="0" w:space="0" w:color="auto"/>
                        <w:bottom w:val="none" w:sz="0" w:space="0" w:color="auto"/>
                        <w:right w:val="none" w:sz="0" w:space="0" w:color="auto"/>
                      </w:divBdr>
                      <w:divsChild>
                        <w:div w:id="1031879903">
                          <w:marLeft w:val="0"/>
                          <w:marRight w:val="0"/>
                          <w:marTop w:val="0"/>
                          <w:marBottom w:val="375"/>
                          <w:divBdr>
                            <w:top w:val="none" w:sz="0" w:space="0" w:color="auto"/>
                            <w:left w:val="none" w:sz="0" w:space="0" w:color="auto"/>
                            <w:bottom w:val="none" w:sz="0" w:space="0" w:color="auto"/>
                            <w:right w:val="none" w:sz="0" w:space="0" w:color="auto"/>
                          </w:divBdr>
                          <w:divsChild>
                            <w:div w:id="1018628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5119619">
                  <w:marLeft w:val="0"/>
                  <w:marRight w:val="0"/>
                  <w:marTop w:val="0"/>
                  <w:marBottom w:val="0"/>
                  <w:divBdr>
                    <w:top w:val="none" w:sz="0" w:space="0" w:color="auto"/>
                    <w:left w:val="none" w:sz="0" w:space="0" w:color="auto"/>
                    <w:bottom w:val="none" w:sz="0" w:space="0" w:color="auto"/>
                    <w:right w:val="none" w:sz="0" w:space="0" w:color="auto"/>
                  </w:divBdr>
                  <w:divsChild>
                    <w:div w:id="1193346039">
                      <w:marLeft w:val="300"/>
                      <w:marRight w:val="0"/>
                      <w:marTop w:val="0"/>
                      <w:marBottom w:val="0"/>
                      <w:divBdr>
                        <w:top w:val="none" w:sz="0" w:space="0" w:color="auto"/>
                        <w:left w:val="none" w:sz="0" w:space="0" w:color="auto"/>
                        <w:bottom w:val="none" w:sz="0" w:space="0" w:color="auto"/>
                        <w:right w:val="none" w:sz="0" w:space="0" w:color="auto"/>
                      </w:divBdr>
                    </w:div>
                    <w:div w:id="1642614225">
                      <w:marLeft w:val="300"/>
                      <w:marRight w:val="0"/>
                      <w:marTop w:val="0"/>
                      <w:marBottom w:val="0"/>
                      <w:divBdr>
                        <w:top w:val="none" w:sz="0" w:space="0" w:color="auto"/>
                        <w:left w:val="none" w:sz="0" w:space="0" w:color="auto"/>
                        <w:bottom w:val="none" w:sz="0" w:space="0" w:color="auto"/>
                        <w:right w:val="none" w:sz="0" w:space="0" w:color="auto"/>
                      </w:divBdr>
                      <w:divsChild>
                        <w:div w:id="2132625255">
                          <w:marLeft w:val="0"/>
                          <w:marRight w:val="0"/>
                          <w:marTop w:val="0"/>
                          <w:marBottom w:val="375"/>
                          <w:divBdr>
                            <w:top w:val="none" w:sz="0" w:space="0" w:color="auto"/>
                            <w:left w:val="none" w:sz="0" w:space="0" w:color="auto"/>
                            <w:bottom w:val="none" w:sz="0" w:space="0" w:color="auto"/>
                            <w:right w:val="none" w:sz="0" w:space="0" w:color="auto"/>
                          </w:divBdr>
                          <w:divsChild>
                            <w:div w:id="811824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020722">
              <w:marLeft w:val="0"/>
              <w:marRight w:val="0"/>
              <w:marTop w:val="0"/>
              <w:marBottom w:val="0"/>
              <w:divBdr>
                <w:top w:val="none" w:sz="0" w:space="0" w:color="auto"/>
                <w:left w:val="none" w:sz="0" w:space="0" w:color="auto"/>
                <w:bottom w:val="none" w:sz="0" w:space="0" w:color="auto"/>
                <w:right w:val="none" w:sz="0" w:space="0" w:color="auto"/>
              </w:divBdr>
              <w:divsChild>
                <w:div w:id="137381352">
                  <w:marLeft w:val="0"/>
                  <w:marRight w:val="0"/>
                  <w:marTop w:val="0"/>
                  <w:marBottom w:val="0"/>
                  <w:divBdr>
                    <w:top w:val="none" w:sz="0" w:space="0" w:color="auto"/>
                    <w:left w:val="none" w:sz="0" w:space="0" w:color="auto"/>
                    <w:bottom w:val="none" w:sz="0" w:space="0" w:color="auto"/>
                    <w:right w:val="none" w:sz="0" w:space="0" w:color="auto"/>
                  </w:divBdr>
                </w:div>
                <w:div w:id="1093748416">
                  <w:marLeft w:val="300"/>
                  <w:marRight w:val="0"/>
                  <w:marTop w:val="0"/>
                  <w:marBottom w:val="0"/>
                  <w:divBdr>
                    <w:top w:val="none" w:sz="0" w:space="0" w:color="auto"/>
                    <w:left w:val="none" w:sz="0" w:space="0" w:color="auto"/>
                    <w:bottom w:val="none" w:sz="0" w:space="0" w:color="auto"/>
                    <w:right w:val="none" w:sz="0" w:space="0" w:color="auto"/>
                  </w:divBdr>
                  <w:divsChild>
                    <w:div w:id="311755154">
                      <w:marLeft w:val="0"/>
                      <w:marRight w:val="0"/>
                      <w:marTop w:val="0"/>
                      <w:marBottom w:val="375"/>
                      <w:divBdr>
                        <w:top w:val="none" w:sz="0" w:space="0" w:color="auto"/>
                        <w:left w:val="none" w:sz="0" w:space="0" w:color="auto"/>
                        <w:bottom w:val="none" w:sz="0" w:space="0" w:color="auto"/>
                        <w:right w:val="none" w:sz="0" w:space="0" w:color="auto"/>
                      </w:divBdr>
                      <w:divsChild>
                        <w:div w:id="1144389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4763386">
                  <w:marLeft w:val="300"/>
                  <w:marRight w:val="0"/>
                  <w:marTop w:val="0"/>
                  <w:marBottom w:val="0"/>
                  <w:divBdr>
                    <w:top w:val="none" w:sz="0" w:space="0" w:color="auto"/>
                    <w:left w:val="none" w:sz="0" w:space="0" w:color="auto"/>
                    <w:bottom w:val="none" w:sz="0" w:space="0" w:color="auto"/>
                    <w:right w:val="none" w:sz="0" w:space="0" w:color="auto"/>
                  </w:divBdr>
                  <w:divsChild>
                    <w:div w:id="2086605551">
                      <w:marLeft w:val="0"/>
                      <w:marRight w:val="0"/>
                      <w:marTop w:val="0"/>
                      <w:marBottom w:val="375"/>
                      <w:divBdr>
                        <w:top w:val="none" w:sz="0" w:space="0" w:color="auto"/>
                        <w:left w:val="none" w:sz="0" w:space="0" w:color="auto"/>
                        <w:bottom w:val="none" w:sz="0" w:space="0" w:color="auto"/>
                        <w:right w:val="none" w:sz="0" w:space="0" w:color="auto"/>
                      </w:divBdr>
                      <w:divsChild>
                        <w:div w:id="1523782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8943927">
              <w:marLeft w:val="0"/>
              <w:marRight w:val="0"/>
              <w:marTop w:val="0"/>
              <w:marBottom w:val="0"/>
              <w:divBdr>
                <w:top w:val="none" w:sz="0" w:space="0" w:color="auto"/>
                <w:left w:val="none" w:sz="0" w:space="0" w:color="auto"/>
                <w:bottom w:val="none" w:sz="0" w:space="0" w:color="auto"/>
                <w:right w:val="none" w:sz="0" w:space="0" w:color="auto"/>
              </w:divBdr>
              <w:divsChild>
                <w:div w:id="1775783694">
                  <w:marLeft w:val="0"/>
                  <w:marRight w:val="0"/>
                  <w:marTop w:val="0"/>
                  <w:marBottom w:val="0"/>
                  <w:divBdr>
                    <w:top w:val="none" w:sz="0" w:space="0" w:color="auto"/>
                    <w:left w:val="none" w:sz="0" w:space="0" w:color="auto"/>
                    <w:bottom w:val="none" w:sz="0" w:space="0" w:color="auto"/>
                    <w:right w:val="none" w:sz="0" w:space="0" w:color="auto"/>
                  </w:divBdr>
                </w:div>
                <w:div w:id="267936336">
                  <w:marLeft w:val="0"/>
                  <w:marRight w:val="0"/>
                  <w:marTop w:val="0"/>
                  <w:marBottom w:val="0"/>
                  <w:divBdr>
                    <w:top w:val="none" w:sz="0" w:space="0" w:color="auto"/>
                    <w:left w:val="none" w:sz="0" w:space="0" w:color="auto"/>
                    <w:bottom w:val="none" w:sz="0" w:space="0" w:color="auto"/>
                    <w:right w:val="none" w:sz="0" w:space="0" w:color="auto"/>
                  </w:divBdr>
                  <w:divsChild>
                    <w:div w:id="1934581025">
                      <w:marLeft w:val="300"/>
                      <w:marRight w:val="0"/>
                      <w:marTop w:val="0"/>
                      <w:marBottom w:val="0"/>
                      <w:divBdr>
                        <w:top w:val="none" w:sz="0" w:space="0" w:color="auto"/>
                        <w:left w:val="none" w:sz="0" w:space="0" w:color="auto"/>
                        <w:bottom w:val="none" w:sz="0" w:space="0" w:color="auto"/>
                        <w:right w:val="none" w:sz="0" w:space="0" w:color="auto"/>
                      </w:divBdr>
                    </w:div>
                    <w:div w:id="1218784570">
                      <w:marLeft w:val="300"/>
                      <w:marRight w:val="0"/>
                      <w:marTop w:val="0"/>
                      <w:marBottom w:val="0"/>
                      <w:divBdr>
                        <w:top w:val="none" w:sz="0" w:space="0" w:color="auto"/>
                        <w:left w:val="none" w:sz="0" w:space="0" w:color="auto"/>
                        <w:bottom w:val="none" w:sz="0" w:space="0" w:color="auto"/>
                        <w:right w:val="none" w:sz="0" w:space="0" w:color="auto"/>
                      </w:divBdr>
                      <w:divsChild>
                        <w:div w:id="1597514976">
                          <w:marLeft w:val="0"/>
                          <w:marRight w:val="0"/>
                          <w:marTop w:val="0"/>
                          <w:marBottom w:val="375"/>
                          <w:divBdr>
                            <w:top w:val="none" w:sz="0" w:space="0" w:color="auto"/>
                            <w:left w:val="none" w:sz="0" w:space="0" w:color="auto"/>
                            <w:bottom w:val="none" w:sz="0" w:space="0" w:color="auto"/>
                            <w:right w:val="none" w:sz="0" w:space="0" w:color="auto"/>
                          </w:divBdr>
                          <w:divsChild>
                            <w:div w:id="1620257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563614">
              <w:marLeft w:val="0"/>
              <w:marRight w:val="0"/>
              <w:marTop w:val="0"/>
              <w:marBottom w:val="0"/>
              <w:divBdr>
                <w:top w:val="none" w:sz="0" w:space="0" w:color="auto"/>
                <w:left w:val="none" w:sz="0" w:space="0" w:color="auto"/>
                <w:bottom w:val="none" w:sz="0" w:space="0" w:color="auto"/>
                <w:right w:val="none" w:sz="0" w:space="0" w:color="auto"/>
              </w:divBdr>
              <w:divsChild>
                <w:div w:id="1113596210">
                  <w:marLeft w:val="0"/>
                  <w:marRight w:val="0"/>
                  <w:marTop w:val="0"/>
                  <w:marBottom w:val="0"/>
                  <w:divBdr>
                    <w:top w:val="none" w:sz="0" w:space="0" w:color="auto"/>
                    <w:left w:val="none" w:sz="0" w:space="0" w:color="auto"/>
                    <w:bottom w:val="none" w:sz="0" w:space="0" w:color="auto"/>
                    <w:right w:val="none" w:sz="0" w:space="0" w:color="auto"/>
                  </w:divBdr>
                </w:div>
              </w:divsChild>
            </w:div>
            <w:div w:id="1955208758">
              <w:marLeft w:val="0"/>
              <w:marRight w:val="0"/>
              <w:marTop w:val="0"/>
              <w:marBottom w:val="0"/>
              <w:divBdr>
                <w:top w:val="none" w:sz="0" w:space="0" w:color="auto"/>
                <w:left w:val="none" w:sz="0" w:space="0" w:color="auto"/>
                <w:bottom w:val="none" w:sz="0" w:space="0" w:color="auto"/>
                <w:right w:val="none" w:sz="0" w:space="0" w:color="auto"/>
              </w:divBdr>
              <w:divsChild>
                <w:div w:id="1355153957">
                  <w:marLeft w:val="0"/>
                  <w:marRight w:val="0"/>
                  <w:marTop w:val="0"/>
                  <w:marBottom w:val="0"/>
                  <w:divBdr>
                    <w:top w:val="none" w:sz="0" w:space="0" w:color="auto"/>
                    <w:left w:val="none" w:sz="0" w:space="0" w:color="auto"/>
                    <w:bottom w:val="none" w:sz="0" w:space="0" w:color="auto"/>
                    <w:right w:val="none" w:sz="0" w:space="0" w:color="auto"/>
                  </w:divBdr>
                </w:div>
                <w:div w:id="606276228">
                  <w:marLeft w:val="300"/>
                  <w:marRight w:val="0"/>
                  <w:marTop w:val="0"/>
                  <w:marBottom w:val="0"/>
                  <w:divBdr>
                    <w:top w:val="none" w:sz="0" w:space="0" w:color="auto"/>
                    <w:left w:val="none" w:sz="0" w:space="0" w:color="auto"/>
                    <w:bottom w:val="none" w:sz="0" w:space="0" w:color="auto"/>
                    <w:right w:val="none" w:sz="0" w:space="0" w:color="auto"/>
                  </w:divBdr>
                  <w:divsChild>
                    <w:div w:id="544221241">
                      <w:marLeft w:val="0"/>
                      <w:marRight w:val="0"/>
                      <w:marTop w:val="0"/>
                      <w:marBottom w:val="375"/>
                      <w:divBdr>
                        <w:top w:val="none" w:sz="0" w:space="0" w:color="auto"/>
                        <w:left w:val="none" w:sz="0" w:space="0" w:color="auto"/>
                        <w:bottom w:val="none" w:sz="0" w:space="0" w:color="auto"/>
                        <w:right w:val="none" w:sz="0" w:space="0" w:color="auto"/>
                      </w:divBdr>
                      <w:divsChild>
                        <w:div w:id="1581481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6425943">
              <w:marLeft w:val="0"/>
              <w:marRight w:val="0"/>
              <w:marTop w:val="0"/>
              <w:marBottom w:val="0"/>
              <w:divBdr>
                <w:top w:val="none" w:sz="0" w:space="0" w:color="auto"/>
                <w:left w:val="none" w:sz="0" w:space="0" w:color="auto"/>
                <w:bottom w:val="none" w:sz="0" w:space="0" w:color="auto"/>
                <w:right w:val="none" w:sz="0" w:space="0" w:color="auto"/>
              </w:divBdr>
              <w:divsChild>
                <w:div w:id="2144500223">
                  <w:marLeft w:val="0"/>
                  <w:marRight w:val="0"/>
                  <w:marTop w:val="0"/>
                  <w:marBottom w:val="0"/>
                  <w:divBdr>
                    <w:top w:val="none" w:sz="0" w:space="0" w:color="auto"/>
                    <w:left w:val="none" w:sz="0" w:space="0" w:color="auto"/>
                    <w:bottom w:val="none" w:sz="0" w:space="0" w:color="auto"/>
                    <w:right w:val="none" w:sz="0" w:space="0" w:color="auto"/>
                  </w:divBdr>
                </w:div>
              </w:divsChild>
            </w:div>
            <w:div w:id="673217782">
              <w:marLeft w:val="0"/>
              <w:marRight w:val="0"/>
              <w:marTop w:val="0"/>
              <w:marBottom w:val="0"/>
              <w:divBdr>
                <w:top w:val="none" w:sz="0" w:space="0" w:color="auto"/>
                <w:left w:val="none" w:sz="0" w:space="0" w:color="auto"/>
                <w:bottom w:val="none" w:sz="0" w:space="0" w:color="auto"/>
                <w:right w:val="none" w:sz="0" w:space="0" w:color="auto"/>
              </w:divBdr>
              <w:divsChild>
                <w:div w:id="1071662673">
                  <w:marLeft w:val="0"/>
                  <w:marRight w:val="0"/>
                  <w:marTop w:val="0"/>
                  <w:marBottom w:val="0"/>
                  <w:divBdr>
                    <w:top w:val="none" w:sz="0" w:space="0" w:color="auto"/>
                    <w:left w:val="none" w:sz="0" w:space="0" w:color="auto"/>
                    <w:bottom w:val="none" w:sz="0" w:space="0" w:color="auto"/>
                    <w:right w:val="none" w:sz="0" w:space="0" w:color="auto"/>
                  </w:divBdr>
                </w:div>
              </w:divsChild>
            </w:div>
            <w:div w:id="462771563">
              <w:marLeft w:val="0"/>
              <w:marRight w:val="0"/>
              <w:marTop w:val="0"/>
              <w:marBottom w:val="0"/>
              <w:divBdr>
                <w:top w:val="none" w:sz="0" w:space="0" w:color="auto"/>
                <w:left w:val="none" w:sz="0" w:space="0" w:color="auto"/>
                <w:bottom w:val="none" w:sz="0" w:space="0" w:color="auto"/>
                <w:right w:val="none" w:sz="0" w:space="0" w:color="auto"/>
              </w:divBdr>
            </w:div>
            <w:div w:id="108814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6805704">
      <w:bodyDiv w:val="1"/>
      <w:marLeft w:val="0"/>
      <w:marRight w:val="0"/>
      <w:marTop w:val="0"/>
      <w:marBottom w:val="0"/>
      <w:divBdr>
        <w:top w:val="none" w:sz="0" w:space="0" w:color="auto"/>
        <w:left w:val="none" w:sz="0" w:space="0" w:color="auto"/>
        <w:bottom w:val="none" w:sz="0" w:space="0" w:color="auto"/>
        <w:right w:val="none" w:sz="0" w:space="0" w:color="auto"/>
      </w:divBdr>
      <w:divsChild>
        <w:div w:id="778064792">
          <w:marLeft w:val="0"/>
          <w:marRight w:val="0"/>
          <w:marTop w:val="150"/>
          <w:marBottom w:val="225"/>
          <w:divBdr>
            <w:top w:val="none" w:sz="0" w:space="0" w:color="auto"/>
            <w:left w:val="none" w:sz="0" w:space="0" w:color="auto"/>
            <w:bottom w:val="none" w:sz="0" w:space="0" w:color="auto"/>
            <w:right w:val="none" w:sz="0" w:space="0" w:color="auto"/>
          </w:divBdr>
        </w:div>
        <w:div w:id="346830597">
          <w:marLeft w:val="0"/>
          <w:marRight w:val="0"/>
          <w:marTop w:val="150"/>
          <w:marBottom w:val="225"/>
          <w:divBdr>
            <w:top w:val="none" w:sz="0" w:space="0" w:color="auto"/>
            <w:left w:val="none" w:sz="0" w:space="0" w:color="auto"/>
            <w:bottom w:val="none" w:sz="0" w:space="0" w:color="auto"/>
            <w:right w:val="none" w:sz="0" w:space="0" w:color="auto"/>
          </w:divBdr>
        </w:div>
        <w:div w:id="1346327566">
          <w:marLeft w:val="0"/>
          <w:marRight w:val="0"/>
          <w:marTop w:val="0"/>
          <w:marBottom w:val="0"/>
          <w:divBdr>
            <w:top w:val="none" w:sz="0" w:space="0" w:color="auto"/>
            <w:left w:val="none" w:sz="0" w:space="0" w:color="auto"/>
            <w:bottom w:val="none" w:sz="0" w:space="0" w:color="auto"/>
            <w:right w:val="none" w:sz="0" w:space="0" w:color="auto"/>
          </w:divBdr>
          <w:divsChild>
            <w:div w:id="107087871">
              <w:marLeft w:val="0"/>
              <w:marRight w:val="0"/>
              <w:marTop w:val="0"/>
              <w:marBottom w:val="0"/>
              <w:divBdr>
                <w:top w:val="none" w:sz="0" w:space="0" w:color="auto"/>
                <w:left w:val="none" w:sz="0" w:space="0" w:color="auto"/>
                <w:bottom w:val="none" w:sz="0" w:space="0" w:color="auto"/>
                <w:right w:val="none" w:sz="0" w:space="0" w:color="auto"/>
              </w:divBdr>
              <w:divsChild>
                <w:div w:id="1614900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6306006">
          <w:marLeft w:val="-15"/>
          <w:marRight w:val="-15"/>
          <w:marTop w:val="0"/>
          <w:marBottom w:val="0"/>
          <w:divBdr>
            <w:top w:val="none" w:sz="0" w:space="0" w:color="auto"/>
            <w:left w:val="none" w:sz="0" w:space="0" w:color="auto"/>
            <w:bottom w:val="none" w:sz="0" w:space="0" w:color="auto"/>
            <w:right w:val="none" w:sz="0" w:space="0" w:color="auto"/>
          </w:divBdr>
          <w:divsChild>
            <w:div w:id="1036927965">
              <w:marLeft w:val="0"/>
              <w:marRight w:val="0"/>
              <w:marTop w:val="0"/>
              <w:marBottom w:val="0"/>
              <w:divBdr>
                <w:top w:val="none" w:sz="0" w:space="0" w:color="auto"/>
                <w:left w:val="none" w:sz="0" w:space="0" w:color="auto"/>
                <w:bottom w:val="none" w:sz="0" w:space="0" w:color="auto"/>
                <w:right w:val="none" w:sz="0" w:space="0" w:color="auto"/>
              </w:divBdr>
              <w:divsChild>
                <w:div w:id="1447575885">
                  <w:marLeft w:val="0"/>
                  <w:marRight w:val="0"/>
                  <w:marTop w:val="0"/>
                  <w:marBottom w:val="0"/>
                  <w:divBdr>
                    <w:top w:val="none" w:sz="0" w:space="0" w:color="auto"/>
                    <w:left w:val="none" w:sz="0" w:space="0" w:color="auto"/>
                    <w:bottom w:val="none" w:sz="0" w:space="0" w:color="auto"/>
                    <w:right w:val="none" w:sz="0" w:space="0" w:color="auto"/>
                  </w:divBdr>
                  <w:divsChild>
                    <w:div w:id="947079599">
                      <w:marLeft w:val="0"/>
                      <w:marRight w:val="0"/>
                      <w:marTop w:val="0"/>
                      <w:marBottom w:val="150"/>
                      <w:divBdr>
                        <w:top w:val="none" w:sz="0" w:space="0" w:color="auto"/>
                        <w:left w:val="none" w:sz="0" w:space="0" w:color="auto"/>
                        <w:bottom w:val="none" w:sz="0" w:space="0" w:color="auto"/>
                        <w:right w:val="none" w:sz="0" w:space="0" w:color="auto"/>
                      </w:divBdr>
                    </w:div>
                    <w:div w:id="193857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1828773">
          <w:marLeft w:val="0"/>
          <w:marRight w:val="0"/>
          <w:marTop w:val="150"/>
          <w:marBottom w:val="225"/>
          <w:divBdr>
            <w:top w:val="none" w:sz="0" w:space="0" w:color="auto"/>
            <w:left w:val="none" w:sz="0" w:space="0" w:color="auto"/>
            <w:bottom w:val="none" w:sz="0" w:space="0" w:color="auto"/>
            <w:right w:val="none" w:sz="0" w:space="0" w:color="auto"/>
          </w:divBdr>
        </w:div>
        <w:div w:id="985670451">
          <w:marLeft w:val="0"/>
          <w:marRight w:val="0"/>
          <w:marTop w:val="150"/>
          <w:marBottom w:val="225"/>
          <w:divBdr>
            <w:top w:val="none" w:sz="0" w:space="0" w:color="auto"/>
            <w:left w:val="none" w:sz="0" w:space="0" w:color="auto"/>
            <w:bottom w:val="none" w:sz="0" w:space="0" w:color="auto"/>
            <w:right w:val="none" w:sz="0" w:space="0" w:color="auto"/>
          </w:divBdr>
        </w:div>
        <w:div w:id="1549948585">
          <w:marLeft w:val="0"/>
          <w:marRight w:val="0"/>
          <w:marTop w:val="150"/>
          <w:marBottom w:val="225"/>
          <w:divBdr>
            <w:top w:val="none" w:sz="0" w:space="0" w:color="auto"/>
            <w:left w:val="none" w:sz="0" w:space="0" w:color="auto"/>
            <w:bottom w:val="none" w:sz="0" w:space="0" w:color="auto"/>
            <w:right w:val="none" w:sz="0" w:space="0" w:color="auto"/>
          </w:divBdr>
        </w:div>
        <w:div w:id="452402409">
          <w:marLeft w:val="0"/>
          <w:marRight w:val="0"/>
          <w:marTop w:val="0"/>
          <w:marBottom w:val="0"/>
          <w:divBdr>
            <w:top w:val="none" w:sz="0" w:space="0" w:color="auto"/>
            <w:left w:val="none" w:sz="0" w:space="0" w:color="auto"/>
            <w:bottom w:val="none" w:sz="0" w:space="0" w:color="auto"/>
            <w:right w:val="none" w:sz="0" w:space="0" w:color="auto"/>
          </w:divBdr>
          <w:divsChild>
            <w:div w:id="1287468405">
              <w:marLeft w:val="0"/>
              <w:marRight w:val="0"/>
              <w:marTop w:val="0"/>
              <w:marBottom w:val="0"/>
              <w:divBdr>
                <w:top w:val="none" w:sz="0" w:space="0" w:color="auto"/>
                <w:left w:val="none" w:sz="0" w:space="0" w:color="auto"/>
                <w:bottom w:val="none" w:sz="0" w:space="0" w:color="auto"/>
                <w:right w:val="none" w:sz="0" w:space="0" w:color="auto"/>
              </w:divBdr>
              <w:divsChild>
                <w:div w:id="711807053">
                  <w:marLeft w:val="0"/>
                  <w:marRight w:val="0"/>
                  <w:marTop w:val="240"/>
                  <w:marBottom w:val="240"/>
                  <w:divBdr>
                    <w:top w:val="none" w:sz="0" w:space="0" w:color="auto"/>
                    <w:left w:val="none" w:sz="0" w:space="0" w:color="auto"/>
                    <w:bottom w:val="none" w:sz="0" w:space="0" w:color="auto"/>
                    <w:right w:val="none" w:sz="0" w:space="0" w:color="auto"/>
                  </w:divBdr>
                </w:div>
              </w:divsChild>
            </w:div>
            <w:div w:id="1514298667">
              <w:marLeft w:val="0"/>
              <w:marRight w:val="0"/>
              <w:marTop w:val="0"/>
              <w:marBottom w:val="0"/>
              <w:divBdr>
                <w:top w:val="none" w:sz="0" w:space="0" w:color="auto"/>
                <w:left w:val="none" w:sz="0" w:space="0" w:color="auto"/>
                <w:bottom w:val="none" w:sz="0" w:space="0" w:color="auto"/>
                <w:right w:val="none" w:sz="0" w:space="0" w:color="auto"/>
              </w:divBdr>
              <w:divsChild>
                <w:div w:id="1607955460">
                  <w:marLeft w:val="0"/>
                  <w:marRight w:val="0"/>
                  <w:marTop w:val="240"/>
                  <w:marBottom w:val="240"/>
                  <w:divBdr>
                    <w:top w:val="none" w:sz="0" w:space="0" w:color="auto"/>
                    <w:left w:val="none" w:sz="0" w:space="0" w:color="auto"/>
                    <w:bottom w:val="none" w:sz="0" w:space="0" w:color="auto"/>
                    <w:right w:val="none" w:sz="0" w:space="0" w:color="auto"/>
                  </w:divBdr>
                </w:div>
              </w:divsChild>
            </w:div>
            <w:div w:id="1434398401">
              <w:marLeft w:val="0"/>
              <w:marRight w:val="0"/>
              <w:marTop w:val="0"/>
              <w:marBottom w:val="0"/>
              <w:divBdr>
                <w:top w:val="none" w:sz="0" w:space="0" w:color="auto"/>
                <w:left w:val="none" w:sz="0" w:space="0" w:color="auto"/>
                <w:bottom w:val="none" w:sz="0" w:space="0" w:color="auto"/>
                <w:right w:val="none" w:sz="0" w:space="0" w:color="auto"/>
              </w:divBdr>
              <w:divsChild>
                <w:div w:id="1376387731">
                  <w:marLeft w:val="0"/>
                  <w:marRight w:val="0"/>
                  <w:marTop w:val="240"/>
                  <w:marBottom w:val="240"/>
                  <w:divBdr>
                    <w:top w:val="none" w:sz="0" w:space="0" w:color="auto"/>
                    <w:left w:val="none" w:sz="0" w:space="0" w:color="auto"/>
                    <w:bottom w:val="none" w:sz="0" w:space="0" w:color="auto"/>
                    <w:right w:val="none" w:sz="0" w:space="0" w:color="auto"/>
                  </w:divBdr>
                </w:div>
              </w:divsChild>
            </w:div>
            <w:div w:id="1074425717">
              <w:marLeft w:val="0"/>
              <w:marRight w:val="0"/>
              <w:marTop w:val="0"/>
              <w:marBottom w:val="0"/>
              <w:divBdr>
                <w:top w:val="none" w:sz="0" w:space="0" w:color="auto"/>
                <w:left w:val="none" w:sz="0" w:space="0" w:color="auto"/>
                <w:bottom w:val="none" w:sz="0" w:space="0" w:color="auto"/>
                <w:right w:val="none" w:sz="0" w:space="0" w:color="auto"/>
              </w:divBdr>
              <w:divsChild>
                <w:div w:id="910581852">
                  <w:marLeft w:val="0"/>
                  <w:marRight w:val="0"/>
                  <w:marTop w:val="240"/>
                  <w:marBottom w:val="240"/>
                  <w:divBdr>
                    <w:top w:val="none" w:sz="0" w:space="0" w:color="auto"/>
                    <w:left w:val="none" w:sz="0" w:space="0" w:color="auto"/>
                    <w:bottom w:val="none" w:sz="0" w:space="0" w:color="auto"/>
                    <w:right w:val="none" w:sz="0" w:space="0" w:color="auto"/>
                  </w:divBdr>
                </w:div>
              </w:divsChild>
            </w:div>
            <w:div w:id="2028210369">
              <w:marLeft w:val="0"/>
              <w:marRight w:val="0"/>
              <w:marTop w:val="0"/>
              <w:marBottom w:val="0"/>
              <w:divBdr>
                <w:top w:val="none" w:sz="0" w:space="0" w:color="auto"/>
                <w:left w:val="none" w:sz="0" w:space="0" w:color="auto"/>
                <w:bottom w:val="none" w:sz="0" w:space="0" w:color="auto"/>
                <w:right w:val="none" w:sz="0" w:space="0" w:color="auto"/>
              </w:divBdr>
              <w:divsChild>
                <w:div w:id="1945771113">
                  <w:marLeft w:val="0"/>
                  <w:marRight w:val="0"/>
                  <w:marTop w:val="240"/>
                  <w:marBottom w:val="240"/>
                  <w:divBdr>
                    <w:top w:val="none" w:sz="0" w:space="0" w:color="auto"/>
                    <w:left w:val="none" w:sz="0" w:space="0" w:color="auto"/>
                    <w:bottom w:val="none" w:sz="0" w:space="0" w:color="auto"/>
                    <w:right w:val="none" w:sz="0" w:space="0" w:color="auto"/>
                  </w:divBdr>
                </w:div>
              </w:divsChild>
            </w:div>
            <w:div w:id="1907450267">
              <w:marLeft w:val="0"/>
              <w:marRight w:val="0"/>
              <w:marTop w:val="0"/>
              <w:marBottom w:val="0"/>
              <w:divBdr>
                <w:top w:val="none" w:sz="0" w:space="0" w:color="auto"/>
                <w:left w:val="none" w:sz="0" w:space="0" w:color="auto"/>
                <w:bottom w:val="none" w:sz="0" w:space="0" w:color="auto"/>
                <w:right w:val="none" w:sz="0" w:space="0" w:color="auto"/>
              </w:divBdr>
              <w:divsChild>
                <w:div w:id="177458807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47926956">
          <w:marLeft w:val="0"/>
          <w:marRight w:val="0"/>
          <w:marTop w:val="0"/>
          <w:marBottom w:val="0"/>
          <w:divBdr>
            <w:top w:val="none" w:sz="0" w:space="0" w:color="auto"/>
            <w:left w:val="none" w:sz="0" w:space="0" w:color="auto"/>
            <w:bottom w:val="none" w:sz="0" w:space="0" w:color="auto"/>
            <w:right w:val="none" w:sz="0" w:space="0" w:color="auto"/>
          </w:divBdr>
          <w:divsChild>
            <w:div w:id="52193184">
              <w:marLeft w:val="0"/>
              <w:marRight w:val="0"/>
              <w:marTop w:val="0"/>
              <w:marBottom w:val="0"/>
              <w:divBdr>
                <w:top w:val="none" w:sz="0" w:space="0" w:color="auto"/>
                <w:left w:val="none" w:sz="0" w:space="0" w:color="auto"/>
                <w:bottom w:val="none" w:sz="0" w:space="0" w:color="auto"/>
                <w:right w:val="none" w:sz="0" w:space="0" w:color="auto"/>
              </w:divBdr>
              <w:divsChild>
                <w:div w:id="1032804922">
                  <w:marLeft w:val="0"/>
                  <w:marRight w:val="0"/>
                  <w:marTop w:val="0"/>
                  <w:marBottom w:val="0"/>
                  <w:divBdr>
                    <w:top w:val="none" w:sz="0" w:space="0" w:color="auto"/>
                    <w:left w:val="none" w:sz="0" w:space="0" w:color="auto"/>
                    <w:bottom w:val="none" w:sz="0" w:space="0" w:color="auto"/>
                    <w:right w:val="none" w:sz="0" w:space="0" w:color="auto"/>
                  </w:divBdr>
                  <w:divsChild>
                    <w:div w:id="640380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1159419">
              <w:marLeft w:val="-15"/>
              <w:marRight w:val="-15"/>
              <w:marTop w:val="0"/>
              <w:marBottom w:val="0"/>
              <w:divBdr>
                <w:top w:val="none" w:sz="0" w:space="0" w:color="auto"/>
                <w:left w:val="none" w:sz="0" w:space="0" w:color="auto"/>
                <w:bottom w:val="none" w:sz="0" w:space="0" w:color="auto"/>
                <w:right w:val="none" w:sz="0" w:space="0" w:color="auto"/>
              </w:divBdr>
              <w:divsChild>
                <w:div w:id="763648838">
                  <w:marLeft w:val="0"/>
                  <w:marRight w:val="0"/>
                  <w:marTop w:val="0"/>
                  <w:marBottom w:val="0"/>
                  <w:divBdr>
                    <w:top w:val="none" w:sz="0" w:space="0" w:color="auto"/>
                    <w:left w:val="none" w:sz="0" w:space="0" w:color="auto"/>
                    <w:bottom w:val="none" w:sz="0" w:space="0" w:color="auto"/>
                    <w:right w:val="none" w:sz="0" w:space="0" w:color="auto"/>
                  </w:divBdr>
                  <w:divsChild>
                    <w:div w:id="313528502">
                      <w:marLeft w:val="0"/>
                      <w:marRight w:val="0"/>
                      <w:marTop w:val="0"/>
                      <w:marBottom w:val="0"/>
                      <w:divBdr>
                        <w:top w:val="none" w:sz="0" w:space="0" w:color="auto"/>
                        <w:left w:val="none" w:sz="0" w:space="0" w:color="auto"/>
                        <w:bottom w:val="none" w:sz="0" w:space="0" w:color="auto"/>
                        <w:right w:val="none" w:sz="0" w:space="0" w:color="auto"/>
                      </w:divBdr>
                      <w:divsChild>
                        <w:div w:id="2143182588">
                          <w:marLeft w:val="0"/>
                          <w:marRight w:val="0"/>
                          <w:marTop w:val="0"/>
                          <w:marBottom w:val="150"/>
                          <w:divBdr>
                            <w:top w:val="none" w:sz="0" w:space="0" w:color="auto"/>
                            <w:left w:val="none" w:sz="0" w:space="0" w:color="auto"/>
                            <w:bottom w:val="none" w:sz="0" w:space="0" w:color="auto"/>
                            <w:right w:val="none" w:sz="0" w:space="0" w:color="auto"/>
                          </w:divBdr>
                        </w:div>
                        <w:div w:id="1250382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18410821">
          <w:marLeft w:val="0"/>
          <w:marRight w:val="0"/>
          <w:marTop w:val="0"/>
          <w:marBottom w:val="0"/>
          <w:divBdr>
            <w:top w:val="none" w:sz="0" w:space="0" w:color="auto"/>
            <w:left w:val="none" w:sz="0" w:space="0" w:color="auto"/>
            <w:bottom w:val="none" w:sz="0" w:space="0" w:color="auto"/>
            <w:right w:val="none" w:sz="0" w:space="0" w:color="auto"/>
          </w:divBdr>
          <w:divsChild>
            <w:div w:id="38166235">
              <w:marLeft w:val="0"/>
              <w:marRight w:val="0"/>
              <w:marTop w:val="0"/>
              <w:marBottom w:val="0"/>
              <w:divBdr>
                <w:top w:val="none" w:sz="0" w:space="0" w:color="auto"/>
                <w:left w:val="none" w:sz="0" w:space="0" w:color="auto"/>
                <w:bottom w:val="none" w:sz="0" w:space="0" w:color="auto"/>
                <w:right w:val="none" w:sz="0" w:space="0" w:color="auto"/>
              </w:divBdr>
            </w:div>
            <w:div w:id="1824470172">
              <w:marLeft w:val="0"/>
              <w:marRight w:val="0"/>
              <w:marTop w:val="0"/>
              <w:marBottom w:val="0"/>
              <w:divBdr>
                <w:top w:val="none" w:sz="0" w:space="0" w:color="auto"/>
                <w:left w:val="none" w:sz="0" w:space="0" w:color="auto"/>
                <w:bottom w:val="none" w:sz="0" w:space="0" w:color="auto"/>
                <w:right w:val="none" w:sz="0" w:space="0" w:color="auto"/>
              </w:divBdr>
              <w:divsChild>
                <w:div w:id="696270111">
                  <w:marLeft w:val="0"/>
                  <w:marRight w:val="0"/>
                  <w:marTop w:val="240"/>
                  <w:marBottom w:val="240"/>
                  <w:divBdr>
                    <w:top w:val="none" w:sz="0" w:space="0" w:color="auto"/>
                    <w:left w:val="none" w:sz="0" w:space="0" w:color="auto"/>
                    <w:bottom w:val="none" w:sz="0" w:space="0" w:color="auto"/>
                    <w:right w:val="none" w:sz="0" w:space="0" w:color="auto"/>
                  </w:divBdr>
                </w:div>
              </w:divsChild>
            </w:div>
            <w:div w:id="1953786066">
              <w:marLeft w:val="0"/>
              <w:marRight w:val="0"/>
              <w:marTop w:val="0"/>
              <w:marBottom w:val="0"/>
              <w:divBdr>
                <w:top w:val="none" w:sz="0" w:space="0" w:color="auto"/>
                <w:left w:val="none" w:sz="0" w:space="0" w:color="auto"/>
                <w:bottom w:val="none" w:sz="0" w:space="0" w:color="auto"/>
                <w:right w:val="none" w:sz="0" w:space="0" w:color="auto"/>
              </w:divBdr>
              <w:divsChild>
                <w:div w:id="1551696732">
                  <w:marLeft w:val="0"/>
                  <w:marRight w:val="0"/>
                  <w:marTop w:val="240"/>
                  <w:marBottom w:val="240"/>
                  <w:divBdr>
                    <w:top w:val="none" w:sz="0" w:space="0" w:color="auto"/>
                    <w:left w:val="none" w:sz="0" w:space="0" w:color="auto"/>
                    <w:bottom w:val="none" w:sz="0" w:space="0" w:color="auto"/>
                    <w:right w:val="none" w:sz="0" w:space="0" w:color="auto"/>
                  </w:divBdr>
                </w:div>
              </w:divsChild>
            </w:div>
            <w:div w:id="2053731327">
              <w:marLeft w:val="0"/>
              <w:marRight w:val="0"/>
              <w:marTop w:val="0"/>
              <w:marBottom w:val="0"/>
              <w:divBdr>
                <w:top w:val="none" w:sz="0" w:space="0" w:color="auto"/>
                <w:left w:val="none" w:sz="0" w:space="0" w:color="auto"/>
                <w:bottom w:val="none" w:sz="0" w:space="0" w:color="auto"/>
                <w:right w:val="none" w:sz="0" w:space="0" w:color="auto"/>
              </w:divBdr>
              <w:divsChild>
                <w:div w:id="201749015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38366050">
          <w:marLeft w:val="0"/>
          <w:marRight w:val="0"/>
          <w:marTop w:val="150"/>
          <w:marBottom w:val="225"/>
          <w:divBdr>
            <w:top w:val="none" w:sz="0" w:space="0" w:color="auto"/>
            <w:left w:val="none" w:sz="0" w:space="0" w:color="auto"/>
            <w:bottom w:val="none" w:sz="0" w:space="0" w:color="auto"/>
            <w:right w:val="none" w:sz="0" w:space="0" w:color="auto"/>
          </w:divBdr>
        </w:div>
        <w:div w:id="1339962219">
          <w:marLeft w:val="0"/>
          <w:marRight w:val="0"/>
          <w:marTop w:val="0"/>
          <w:marBottom w:val="0"/>
          <w:divBdr>
            <w:top w:val="none" w:sz="0" w:space="0" w:color="auto"/>
            <w:left w:val="none" w:sz="0" w:space="0" w:color="auto"/>
            <w:bottom w:val="none" w:sz="0" w:space="0" w:color="auto"/>
            <w:right w:val="none" w:sz="0" w:space="0" w:color="auto"/>
          </w:divBdr>
          <w:divsChild>
            <w:div w:id="752824495">
              <w:marLeft w:val="0"/>
              <w:marRight w:val="0"/>
              <w:marTop w:val="0"/>
              <w:marBottom w:val="0"/>
              <w:divBdr>
                <w:top w:val="none" w:sz="0" w:space="0" w:color="auto"/>
                <w:left w:val="none" w:sz="0" w:space="0" w:color="auto"/>
                <w:bottom w:val="none" w:sz="0" w:space="0" w:color="auto"/>
                <w:right w:val="none" w:sz="0" w:space="0" w:color="auto"/>
              </w:divBdr>
              <w:divsChild>
                <w:div w:id="417992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6736074">
          <w:marLeft w:val="-15"/>
          <w:marRight w:val="-15"/>
          <w:marTop w:val="0"/>
          <w:marBottom w:val="0"/>
          <w:divBdr>
            <w:top w:val="none" w:sz="0" w:space="0" w:color="auto"/>
            <w:left w:val="none" w:sz="0" w:space="0" w:color="auto"/>
            <w:bottom w:val="none" w:sz="0" w:space="0" w:color="auto"/>
            <w:right w:val="none" w:sz="0" w:space="0" w:color="auto"/>
          </w:divBdr>
          <w:divsChild>
            <w:div w:id="864097124">
              <w:marLeft w:val="0"/>
              <w:marRight w:val="0"/>
              <w:marTop w:val="0"/>
              <w:marBottom w:val="0"/>
              <w:divBdr>
                <w:top w:val="none" w:sz="0" w:space="0" w:color="auto"/>
                <w:left w:val="none" w:sz="0" w:space="0" w:color="auto"/>
                <w:bottom w:val="none" w:sz="0" w:space="0" w:color="auto"/>
                <w:right w:val="none" w:sz="0" w:space="0" w:color="auto"/>
              </w:divBdr>
              <w:divsChild>
                <w:div w:id="1581062814">
                  <w:marLeft w:val="0"/>
                  <w:marRight w:val="0"/>
                  <w:marTop w:val="0"/>
                  <w:marBottom w:val="0"/>
                  <w:divBdr>
                    <w:top w:val="none" w:sz="0" w:space="0" w:color="auto"/>
                    <w:left w:val="none" w:sz="0" w:space="0" w:color="auto"/>
                    <w:bottom w:val="none" w:sz="0" w:space="0" w:color="auto"/>
                    <w:right w:val="none" w:sz="0" w:space="0" w:color="auto"/>
                  </w:divBdr>
                  <w:divsChild>
                    <w:div w:id="624392039">
                      <w:marLeft w:val="0"/>
                      <w:marRight w:val="0"/>
                      <w:marTop w:val="0"/>
                      <w:marBottom w:val="150"/>
                      <w:divBdr>
                        <w:top w:val="none" w:sz="0" w:space="0" w:color="auto"/>
                        <w:left w:val="none" w:sz="0" w:space="0" w:color="auto"/>
                        <w:bottom w:val="none" w:sz="0" w:space="0" w:color="auto"/>
                        <w:right w:val="none" w:sz="0" w:space="0" w:color="auto"/>
                      </w:divBdr>
                    </w:div>
                    <w:div w:id="1293832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8780028">
          <w:marLeft w:val="0"/>
          <w:marRight w:val="0"/>
          <w:marTop w:val="0"/>
          <w:marBottom w:val="0"/>
          <w:divBdr>
            <w:top w:val="none" w:sz="0" w:space="0" w:color="auto"/>
            <w:left w:val="none" w:sz="0" w:space="0" w:color="auto"/>
            <w:bottom w:val="none" w:sz="0" w:space="0" w:color="auto"/>
            <w:right w:val="none" w:sz="0" w:space="0" w:color="auto"/>
          </w:divBdr>
          <w:divsChild>
            <w:div w:id="1705516819">
              <w:marLeft w:val="0"/>
              <w:marRight w:val="0"/>
              <w:marTop w:val="0"/>
              <w:marBottom w:val="0"/>
              <w:divBdr>
                <w:top w:val="none" w:sz="0" w:space="0" w:color="auto"/>
                <w:left w:val="none" w:sz="0" w:space="0" w:color="auto"/>
                <w:bottom w:val="none" w:sz="0" w:space="0" w:color="auto"/>
                <w:right w:val="none" w:sz="0" w:space="0" w:color="auto"/>
              </w:divBdr>
              <w:divsChild>
                <w:div w:id="1027024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0117683">
          <w:marLeft w:val="-15"/>
          <w:marRight w:val="-15"/>
          <w:marTop w:val="0"/>
          <w:marBottom w:val="0"/>
          <w:divBdr>
            <w:top w:val="none" w:sz="0" w:space="0" w:color="auto"/>
            <w:left w:val="none" w:sz="0" w:space="0" w:color="auto"/>
            <w:bottom w:val="none" w:sz="0" w:space="0" w:color="auto"/>
            <w:right w:val="none" w:sz="0" w:space="0" w:color="auto"/>
          </w:divBdr>
          <w:divsChild>
            <w:div w:id="1344551625">
              <w:marLeft w:val="0"/>
              <w:marRight w:val="0"/>
              <w:marTop w:val="0"/>
              <w:marBottom w:val="0"/>
              <w:divBdr>
                <w:top w:val="none" w:sz="0" w:space="0" w:color="auto"/>
                <w:left w:val="none" w:sz="0" w:space="0" w:color="auto"/>
                <w:bottom w:val="none" w:sz="0" w:space="0" w:color="auto"/>
                <w:right w:val="none" w:sz="0" w:space="0" w:color="auto"/>
              </w:divBdr>
              <w:divsChild>
                <w:div w:id="618030503">
                  <w:marLeft w:val="0"/>
                  <w:marRight w:val="0"/>
                  <w:marTop w:val="0"/>
                  <w:marBottom w:val="0"/>
                  <w:divBdr>
                    <w:top w:val="none" w:sz="0" w:space="0" w:color="auto"/>
                    <w:left w:val="none" w:sz="0" w:space="0" w:color="auto"/>
                    <w:bottom w:val="none" w:sz="0" w:space="0" w:color="auto"/>
                    <w:right w:val="none" w:sz="0" w:space="0" w:color="auto"/>
                  </w:divBdr>
                  <w:divsChild>
                    <w:div w:id="851258437">
                      <w:marLeft w:val="0"/>
                      <w:marRight w:val="0"/>
                      <w:marTop w:val="0"/>
                      <w:marBottom w:val="150"/>
                      <w:divBdr>
                        <w:top w:val="none" w:sz="0" w:space="0" w:color="auto"/>
                        <w:left w:val="none" w:sz="0" w:space="0" w:color="auto"/>
                        <w:bottom w:val="none" w:sz="0" w:space="0" w:color="auto"/>
                        <w:right w:val="none" w:sz="0" w:space="0" w:color="auto"/>
                      </w:divBdr>
                    </w:div>
                    <w:div w:id="251934781">
                      <w:marLeft w:val="0"/>
                      <w:marRight w:val="0"/>
                      <w:marTop w:val="0"/>
                      <w:marBottom w:val="0"/>
                      <w:divBdr>
                        <w:top w:val="none" w:sz="0" w:space="0" w:color="auto"/>
                        <w:left w:val="none" w:sz="0" w:space="0" w:color="auto"/>
                        <w:bottom w:val="none" w:sz="0" w:space="0" w:color="auto"/>
                        <w:right w:val="none" w:sz="0" w:space="0" w:color="auto"/>
                      </w:divBdr>
                      <w:divsChild>
                        <w:div w:id="1334142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10138214">
          <w:marLeft w:val="0"/>
          <w:marRight w:val="0"/>
          <w:marTop w:val="150"/>
          <w:marBottom w:val="225"/>
          <w:divBdr>
            <w:top w:val="none" w:sz="0" w:space="0" w:color="auto"/>
            <w:left w:val="none" w:sz="0" w:space="0" w:color="auto"/>
            <w:bottom w:val="none" w:sz="0" w:space="0" w:color="auto"/>
            <w:right w:val="none" w:sz="0" w:space="0" w:color="auto"/>
          </w:divBdr>
        </w:div>
      </w:divsChild>
    </w:div>
    <w:div w:id="2058815310">
      <w:bodyDiv w:val="1"/>
      <w:marLeft w:val="0"/>
      <w:marRight w:val="0"/>
      <w:marTop w:val="0"/>
      <w:marBottom w:val="0"/>
      <w:divBdr>
        <w:top w:val="none" w:sz="0" w:space="0" w:color="auto"/>
        <w:left w:val="none" w:sz="0" w:space="0" w:color="auto"/>
        <w:bottom w:val="none" w:sz="0" w:space="0" w:color="auto"/>
        <w:right w:val="none" w:sz="0" w:space="0" w:color="auto"/>
      </w:divBdr>
    </w:div>
    <w:div w:id="2063361392">
      <w:bodyDiv w:val="1"/>
      <w:marLeft w:val="0"/>
      <w:marRight w:val="0"/>
      <w:marTop w:val="0"/>
      <w:marBottom w:val="0"/>
      <w:divBdr>
        <w:top w:val="none" w:sz="0" w:space="0" w:color="auto"/>
        <w:left w:val="none" w:sz="0" w:space="0" w:color="auto"/>
        <w:bottom w:val="none" w:sz="0" w:space="0" w:color="auto"/>
        <w:right w:val="none" w:sz="0" w:space="0" w:color="auto"/>
      </w:divBdr>
      <w:divsChild>
        <w:div w:id="1615601339">
          <w:marLeft w:val="0"/>
          <w:marRight w:val="0"/>
          <w:marTop w:val="0"/>
          <w:marBottom w:val="120"/>
          <w:divBdr>
            <w:top w:val="none" w:sz="0" w:space="0" w:color="auto"/>
            <w:left w:val="none" w:sz="0" w:space="0" w:color="auto"/>
            <w:bottom w:val="none" w:sz="0" w:space="0" w:color="auto"/>
            <w:right w:val="none" w:sz="0" w:space="0" w:color="auto"/>
          </w:divBdr>
          <w:divsChild>
            <w:div w:id="297338856">
              <w:marLeft w:val="0"/>
              <w:marRight w:val="0"/>
              <w:marTop w:val="0"/>
              <w:marBottom w:val="0"/>
              <w:divBdr>
                <w:top w:val="none" w:sz="0" w:space="0" w:color="auto"/>
                <w:left w:val="none" w:sz="0" w:space="0" w:color="auto"/>
                <w:bottom w:val="none" w:sz="0" w:space="0" w:color="auto"/>
                <w:right w:val="none" w:sz="0" w:space="0" w:color="auto"/>
              </w:divBdr>
              <w:divsChild>
                <w:div w:id="1062632691">
                  <w:marLeft w:val="0"/>
                  <w:marRight w:val="0"/>
                  <w:marTop w:val="0"/>
                  <w:marBottom w:val="0"/>
                  <w:divBdr>
                    <w:top w:val="none" w:sz="0" w:space="0" w:color="auto"/>
                    <w:left w:val="none" w:sz="0" w:space="0" w:color="auto"/>
                    <w:bottom w:val="none" w:sz="0" w:space="0" w:color="auto"/>
                    <w:right w:val="none" w:sz="0" w:space="0" w:color="auto"/>
                  </w:divBdr>
                  <w:divsChild>
                    <w:div w:id="716857402">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sChild>
    </w:div>
    <w:div w:id="2064324485">
      <w:bodyDiv w:val="1"/>
      <w:marLeft w:val="0"/>
      <w:marRight w:val="0"/>
      <w:marTop w:val="0"/>
      <w:marBottom w:val="0"/>
      <w:divBdr>
        <w:top w:val="none" w:sz="0" w:space="0" w:color="auto"/>
        <w:left w:val="none" w:sz="0" w:space="0" w:color="auto"/>
        <w:bottom w:val="none" w:sz="0" w:space="0" w:color="auto"/>
        <w:right w:val="none" w:sz="0" w:space="0" w:color="auto"/>
      </w:divBdr>
      <w:divsChild>
        <w:div w:id="1689404340">
          <w:marLeft w:val="0"/>
          <w:marRight w:val="0"/>
          <w:marTop w:val="0"/>
          <w:marBottom w:val="120"/>
          <w:divBdr>
            <w:top w:val="none" w:sz="0" w:space="0" w:color="auto"/>
            <w:left w:val="none" w:sz="0" w:space="0" w:color="auto"/>
            <w:bottom w:val="none" w:sz="0" w:space="0" w:color="auto"/>
            <w:right w:val="none" w:sz="0" w:space="0" w:color="auto"/>
          </w:divBdr>
          <w:divsChild>
            <w:div w:id="1483279056">
              <w:marLeft w:val="0"/>
              <w:marRight w:val="0"/>
              <w:marTop w:val="0"/>
              <w:marBottom w:val="0"/>
              <w:divBdr>
                <w:top w:val="none" w:sz="0" w:space="0" w:color="auto"/>
                <w:left w:val="none" w:sz="0" w:space="0" w:color="auto"/>
                <w:bottom w:val="none" w:sz="0" w:space="0" w:color="auto"/>
                <w:right w:val="none" w:sz="0" w:space="0" w:color="auto"/>
              </w:divBdr>
              <w:divsChild>
                <w:div w:id="473521160">
                  <w:marLeft w:val="0"/>
                  <w:marRight w:val="0"/>
                  <w:marTop w:val="0"/>
                  <w:marBottom w:val="0"/>
                  <w:divBdr>
                    <w:top w:val="none" w:sz="0" w:space="0" w:color="auto"/>
                    <w:left w:val="none" w:sz="0" w:space="0" w:color="auto"/>
                    <w:bottom w:val="none" w:sz="0" w:space="0" w:color="auto"/>
                    <w:right w:val="none" w:sz="0" w:space="0" w:color="auto"/>
                  </w:divBdr>
                  <w:divsChild>
                    <w:div w:id="154030296">
                      <w:marLeft w:val="0"/>
                      <w:marRight w:val="0"/>
                      <w:marTop w:val="0"/>
                      <w:marBottom w:val="330"/>
                      <w:divBdr>
                        <w:top w:val="none" w:sz="0" w:space="0" w:color="auto"/>
                        <w:left w:val="none" w:sz="0" w:space="0" w:color="auto"/>
                        <w:bottom w:val="none" w:sz="0" w:space="0" w:color="auto"/>
                        <w:right w:val="none" w:sz="0" w:space="0" w:color="auto"/>
                      </w:divBdr>
                    </w:div>
                  </w:divsChild>
                </w:div>
                <w:div w:id="1429303650">
                  <w:marLeft w:val="-45"/>
                  <w:marRight w:val="0"/>
                  <w:marTop w:val="0"/>
                  <w:marBottom w:val="75"/>
                  <w:divBdr>
                    <w:top w:val="none" w:sz="0" w:space="0" w:color="auto"/>
                    <w:left w:val="none" w:sz="0" w:space="0" w:color="auto"/>
                    <w:bottom w:val="none" w:sz="0" w:space="0" w:color="auto"/>
                    <w:right w:val="none" w:sz="0" w:space="0" w:color="auto"/>
                  </w:divBdr>
                </w:div>
              </w:divsChild>
            </w:div>
            <w:div w:id="1964535581">
              <w:marLeft w:val="0"/>
              <w:marRight w:val="0"/>
              <w:marTop w:val="0"/>
              <w:marBottom w:val="0"/>
              <w:divBdr>
                <w:top w:val="none" w:sz="0" w:space="0" w:color="auto"/>
                <w:left w:val="none" w:sz="0" w:space="0" w:color="auto"/>
                <w:bottom w:val="single" w:sz="6" w:space="0" w:color="000000"/>
                <w:right w:val="none" w:sz="0" w:space="0" w:color="auto"/>
              </w:divBdr>
              <w:divsChild>
                <w:div w:id="948050905">
                  <w:marLeft w:val="0"/>
                  <w:marRight w:val="0"/>
                  <w:marTop w:val="0"/>
                  <w:marBottom w:val="0"/>
                  <w:divBdr>
                    <w:top w:val="none" w:sz="0" w:space="0" w:color="auto"/>
                    <w:left w:val="none" w:sz="0" w:space="0" w:color="auto"/>
                    <w:bottom w:val="none" w:sz="0" w:space="0" w:color="auto"/>
                    <w:right w:val="none" w:sz="0" w:space="0" w:color="auto"/>
                  </w:divBdr>
                  <w:divsChild>
                    <w:div w:id="1625115818">
                      <w:marLeft w:val="0"/>
                      <w:marRight w:val="0"/>
                      <w:marTop w:val="0"/>
                      <w:marBottom w:val="0"/>
                      <w:divBdr>
                        <w:top w:val="none" w:sz="0" w:space="0" w:color="auto"/>
                        <w:left w:val="none" w:sz="0" w:space="0" w:color="auto"/>
                        <w:bottom w:val="none" w:sz="0" w:space="0" w:color="auto"/>
                        <w:right w:val="none" w:sz="0" w:space="0" w:color="auto"/>
                      </w:divBdr>
                      <w:divsChild>
                        <w:div w:id="1248729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8155841">
                  <w:marLeft w:val="0"/>
                  <w:marRight w:val="0"/>
                  <w:marTop w:val="0"/>
                  <w:marBottom w:val="0"/>
                  <w:divBdr>
                    <w:top w:val="none" w:sz="0" w:space="0" w:color="auto"/>
                    <w:left w:val="none" w:sz="0" w:space="0" w:color="auto"/>
                    <w:bottom w:val="none" w:sz="0" w:space="0" w:color="auto"/>
                    <w:right w:val="none" w:sz="0" w:space="0" w:color="auto"/>
                  </w:divBdr>
                  <w:divsChild>
                    <w:div w:id="1539196203">
                      <w:marLeft w:val="0"/>
                      <w:marRight w:val="0"/>
                      <w:marTop w:val="0"/>
                      <w:marBottom w:val="0"/>
                      <w:divBdr>
                        <w:top w:val="none" w:sz="0" w:space="0" w:color="auto"/>
                        <w:left w:val="none" w:sz="0" w:space="0" w:color="auto"/>
                        <w:bottom w:val="none" w:sz="0" w:space="0" w:color="auto"/>
                        <w:right w:val="none" w:sz="0" w:space="0" w:color="auto"/>
                      </w:divBdr>
                      <w:divsChild>
                        <w:div w:id="1699961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051292">
          <w:marLeft w:val="0"/>
          <w:marRight w:val="0"/>
          <w:marTop w:val="0"/>
          <w:marBottom w:val="0"/>
          <w:divBdr>
            <w:top w:val="none" w:sz="0" w:space="0" w:color="auto"/>
            <w:left w:val="none" w:sz="0" w:space="0" w:color="auto"/>
            <w:bottom w:val="none" w:sz="0" w:space="0" w:color="auto"/>
            <w:right w:val="none" w:sz="0" w:space="0" w:color="auto"/>
          </w:divBdr>
        </w:div>
        <w:div w:id="1108280794">
          <w:marLeft w:val="0"/>
          <w:marRight w:val="0"/>
          <w:marTop w:val="0"/>
          <w:marBottom w:val="0"/>
          <w:divBdr>
            <w:top w:val="none" w:sz="0" w:space="0" w:color="auto"/>
            <w:left w:val="none" w:sz="0" w:space="0" w:color="auto"/>
            <w:bottom w:val="none" w:sz="0" w:space="0" w:color="auto"/>
            <w:right w:val="none" w:sz="0" w:space="0" w:color="auto"/>
          </w:divBdr>
          <w:divsChild>
            <w:div w:id="1549492906">
              <w:marLeft w:val="0"/>
              <w:marRight w:val="0"/>
              <w:marTop w:val="0"/>
              <w:marBottom w:val="120"/>
              <w:divBdr>
                <w:top w:val="none" w:sz="0" w:space="0" w:color="auto"/>
                <w:left w:val="none" w:sz="0" w:space="0" w:color="auto"/>
                <w:bottom w:val="none" w:sz="0" w:space="0" w:color="auto"/>
                <w:right w:val="none" w:sz="0" w:space="0" w:color="auto"/>
              </w:divBdr>
              <w:divsChild>
                <w:div w:id="1460343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4868987">
          <w:marLeft w:val="0"/>
          <w:marRight w:val="0"/>
          <w:marTop w:val="0"/>
          <w:marBottom w:val="0"/>
          <w:divBdr>
            <w:top w:val="none" w:sz="0" w:space="0" w:color="auto"/>
            <w:left w:val="none" w:sz="0" w:space="0" w:color="auto"/>
            <w:bottom w:val="none" w:sz="0" w:space="0" w:color="auto"/>
            <w:right w:val="none" w:sz="0" w:space="0" w:color="auto"/>
          </w:divBdr>
          <w:divsChild>
            <w:div w:id="1705403678">
              <w:marLeft w:val="0"/>
              <w:marRight w:val="0"/>
              <w:marTop w:val="0"/>
              <w:marBottom w:val="0"/>
              <w:divBdr>
                <w:top w:val="none" w:sz="0" w:space="0" w:color="auto"/>
                <w:left w:val="none" w:sz="0" w:space="0" w:color="auto"/>
                <w:bottom w:val="none" w:sz="0" w:space="0" w:color="auto"/>
                <w:right w:val="none" w:sz="0" w:space="0" w:color="auto"/>
              </w:divBdr>
              <w:divsChild>
                <w:div w:id="63840275">
                  <w:marLeft w:val="0"/>
                  <w:marRight w:val="0"/>
                  <w:marTop w:val="0"/>
                  <w:marBottom w:val="0"/>
                  <w:divBdr>
                    <w:top w:val="none" w:sz="0" w:space="0" w:color="auto"/>
                    <w:left w:val="none" w:sz="0" w:space="0" w:color="auto"/>
                    <w:bottom w:val="none" w:sz="0" w:space="0" w:color="auto"/>
                    <w:right w:val="none" w:sz="0" w:space="0" w:color="auto"/>
                  </w:divBdr>
                </w:div>
                <w:div w:id="596983371">
                  <w:marLeft w:val="0"/>
                  <w:marRight w:val="0"/>
                  <w:marTop w:val="0"/>
                  <w:marBottom w:val="0"/>
                  <w:divBdr>
                    <w:top w:val="none" w:sz="0" w:space="0" w:color="auto"/>
                    <w:left w:val="none" w:sz="0" w:space="0" w:color="auto"/>
                    <w:bottom w:val="none" w:sz="0" w:space="0" w:color="auto"/>
                    <w:right w:val="none" w:sz="0" w:space="0" w:color="auto"/>
                  </w:divBdr>
                </w:div>
                <w:div w:id="1096827057">
                  <w:marLeft w:val="0"/>
                  <w:marRight w:val="0"/>
                  <w:marTop w:val="0"/>
                  <w:marBottom w:val="0"/>
                  <w:divBdr>
                    <w:top w:val="none" w:sz="0" w:space="0" w:color="auto"/>
                    <w:left w:val="none" w:sz="0" w:space="0" w:color="auto"/>
                    <w:bottom w:val="none" w:sz="0" w:space="0" w:color="auto"/>
                    <w:right w:val="none" w:sz="0" w:space="0" w:color="auto"/>
                  </w:divBdr>
                  <w:divsChild>
                    <w:div w:id="1688871293">
                      <w:marLeft w:val="0"/>
                      <w:marRight w:val="0"/>
                      <w:marTop w:val="240"/>
                      <w:marBottom w:val="240"/>
                      <w:divBdr>
                        <w:top w:val="single" w:sz="12" w:space="0" w:color="EBEBEB"/>
                        <w:left w:val="none" w:sz="0" w:space="0" w:color="auto"/>
                        <w:bottom w:val="single" w:sz="12" w:space="0" w:color="EBEBEB"/>
                        <w:right w:val="none" w:sz="0" w:space="0" w:color="auto"/>
                      </w:divBdr>
                      <w:divsChild>
                        <w:div w:id="39134358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51301974">
                  <w:marLeft w:val="0"/>
                  <w:marRight w:val="0"/>
                  <w:marTop w:val="0"/>
                  <w:marBottom w:val="0"/>
                  <w:divBdr>
                    <w:top w:val="none" w:sz="0" w:space="0" w:color="auto"/>
                    <w:left w:val="none" w:sz="0" w:space="0" w:color="auto"/>
                    <w:bottom w:val="none" w:sz="0" w:space="0" w:color="auto"/>
                    <w:right w:val="none" w:sz="0" w:space="0" w:color="auto"/>
                  </w:divBdr>
                  <w:divsChild>
                    <w:div w:id="1964341557">
                      <w:marLeft w:val="0"/>
                      <w:marRight w:val="0"/>
                      <w:marTop w:val="240"/>
                      <w:marBottom w:val="240"/>
                      <w:divBdr>
                        <w:top w:val="single" w:sz="12" w:space="0" w:color="EBEBEB"/>
                        <w:left w:val="none" w:sz="0" w:space="0" w:color="auto"/>
                        <w:bottom w:val="single" w:sz="12" w:space="0" w:color="EBEBEB"/>
                        <w:right w:val="none" w:sz="0" w:space="0" w:color="auto"/>
                      </w:divBdr>
                      <w:divsChild>
                        <w:div w:id="202535454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38451305">
                  <w:marLeft w:val="0"/>
                  <w:marRight w:val="0"/>
                  <w:marTop w:val="0"/>
                  <w:marBottom w:val="0"/>
                  <w:divBdr>
                    <w:top w:val="none" w:sz="0" w:space="0" w:color="auto"/>
                    <w:left w:val="none" w:sz="0" w:space="0" w:color="auto"/>
                    <w:bottom w:val="none" w:sz="0" w:space="0" w:color="auto"/>
                    <w:right w:val="none" w:sz="0" w:space="0" w:color="auto"/>
                  </w:divBdr>
                  <w:divsChild>
                    <w:div w:id="124280557">
                      <w:marLeft w:val="0"/>
                      <w:marRight w:val="0"/>
                      <w:marTop w:val="240"/>
                      <w:marBottom w:val="240"/>
                      <w:divBdr>
                        <w:top w:val="single" w:sz="12" w:space="0" w:color="EBEBEB"/>
                        <w:left w:val="none" w:sz="0" w:space="0" w:color="auto"/>
                        <w:bottom w:val="single" w:sz="12" w:space="0" w:color="EBEBEB"/>
                        <w:right w:val="none" w:sz="0" w:space="0" w:color="auto"/>
                      </w:divBdr>
                      <w:divsChild>
                        <w:div w:id="137561816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928463887">
          <w:marLeft w:val="0"/>
          <w:marRight w:val="0"/>
          <w:marTop w:val="0"/>
          <w:marBottom w:val="0"/>
          <w:divBdr>
            <w:top w:val="none" w:sz="0" w:space="0" w:color="auto"/>
            <w:left w:val="none" w:sz="0" w:space="0" w:color="auto"/>
            <w:bottom w:val="none" w:sz="0" w:space="0" w:color="auto"/>
            <w:right w:val="none" w:sz="0" w:space="0" w:color="auto"/>
          </w:divBdr>
          <w:divsChild>
            <w:div w:id="790171917">
              <w:marLeft w:val="0"/>
              <w:marRight w:val="0"/>
              <w:marTop w:val="0"/>
              <w:marBottom w:val="0"/>
              <w:divBdr>
                <w:top w:val="none" w:sz="0" w:space="0" w:color="auto"/>
                <w:left w:val="none" w:sz="0" w:space="0" w:color="auto"/>
                <w:bottom w:val="none" w:sz="0" w:space="0" w:color="auto"/>
                <w:right w:val="none" w:sz="0" w:space="0" w:color="auto"/>
              </w:divBdr>
            </w:div>
          </w:divsChild>
        </w:div>
        <w:div w:id="394861936">
          <w:marLeft w:val="0"/>
          <w:marRight w:val="0"/>
          <w:marTop w:val="0"/>
          <w:marBottom w:val="0"/>
          <w:divBdr>
            <w:top w:val="none" w:sz="0" w:space="0" w:color="auto"/>
            <w:left w:val="none" w:sz="0" w:space="0" w:color="auto"/>
            <w:bottom w:val="none" w:sz="0" w:space="0" w:color="auto"/>
            <w:right w:val="none" w:sz="0" w:space="0" w:color="auto"/>
          </w:divBdr>
        </w:div>
        <w:div w:id="1408191817">
          <w:marLeft w:val="0"/>
          <w:marRight w:val="0"/>
          <w:marTop w:val="0"/>
          <w:marBottom w:val="0"/>
          <w:divBdr>
            <w:top w:val="none" w:sz="0" w:space="0" w:color="auto"/>
            <w:left w:val="none" w:sz="0" w:space="0" w:color="auto"/>
            <w:bottom w:val="none" w:sz="0" w:space="0" w:color="auto"/>
            <w:right w:val="none" w:sz="0" w:space="0" w:color="auto"/>
          </w:divBdr>
        </w:div>
        <w:div w:id="87044560">
          <w:marLeft w:val="0"/>
          <w:marRight w:val="0"/>
          <w:marTop w:val="0"/>
          <w:marBottom w:val="0"/>
          <w:divBdr>
            <w:top w:val="none" w:sz="0" w:space="0" w:color="auto"/>
            <w:left w:val="none" w:sz="0" w:space="0" w:color="auto"/>
            <w:bottom w:val="none" w:sz="0" w:space="0" w:color="auto"/>
            <w:right w:val="none" w:sz="0" w:space="0" w:color="auto"/>
          </w:divBdr>
          <w:divsChild>
            <w:div w:id="2018338683">
              <w:marLeft w:val="0"/>
              <w:marRight w:val="0"/>
              <w:marTop w:val="0"/>
              <w:marBottom w:val="0"/>
              <w:divBdr>
                <w:top w:val="none" w:sz="0" w:space="0" w:color="auto"/>
                <w:left w:val="none" w:sz="0" w:space="0" w:color="auto"/>
                <w:bottom w:val="none" w:sz="0" w:space="0" w:color="auto"/>
                <w:right w:val="none" w:sz="0" w:space="0" w:color="auto"/>
              </w:divBdr>
            </w:div>
          </w:divsChild>
        </w:div>
        <w:div w:id="204366886">
          <w:marLeft w:val="0"/>
          <w:marRight w:val="0"/>
          <w:marTop w:val="0"/>
          <w:marBottom w:val="0"/>
          <w:divBdr>
            <w:top w:val="none" w:sz="0" w:space="0" w:color="auto"/>
            <w:left w:val="none" w:sz="0" w:space="0" w:color="auto"/>
            <w:bottom w:val="none" w:sz="0" w:space="0" w:color="auto"/>
            <w:right w:val="none" w:sz="0" w:space="0" w:color="auto"/>
          </w:divBdr>
        </w:div>
        <w:div w:id="908080965">
          <w:marLeft w:val="0"/>
          <w:marRight w:val="0"/>
          <w:marTop w:val="0"/>
          <w:marBottom w:val="0"/>
          <w:divBdr>
            <w:top w:val="none" w:sz="0" w:space="0" w:color="auto"/>
            <w:left w:val="none" w:sz="0" w:space="0" w:color="auto"/>
            <w:bottom w:val="none" w:sz="0" w:space="0" w:color="auto"/>
            <w:right w:val="none" w:sz="0" w:space="0" w:color="auto"/>
          </w:divBdr>
        </w:div>
        <w:div w:id="1696880561">
          <w:marLeft w:val="0"/>
          <w:marRight w:val="0"/>
          <w:marTop w:val="0"/>
          <w:marBottom w:val="0"/>
          <w:divBdr>
            <w:top w:val="none" w:sz="0" w:space="0" w:color="auto"/>
            <w:left w:val="none" w:sz="0" w:space="0" w:color="auto"/>
            <w:bottom w:val="none" w:sz="0" w:space="0" w:color="auto"/>
            <w:right w:val="none" w:sz="0" w:space="0" w:color="auto"/>
          </w:divBdr>
        </w:div>
        <w:div w:id="1405225619">
          <w:marLeft w:val="0"/>
          <w:marRight w:val="0"/>
          <w:marTop w:val="0"/>
          <w:marBottom w:val="0"/>
          <w:divBdr>
            <w:top w:val="none" w:sz="0" w:space="0" w:color="auto"/>
            <w:left w:val="none" w:sz="0" w:space="0" w:color="auto"/>
            <w:bottom w:val="none" w:sz="0" w:space="0" w:color="auto"/>
            <w:right w:val="none" w:sz="0" w:space="0" w:color="auto"/>
          </w:divBdr>
        </w:div>
        <w:div w:id="1754860037">
          <w:marLeft w:val="0"/>
          <w:marRight w:val="0"/>
          <w:marTop w:val="0"/>
          <w:marBottom w:val="0"/>
          <w:divBdr>
            <w:top w:val="none" w:sz="0" w:space="0" w:color="auto"/>
            <w:left w:val="none" w:sz="0" w:space="0" w:color="auto"/>
            <w:bottom w:val="none" w:sz="0" w:space="0" w:color="auto"/>
            <w:right w:val="none" w:sz="0" w:space="0" w:color="auto"/>
          </w:divBdr>
          <w:divsChild>
            <w:div w:id="1159542750">
              <w:marLeft w:val="0"/>
              <w:marRight w:val="0"/>
              <w:marTop w:val="0"/>
              <w:marBottom w:val="0"/>
              <w:divBdr>
                <w:top w:val="none" w:sz="0" w:space="0" w:color="auto"/>
                <w:left w:val="none" w:sz="0" w:space="0" w:color="auto"/>
                <w:bottom w:val="none" w:sz="0" w:space="0" w:color="auto"/>
                <w:right w:val="none" w:sz="0" w:space="0" w:color="auto"/>
              </w:divBdr>
            </w:div>
          </w:divsChild>
        </w:div>
        <w:div w:id="1734307086">
          <w:marLeft w:val="0"/>
          <w:marRight w:val="0"/>
          <w:marTop w:val="0"/>
          <w:marBottom w:val="0"/>
          <w:divBdr>
            <w:top w:val="none" w:sz="0" w:space="0" w:color="auto"/>
            <w:left w:val="none" w:sz="0" w:space="0" w:color="auto"/>
            <w:bottom w:val="none" w:sz="0" w:space="0" w:color="auto"/>
            <w:right w:val="none" w:sz="0" w:space="0" w:color="auto"/>
          </w:divBdr>
        </w:div>
        <w:div w:id="1360620264">
          <w:marLeft w:val="0"/>
          <w:marRight w:val="0"/>
          <w:marTop w:val="0"/>
          <w:marBottom w:val="0"/>
          <w:divBdr>
            <w:top w:val="none" w:sz="0" w:space="0" w:color="auto"/>
            <w:left w:val="none" w:sz="0" w:space="0" w:color="auto"/>
            <w:bottom w:val="none" w:sz="0" w:space="0" w:color="auto"/>
            <w:right w:val="none" w:sz="0" w:space="0" w:color="auto"/>
          </w:divBdr>
        </w:div>
        <w:div w:id="1532835152">
          <w:marLeft w:val="0"/>
          <w:marRight w:val="0"/>
          <w:marTop w:val="0"/>
          <w:marBottom w:val="0"/>
          <w:divBdr>
            <w:top w:val="none" w:sz="0" w:space="0" w:color="auto"/>
            <w:left w:val="none" w:sz="0" w:space="0" w:color="auto"/>
            <w:bottom w:val="none" w:sz="0" w:space="0" w:color="auto"/>
            <w:right w:val="none" w:sz="0" w:space="0" w:color="auto"/>
          </w:divBdr>
        </w:div>
        <w:div w:id="287275897">
          <w:marLeft w:val="0"/>
          <w:marRight w:val="0"/>
          <w:marTop w:val="0"/>
          <w:marBottom w:val="0"/>
          <w:divBdr>
            <w:top w:val="none" w:sz="0" w:space="0" w:color="auto"/>
            <w:left w:val="none" w:sz="0" w:space="0" w:color="auto"/>
            <w:bottom w:val="none" w:sz="0" w:space="0" w:color="auto"/>
            <w:right w:val="none" w:sz="0" w:space="0" w:color="auto"/>
          </w:divBdr>
          <w:divsChild>
            <w:div w:id="1381172688">
              <w:marLeft w:val="0"/>
              <w:marRight w:val="0"/>
              <w:marTop w:val="0"/>
              <w:marBottom w:val="0"/>
              <w:divBdr>
                <w:top w:val="none" w:sz="0" w:space="0" w:color="auto"/>
                <w:left w:val="none" w:sz="0" w:space="0" w:color="auto"/>
                <w:bottom w:val="none" w:sz="0" w:space="0" w:color="auto"/>
                <w:right w:val="none" w:sz="0" w:space="0" w:color="auto"/>
              </w:divBdr>
            </w:div>
          </w:divsChild>
        </w:div>
        <w:div w:id="279147606">
          <w:marLeft w:val="0"/>
          <w:marRight w:val="0"/>
          <w:marTop w:val="0"/>
          <w:marBottom w:val="0"/>
          <w:divBdr>
            <w:top w:val="none" w:sz="0" w:space="0" w:color="auto"/>
            <w:left w:val="none" w:sz="0" w:space="0" w:color="auto"/>
            <w:bottom w:val="none" w:sz="0" w:space="0" w:color="auto"/>
            <w:right w:val="none" w:sz="0" w:space="0" w:color="auto"/>
          </w:divBdr>
        </w:div>
        <w:div w:id="1101340678">
          <w:marLeft w:val="0"/>
          <w:marRight w:val="0"/>
          <w:marTop w:val="0"/>
          <w:marBottom w:val="0"/>
          <w:divBdr>
            <w:top w:val="none" w:sz="0" w:space="0" w:color="auto"/>
            <w:left w:val="none" w:sz="0" w:space="0" w:color="auto"/>
            <w:bottom w:val="none" w:sz="0" w:space="0" w:color="auto"/>
            <w:right w:val="none" w:sz="0" w:space="0" w:color="auto"/>
          </w:divBdr>
        </w:div>
        <w:div w:id="1341660282">
          <w:marLeft w:val="0"/>
          <w:marRight w:val="0"/>
          <w:marTop w:val="0"/>
          <w:marBottom w:val="0"/>
          <w:divBdr>
            <w:top w:val="none" w:sz="0" w:space="0" w:color="auto"/>
            <w:left w:val="none" w:sz="0" w:space="0" w:color="auto"/>
            <w:bottom w:val="none" w:sz="0" w:space="0" w:color="auto"/>
            <w:right w:val="none" w:sz="0" w:space="0" w:color="auto"/>
          </w:divBdr>
          <w:divsChild>
            <w:div w:id="125776801">
              <w:marLeft w:val="0"/>
              <w:marRight w:val="0"/>
              <w:marTop w:val="0"/>
              <w:marBottom w:val="0"/>
              <w:divBdr>
                <w:top w:val="none" w:sz="0" w:space="0" w:color="auto"/>
                <w:left w:val="none" w:sz="0" w:space="0" w:color="auto"/>
                <w:bottom w:val="none" w:sz="0" w:space="0" w:color="auto"/>
                <w:right w:val="none" w:sz="0" w:space="0" w:color="auto"/>
              </w:divBdr>
            </w:div>
          </w:divsChild>
        </w:div>
        <w:div w:id="181551666">
          <w:marLeft w:val="0"/>
          <w:marRight w:val="0"/>
          <w:marTop w:val="0"/>
          <w:marBottom w:val="0"/>
          <w:divBdr>
            <w:top w:val="none" w:sz="0" w:space="0" w:color="auto"/>
            <w:left w:val="none" w:sz="0" w:space="0" w:color="auto"/>
            <w:bottom w:val="none" w:sz="0" w:space="0" w:color="auto"/>
            <w:right w:val="none" w:sz="0" w:space="0" w:color="auto"/>
          </w:divBdr>
        </w:div>
        <w:div w:id="608120118">
          <w:marLeft w:val="0"/>
          <w:marRight w:val="0"/>
          <w:marTop w:val="0"/>
          <w:marBottom w:val="0"/>
          <w:divBdr>
            <w:top w:val="none" w:sz="0" w:space="0" w:color="auto"/>
            <w:left w:val="none" w:sz="0" w:space="0" w:color="auto"/>
            <w:bottom w:val="none" w:sz="0" w:space="0" w:color="auto"/>
            <w:right w:val="none" w:sz="0" w:space="0" w:color="auto"/>
          </w:divBdr>
        </w:div>
        <w:div w:id="228620311">
          <w:marLeft w:val="0"/>
          <w:marRight w:val="0"/>
          <w:marTop w:val="0"/>
          <w:marBottom w:val="0"/>
          <w:divBdr>
            <w:top w:val="none" w:sz="0" w:space="0" w:color="auto"/>
            <w:left w:val="none" w:sz="0" w:space="0" w:color="auto"/>
            <w:bottom w:val="none" w:sz="0" w:space="0" w:color="auto"/>
            <w:right w:val="none" w:sz="0" w:space="0" w:color="auto"/>
          </w:divBdr>
        </w:div>
        <w:div w:id="1582256101">
          <w:marLeft w:val="0"/>
          <w:marRight w:val="0"/>
          <w:marTop w:val="0"/>
          <w:marBottom w:val="0"/>
          <w:divBdr>
            <w:top w:val="none" w:sz="0" w:space="0" w:color="auto"/>
            <w:left w:val="none" w:sz="0" w:space="0" w:color="auto"/>
            <w:bottom w:val="none" w:sz="0" w:space="0" w:color="auto"/>
            <w:right w:val="none" w:sz="0" w:space="0" w:color="auto"/>
          </w:divBdr>
          <w:divsChild>
            <w:div w:id="710227257">
              <w:marLeft w:val="0"/>
              <w:marRight w:val="0"/>
              <w:marTop w:val="0"/>
              <w:marBottom w:val="0"/>
              <w:divBdr>
                <w:top w:val="none" w:sz="0" w:space="0" w:color="auto"/>
                <w:left w:val="none" w:sz="0" w:space="0" w:color="auto"/>
                <w:bottom w:val="none" w:sz="0" w:space="0" w:color="auto"/>
                <w:right w:val="none" w:sz="0" w:space="0" w:color="auto"/>
              </w:divBdr>
            </w:div>
          </w:divsChild>
        </w:div>
        <w:div w:id="549728224">
          <w:marLeft w:val="0"/>
          <w:marRight w:val="0"/>
          <w:marTop w:val="0"/>
          <w:marBottom w:val="0"/>
          <w:divBdr>
            <w:top w:val="none" w:sz="0" w:space="0" w:color="auto"/>
            <w:left w:val="none" w:sz="0" w:space="0" w:color="auto"/>
            <w:bottom w:val="none" w:sz="0" w:space="0" w:color="auto"/>
            <w:right w:val="none" w:sz="0" w:space="0" w:color="auto"/>
          </w:divBdr>
        </w:div>
        <w:div w:id="984894092">
          <w:marLeft w:val="0"/>
          <w:marRight w:val="0"/>
          <w:marTop w:val="0"/>
          <w:marBottom w:val="0"/>
          <w:divBdr>
            <w:top w:val="none" w:sz="0" w:space="0" w:color="auto"/>
            <w:left w:val="none" w:sz="0" w:space="0" w:color="auto"/>
            <w:bottom w:val="none" w:sz="0" w:space="0" w:color="auto"/>
            <w:right w:val="none" w:sz="0" w:space="0" w:color="auto"/>
          </w:divBdr>
        </w:div>
        <w:div w:id="894780764">
          <w:marLeft w:val="0"/>
          <w:marRight w:val="0"/>
          <w:marTop w:val="0"/>
          <w:marBottom w:val="0"/>
          <w:divBdr>
            <w:top w:val="none" w:sz="0" w:space="0" w:color="auto"/>
            <w:left w:val="none" w:sz="0" w:space="0" w:color="auto"/>
            <w:bottom w:val="none" w:sz="0" w:space="0" w:color="auto"/>
            <w:right w:val="none" w:sz="0" w:space="0" w:color="auto"/>
          </w:divBdr>
          <w:divsChild>
            <w:div w:id="1909882203">
              <w:marLeft w:val="0"/>
              <w:marRight w:val="0"/>
              <w:marTop w:val="0"/>
              <w:marBottom w:val="0"/>
              <w:divBdr>
                <w:top w:val="none" w:sz="0" w:space="0" w:color="auto"/>
                <w:left w:val="none" w:sz="0" w:space="0" w:color="auto"/>
                <w:bottom w:val="none" w:sz="0" w:space="0" w:color="auto"/>
                <w:right w:val="none" w:sz="0" w:space="0" w:color="auto"/>
              </w:divBdr>
            </w:div>
          </w:divsChild>
        </w:div>
        <w:div w:id="1819764642">
          <w:marLeft w:val="0"/>
          <w:marRight w:val="0"/>
          <w:marTop w:val="0"/>
          <w:marBottom w:val="0"/>
          <w:divBdr>
            <w:top w:val="none" w:sz="0" w:space="0" w:color="auto"/>
            <w:left w:val="none" w:sz="0" w:space="0" w:color="auto"/>
            <w:bottom w:val="none" w:sz="0" w:space="0" w:color="auto"/>
            <w:right w:val="none" w:sz="0" w:space="0" w:color="auto"/>
          </w:divBdr>
        </w:div>
        <w:div w:id="1748843365">
          <w:marLeft w:val="0"/>
          <w:marRight w:val="0"/>
          <w:marTop w:val="0"/>
          <w:marBottom w:val="0"/>
          <w:divBdr>
            <w:top w:val="none" w:sz="0" w:space="0" w:color="auto"/>
            <w:left w:val="none" w:sz="0" w:space="0" w:color="auto"/>
            <w:bottom w:val="none" w:sz="0" w:space="0" w:color="auto"/>
            <w:right w:val="none" w:sz="0" w:space="0" w:color="auto"/>
          </w:divBdr>
        </w:div>
        <w:div w:id="1562904768">
          <w:marLeft w:val="0"/>
          <w:marRight w:val="0"/>
          <w:marTop w:val="0"/>
          <w:marBottom w:val="0"/>
          <w:divBdr>
            <w:top w:val="none" w:sz="0" w:space="0" w:color="auto"/>
            <w:left w:val="none" w:sz="0" w:space="0" w:color="auto"/>
            <w:bottom w:val="none" w:sz="0" w:space="0" w:color="auto"/>
            <w:right w:val="none" w:sz="0" w:space="0" w:color="auto"/>
          </w:divBdr>
          <w:divsChild>
            <w:div w:id="750544515">
              <w:marLeft w:val="0"/>
              <w:marRight w:val="0"/>
              <w:marTop w:val="0"/>
              <w:marBottom w:val="0"/>
              <w:divBdr>
                <w:top w:val="none" w:sz="0" w:space="0" w:color="auto"/>
                <w:left w:val="none" w:sz="0" w:space="0" w:color="auto"/>
                <w:bottom w:val="none" w:sz="0" w:space="0" w:color="auto"/>
                <w:right w:val="none" w:sz="0" w:space="0" w:color="auto"/>
              </w:divBdr>
            </w:div>
          </w:divsChild>
        </w:div>
        <w:div w:id="853156137">
          <w:marLeft w:val="0"/>
          <w:marRight w:val="0"/>
          <w:marTop w:val="0"/>
          <w:marBottom w:val="0"/>
          <w:divBdr>
            <w:top w:val="none" w:sz="0" w:space="0" w:color="auto"/>
            <w:left w:val="none" w:sz="0" w:space="0" w:color="auto"/>
            <w:bottom w:val="none" w:sz="0" w:space="0" w:color="auto"/>
            <w:right w:val="none" w:sz="0" w:space="0" w:color="auto"/>
          </w:divBdr>
        </w:div>
        <w:div w:id="559024841">
          <w:marLeft w:val="0"/>
          <w:marRight w:val="0"/>
          <w:marTop w:val="0"/>
          <w:marBottom w:val="0"/>
          <w:divBdr>
            <w:top w:val="none" w:sz="0" w:space="0" w:color="auto"/>
            <w:left w:val="none" w:sz="0" w:space="0" w:color="auto"/>
            <w:bottom w:val="none" w:sz="0" w:space="0" w:color="auto"/>
            <w:right w:val="none" w:sz="0" w:space="0" w:color="auto"/>
          </w:divBdr>
        </w:div>
        <w:div w:id="749889355">
          <w:marLeft w:val="0"/>
          <w:marRight w:val="0"/>
          <w:marTop w:val="0"/>
          <w:marBottom w:val="0"/>
          <w:divBdr>
            <w:top w:val="none" w:sz="0" w:space="0" w:color="auto"/>
            <w:left w:val="none" w:sz="0" w:space="0" w:color="auto"/>
            <w:bottom w:val="none" w:sz="0" w:space="0" w:color="auto"/>
            <w:right w:val="none" w:sz="0" w:space="0" w:color="auto"/>
          </w:divBdr>
          <w:divsChild>
            <w:div w:id="1068187657">
              <w:marLeft w:val="0"/>
              <w:marRight w:val="0"/>
              <w:marTop w:val="0"/>
              <w:marBottom w:val="0"/>
              <w:divBdr>
                <w:top w:val="none" w:sz="0" w:space="0" w:color="auto"/>
                <w:left w:val="none" w:sz="0" w:space="0" w:color="auto"/>
                <w:bottom w:val="none" w:sz="0" w:space="0" w:color="auto"/>
                <w:right w:val="none" w:sz="0" w:space="0" w:color="auto"/>
              </w:divBdr>
            </w:div>
          </w:divsChild>
        </w:div>
        <w:div w:id="1067918051">
          <w:marLeft w:val="0"/>
          <w:marRight w:val="0"/>
          <w:marTop w:val="0"/>
          <w:marBottom w:val="0"/>
          <w:divBdr>
            <w:top w:val="none" w:sz="0" w:space="0" w:color="auto"/>
            <w:left w:val="none" w:sz="0" w:space="0" w:color="auto"/>
            <w:bottom w:val="none" w:sz="0" w:space="0" w:color="auto"/>
            <w:right w:val="none" w:sz="0" w:space="0" w:color="auto"/>
          </w:divBdr>
        </w:div>
        <w:div w:id="2108889042">
          <w:marLeft w:val="0"/>
          <w:marRight w:val="0"/>
          <w:marTop w:val="0"/>
          <w:marBottom w:val="0"/>
          <w:divBdr>
            <w:top w:val="none" w:sz="0" w:space="0" w:color="auto"/>
            <w:left w:val="none" w:sz="0" w:space="0" w:color="auto"/>
            <w:bottom w:val="none" w:sz="0" w:space="0" w:color="auto"/>
            <w:right w:val="none" w:sz="0" w:space="0" w:color="auto"/>
          </w:divBdr>
        </w:div>
        <w:div w:id="778718199">
          <w:marLeft w:val="0"/>
          <w:marRight w:val="0"/>
          <w:marTop w:val="0"/>
          <w:marBottom w:val="0"/>
          <w:divBdr>
            <w:top w:val="none" w:sz="0" w:space="0" w:color="auto"/>
            <w:left w:val="none" w:sz="0" w:space="0" w:color="auto"/>
            <w:bottom w:val="none" w:sz="0" w:space="0" w:color="auto"/>
            <w:right w:val="none" w:sz="0" w:space="0" w:color="auto"/>
          </w:divBdr>
          <w:divsChild>
            <w:div w:id="1470897555">
              <w:marLeft w:val="0"/>
              <w:marRight w:val="0"/>
              <w:marTop w:val="0"/>
              <w:marBottom w:val="0"/>
              <w:divBdr>
                <w:top w:val="none" w:sz="0" w:space="0" w:color="auto"/>
                <w:left w:val="none" w:sz="0" w:space="0" w:color="auto"/>
                <w:bottom w:val="none" w:sz="0" w:space="0" w:color="auto"/>
                <w:right w:val="none" w:sz="0" w:space="0" w:color="auto"/>
              </w:divBdr>
            </w:div>
          </w:divsChild>
        </w:div>
        <w:div w:id="1547834069">
          <w:marLeft w:val="0"/>
          <w:marRight w:val="0"/>
          <w:marTop w:val="0"/>
          <w:marBottom w:val="0"/>
          <w:divBdr>
            <w:top w:val="none" w:sz="0" w:space="0" w:color="auto"/>
            <w:left w:val="none" w:sz="0" w:space="0" w:color="auto"/>
            <w:bottom w:val="none" w:sz="0" w:space="0" w:color="auto"/>
            <w:right w:val="none" w:sz="0" w:space="0" w:color="auto"/>
          </w:divBdr>
        </w:div>
        <w:div w:id="2075664658">
          <w:marLeft w:val="0"/>
          <w:marRight w:val="0"/>
          <w:marTop w:val="0"/>
          <w:marBottom w:val="0"/>
          <w:divBdr>
            <w:top w:val="none" w:sz="0" w:space="0" w:color="auto"/>
            <w:left w:val="none" w:sz="0" w:space="0" w:color="auto"/>
            <w:bottom w:val="none" w:sz="0" w:space="0" w:color="auto"/>
            <w:right w:val="none" w:sz="0" w:space="0" w:color="auto"/>
          </w:divBdr>
        </w:div>
        <w:div w:id="1266033138">
          <w:marLeft w:val="0"/>
          <w:marRight w:val="0"/>
          <w:marTop w:val="0"/>
          <w:marBottom w:val="0"/>
          <w:divBdr>
            <w:top w:val="none" w:sz="0" w:space="0" w:color="auto"/>
            <w:left w:val="none" w:sz="0" w:space="0" w:color="auto"/>
            <w:bottom w:val="none" w:sz="0" w:space="0" w:color="auto"/>
            <w:right w:val="none" w:sz="0" w:space="0" w:color="auto"/>
          </w:divBdr>
        </w:div>
        <w:div w:id="1649507328">
          <w:marLeft w:val="0"/>
          <w:marRight w:val="0"/>
          <w:marTop w:val="0"/>
          <w:marBottom w:val="0"/>
          <w:divBdr>
            <w:top w:val="none" w:sz="0" w:space="0" w:color="auto"/>
            <w:left w:val="none" w:sz="0" w:space="0" w:color="auto"/>
            <w:bottom w:val="none" w:sz="0" w:space="0" w:color="auto"/>
            <w:right w:val="none" w:sz="0" w:space="0" w:color="auto"/>
          </w:divBdr>
          <w:divsChild>
            <w:div w:id="1278953416">
              <w:marLeft w:val="0"/>
              <w:marRight w:val="0"/>
              <w:marTop w:val="0"/>
              <w:marBottom w:val="0"/>
              <w:divBdr>
                <w:top w:val="none" w:sz="0" w:space="0" w:color="auto"/>
                <w:left w:val="none" w:sz="0" w:space="0" w:color="auto"/>
                <w:bottom w:val="none" w:sz="0" w:space="0" w:color="auto"/>
                <w:right w:val="none" w:sz="0" w:space="0" w:color="auto"/>
              </w:divBdr>
            </w:div>
          </w:divsChild>
        </w:div>
        <w:div w:id="1102341309">
          <w:marLeft w:val="0"/>
          <w:marRight w:val="0"/>
          <w:marTop w:val="0"/>
          <w:marBottom w:val="0"/>
          <w:divBdr>
            <w:top w:val="none" w:sz="0" w:space="0" w:color="auto"/>
            <w:left w:val="none" w:sz="0" w:space="0" w:color="auto"/>
            <w:bottom w:val="none" w:sz="0" w:space="0" w:color="auto"/>
            <w:right w:val="none" w:sz="0" w:space="0" w:color="auto"/>
          </w:divBdr>
        </w:div>
        <w:div w:id="1159812408">
          <w:marLeft w:val="0"/>
          <w:marRight w:val="0"/>
          <w:marTop w:val="0"/>
          <w:marBottom w:val="0"/>
          <w:divBdr>
            <w:top w:val="none" w:sz="0" w:space="0" w:color="auto"/>
            <w:left w:val="none" w:sz="0" w:space="0" w:color="auto"/>
            <w:bottom w:val="none" w:sz="0" w:space="0" w:color="auto"/>
            <w:right w:val="none" w:sz="0" w:space="0" w:color="auto"/>
          </w:divBdr>
        </w:div>
        <w:div w:id="841356133">
          <w:marLeft w:val="0"/>
          <w:marRight w:val="0"/>
          <w:marTop w:val="0"/>
          <w:marBottom w:val="0"/>
          <w:divBdr>
            <w:top w:val="none" w:sz="0" w:space="0" w:color="auto"/>
            <w:left w:val="none" w:sz="0" w:space="0" w:color="auto"/>
            <w:bottom w:val="none" w:sz="0" w:space="0" w:color="auto"/>
            <w:right w:val="none" w:sz="0" w:space="0" w:color="auto"/>
          </w:divBdr>
          <w:divsChild>
            <w:div w:id="1784108753">
              <w:marLeft w:val="0"/>
              <w:marRight w:val="0"/>
              <w:marTop w:val="0"/>
              <w:marBottom w:val="0"/>
              <w:divBdr>
                <w:top w:val="none" w:sz="0" w:space="0" w:color="auto"/>
                <w:left w:val="none" w:sz="0" w:space="0" w:color="auto"/>
                <w:bottom w:val="none" w:sz="0" w:space="0" w:color="auto"/>
                <w:right w:val="none" w:sz="0" w:space="0" w:color="auto"/>
              </w:divBdr>
            </w:div>
          </w:divsChild>
        </w:div>
        <w:div w:id="150800727">
          <w:marLeft w:val="0"/>
          <w:marRight w:val="0"/>
          <w:marTop w:val="0"/>
          <w:marBottom w:val="0"/>
          <w:divBdr>
            <w:top w:val="none" w:sz="0" w:space="0" w:color="auto"/>
            <w:left w:val="none" w:sz="0" w:space="0" w:color="auto"/>
            <w:bottom w:val="none" w:sz="0" w:space="0" w:color="auto"/>
            <w:right w:val="none" w:sz="0" w:space="0" w:color="auto"/>
          </w:divBdr>
        </w:div>
        <w:div w:id="1230581351">
          <w:marLeft w:val="0"/>
          <w:marRight w:val="0"/>
          <w:marTop w:val="0"/>
          <w:marBottom w:val="0"/>
          <w:divBdr>
            <w:top w:val="none" w:sz="0" w:space="0" w:color="auto"/>
            <w:left w:val="none" w:sz="0" w:space="0" w:color="auto"/>
            <w:bottom w:val="none" w:sz="0" w:space="0" w:color="auto"/>
            <w:right w:val="none" w:sz="0" w:space="0" w:color="auto"/>
          </w:divBdr>
        </w:div>
        <w:div w:id="198862151">
          <w:marLeft w:val="0"/>
          <w:marRight w:val="0"/>
          <w:marTop w:val="0"/>
          <w:marBottom w:val="0"/>
          <w:divBdr>
            <w:top w:val="none" w:sz="0" w:space="0" w:color="auto"/>
            <w:left w:val="none" w:sz="0" w:space="0" w:color="auto"/>
            <w:bottom w:val="none" w:sz="0" w:space="0" w:color="auto"/>
            <w:right w:val="none" w:sz="0" w:space="0" w:color="auto"/>
          </w:divBdr>
          <w:divsChild>
            <w:div w:id="1194002950">
              <w:marLeft w:val="0"/>
              <w:marRight w:val="0"/>
              <w:marTop w:val="0"/>
              <w:marBottom w:val="0"/>
              <w:divBdr>
                <w:top w:val="none" w:sz="0" w:space="0" w:color="auto"/>
                <w:left w:val="none" w:sz="0" w:space="0" w:color="auto"/>
                <w:bottom w:val="none" w:sz="0" w:space="0" w:color="auto"/>
                <w:right w:val="none" w:sz="0" w:space="0" w:color="auto"/>
              </w:divBdr>
            </w:div>
          </w:divsChild>
        </w:div>
        <w:div w:id="1959215231">
          <w:marLeft w:val="0"/>
          <w:marRight w:val="0"/>
          <w:marTop w:val="0"/>
          <w:marBottom w:val="0"/>
          <w:divBdr>
            <w:top w:val="none" w:sz="0" w:space="0" w:color="auto"/>
            <w:left w:val="none" w:sz="0" w:space="0" w:color="auto"/>
            <w:bottom w:val="none" w:sz="0" w:space="0" w:color="auto"/>
            <w:right w:val="none" w:sz="0" w:space="0" w:color="auto"/>
          </w:divBdr>
        </w:div>
        <w:div w:id="1782650455">
          <w:marLeft w:val="0"/>
          <w:marRight w:val="0"/>
          <w:marTop w:val="0"/>
          <w:marBottom w:val="0"/>
          <w:divBdr>
            <w:top w:val="none" w:sz="0" w:space="0" w:color="auto"/>
            <w:left w:val="none" w:sz="0" w:space="0" w:color="auto"/>
            <w:bottom w:val="none" w:sz="0" w:space="0" w:color="auto"/>
            <w:right w:val="none" w:sz="0" w:space="0" w:color="auto"/>
          </w:divBdr>
        </w:div>
        <w:div w:id="1032153818">
          <w:marLeft w:val="0"/>
          <w:marRight w:val="0"/>
          <w:marTop w:val="0"/>
          <w:marBottom w:val="0"/>
          <w:divBdr>
            <w:top w:val="none" w:sz="0" w:space="0" w:color="auto"/>
            <w:left w:val="none" w:sz="0" w:space="0" w:color="auto"/>
            <w:bottom w:val="none" w:sz="0" w:space="0" w:color="auto"/>
            <w:right w:val="none" w:sz="0" w:space="0" w:color="auto"/>
          </w:divBdr>
          <w:divsChild>
            <w:div w:id="486480129">
              <w:marLeft w:val="0"/>
              <w:marRight w:val="0"/>
              <w:marTop w:val="0"/>
              <w:marBottom w:val="0"/>
              <w:divBdr>
                <w:top w:val="none" w:sz="0" w:space="0" w:color="auto"/>
                <w:left w:val="none" w:sz="0" w:space="0" w:color="auto"/>
                <w:bottom w:val="none" w:sz="0" w:space="0" w:color="auto"/>
                <w:right w:val="none" w:sz="0" w:space="0" w:color="auto"/>
              </w:divBdr>
            </w:div>
          </w:divsChild>
        </w:div>
        <w:div w:id="1591543984">
          <w:marLeft w:val="0"/>
          <w:marRight w:val="0"/>
          <w:marTop w:val="0"/>
          <w:marBottom w:val="0"/>
          <w:divBdr>
            <w:top w:val="none" w:sz="0" w:space="0" w:color="auto"/>
            <w:left w:val="none" w:sz="0" w:space="0" w:color="auto"/>
            <w:bottom w:val="none" w:sz="0" w:space="0" w:color="auto"/>
            <w:right w:val="none" w:sz="0" w:space="0" w:color="auto"/>
          </w:divBdr>
        </w:div>
        <w:div w:id="1493259952">
          <w:marLeft w:val="0"/>
          <w:marRight w:val="0"/>
          <w:marTop w:val="0"/>
          <w:marBottom w:val="0"/>
          <w:divBdr>
            <w:top w:val="none" w:sz="0" w:space="0" w:color="auto"/>
            <w:left w:val="none" w:sz="0" w:space="0" w:color="auto"/>
            <w:bottom w:val="none" w:sz="0" w:space="0" w:color="auto"/>
            <w:right w:val="none" w:sz="0" w:space="0" w:color="auto"/>
          </w:divBdr>
        </w:div>
        <w:div w:id="733091835">
          <w:marLeft w:val="0"/>
          <w:marRight w:val="0"/>
          <w:marTop w:val="0"/>
          <w:marBottom w:val="0"/>
          <w:divBdr>
            <w:top w:val="none" w:sz="0" w:space="0" w:color="auto"/>
            <w:left w:val="none" w:sz="0" w:space="0" w:color="auto"/>
            <w:bottom w:val="none" w:sz="0" w:space="0" w:color="auto"/>
            <w:right w:val="none" w:sz="0" w:space="0" w:color="auto"/>
          </w:divBdr>
          <w:divsChild>
            <w:div w:id="949777521">
              <w:marLeft w:val="0"/>
              <w:marRight w:val="0"/>
              <w:marTop w:val="0"/>
              <w:marBottom w:val="0"/>
              <w:divBdr>
                <w:top w:val="none" w:sz="0" w:space="0" w:color="auto"/>
                <w:left w:val="none" w:sz="0" w:space="0" w:color="auto"/>
                <w:bottom w:val="none" w:sz="0" w:space="0" w:color="auto"/>
                <w:right w:val="none" w:sz="0" w:space="0" w:color="auto"/>
              </w:divBdr>
            </w:div>
          </w:divsChild>
        </w:div>
        <w:div w:id="152187376">
          <w:marLeft w:val="0"/>
          <w:marRight w:val="0"/>
          <w:marTop w:val="0"/>
          <w:marBottom w:val="0"/>
          <w:divBdr>
            <w:top w:val="none" w:sz="0" w:space="0" w:color="auto"/>
            <w:left w:val="none" w:sz="0" w:space="0" w:color="auto"/>
            <w:bottom w:val="none" w:sz="0" w:space="0" w:color="auto"/>
            <w:right w:val="none" w:sz="0" w:space="0" w:color="auto"/>
          </w:divBdr>
        </w:div>
        <w:div w:id="1512378687">
          <w:marLeft w:val="0"/>
          <w:marRight w:val="0"/>
          <w:marTop w:val="0"/>
          <w:marBottom w:val="0"/>
          <w:divBdr>
            <w:top w:val="none" w:sz="0" w:space="0" w:color="auto"/>
            <w:left w:val="none" w:sz="0" w:space="0" w:color="auto"/>
            <w:bottom w:val="none" w:sz="0" w:space="0" w:color="auto"/>
            <w:right w:val="none" w:sz="0" w:space="0" w:color="auto"/>
          </w:divBdr>
        </w:div>
        <w:div w:id="508252288">
          <w:marLeft w:val="0"/>
          <w:marRight w:val="0"/>
          <w:marTop w:val="0"/>
          <w:marBottom w:val="0"/>
          <w:divBdr>
            <w:top w:val="none" w:sz="0" w:space="0" w:color="auto"/>
            <w:left w:val="none" w:sz="0" w:space="0" w:color="auto"/>
            <w:bottom w:val="none" w:sz="0" w:space="0" w:color="auto"/>
            <w:right w:val="none" w:sz="0" w:space="0" w:color="auto"/>
          </w:divBdr>
          <w:divsChild>
            <w:div w:id="1040397980">
              <w:marLeft w:val="0"/>
              <w:marRight w:val="0"/>
              <w:marTop w:val="0"/>
              <w:marBottom w:val="0"/>
              <w:divBdr>
                <w:top w:val="none" w:sz="0" w:space="0" w:color="auto"/>
                <w:left w:val="none" w:sz="0" w:space="0" w:color="auto"/>
                <w:bottom w:val="none" w:sz="0" w:space="0" w:color="auto"/>
                <w:right w:val="none" w:sz="0" w:space="0" w:color="auto"/>
              </w:divBdr>
            </w:div>
          </w:divsChild>
        </w:div>
        <w:div w:id="1666083358">
          <w:marLeft w:val="0"/>
          <w:marRight w:val="0"/>
          <w:marTop w:val="0"/>
          <w:marBottom w:val="0"/>
          <w:divBdr>
            <w:top w:val="none" w:sz="0" w:space="0" w:color="auto"/>
            <w:left w:val="none" w:sz="0" w:space="0" w:color="auto"/>
            <w:bottom w:val="none" w:sz="0" w:space="0" w:color="auto"/>
            <w:right w:val="none" w:sz="0" w:space="0" w:color="auto"/>
          </w:divBdr>
        </w:div>
        <w:div w:id="880751536">
          <w:marLeft w:val="0"/>
          <w:marRight w:val="0"/>
          <w:marTop w:val="0"/>
          <w:marBottom w:val="0"/>
          <w:divBdr>
            <w:top w:val="none" w:sz="0" w:space="0" w:color="auto"/>
            <w:left w:val="none" w:sz="0" w:space="0" w:color="auto"/>
            <w:bottom w:val="none" w:sz="0" w:space="0" w:color="auto"/>
            <w:right w:val="none" w:sz="0" w:space="0" w:color="auto"/>
          </w:divBdr>
        </w:div>
        <w:div w:id="1398895006">
          <w:marLeft w:val="0"/>
          <w:marRight w:val="0"/>
          <w:marTop w:val="0"/>
          <w:marBottom w:val="0"/>
          <w:divBdr>
            <w:top w:val="none" w:sz="0" w:space="0" w:color="auto"/>
            <w:left w:val="none" w:sz="0" w:space="0" w:color="auto"/>
            <w:bottom w:val="none" w:sz="0" w:space="0" w:color="auto"/>
            <w:right w:val="none" w:sz="0" w:space="0" w:color="auto"/>
          </w:divBdr>
          <w:divsChild>
            <w:div w:id="2072120536">
              <w:marLeft w:val="0"/>
              <w:marRight w:val="0"/>
              <w:marTop w:val="0"/>
              <w:marBottom w:val="0"/>
              <w:divBdr>
                <w:top w:val="none" w:sz="0" w:space="0" w:color="auto"/>
                <w:left w:val="none" w:sz="0" w:space="0" w:color="auto"/>
                <w:bottom w:val="none" w:sz="0" w:space="0" w:color="auto"/>
                <w:right w:val="none" w:sz="0" w:space="0" w:color="auto"/>
              </w:divBdr>
            </w:div>
          </w:divsChild>
        </w:div>
        <w:div w:id="1744914976">
          <w:marLeft w:val="0"/>
          <w:marRight w:val="0"/>
          <w:marTop w:val="0"/>
          <w:marBottom w:val="0"/>
          <w:divBdr>
            <w:top w:val="none" w:sz="0" w:space="0" w:color="auto"/>
            <w:left w:val="none" w:sz="0" w:space="0" w:color="auto"/>
            <w:bottom w:val="none" w:sz="0" w:space="0" w:color="auto"/>
            <w:right w:val="none" w:sz="0" w:space="0" w:color="auto"/>
          </w:divBdr>
        </w:div>
        <w:div w:id="1041636615">
          <w:marLeft w:val="0"/>
          <w:marRight w:val="0"/>
          <w:marTop w:val="0"/>
          <w:marBottom w:val="0"/>
          <w:divBdr>
            <w:top w:val="none" w:sz="0" w:space="0" w:color="auto"/>
            <w:left w:val="none" w:sz="0" w:space="0" w:color="auto"/>
            <w:bottom w:val="none" w:sz="0" w:space="0" w:color="auto"/>
            <w:right w:val="none" w:sz="0" w:space="0" w:color="auto"/>
          </w:divBdr>
        </w:div>
        <w:div w:id="1565221354">
          <w:marLeft w:val="0"/>
          <w:marRight w:val="0"/>
          <w:marTop w:val="0"/>
          <w:marBottom w:val="0"/>
          <w:divBdr>
            <w:top w:val="none" w:sz="0" w:space="0" w:color="auto"/>
            <w:left w:val="none" w:sz="0" w:space="0" w:color="auto"/>
            <w:bottom w:val="none" w:sz="0" w:space="0" w:color="auto"/>
            <w:right w:val="none" w:sz="0" w:space="0" w:color="auto"/>
          </w:divBdr>
          <w:divsChild>
            <w:div w:id="334112580">
              <w:marLeft w:val="0"/>
              <w:marRight w:val="0"/>
              <w:marTop w:val="0"/>
              <w:marBottom w:val="0"/>
              <w:divBdr>
                <w:top w:val="none" w:sz="0" w:space="0" w:color="auto"/>
                <w:left w:val="none" w:sz="0" w:space="0" w:color="auto"/>
                <w:bottom w:val="none" w:sz="0" w:space="0" w:color="auto"/>
                <w:right w:val="none" w:sz="0" w:space="0" w:color="auto"/>
              </w:divBdr>
            </w:div>
          </w:divsChild>
        </w:div>
        <w:div w:id="1677658363">
          <w:marLeft w:val="0"/>
          <w:marRight w:val="0"/>
          <w:marTop w:val="0"/>
          <w:marBottom w:val="0"/>
          <w:divBdr>
            <w:top w:val="none" w:sz="0" w:space="0" w:color="auto"/>
            <w:left w:val="none" w:sz="0" w:space="0" w:color="auto"/>
            <w:bottom w:val="none" w:sz="0" w:space="0" w:color="auto"/>
            <w:right w:val="none" w:sz="0" w:space="0" w:color="auto"/>
          </w:divBdr>
        </w:div>
        <w:div w:id="209534892">
          <w:marLeft w:val="0"/>
          <w:marRight w:val="0"/>
          <w:marTop w:val="0"/>
          <w:marBottom w:val="0"/>
          <w:divBdr>
            <w:top w:val="none" w:sz="0" w:space="0" w:color="auto"/>
            <w:left w:val="none" w:sz="0" w:space="0" w:color="auto"/>
            <w:bottom w:val="none" w:sz="0" w:space="0" w:color="auto"/>
            <w:right w:val="none" w:sz="0" w:space="0" w:color="auto"/>
          </w:divBdr>
        </w:div>
        <w:div w:id="860123737">
          <w:marLeft w:val="0"/>
          <w:marRight w:val="0"/>
          <w:marTop w:val="0"/>
          <w:marBottom w:val="0"/>
          <w:divBdr>
            <w:top w:val="none" w:sz="0" w:space="0" w:color="auto"/>
            <w:left w:val="none" w:sz="0" w:space="0" w:color="auto"/>
            <w:bottom w:val="none" w:sz="0" w:space="0" w:color="auto"/>
            <w:right w:val="none" w:sz="0" w:space="0" w:color="auto"/>
          </w:divBdr>
        </w:div>
        <w:div w:id="599335859">
          <w:marLeft w:val="0"/>
          <w:marRight w:val="0"/>
          <w:marTop w:val="0"/>
          <w:marBottom w:val="0"/>
          <w:divBdr>
            <w:top w:val="none" w:sz="0" w:space="0" w:color="auto"/>
            <w:left w:val="none" w:sz="0" w:space="0" w:color="auto"/>
            <w:bottom w:val="none" w:sz="0" w:space="0" w:color="auto"/>
            <w:right w:val="none" w:sz="0" w:space="0" w:color="auto"/>
          </w:divBdr>
          <w:divsChild>
            <w:div w:id="1656489241">
              <w:marLeft w:val="0"/>
              <w:marRight w:val="0"/>
              <w:marTop w:val="0"/>
              <w:marBottom w:val="0"/>
              <w:divBdr>
                <w:top w:val="none" w:sz="0" w:space="0" w:color="auto"/>
                <w:left w:val="none" w:sz="0" w:space="0" w:color="auto"/>
                <w:bottom w:val="none" w:sz="0" w:space="0" w:color="auto"/>
                <w:right w:val="none" w:sz="0" w:space="0" w:color="auto"/>
              </w:divBdr>
            </w:div>
          </w:divsChild>
        </w:div>
        <w:div w:id="204609760">
          <w:marLeft w:val="0"/>
          <w:marRight w:val="0"/>
          <w:marTop w:val="0"/>
          <w:marBottom w:val="0"/>
          <w:divBdr>
            <w:top w:val="none" w:sz="0" w:space="0" w:color="auto"/>
            <w:left w:val="none" w:sz="0" w:space="0" w:color="auto"/>
            <w:bottom w:val="none" w:sz="0" w:space="0" w:color="auto"/>
            <w:right w:val="none" w:sz="0" w:space="0" w:color="auto"/>
          </w:divBdr>
        </w:div>
        <w:div w:id="1667828108">
          <w:marLeft w:val="0"/>
          <w:marRight w:val="0"/>
          <w:marTop w:val="0"/>
          <w:marBottom w:val="0"/>
          <w:divBdr>
            <w:top w:val="none" w:sz="0" w:space="0" w:color="auto"/>
            <w:left w:val="none" w:sz="0" w:space="0" w:color="auto"/>
            <w:bottom w:val="none" w:sz="0" w:space="0" w:color="auto"/>
            <w:right w:val="none" w:sz="0" w:space="0" w:color="auto"/>
          </w:divBdr>
        </w:div>
        <w:div w:id="1413432640">
          <w:marLeft w:val="0"/>
          <w:marRight w:val="0"/>
          <w:marTop w:val="0"/>
          <w:marBottom w:val="0"/>
          <w:divBdr>
            <w:top w:val="none" w:sz="0" w:space="0" w:color="auto"/>
            <w:left w:val="none" w:sz="0" w:space="0" w:color="auto"/>
            <w:bottom w:val="none" w:sz="0" w:space="0" w:color="auto"/>
            <w:right w:val="none" w:sz="0" w:space="0" w:color="auto"/>
          </w:divBdr>
        </w:div>
        <w:div w:id="983195330">
          <w:marLeft w:val="0"/>
          <w:marRight w:val="0"/>
          <w:marTop w:val="0"/>
          <w:marBottom w:val="0"/>
          <w:divBdr>
            <w:top w:val="none" w:sz="0" w:space="0" w:color="auto"/>
            <w:left w:val="none" w:sz="0" w:space="0" w:color="auto"/>
            <w:bottom w:val="none" w:sz="0" w:space="0" w:color="auto"/>
            <w:right w:val="none" w:sz="0" w:space="0" w:color="auto"/>
          </w:divBdr>
          <w:divsChild>
            <w:div w:id="895701710">
              <w:marLeft w:val="0"/>
              <w:marRight w:val="0"/>
              <w:marTop w:val="0"/>
              <w:marBottom w:val="0"/>
              <w:divBdr>
                <w:top w:val="none" w:sz="0" w:space="0" w:color="auto"/>
                <w:left w:val="none" w:sz="0" w:space="0" w:color="auto"/>
                <w:bottom w:val="none" w:sz="0" w:space="0" w:color="auto"/>
                <w:right w:val="none" w:sz="0" w:space="0" w:color="auto"/>
              </w:divBdr>
            </w:div>
          </w:divsChild>
        </w:div>
        <w:div w:id="1619947380">
          <w:marLeft w:val="0"/>
          <w:marRight w:val="0"/>
          <w:marTop w:val="0"/>
          <w:marBottom w:val="0"/>
          <w:divBdr>
            <w:top w:val="none" w:sz="0" w:space="0" w:color="auto"/>
            <w:left w:val="none" w:sz="0" w:space="0" w:color="auto"/>
            <w:bottom w:val="none" w:sz="0" w:space="0" w:color="auto"/>
            <w:right w:val="none" w:sz="0" w:space="0" w:color="auto"/>
          </w:divBdr>
        </w:div>
        <w:div w:id="1684554382">
          <w:marLeft w:val="0"/>
          <w:marRight w:val="0"/>
          <w:marTop w:val="0"/>
          <w:marBottom w:val="0"/>
          <w:divBdr>
            <w:top w:val="none" w:sz="0" w:space="0" w:color="auto"/>
            <w:left w:val="none" w:sz="0" w:space="0" w:color="auto"/>
            <w:bottom w:val="none" w:sz="0" w:space="0" w:color="auto"/>
            <w:right w:val="none" w:sz="0" w:space="0" w:color="auto"/>
          </w:divBdr>
        </w:div>
        <w:div w:id="1351562244">
          <w:marLeft w:val="0"/>
          <w:marRight w:val="0"/>
          <w:marTop w:val="0"/>
          <w:marBottom w:val="0"/>
          <w:divBdr>
            <w:top w:val="none" w:sz="0" w:space="0" w:color="auto"/>
            <w:left w:val="none" w:sz="0" w:space="0" w:color="auto"/>
            <w:bottom w:val="none" w:sz="0" w:space="0" w:color="auto"/>
            <w:right w:val="none" w:sz="0" w:space="0" w:color="auto"/>
          </w:divBdr>
        </w:div>
        <w:div w:id="1580018142">
          <w:marLeft w:val="0"/>
          <w:marRight w:val="0"/>
          <w:marTop w:val="0"/>
          <w:marBottom w:val="0"/>
          <w:divBdr>
            <w:top w:val="none" w:sz="0" w:space="0" w:color="auto"/>
            <w:left w:val="none" w:sz="0" w:space="0" w:color="auto"/>
            <w:bottom w:val="none" w:sz="0" w:space="0" w:color="auto"/>
            <w:right w:val="none" w:sz="0" w:space="0" w:color="auto"/>
          </w:divBdr>
          <w:divsChild>
            <w:div w:id="282348508">
              <w:marLeft w:val="0"/>
              <w:marRight w:val="0"/>
              <w:marTop w:val="0"/>
              <w:marBottom w:val="0"/>
              <w:divBdr>
                <w:top w:val="none" w:sz="0" w:space="0" w:color="auto"/>
                <w:left w:val="none" w:sz="0" w:space="0" w:color="auto"/>
                <w:bottom w:val="none" w:sz="0" w:space="0" w:color="auto"/>
                <w:right w:val="none" w:sz="0" w:space="0" w:color="auto"/>
              </w:divBdr>
            </w:div>
          </w:divsChild>
        </w:div>
        <w:div w:id="1035276329">
          <w:marLeft w:val="0"/>
          <w:marRight w:val="0"/>
          <w:marTop w:val="0"/>
          <w:marBottom w:val="0"/>
          <w:divBdr>
            <w:top w:val="none" w:sz="0" w:space="0" w:color="auto"/>
            <w:left w:val="none" w:sz="0" w:space="0" w:color="auto"/>
            <w:bottom w:val="none" w:sz="0" w:space="0" w:color="auto"/>
            <w:right w:val="none" w:sz="0" w:space="0" w:color="auto"/>
          </w:divBdr>
        </w:div>
        <w:div w:id="282854733">
          <w:marLeft w:val="0"/>
          <w:marRight w:val="0"/>
          <w:marTop w:val="0"/>
          <w:marBottom w:val="0"/>
          <w:divBdr>
            <w:top w:val="none" w:sz="0" w:space="0" w:color="auto"/>
            <w:left w:val="none" w:sz="0" w:space="0" w:color="auto"/>
            <w:bottom w:val="none" w:sz="0" w:space="0" w:color="auto"/>
            <w:right w:val="none" w:sz="0" w:space="0" w:color="auto"/>
          </w:divBdr>
        </w:div>
        <w:div w:id="1858082261">
          <w:marLeft w:val="0"/>
          <w:marRight w:val="0"/>
          <w:marTop w:val="0"/>
          <w:marBottom w:val="0"/>
          <w:divBdr>
            <w:top w:val="none" w:sz="0" w:space="0" w:color="auto"/>
            <w:left w:val="none" w:sz="0" w:space="0" w:color="auto"/>
            <w:bottom w:val="none" w:sz="0" w:space="0" w:color="auto"/>
            <w:right w:val="none" w:sz="0" w:space="0" w:color="auto"/>
          </w:divBdr>
        </w:div>
        <w:div w:id="1482233472">
          <w:marLeft w:val="0"/>
          <w:marRight w:val="0"/>
          <w:marTop w:val="0"/>
          <w:marBottom w:val="0"/>
          <w:divBdr>
            <w:top w:val="none" w:sz="0" w:space="0" w:color="auto"/>
            <w:left w:val="none" w:sz="0" w:space="0" w:color="auto"/>
            <w:bottom w:val="none" w:sz="0" w:space="0" w:color="auto"/>
            <w:right w:val="none" w:sz="0" w:space="0" w:color="auto"/>
          </w:divBdr>
          <w:divsChild>
            <w:div w:id="632753372">
              <w:marLeft w:val="0"/>
              <w:marRight w:val="0"/>
              <w:marTop w:val="0"/>
              <w:marBottom w:val="0"/>
              <w:divBdr>
                <w:top w:val="none" w:sz="0" w:space="0" w:color="auto"/>
                <w:left w:val="none" w:sz="0" w:space="0" w:color="auto"/>
                <w:bottom w:val="none" w:sz="0" w:space="0" w:color="auto"/>
                <w:right w:val="none" w:sz="0" w:space="0" w:color="auto"/>
              </w:divBdr>
            </w:div>
          </w:divsChild>
        </w:div>
        <w:div w:id="748579080">
          <w:marLeft w:val="0"/>
          <w:marRight w:val="0"/>
          <w:marTop w:val="0"/>
          <w:marBottom w:val="0"/>
          <w:divBdr>
            <w:top w:val="none" w:sz="0" w:space="0" w:color="auto"/>
            <w:left w:val="none" w:sz="0" w:space="0" w:color="auto"/>
            <w:bottom w:val="none" w:sz="0" w:space="0" w:color="auto"/>
            <w:right w:val="none" w:sz="0" w:space="0" w:color="auto"/>
          </w:divBdr>
        </w:div>
        <w:div w:id="2060321554">
          <w:marLeft w:val="0"/>
          <w:marRight w:val="0"/>
          <w:marTop w:val="0"/>
          <w:marBottom w:val="0"/>
          <w:divBdr>
            <w:top w:val="none" w:sz="0" w:space="0" w:color="auto"/>
            <w:left w:val="none" w:sz="0" w:space="0" w:color="auto"/>
            <w:bottom w:val="none" w:sz="0" w:space="0" w:color="auto"/>
            <w:right w:val="none" w:sz="0" w:space="0" w:color="auto"/>
          </w:divBdr>
        </w:div>
        <w:div w:id="1594556795">
          <w:marLeft w:val="0"/>
          <w:marRight w:val="0"/>
          <w:marTop w:val="0"/>
          <w:marBottom w:val="0"/>
          <w:divBdr>
            <w:top w:val="none" w:sz="0" w:space="0" w:color="auto"/>
            <w:left w:val="none" w:sz="0" w:space="0" w:color="auto"/>
            <w:bottom w:val="none" w:sz="0" w:space="0" w:color="auto"/>
            <w:right w:val="none" w:sz="0" w:space="0" w:color="auto"/>
          </w:divBdr>
        </w:div>
        <w:div w:id="721757664">
          <w:marLeft w:val="0"/>
          <w:marRight w:val="0"/>
          <w:marTop w:val="0"/>
          <w:marBottom w:val="0"/>
          <w:divBdr>
            <w:top w:val="none" w:sz="0" w:space="0" w:color="auto"/>
            <w:left w:val="none" w:sz="0" w:space="0" w:color="auto"/>
            <w:bottom w:val="none" w:sz="0" w:space="0" w:color="auto"/>
            <w:right w:val="none" w:sz="0" w:space="0" w:color="auto"/>
          </w:divBdr>
          <w:divsChild>
            <w:div w:id="1570574802">
              <w:marLeft w:val="0"/>
              <w:marRight w:val="0"/>
              <w:marTop w:val="0"/>
              <w:marBottom w:val="0"/>
              <w:divBdr>
                <w:top w:val="none" w:sz="0" w:space="0" w:color="auto"/>
                <w:left w:val="none" w:sz="0" w:space="0" w:color="auto"/>
                <w:bottom w:val="none" w:sz="0" w:space="0" w:color="auto"/>
                <w:right w:val="none" w:sz="0" w:space="0" w:color="auto"/>
              </w:divBdr>
            </w:div>
          </w:divsChild>
        </w:div>
        <w:div w:id="567886415">
          <w:marLeft w:val="0"/>
          <w:marRight w:val="0"/>
          <w:marTop w:val="0"/>
          <w:marBottom w:val="0"/>
          <w:divBdr>
            <w:top w:val="none" w:sz="0" w:space="0" w:color="auto"/>
            <w:left w:val="none" w:sz="0" w:space="0" w:color="auto"/>
            <w:bottom w:val="none" w:sz="0" w:space="0" w:color="auto"/>
            <w:right w:val="none" w:sz="0" w:space="0" w:color="auto"/>
          </w:divBdr>
        </w:div>
        <w:div w:id="1712654212">
          <w:marLeft w:val="0"/>
          <w:marRight w:val="0"/>
          <w:marTop w:val="0"/>
          <w:marBottom w:val="0"/>
          <w:divBdr>
            <w:top w:val="none" w:sz="0" w:space="0" w:color="auto"/>
            <w:left w:val="none" w:sz="0" w:space="0" w:color="auto"/>
            <w:bottom w:val="none" w:sz="0" w:space="0" w:color="auto"/>
            <w:right w:val="none" w:sz="0" w:space="0" w:color="auto"/>
          </w:divBdr>
        </w:div>
        <w:div w:id="1512334485">
          <w:marLeft w:val="0"/>
          <w:marRight w:val="0"/>
          <w:marTop w:val="0"/>
          <w:marBottom w:val="0"/>
          <w:divBdr>
            <w:top w:val="none" w:sz="0" w:space="0" w:color="auto"/>
            <w:left w:val="none" w:sz="0" w:space="0" w:color="auto"/>
            <w:bottom w:val="none" w:sz="0" w:space="0" w:color="auto"/>
            <w:right w:val="none" w:sz="0" w:space="0" w:color="auto"/>
          </w:divBdr>
          <w:divsChild>
            <w:div w:id="1829400349">
              <w:marLeft w:val="0"/>
              <w:marRight w:val="0"/>
              <w:marTop w:val="0"/>
              <w:marBottom w:val="0"/>
              <w:divBdr>
                <w:top w:val="none" w:sz="0" w:space="0" w:color="auto"/>
                <w:left w:val="none" w:sz="0" w:space="0" w:color="auto"/>
                <w:bottom w:val="none" w:sz="0" w:space="0" w:color="auto"/>
                <w:right w:val="none" w:sz="0" w:space="0" w:color="auto"/>
              </w:divBdr>
            </w:div>
          </w:divsChild>
        </w:div>
        <w:div w:id="1133910077">
          <w:marLeft w:val="0"/>
          <w:marRight w:val="0"/>
          <w:marTop w:val="0"/>
          <w:marBottom w:val="0"/>
          <w:divBdr>
            <w:top w:val="none" w:sz="0" w:space="0" w:color="auto"/>
            <w:left w:val="none" w:sz="0" w:space="0" w:color="auto"/>
            <w:bottom w:val="none" w:sz="0" w:space="0" w:color="auto"/>
            <w:right w:val="none" w:sz="0" w:space="0" w:color="auto"/>
          </w:divBdr>
        </w:div>
        <w:div w:id="1529218984">
          <w:marLeft w:val="0"/>
          <w:marRight w:val="0"/>
          <w:marTop w:val="0"/>
          <w:marBottom w:val="0"/>
          <w:divBdr>
            <w:top w:val="none" w:sz="0" w:space="0" w:color="auto"/>
            <w:left w:val="none" w:sz="0" w:space="0" w:color="auto"/>
            <w:bottom w:val="none" w:sz="0" w:space="0" w:color="auto"/>
            <w:right w:val="none" w:sz="0" w:space="0" w:color="auto"/>
          </w:divBdr>
        </w:div>
        <w:div w:id="2019962202">
          <w:marLeft w:val="0"/>
          <w:marRight w:val="0"/>
          <w:marTop w:val="0"/>
          <w:marBottom w:val="0"/>
          <w:divBdr>
            <w:top w:val="none" w:sz="0" w:space="0" w:color="auto"/>
            <w:left w:val="none" w:sz="0" w:space="0" w:color="auto"/>
            <w:bottom w:val="none" w:sz="0" w:space="0" w:color="auto"/>
            <w:right w:val="none" w:sz="0" w:space="0" w:color="auto"/>
          </w:divBdr>
          <w:divsChild>
            <w:div w:id="793864676">
              <w:marLeft w:val="0"/>
              <w:marRight w:val="0"/>
              <w:marTop w:val="0"/>
              <w:marBottom w:val="0"/>
              <w:divBdr>
                <w:top w:val="none" w:sz="0" w:space="0" w:color="auto"/>
                <w:left w:val="none" w:sz="0" w:space="0" w:color="auto"/>
                <w:bottom w:val="none" w:sz="0" w:space="0" w:color="auto"/>
                <w:right w:val="none" w:sz="0" w:space="0" w:color="auto"/>
              </w:divBdr>
            </w:div>
          </w:divsChild>
        </w:div>
        <w:div w:id="1957443564">
          <w:marLeft w:val="0"/>
          <w:marRight w:val="0"/>
          <w:marTop w:val="0"/>
          <w:marBottom w:val="0"/>
          <w:divBdr>
            <w:top w:val="none" w:sz="0" w:space="0" w:color="auto"/>
            <w:left w:val="none" w:sz="0" w:space="0" w:color="auto"/>
            <w:bottom w:val="none" w:sz="0" w:space="0" w:color="auto"/>
            <w:right w:val="none" w:sz="0" w:space="0" w:color="auto"/>
          </w:divBdr>
        </w:div>
        <w:div w:id="1762752177">
          <w:marLeft w:val="0"/>
          <w:marRight w:val="0"/>
          <w:marTop w:val="0"/>
          <w:marBottom w:val="0"/>
          <w:divBdr>
            <w:top w:val="none" w:sz="0" w:space="0" w:color="auto"/>
            <w:left w:val="none" w:sz="0" w:space="0" w:color="auto"/>
            <w:bottom w:val="none" w:sz="0" w:space="0" w:color="auto"/>
            <w:right w:val="none" w:sz="0" w:space="0" w:color="auto"/>
          </w:divBdr>
        </w:div>
        <w:div w:id="1588076247">
          <w:marLeft w:val="0"/>
          <w:marRight w:val="0"/>
          <w:marTop w:val="0"/>
          <w:marBottom w:val="0"/>
          <w:divBdr>
            <w:top w:val="none" w:sz="0" w:space="0" w:color="auto"/>
            <w:left w:val="none" w:sz="0" w:space="0" w:color="auto"/>
            <w:bottom w:val="none" w:sz="0" w:space="0" w:color="auto"/>
            <w:right w:val="none" w:sz="0" w:space="0" w:color="auto"/>
          </w:divBdr>
          <w:divsChild>
            <w:div w:id="203717990">
              <w:marLeft w:val="0"/>
              <w:marRight w:val="0"/>
              <w:marTop w:val="0"/>
              <w:marBottom w:val="0"/>
              <w:divBdr>
                <w:top w:val="none" w:sz="0" w:space="0" w:color="auto"/>
                <w:left w:val="none" w:sz="0" w:space="0" w:color="auto"/>
                <w:bottom w:val="none" w:sz="0" w:space="0" w:color="auto"/>
                <w:right w:val="none" w:sz="0" w:space="0" w:color="auto"/>
              </w:divBdr>
            </w:div>
          </w:divsChild>
        </w:div>
        <w:div w:id="892807684">
          <w:marLeft w:val="0"/>
          <w:marRight w:val="0"/>
          <w:marTop w:val="0"/>
          <w:marBottom w:val="0"/>
          <w:divBdr>
            <w:top w:val="none" w:sz="0" w:space="0" w:color="auto"/>
            <w:left w:val="none" w:sz="0" w:space="0" w:color="auto"/>
            <w:bottom w:val="none" w:sz="0" w:space="0" w:color="auto"/>
            <w:right w:val="none" w:sz="0" w:space="0" w:color="auto"/>
          </w:divBdr>
        </w:div>
        <w:div w:id="1697265840">
          <w:marLeft w:val="0"/>
          <w:marRight w:val="0"/>
          <w:marTop w:val="0"/>
          <w:marBottom w:val="0"/>
          <w:divBdr>
            <w:top w:val="none" w:sz="0" w:space="0" w:color="auto"/>
            <w:left w:val="none" w:sz="0" w:space="0" w:color="auto"/>
            <w:bottom w:val="none" w:sz="0" w:space="0" w:color="auto"/>
            <w:right w:val="none" w:sz="0" w:space="0" w:color="auto"/>
          </w:divBdr>
        </w:div>
        <w:div w:id="68621046">
          <w:marLeft w:val="0"/>
          <w:marRight w:val="0"/>
          <w:marTop w:val="0"/>
          <w:marBottom w:val="0"/>
          <w:divBdr>
            <w:top w:val="none" w:sz="0" w:space="0" w:color="auto"/>
            <w:left w:val="none" w:sz="0" w:space="0" w:color="auto"/>
            <w:bottom w:val="none" w:sz="0" w:space="0" w:color="auto"/>
            <w:right w:val="none" w:sz="0" w:space="0" w:color="auto"/>
          </w:divBdr>
          <w:divsChild>
            <w:div w:id="1185906063">
              <w:marLeft w:val="0"/>
              <w:marRight w:val="0"/>
              <w:marTop w:val="0"/>
              <w:marBottom w:val="0"/>
              <w:divBdr>
                <w:top w:val="none" w:sz="0" w:space="0" w:color="auto"/>
                <w:left w:val="none" w:sz="0" w:space="0" w:color="auto"/>
                <w:bottom w:val="none" w:sz="0" w:space="0" w:color="auto"/>
                <w:right w:val="none" w:sz="0" w:space="0" w:color="auto"/>
              </w:divBdr>
            </w:div>
          </w:divsChild>
        </w:div>
        <w:div w:id="113790200">
          <w:marLeft w:val="0"/>
          <w:marRight w:val="0"/>
          <w:marTop w:val="0"/>
          <w:marBottom w:val="0"/>
          <w:divBdr>
            <w:top w:val="none" w:sz="0" w:space="0" w:color="auto"/>
            <w:left w:val="none" w:sz="0" w:space="0" w:color="auto"/>
            <w:bottom w:val="none" w:sz="0" w:space="0" w:color="auto"/>
            <w:right w:val="none" w:sz="0" w:space="0" w:color="auto"/>
          </w:divBdr>
        </w:div>
        <w:div w:id="1819224996">
          <w:marLeft w:val="0"/>
          <w:marRight w:val="0"/>
          <w:marTop w:val="0"/>
          <w:marBottom w:val="0"/>
          <w:divBdr>
            <w:top w:val="none" w:sz="0" w:space="0" w:color="auto"/>
            <w:left w:val="none" w:sz="0" w:space="0" w:color="auto"/>
            <w:bottom w:val="none" w:sz="0" w:space="0" w:color="auto"/>
            <w:right w:val="none" w:sz="0" w:space="0" w:color="auto"/>
          </w:divBdr>
        </w:div>
        <w:div w:id="88426739">
          <w:marLeft w:val="0"/>
          <w:marRight w:val="0"/>
          <w:marTop w:val="0"/>
          <w:marBottom w:val="0"/>
          <w:divBdr>
            <w:top w:val="none" w:sz="0" w:space="0" w:color="auto"/>
            <w:left w:val="none" w:sz="0" w:space="0" w:color="auto"/>
            <w:bottom w:val="none" w:sz="0" w:space="0" w:color="auto"/>
            <w:right w:val="none" w:sz="0" w:space="0" w:color="auto"/>
          </w:divBdr>
          <w:divsChild>
            <w:div w:id="1366639537">
              <w:marLeft w:val="0"/>
              <w:marRight w:val="0"/>
              <w:marTop w:val="0"/>
              <w:marBottom w:val="0"/>
              <w:divBdr>
                <w:top w:val="none" w:sz="0" w:space="0" w:color="auto"/>
                <w:left w:val="none" w:sz="0" w:space="0" w:color="auto"/>
                <w:bottom w:val="none" w:sz="0" w:space="0" w:color="auto"/>
                <w:right w:val="none" w:sz="0" w:space="0" w:color="auto"/>
              </w:divBdr>
            </w:div>
          </w:divsChild>
        </w:div>
        <w:div w:id="589242126">
          <w:marLeft w:val="0"/>
          <w:marRight w:val="0"/>
          <w:marTop w:val="0"/>
          <w:marBottom w:val="0"/>
          <w:divBdr>
            <w:top w:val="none" w:sz="0" w:space="0" w:color="auto"/>
            <w:left w:val="none" w:sz="0" w:space="0" w:color="auto"/>
            <w:bottom w:val="none" w:sz="0" w:space="0" w:color="auto"/>
            <w:right w:val="none" w:sz="0" w:space="0" w:color="auto"/>
          </w:divBdr>
        </w:div>
        <w:div w:id="1902593599">
          <w:marLeft w:val="0"/>
          <w:marRight w:val="0"/>
          <w:marTop w:val="0"/>
          <w:marBottom w:val="0"/>
          <w:divBdr>
            <w:top w:val="none" w:sz="0" w:space="0" w:color="auto"/>
            <w:left w:val="none" w:sz="0" w:space="0" w:color="auto"/>
            <w:bottom w:val="none" w:sz="0" w:space="0" w:color="auto"/>
            <w:right w:val="none" w:sz="0" w:space="0" w:color="auto"/>
          </w:divBdr>
        </w:div>
        <w:div w:id="1877347328">
          <w:marLeft w:val="0"/>
          <w:marRight w:val="0"/>
          <w:marTop w:val="0"/>
          <w:marBottom w:val="0"/>
          <w:divBdr>
            <w:top w:val="none" w:sz="0" w:space="0" w:color="auto"/>
            <w:left w:val="none" w:sz="0" w:space="0" w:color="auto"/>
            <w:bottom w:val="none" w:sz="0" w:space="0" w:color="auto"/>
            <w:right w:val="none" w:sz="0" w:space="0" w:color="auto"/>
          </w:divBdr>
          <w:divsChild>
            <w:div w:id="2058235079">
              <w:marLeft w:val="0"/>
              <w:marRight w:val="0"/>
              <w:marTop w:val="0"/>
              <w:marBottom w:val="0"/>
              <w:divBdr>
                <w:top w:val="none" w:sz="0" w:space="0" w:color="auto"/>
                <w:left w:val="none" w:sz="0" w:space="0" w:color="auto"/>
                <w:bottom w:val="none" w:sz="0" w:space="0" w:color="auto"/>
                <w:right w:val="none" w:sz="0" w:space="0" w:color="auto"/>
              </w:divBdr>
            </w:div>
          </w:divsChild>
        </w:div>
        <w:div w:id="1781947223">
          <w:marLeft w:val="0"/>
          <w:marRight w:val="0"/>
          <w:marTop w:val="0"/>
          <w:marBottom w:val="0"/>
          <w:divBdr>
            <w:top w:val="none" w:sz="0" w:space="0" w:color="auto"/>
            <w:left w:val="none" w:sz="0" w:space="0" w:color="auto"/>
            <w:bottom w:val="none" w:sz="0" w:space="0" w:color="auto"/>
            <w:right w:val="none" w:sz="0" w:space="0" w:color="auto"/>
          </w:divBdr>
        </w:div>
        <w:div w:id="686177257">
          <w:marLeft w:val="0"/>
          <w:marRight w:val="0"/>
          <w:marTop w:val="0"/>
          <w:marBottom w:val="0"/>
          <w:divBdr>
            <w:top w:val="none" w:sz="0" w:space="0" w:color="auto"/>
            <w:left w:val="none" w:sz="0" w:space="0" w:color="auto"/>
            <w:bottom w:val="none" w:sz="0" w:space="0" w:color="auto"/>
            <w:right w:val="none" w:sz="0" w:space="0" w:color="auto"/>
          </w:divBdr>
        </w:div>
        <w:div w:id="1800488618">
          <w:marLeft w:val="0"/>
          <w:marRight w:val="0"/>
          <w:marTop w:val="0"/>
          <w:marBottom w:val="0"/>
          <w:divBdr>
            <w:top w:val="none" w:sz="0" w:space="0" w:color="auto"/>
            <w:left w:val="none" w:sz="0" w:space="0" w:color="auto"/>
            <w:bottom w:val="none" w:sz="0" w:space="0" w:color="auto"/>
            <w:right w:val="none" w:sz="0" w:space="0" w:color="auto"/>
          </w:divBdr>
        </w:div>
        <w:div w:id="2113818670">
          <w:marLeft w:val="0"/>
          <w:marRight w:val="0"/>
          <w:marTop w:val="0"/>
          <w:marBottom w:val="0"/>
          <w:divBdr>
            <w:top w:val="none" w:sz="0" w:space="0" w:color="auto"/>
            <w:left w:val="none" w:sz="0" w:space="0" w:color="auto"/>
            <w:bottom w:val="none" w:sz="0" w:space="0" w:color="auto"/>
            <w:right w:val="none" w:sz="0" w:space="0" w:color="auto"/>
          </w:divBdr>
        </w:div>
        <w:div w:id="864053180">
          <w:marLeft w:val="0"/>
          <w:marRight w:val="0"/>
          <w:marTop w:val="0"/>
          <w:marBottom w:val="0"/>
          <w:divBdr>
            <w:top w:val="none" w:sz="0" w:space="0" w:color="auto"/>
            <w:left w:val="none" w:sz="0" w:space="0" w:color="auto"/>
            <w:bottom w:val="none" w:sz="0" w:space="0" w:color="auto"/>
            <w:right w:val="none" w:sz="0" w:space="0" w:color="auto"/>
          </w:divBdr>
          <w:divsChild>
            <w:div w:id="632633412">
              <w:marLeft w:val="0"/>
              <w:marRight w:val="0"/>
              <w:marTop w:val="0"/>
              <w:marBottom w:val="0"/>
              <w:divBdr>
                <w:top w:val="none" w:sz="0" w:space="0" w:color="auto"/>
                <w:left w:val="none" w:sz="0" w:space="0" w:color="auto"/>
                <w:bottom w:val="none" w:sz="0" w:space="0" w:color="auto"/>
                <w:right w:val="none" w:sz="0" w:space="0" w:color="auto"/>
              </w:divBdr>
            </w:div>
          </w:divsChild>
        </w:div>
        <w:div w:id="737048442">
          <w:marLeft w:val="0"/>
          <w:marRight w:val="0"/>
          <w:marTop w:val="0"/>
          <w:marBottom w:val="0"/>
          <w:divBdr>
            <w:top w:val="none" w:sz="0" w:space="0" w:color="auto"/>
            <w:left w:val="none" w:sz="0" w:space="0" w:color="auto"/>
            <w:bottom w:val="none" w:sz="0" w:space="0" w:color="auto"/>
            <w:right w:val="none" w:sz="0" w:space="0" w:color="auto"/>
          </w:divBdr>
        </w:div>
        <w:div w:id="554511790">
          <w:marLeft w:val="0"/>
          <w:marRight w:val="0"/>
          <w:marTop w:val="0"/>
          <w:marBottom w:val="0"/>
          <w:divBdr>
            <w:top w:val="none" w:sz="0" w:space="0" w:color="auto"/>
            <w:left w:val="none" w:sz="0" w:space="0" w:color="auto"/>
            <w:bottom w:val="none" w:sz="0" w:space="0" w:color="auto"/>
            <w:right w:val="none" w:sz="0" w:space="0" w:color="auto"/>
          </w:divBdr>
        </w:div>
        <w:div w:id="1443568635">
          <w:marLeft w:val="0"/>
          <w:marRight w:val="0"/>
          <w:marTop w:val="0"/>
          <w:marBottom w:val="0"/>
          <w:divBdr>
            <w:top w:val="none" w:sz="0" w:space="0" w:color="auto"/>
            <w:left w:val="none" w:sz="0" w:space="0" w:color="auto"/>
            <w:bottom w:val="none" w:sz="0" w:space="0" w:color="auto"/>
            <w:right w:val="none" w:sz="0" w:space="0" w:color="auto"/>
          </w:divBdr>
          <w:divsChild>
            <w:div w:id="289091483">
              <w:marLeft w:val="0"/>
              <w:marRight w:val="0"/>
              <w:marTop w:val="0"/>
              <w:marBottom w:val="0"/>
              <w:divBdr>
                <w:top w:val="none" w:sz="0" w:space="0" w:color="auto"/>
                <w:left w:val="none" w:sz="0" w:space="0" w:color="auto"/>
                <w:bottom w:val="none" w:sz="0" w:space="0" w:color="auto"/>
                <w:right w:val="none" w:sz="0" w:space="0" w:color="auto"/>
              </w:divBdr>
            </w:div>
          </w:divsChild>
        </w:div>
        <w:div w:id="2029520308">
          <w:marLeft w:val="0"/>
          <w:marRight w:val="0"/>
          <w:marTop w:val="0"/>
          <w:marBottom w:val="0"/>
          <w:divBdr>
            <w:top w:val="none" w:sz="0" w:space="0" w:color="auto"/>
            <w:left w:val="none" w:sz="0" w:space="0" w:color="auto"/>
            <w:bottom w:val="none" w:sz="0" w:space="0" w:color="auto"/>
            <w:right w:val="none" w:sz="0" w:space="0" w:color="auto"/>
          </w:divBdr>
        </w:div>
        <w:div w:id="1700549409">
          <w:marLeft w:val="0"/>
          <w:marRight w:val="0"/>
          <w:marTop w:val="0"/>
          <w:marBottom w:val="0"/>
          <w:divBdr>
            <w:top w:val="none" w:sz="0" w:space="0" w:color="auto"/>
            <w:left w:val="none" w:sz="0" w:space="0" w:color="auto"/>
            <w:bottom w:val="none" w:sz="0" w:space="0" w:color="auto"/>
            <w:right w:val="none" w:sz="0" w:space="0" w:color="auto"/>
          </w:divBdr>
        </w:div>
        <w:div w:id="1391072858">
          <w:marLeft w:val="0"/>
          <w:marRight w:val="0"/>
          <w:marTop w:val="0"/>
          <w:marBottom w:val="0"/>
          <w:divBdr>
            <w:top w:val="none" w:sz="0" w:space="0" w:color="auto"/>
            <w:left w:val="none" w:sz="0" w:space="0" w:color="auto"/>
            <w:bottom w:val="none" w:sz="0" w:space="0" w:color="auto"/>
            <w:right w:val="none" w:sz="0" w:space="0" w:color="auto"/>
          </w:divBdr>
          <w:divsChild>
            <w:div w:id="1249382497">
              <w:marLeft w:val="0"/>
              <w:marRight w:val="0"/>
              <w:marTop w:val="0"/>
              <w:marBottom w:val="0"/>
              <w:divBdr>
                <w:top w:val="none" w:sz="0" w:space="0" w:color="auto"/>
                <w:left w:val="none" w:sz="0" w:space="0" w:color="auto"/>
                <w:bottom w:val="none" w:sz="0" w:space="0" w:color="auto"/>
                <w:right w:val="none" w:sz="0" w:space="0" w:color="auto"/>
              </w:divBdr>
            </w:div>
          </w:divsChild>
        </w:div>
        <w:div w:id="405996548">
          <w:marLeft w:val="0"/>
          <w:marRight w:val="0"/>
          <w:marTop w:val="0"/>
          <w:marBottom w:val="0"/>
          <w:divBdr>
            <w:top w:val="none" w:sz="0" w:space="0" w:color="auto"/>
            <w:left w:val="none" w:sz="0" w:space="0" w:color="auto"/>
            <w:bottom w:val="none" w:sz="0" w:space="0" w:color="auto"/>
            <w:right w:val="none" w:sz="0" w:space="0" w:color="auto"/>
          </w:divBdr>
        </w:div>
        <w:div w:id="601183630">
          <w:marLeft w:val="0"/>
          <w:marRight w:val="0"/>
          <w:marTop w:val="0"/>
          <w:marBottom w:val="0"/>
          <w:divBdr>
            <w:top w:val="none" w:sz="0" w:space="0" w:color="auto"/>
            <w:left w:val="none" w:sz="0" w:space="0" w:color="auto"/>
            <w:bottom w:val="none" w:sz="0" w:space="0" w:color="auto"/>
            <w:right w:val="none" w:sz="0" w:space="0" w:color="auto"/>
          </w:divBdr>
        </w:div>
        <w:div w:id="1816021244">
          <w:marLeft w:val="0"/>
          <w:marRight w:val="0"/>
          <w:marTop w:val="0"/>
          <w:marBottom w:val="0"/>
          <w:divBdr>
            <w:top w:val="none" w:sz="0" w:space="0" w:color="auto"/>
            <w:left w:val="none" w:sz="0" w:space="0" w:color="auto"/>
            <w:bottom w:val="none" w:sz="0" w:space="0" w:color="auto"/>
            <w:right w:val="none" w:sz="0" w:space="0" w:color="auto"/>
          </w:divBdr>
          <w:divsChild>
            <w:div w:id="1339237384">
              <w:marLeft w:val="0"/>
              <w:marRight w:val="0"/>
              <w:marTop w:val="0"/>
              <w:marBottom w:val="0"/>
              <w:divBdr>
                <w:top w:val="none" w:sz="0" w:space="0" w:color="auto"/>
                <w:left w:val="none" w:sz="0" w:space="0" w:color="auto"/>
                <w:bottom w:val="none" w:sz="0" w:space="0" w:color="auto"/>
                <w:right w:val="none" w:sz="0" w:space="0" w:color="auto"/>
              </w:divBdr>
            </w:div>
          </w:divsChild>
        </w:div>
        <w:div w:id="299959831">
          <w:marLeft w:val="0"/>
          <w:marRight w:val="0"/>
          <w:marTop w:val="0"/>
          <w:marBottom w:val="0"/>
          <w:divBdr>
            <w:top w:val="none" w:sz="0" w:space="0" w:color="auto"/>
            <w:left w:val="none" w:sz="0" w:space="0" w:color="auto"/>
            <w:bottom w:val="none" w:sz="0" w:space="0" w:color="auto"/>
            <w:right w:val="none" w:sz="0" w:space="0" w:color="auto"/>
          </w:divBdr>
        </w:div>
        <w:div w:id="452797359">
          <w:marLeft w:val="0"/>
          <w:marRight w:val="0"/>
          <w:marTop w:val="0"/>
          <w:marBottom w:val="0"/>
          <w:divBdr>
            <w:top w:val="none" w:sz="0" w:space="0" w:color="auto"/>
            <w:left w:val="none" w:sz="0" w:space="0" w:color="auto"/>
            <w:bottom w:val="none" w:sz="0" w:space="0" w:color="auto"/>
            <w:right w:val="none" w:sz="0" w:space="0" w:color="auto"/>
          </w:divBdr>
        </w:div>
        <w:div w:id="243926012">
          <w:marLeft w:val="0"/>
          <w:marRight w:val="0"/>
          <w:marTop w:val="0"/>
          <w:marBottom w:val="0"/>
          <w:divBdr>
            <w:top w:val="none" w:sz="0" w:space="0" w:color="auto"/>
            <w:left w:val="none" w:sz="0" w:space="0" w:color="auto"/>
            <w:bottom w:val="none" w:sz="0" w:space="0" w:color="auto"/>
            <w:right w:val="none" w:sz="0" w:space="0" w:color="auto"/>
          </w:divBdr>
          <w:divsChild>
            <w:div w:id="121582659">
              <w:marLeft w:val="0"/>
              <w:marRight w:val="0"/>
              <w:marTop w:val="0"/>
              <w:marBottom w:val="0"/>
              <w:divBdr>
                <w:top w:val="none" w:sz="0" w:space="0" w:color="auto"/>
                <w:left w:val="none" w:sz="0" w:space="0" w:color="auto"/>
                <w:bottom w:val="none" w:sz="0" w:space="0" w:color="auto"/>
                <w:right w:val="none" w:sz="0" w:space="0" w:color="auto"/>
              </w:divBdr>
            </w:div>
          </w:divsChild>
        </w:div>
        <w:div w:id="1873346779">
          <w:marLeft w:val="0"/>
          <w:marRight w:val="0"/>
          <w:marTop w:val="0"/>
          <w:marBottom w:val="0"/>
          <w:divBdr>
            <w:top w:val="none" w:sz="0" w:space="0" w:color="auto"/>
            <w:left w:val="none" w:sz="0" w:space="0" w:color="auto"/>
            <w:bottom w:val="none" w:sz="0" w:space="0" w:color="auto"/>
            <w:right w:val="none" w:sz="0" w:space="0" w:color="auto"/>
          </w:divBdr>
        </w:div>
        <w:div w:id="1675955063">
          <w:marLeft w:val="0"/>
          <w:marRight w:val="0"/>
          <w:marTop w:val="0"/>
          <w:marBottom w:val="0"/>
          <w:divBdr>
            <w:top w:val="none" w:sz="0" w:space="0" w:color="auto"/>
            <w:left w:val="none" w:sz="0" w:space="0" w:color="auto"/>
            <w:bottom w:val="none" w:sz="0" w:space="0" w:color="auto"/>
            <w:right w:val="none" w:sz="0" w:space="0" w:color="auto"/>
          </w:divBdr>
        </w:div>
        <w:div w:id="29110725">
          <w:marLeft w:val="0"/>
          <w:marRight w:val="0"/>
          <w:marTop w:val="0"/>
          <w:marBottom w:val="0"/>
          <w:divBdr>
            <w:top w:val="none" w:sz="0" w:space="0" w:color="auto"/>
            <w:left w:val="none" w:sz="0" w:space="0" w:color="auto"/>
            <w:bottom w:val="none" w:sz="0" w:space="0" w:color="auto"/>
            <w:right w:val="none" w:sz="0" w:space="0" w:color="auto"/>
          </w:divBdr>
          <w:divsChild>
            <w:div w:id="1544369703">
              <w:marLeft w:val="0"/>
              <w:marRight w:val="0"/>
              <w:marTop w:val="0"/>
              <w:marBottom w:val="0"/>
              <w:divBdr>
                <w:top w:val="none" w:sz="0" w:space="0" w:color="auto"/>
                <w:left w:val="none" w:sz="0" w:space="0" w:color="auto"/>
                <w:bottom w:val="none" w:sz="0" w:space="0" w:color="auto"/>
                <w:right w:val="none" w:sz="0" w:space="0" w:color="auto"/>
              </w:divBdr>
            </w:div>
          </w:divsChild>
        </w:div>
        <w:div w:id="1986660731">
          <w:marLeft w:val="0"/>
          <w:marRight w:val="0"/>
          <w:marTop w:val="0"/>
          <w:marBottom w:val="0"/>
          <w:divBdr>
            <w:top w:val="none" w:sz="0" w:space="0" w:color="auto"/>
            <w:left w:val="none" w:sz="0" w:space="0" w:color="auto"/>
            <w:bottom w:val="none" w:sz="0" w:space="0" w:color="auto"/>
            <w:right w:val="none" w:sz="0" w:space="0" w:color="auto"/>
          </w:divBdr>
        </w:div>
        <w:div w:id="1205214732">
          <w:marLeft w:val="0"/>
          <w:marRight w:val="0"/>
          <w:marTop w:val="0"/>
          <w:marBottom w:val="0"/>
          <w:divBdr>
            <w:top w:val="none" w:sz="0" w:space="0" w:color="auto"/>
            <w:left w:val="none" w:sz="0" w:space="0" w:color="auto"/>
            <w:bottom w:val="none" w:sz="0" w:space="0" w:color="auto"/>
            <w:right w:val="none" w:sz="0" w:space="0" w:color="auto"/>
          </w:divBdr>
        </w:div>
        <w:div w:id="1110003212">
          <w:marLeft w:val="0"/>
          <w:marRight w:val="0"/>
          <w:marTop w:val="0"/>
          <w:marBottom w:val="0"/>
          <w:divBdr>
            <w:top w:val="none" w:sz="0" w:space="0" w:color="auto"/>
            <w:left w:val="none" w:sz="0" w:space="0" w:color="auto"/>
            <w:bottom w:val="none" w:sz="0" w:space="0" w:color="auto"/>
            <w:right w:val="none" w:sz="0" w:space="0" w:color="auto"/>
          </w:divBdr>
          <w:divsChild>
            <w:div w:id="1298343453">
              <w:marLeft w:val="0"/>
              <w:marRight w:val="0"/>
              <w:marTop w:val="0"/>
              <w:marBottom w:val="0"/>
              <w:divBdr>
                <w:top w:val="none" w:sz="0" w:space="0" w:color="auto"/>
                <w:left w:val="none" w:sz="0" w:space="0" w:color="auto"/>
                <w:bottom w:val="none" w:sz="0" w:space="0" w:color="auto"/>
                <w:right w:val="none" w:sz="0" w:space="0" w:color="auto"/>
              </w:divBdr>
            </w:div>
          </w:divsChild>
        </w:div>
        <w:div w:id="1343776580">
          <w:marLeft w:val="0"/>
          <w:marRight w:val="0"/>
          <w:marTop w:val="0"/>
          <w:marBottom w:val="0"/>
          <w:divBdr>
            <w:top w:val="none" w:sz="0" w:space="0" w:color="auto"/>
            <w:left w:val="none" w:sz="0" w:space="0" w:color="auto"/>
            <w:bottom w:val="none" w:sz="0" w:space="0" w:color="auto"/>
            <w:right w:val="none" w:sz="0" w:space="0" w:color="auto"/>
          </w:divBdr>
        </w:div>
        <w:div w:id="809398001">
          <w:marLeft w:val="0"/>
          <w:marRight w:val="0"/>
          <w:marTop w:val="0"/>
          <w:marBottom w:val="0"/>
          <w:divBdr>
            <w:top w:val="none" w:sz="0" w:space="0" w:color="auto"/>
            <w:left w:val="none" w:sz="0" w:space="0" w:color="auto"/>
            <w:bottom w:val="none" w:sz="0" w:space="0" w:color="auto"/>
            <w:right w:val="none" w:sz="0" w:space="0" w:color="auto"/>
          </w:divBdr>
        </w:div>
        <w:div w:id="1235973663">
          <w:marLeft w:val="0"/>
          <w:marRight w:val="0"/>
          <w:marTop w:val="0"/>
          <w:marBottom w:val="0"/>
          <w:divBdr>
            <w:top w:val="none" w:sz="0" w:space="0" w:color="auto"/>
            <w:left w:val="none" w:sz="0" w:space="0" w:color="auto"/>
            <w:bottom w:val="none" w:sz="0" w:space="0" w:color="auto"/>
            <w:right w:val="none" w:sz="0" w:space="0" w:color="auto"/>
          </w:divBdr>
        </w:div>
        <w:div w:id="1608661628">
          <w:marLeft w:val="0"/>
          <w:marRight w:val="0"/>
          <w:marTop w:val="0"/>
          <w:marBottom w:val="0"/>
          <w:divBdr>
            <w:top w:val="none" w:sz="0" w:space="0" w:color="auto"/>
            <w:left w:val="none" w:sz="0" w:space="0" w:color="auto"/>
            <w:bottom w:val="none" w:sz="0" w:space="0" w:color="auto"/>
            <w:right w:val="none" w:sz="0" w:space="0" w:color="auto"/>
          </w:divBdr>
          <w:divsChild>
            <w:div w:id="839546057">
              <w:marLeft w:val="0"/>
              <w:marRight w:val="0"/>
              <w:marTop w:val="0"/>
              <w:marBottom w:val="0"/>
              <w:divBdr>
                <w:top w:val="none" w:sz="0" w:space="0" w:color="auto"/>
                <w:left w:val="none" w:sz="0" w:space="0" w:color="auto"/>
                <w:bottom w:val="none" w:sz="0" w:space="0" w:color="auto"/>
                <w:right w:val="none" w:sz="0" w:space="0" w:color="auto"/>
              </w:divBdr>
            </w:div>
          </w:divsChild>
        </w:div>
        <w:div w:id="833647581">
          <w:marLeft w:val="0"/>
          <w:marRight w:val="0"/>
          <w:marTop w:val="0"/>
          <w:marBottom w:val="0"/>
          <w:divBdr>
            <w:top w:val="none" w:sz="0" w:space="0" w:color="auto"/>
            <w:left w:val="none" w:sz="0" w:space="0" w:color="auto"/>
            <w:bottom w:val="none" w:sz="0" w:space="0" w:color="auto"/>
            <w:right w:val="none" w:sz="0" w:space="0" w:color="auto"/>
          </w:divBdr>
        </w:div>
        <w:div w:id="436944790">
          <w:marLeft w:val="0"/>
          <w:marRight w:val="0"/>
          <w:marTop w:val="0"/>
          <w:marBottom w:val="0"/>
          <w:divBdr>
            <w:top w:val="none" w:sz="0" w:space="0" w:color="auto"/>
            <w:left w:val="none" w:sz="0" w:space="0" w:color="auto"/>
            <w:bottom w:val="none" w:sz="0" w:space="0" w:color="auto"/>
            <w:right w:val="none" w:sz="0" w:space="0" w:color="auto"/>
          </w:divBdr>
        </w:div>
        <w:div w:id="235365080">
          <w:marLeft w:val="0"/>
          <w:marRight w:val="0"/>
          <w:marTop w:val="0"/>
          <w:marBottom w:val="0"/>
          <w:divBdr>
            <w:top w:val="none" w:sz="0" w:space="0" w:color="auto"/>
            <w:left w:val="none" w:sz="0" w:space="0" w:color="auto"/>
            <w:bottom w:val="none" w:sz="0" w:space="0" w:color="auto"/>
            <w:right w:val="none" w:sz="0" w:space="0" w:color="auto"/>
          </w:divBdr>
          <w:divsChild>
            <w:div w:id="2117871662">
              <w:marLeft w:val="0"/>
              <w:marRight w:val="0"/>
              <w:marTop w:val="0"/>
              <w:marBottom w:val="0"/>
              <w:divBdr>
                <w:top w:val="none" w:sz="0" w:space="0" w:color="auto"/>
                <w:left w:val="none" w:sz="0" w:space="0" w:color="auto"/>
                <w:bottom w:val="none" w:sz="0" w:space="0" w:color="auto"/>
                <w:right w:val="none" w:sz="0" w:space="0" w:color="auto"/>
              </w:divBdr>
            </w:div>
          </w:divsChild>
        </w:div>
        <w:div w:id="771784519">
          <w:marLeft w:val="0"/>
          <w:marRight w:val="0"/>
          <w:marTop w:val="0"/>
          <w:marBottom w:val="0"/>
          <w:divBdr>
            <w:top w:val="none" w:sz="0" w:space="0" w:color="auto"/>
            <w:left w:val="none" w:sz="0" w:space="0" w:color="auto"/>
            <w:bottom w:val="none" w:sz="0" w:space="0" w:color="auto"/>
            <w:right w:val="none" w:sz="0" w:space="0" w:color="auto"/>
          </w:divBdr>
        </w:div>
        <w:div w:id="1648506715">
          <w:marLeft w:val="0"/>
          <w:marRight w:val="0"/>
          <w:marTop w:val="0"/>
          <w:marBottom w:val="0"/>
          <w:divBdr>
            <w:top w:val="none" w:sz="0" w:space="0" w:color="auto"/>
            <w:left w:val="none" w:sz="0" w:space="0" w:color="auto"/>
            <w:bottom w:val="none" w:sz="0" w:space="0" w:color="auto"/>
            <w:right w:val="none" w:sz="0" w:space="0" w:color="auto"/>
          </w:divBdr>
        </w:div>
        <w:div w:id="1020400140">
          <w:marLeft w:val="0"/>
          <w:marRight w:val="0"/>
          <w:marTop w:val="0"/>
          <w:marBottom w:val="0"/>
          <w:divBdr>
            <w:top w:val="none" w:sz="0" w:space="0" w:color="auto"/>
            <w:left w:val="none" w:sz="0" w:space="0" w:color="auto"/>
            <w:bottom w:val="none" w:sz="0" w:space="0" w:color="auto"/>
            <w:right w:val="none" w:sz="0" w:space="0" w:color="auto"/>
          </w:divBdr>
          <w:divsChild>
            <w:div w:id="985862764">
              <w:marLeft w:val="0"/>
              <w:marRight w:val="0"/>
              <w:marTop w:val="0"/>
              <w:marBottom w:val="0"/>
              <w:divBdr>
                <w:top w:val="none" w:sz="0" w:space="0" w:color="auto"/>
                <w:left w:val="none" w:sz="0" w:space="0" w:color="auto"/>
                <w:bottom w:val="none" w:sz="0" w:space="0" w:color="auto"/>
                <w:right w:val="none" w:sz="0" w:space="0" w:color="auto"/>
              </w:divBdr>
            </w:div>
          </w:divsChild>
        </w:div>
        <w:div w:id="1909339370">
          <w:marLeft w:val="0"/>
          <w:marRight w:val="0"/>
          <w:marTop w:val="0"/>
          <w:marBottom w:val="0"/>
          <w:divBdr>
            <w:top w:val="none" w:sz="0" w:space="0" w:color="auto"/>
            <w:left w:val="none" w:sz="0" w:space="0" w:color="auto"/>
            <w:bottom w:val="none" w:sz="0" w:space="0" w:color="auto"/>
            <w:right w:val="none" w:sz="0" w:space="0" w:color="auto"/>
          </w:divBdr>
        </w:div>
        <w:div w:id="6563663">
          <w:marLeft w:val="0"/>
          <w:marRight w:val="0"/>
          <w:marTop w:val="0"/>
          <w:marBottom w:val="0"/>
          <w:divBdr>
            <w:top w:val="none" w:sz="0" w:space="0" w:color="auto"/>
            <w:left w:val="none" w:sz="0" w:space="0" w:color="auto"/>
            <w:bottom w:val="none" w:sz="0" w:space="0" w:color="auto"/>
            <w:right w:val="none" w:sz="0" w:space="0" w:color="auto"/>
          </w:divBdr>
        </w:div>
        <w:div w:id="1761101186">
          <w:marLeft w:val="0"/>
          <w:marRight w:val="0"/>
          <w:marTop w:val="0"/>
          <w:marBottom w:val="0"/>
          <w:divBdr>
            <w:top w:val="none" w:sz="0" w:space="0" w:color="auto"/>
            <w:left w:val="none" w:sz="0" w:space="0" w:color="auto"/>
            <w:bottom w:val="none" w:sz="0" w:space="0" w:color="auto"/>
            <w:right w:val="none" w:sz="0" w:space="0" w:color="auto"/>
          </w:divBdr>
          <w:divsChild>
            <w:div w:id="394400372">
              <w:marLeft w:val="0"/>
              <w:marRight w:val="0"/>
              <w:marTop w:val="0"/>
              <w:marBottom w:val="0"/>
              <w:divBdr>
                <w:top w:val="none" w:sz="0" w:space="0" w:color="auto"/>
                <w:left w:val="none" w:sz="0" w:space="0" w:color="auto"/>
                <w:bottom w:val="none" w:sz="0" w:space="0" w:color="auto"/>
                <w:right w:val="none" w:sz="0" w:space="0" w:color="auto"/>
              </w:divBdr>
            </w:div>
          </w:divsChild>
        </w:div>
        <w:div w:id="403339894">
          <w:marLeft w:val="0"/>
          <w:marRight w:val="0"/>
          <w:marTop w:val="0"/>
          <w:marBottom w:val="0"/>
          <w:divBdr>
            <w:top w:val="none" w:sz="0" w:space="0" w:color="auto"/>
            <w:left w:val="none" w:sz="0" w:space="0" w:color="auto"/>
            <w:bottom w:val="none" w:sz="0" w:space="0" w:color="auto"/>
            <w:right w:val="none" w:sz="0" w:space="0" w:color="auto"/>
          </w:divBdr>
        </w:div>
        <w:div w:id="584874747">
          <w:marLeft w:val="0"/>
          <w:marRight w:val="0"/>
          <w:marTop w:val="0"/>
          <w:marBottom w:val="0"/>
          <w:divBdr>
            <w:top w:val="none" w:sz="0" w:space="0" w:color="auto"/>
            <w:left w:val="none" w:sz="0" w:space="0" w:color="auto"/>
            <w:bottom w:val="none" w:sz="0" w:space="0" w:color="auto"/>
            <w:right w:val="none" w:sz="0" w:space="0" w:color="auto"/>
          </w:divBdr>
        </w:div>
        <w:div w:id="1008403807">
          <w:marLeft w:val="0"/>
          <w:marRight w:val="0"/>
          <w:marTop w:val="0"/>
          <w:marBottom w:val="0"/>
          <w:divBdr>
            <w:top w:val="none" w:sz="0" w:space="0" w:color="auto"/>
            <w:left w:val="none" w:sz="0" w:space="0" w:color="auto"/>
            <w:bottom w:val="none" w:sz="0" w:space="0" w:color="auto"/>
            <w:right w:val="none" w:sz="0" w:space="0" w:color="auto"/>
          </w:divBdr>
          <w:divsChild>
            <w:div w:id="743918879">
              <w:marLeft w:val="0"/>
              <w:marRight w:val="0"/>
              <w:marTop w:val="0"/>
              <w:marBottom w:val="0"/>
              <w:divBdr>
                <w:top w:val="none" w:sz="0" w:space="0" w:color="auto"/>
                <w:left w:val="none" w:sz="0" w:space="0" w:color="auto"/>
                <w:bottom w:val="none" w:sz="0" w:space="0" w:color="auto"/>
                <w:right w:val="none" w:sz="0" w:space="0" w:color="auto"/>
              </w:divBdr>
            </w:div>
          </w:divsChild>
        </w:div>
        <w:div w:id="241843133">
          <w:marLeft w:val="0"/>
          <w:marRight w:val="0"/>
          <w:marTop w:val="0"/>
          <w:marBottom w:val="0"/>
          <w:divBdr>
            <w:top w:val="none" w:sz="0" w:space="0" w:color="auto"/>
            <w:left w:val="none" w:sz="0" w:space="0" w:color="auto"/>
            <w:bottom w:val="none" w:sz="0" w:space="0" w:color="auto"/>
            <w:right w:val="none" w:sz="0" w:space="0" w:color="auto"/>
          </w:divBdr>
        </w:div>
        <w:div w:id="1550728702">
          <w:marLeft w:val="0"/>
          <w:marRight w:val="0"/>
          <w:marTop w:val="0"/>
          <w:marBottom w:val="0"/>
          <w:divBdr>
            <w:top w:val="none" w:sz="0" w:space="0" w:color="auto"/>
            <w:left w:val="none" w:sz="0" w:space="0" w:color="auto"/>
            <w:bottom w:val="none" w:sz="0" w:space="0" w:color="auto"/>
            <w:right w:val="none" w:sz="0" w:space="0" w:color="auto"/>
          </w:divBdr>
        </w:div>
        <w:div w:id="1018626491">
          <w:marLeft w:val="0"/>
          <w:marRight w:val="0"/>
          <w:marTop w:val="0"/>
          <w:marBottom w:val="0"/>
          <w:divBdr>
            <w:top w:val="none" w:sz="0" w:space="0" w:color="auto"/>
            <w:left w:val="none" w:sz="0" w:space="0" w:color="auto"/>
            <w:bottom w:val="none" w:sz="0" w:space="0" w:color="auto"/>
            <w:right w:val="none" w:sz="0" w:space="0" w:color="auto"/>
          </w:divBdr>
          <w:divsChild>
            <w:div w:id="1643732980">
              <w:marLeft w:val="0"/>
              <w:marRight w:val="0"/>
              <w:marTop w:val="0"/>
              <w:marBottom w:val="0"/>
              <w:divBdr>
                <w:top w:val="none" w:sz="0" w:space="0" w:color="auto"/>
                <w:left w:val="none" w:sz="0" w:space="0" w:color="auto"/>
                <w:bottom w:val="none" w:sz="0" w:space="0" w:color="auto"/>
                <w:right w:val="none" w:sz="0" w:space="0" w:color="auto"/>
              </w:divBdr>
            </w:div>
          </w:divsChild>
        </w:div>
        <w:div w:id="2008167565">
          <w:marLeft w:val="0"/>
          <w:marRight w:val="0"/>
          <w:marTop w:val="0"/>
          <w:marBottom w:val="0"/>
          <w:divBdr>
            <w:top w:val="none" w:sz="0" w:space="0" w:color="auto"/>
            <w:left w:val="none" w:sz="0" w:space="0" w:color="auto"/>
            <w:bottom w:val="none" w:sz="0" w:space="0" w:color="auto"/>
            <w:right w:val="none" w:sz="0" w:space="0" w:color="auto"/>
          </w:divBdr>
        </w:div>
        <w:div w:id="282885076">
          <w:marLeft w:val="0"/>
          <w:marRight w:val="0"/>
          <w:marTop w:val="0"/>
          <w:marBottom w:val="0"/>
          <w:divBdr>
            <w:top w:val="none" w:sz="0" w:space="0" w:color="auto"/>
            <w:left w:val="none" w:sz="0" w:space="0" w:color="auto"/>
            <w:bottom w:val="none" w:sz="0" w:space="0" w:color="auto"/>
            <w:right w:val="none" w:sz="0" w:space="0" w:color="auto"/>
          </w:divBdr>
        </w:div>
        <w:div w:id="1567062728">
          <w:marLeft w:val="0"/>
          <w:marRight w:val="0"/>
          <w:marTop w:val="0"/>
          <w:marBottom w:val="0"/>
          <w:divBdr>
            <w:top w:val="none" w:sz="0" w:space="0" w:color="auto"/>
            <w:left w:val="none" w:sz="0" w:space="0" w:color="auto"/>
            <w:bottom w:val="none" w:sz="0" w:space="0" w:color="auto"/>
            <w:right w:val="none" w:sz="0" w:space="0" w:color="auto"/>
          </w:divBdr>
          <w:divsChild>
            <w:div w:id="267005951">
              <w:marLeft w:val="0"/>
              <w:marRight w:val="0"/>
              <w:marTop w:val="0"/>
              <w:marBottom w:val="0"/>
              <w:divBdr>
                <w:top w:val="none" w:sz="0" w:space="0" w:color="auto"/>
                <w:left w:val="none" w:sz="0" w:space="0" w:color="auto"/>
                <w:bottom w:val="none" w:sz="0" w:space="0" w:color="auto"/>
                <w:right w:val="none" w:sz="0" w:space="0" w:color="auto"/>
              </w:divBdr>
            </w:div>
          </w:divsChild>
        </w:div>
        <w:div w:id="1996178194">
          <w:marLeft w:val="0"/>
          <w:marRight w:val="0"/>
          <w:marTop w:val="0"/>
          <w:marBottom w:val="0"/>
          <w:divBdr>
            <w:top w:val="none" w:sz="0" w:space="0" w:color="auto"/>
            <w:left w:val="none" w:sz="0" w:space="0" w:color="auto"/>
            <w:bottom w:val="none" w:sz="0" w:space="0" w:color="auto"/>
            <w:right w:val="none" w:sz="0" w:space="0" w:color="auto"/>
          </w:divBdr>
        </w:div>
        <w:div w:id="368919677">
          <w:marLeft w:val="0"/>
          <w:marRight w:val="0"/>
          <w:marTop w:val="0"/>
          <w:marBottom w:val="0"/>
          <w:divBdr>
            <w:top w:val="none" w:sz="0" w:space="0" w:color="auto"/>
            <w:left w:val="none" w:sz="0" w:space="0" w:color="auto"/>
            <w:bottom w:val="none" w:sz="0" w:space="0" w:color="auto"/>
            <w:right w:val="none" w:sz="0" w:space="0" w:color="auto"/>
          </w:divBdr>
        </w:div>
        <w:div w:id="424961418">
          <w:marLeft w:val="0"/>
          <w:marRight w:val="0"/>
          <w:marTop w:val="0"/>
          <w:marBottom w:val="0"/>
          <w:divBdr>
            <w:top w:val="none" w:sz="0" w:space="0" w:color="auto"/>
            <w:left w:val="none" w:sz="0" w:space="0" w:color="auto"/>
            <w:bottom w:val="none" w:sz="0" w:space="0" w:color="auto"/>
            <w:right w:val="none" w:sz="0" w:space="0" w:color="auto"/>
          </w:divBdr>
          <w:divsChild>
            <w:div w:id="181865196">
              <w:marLeft w:val="0"/>
              <w:marRight w:val="0"/>
              <w:marTop w:val="0"/>
              <w:marBottom w:val="0"/>
              <w:divBdr>
                <w:top w:val="none" w:sz="0" w:space="0" w:color="auto"/>
                <w:left w:val="none" w:sz="0" w:space="0" w:color="auto"/>
                <w:bottom w:val="none" w:sz="0" w:space="0" w:color="auto"/>
                <w:right w:val="none" w:sz="0" w:space="0" w:color="auto"/>
              </w:divBdr>
            </w:div>
          </w:divsChild>
        </w:div>
        <w:div w:id="234242549">
          <w:marLeft w:val="0"/>
          <w:marRight w:val="0"/>
          <w:marTop w:val="0"/>
          <w:marBottom w:val="0"/>
          <w:divBdr>
            <w:top w:val="none" w:sz="0" w:space="0" w:color="auto"/>
            <w:left w:val="none" w:sz="0" w:space="0" w:color="auto"/>
            <w:bottom w:val="none" w:sz="0" w:space="0" w:color="auto"/>
            <w:right w:val="none" w:sz="0" w:space="0" w:color="auto"/>
          </w:divBdr>
        </w:div>
        <w:div w:id="2123382589">
          <w:marLeft w:val="0"/>
          <w:marRight w:val="0"/>
          <w:marTop w:val="0"/>
          <w:marBottom w:val="0"/>
          <w:divBdr>
            <w:top w:val="none" w:sz="0" w:space="0" w:color="auto"/>
            <w:left w:val="none" w:sz="0" w:space="0" w:color="auto"/>
            <w:bottom w:val="none" w:sz="0" w:space="0" w:color="auto"/>
            <w:right w:val="none" w:sz="0" w:space="0" w:color="auto"/>
          </w:divBdr>
        </w:div>
        <w:div w:id="740785610">
          <w:marLeft w:val="0"/>
          <w:marRight w:val="0"/>
          <w:marTop w:val="0"/>
          <w:marBottom w:val="0"/>
          <w:divBdr>
            <w:top w:val="none" w:sz="0" w:space="0" w:color="auto"/>
            <w:left w:val="none" w:sz="0" w:space="0" w:color="auto"/>
            <w:bottom w:val="none" w:sz="0" w:space="0" w:color="auto"/>
            <w:right w:val="none" w:sz="0" w:space="0" w:color="auto"/>
          </w:divBdr>
          <w:divsChild>
            <w:div w:id="630406209">
              <w:marLeft w:val="0"/>
              <w:marRight w:val="0"/>
              <w:marTop w:val="0"/>
              <w:marBottom w:val="0"/>
              <w:divBdr>
                <w:top w:val="none" w:sz="0" w:space="0" w:color="auto"/>
                <w:left w:val="none" w:sz="0" w:space="0" w:color="auto"/>
                <w:bottom w:val="none" w:sz="0" w:space="0" w:color="auto"/>
                <w:right w:val="none" w:sz="0" w:space="0" w:color="auto"/>
              </w:divBdr>
            </w:div>
          </w:divsChild>
        </w:div>
        <w:div w:id="1537163082">
          <w:marLeft w:val="0"/>
          <w:marRight w:val="0"/>
          <w:marTop w:val="0"/>
          <w:marBottom w:val="0"/>
          <w:divBdr>
            <w:top w:val="none" w:sz="0" w:space="0" w:color="auto"/>
            <w:left w:val="none" w:sz="0" w:space="0" w:color="auto"/>
            <w:bottom w:val="none" w:sz="0" w:space="0" w:color="auto"/>
            <w:right w:val="none" w:sz="0" w:space="0" w:color="auto"/>
          </w:divBdr>
        </w:div>
        <w:div w:id="629870543">
          <w:marLeft w:val="0"/>
          <w:marRight w:val="0"/>
          <w:marTop w:val="0"/>
          <w:marBottom w:val="0"/>
          <w:divBdr>
            <w:top w:val="none" w:sz="0" w:space="0" w:color="auto"/>
            <w:left w:val="none" w:sz="0" w:space="0" w:color="auto"/>
            <w:bottom w:val="none" w:sz="0" w:space="0" w:color="auto"/>
            <w:right w:val="none" w:sz="0" w:space="0" w:color="auto"/>
          </w:divBdr>
        </w:div>
        <w:div w:id="438530142">
          <w:marLeft w:val="0"/>
          <w:marRight w:val="0"/>
          <w:marTop w:val="0"/>
          <w:marBottom w:val="0"/>
          <w:divBdr>
            <w:top w:val="none" w:sz="0" w:space="0" w:color="auto"/>
            <w:left w:val="none" w:sz="0" w:space="0" w:color="auto"/>
            <w:bottom w:val="none" w:sz="0" w:space="0" w:color="auto"/>
            <w:right w:val="none" w:sz="0" w:space="0" w:color="auto"/>
          </w:divBdr>
          <w:divsChild>
            <w:div w:id="116682921">
              <w:marLeft w:val="0"/>
              <w:marRight w:val="0"/>
              <w:marTop w:val="0"/>
              <w:marBottom w:val="0"/>
              <w:divBdr>
                <w:top w:val="none" w:sz="0" w:space="0" w:color="auto"/>
                <w:left w:val="none" w:sz="0" w:space="0" w:color="auto"/>
                <w:bottom w:val="none" w:sz="0" w:space="0" w:color="auto"/>
                <w:right w:val="none" w:sz="0" w:space="0" w:color="auto"/>
              </w:divBdr>
            </w:div>
          </w:divsChild>
        </w:div>
        <w:div w:id="1865315732">
          <w:marLeft w:val="0"/>
          <w:marRight w:val="0"/>
          <w:marTop w:val="0"/>
          <w:marBottom w:val="0"/>
          <w:divBdr>
            <w:top w:val="none" w:sz="0" w:space="0" w:color="auto"/>
            <w:left w:val="none" w:sz="0" w:space="0" w:color="auto"/>
            <w:bottom w:val="none" w:sz="0" w:space="0" w:color="auto"/>
            <w:right w:val="none" w:sz="0" w:space="0" w:color="auto"/>
          </w:divBdr>
        </w:div>
        <w:div w:id="1775591482">
          <w:marLeft w:val="0"/>
          <w:marRight w:val="0"/>
          <w:marTop w:val="0"/>
          <w:marBottom w:val="0"/>
          <w:divBdr>
            <w:top w:val="none" w:sz="0" w:space="0" w:color="auto"/>
            <w:left w:val="none" w:sz="0" w:space="0" w:color="auto"/>
            <w:bottom w:val="none" w:sz="0" w:space="0" w:color="auto"/>
            <w:right w:val="none" w:sz="0" w:space="0" w:color="auto"/>
          </w:divBdr>
        </w:div>
        <w:div w:id="376052739">
          <w:marLeft w:val="0"/>
          <w:marRight w:val="0"/>
          <w:marTop w:val="0"/>
          <w:marBottom w:val="0"/>
          <w:divBdr>
            <w:top w:val="none" w:sz="0" w:space="0" w:color="auto"/>
            <w:left w:val="none" w:sz="0" w:space="0" w:color="auto"/>
            <w:bottom w:val="none" w:sz="0" w:space="0" w:color="auto"/>
            <w:right w:val="none" w:sz="0" w:space="0" w:color="auto"/>
          </w:divBdr>
          <w:divsChild>
            <w:div w:id="1049188369">
              <w:marLeft w:val="0"/>
              <w:marRight w:val="0"/>
              <w:marTop w:val="0"/>
              <w:marBottom w:val="0"/>
              <w:divBdr>
                <w:top w:val="none" w:sz="0" w:space="0" w:color="auto"/>
                <w:left w:val="none" w:sz="0" w:space="0" w:color="auto"/>
                <w:bottom w:val="none" w:sz="0" w:space="0" w:color="auto"/>
                <w:right w:val="none" w:sz="0" w:space="0" w:color="auto"/>
              </w:divBdr>
            </w:div>
          </w:divsChild>
        </w:div>
        <w:div w:id="572083232">
          <w:marLeft w:val="0"/>
          <w:marRight w:val="0"/>
          <w:marTop w:val="0"/>
          <w:marBottom w:val="0"/>
          <w:divBdr>
            <w:top w:val="none" w:sz="0" w:space="0" w:color="auto"/>
            <w:left w:val="none" w:sz="0" w:space="0" w:color="auto"/>
            <w:bottom w:val="none" w:sz="0" w:space="0" w:color="auto"/>
            <w:right w:val="none" w:sz="0" w:space="0" w:color="auto"/>
          </w:divBdr>
        </w:div>
        <w:div w:id="147597637">
          <w:marLeft w:val="0"/>
          <w:marRight w:val="0"/>
          <w:marTop w:val="0"/>
          <w:marBottom w:val="0"/>
          <w:divBdr>
            <w:top w:val="none" w:sz="0" w:space="0" w:color="auto"/>
            <w:left w:val="none" w:sz="0" w:space="0" w:color="auto"/>
            <w:bottom w:val="none" w:sz="0" w:space="0" w:color="auto"/>
            <w:right w:val="none" w:sz="0" w:space="0" w:color="auto"/>
          </w:divBdr>
        </w:div>
        <w:div w:id="1136217825">
          <w:marLeft w:val="0"/>
          <w:marRight w:val="0"/>
          <w:marTop w:val="0"/>
          <w:marBottom w:val="0"/>
          <w:divBdr>
            <w:top w:val="none" w:sz="0" w:space="0" w:color="auto"/>
            <w:left w:val="none" w:sz="0" w:space="0" w:color="auto"/>
            <w:bottom w:val="none" w:sz="0" w:space="0" w:color="auto"/>
            <w:right w:val="none" w:sz="0" w:space="0" w:color="auto"/>
          </w:divBdr>
          <w:divsChild>
            <w:div w:id="1428384714">
              <w:marLeft w:val="0"/>
              <w:marRight w:val="0"/>
              <w:marTop w:val="0"/>
              <w:marBottom w:val="0"/>
              <w:divBdr>
                <w:top w:val="none" w:sz="0" w:space="0" w:color="auto"/>
                <w:left w:val="none" w:sz="0" w:space="0" w:color="auto"/>
                <w:bottom w:val="none" w:sz="0" w:space="0" w:color="auto"/>
                <w:right w:val="none" w:sz="0" w:space="0" w:color="auto"/>
              </w:divBdr>
            </w:div>
          </w:divsChild>
        </w:div>
        <w:div w:id="840244791">
          <w:marLeft w:val="0"/>
          <w:marRight w:val="0"/>
          <w:marTop w:val="0"/>
          <w:marBottom w:val="0"/>
          <w:divBdr>
            <w:top w:val="none" w:sz="0" w:space="0" w:color="auto"/>
            <w:left w:val="none" w:sz="0" w:space="0" w:color="auto"/>
            <w:bottom w:val="none" w:sz="0" w:space="0" w:color="auto"/>
            <w:right w:val="none" w:sz="0" w:space="0" w:color="auto"/>
          </w:divBdr>
        </w:div>
        <w:div w:id="591820791">
          <w:marLeft w:val="0"/>
          <w:marRight w:val="0"/>
          <w:marTop w:val="0"/>
          <w:marBottom w:val="0"/>
          <w:divBdr>
            <w:top w:val="none" w:sz="0" w:space="0" w:color="auto"/>
            <w:left w:val="none" w:sz="0" w:space="0" w:color="auto"/>
            <w:bottom w:val="none" w:sz="0" w:space="0" w:color="auto"/>
            <w:right w:val="none" w:sz="0" w:space="0" w:color="auto"/>
          </w:divBdr>
        </w:div>
        <w:div w:id="1885364964">
          <w:marLeft w:val="0"/>
          <w:marRight w:val="0"/>
          <w:marTop w:val="0"/>
          <w:marBottom w:val="0"/>
          <w:divBdr>
            <w:top w:val="none" w:sz="0" w:space="0" w:color="auto"/>
            <w:left w:val="none" w:sz="0" w:space="0" w:color="auto"/>
            <w:bottom w:val="none" w:sz="0" w:space="0" w:color="auto"/>
            <w:right w:val="none" w:sz="0" w:space="0" w:color="auto"/>
          </w:divBdr>
        </w:div>
        <w:div w:id="510684867">
          <w:marLeft w:val="0"/>
          <w:marRight w:val="0"/>
          <w:marTop w:val="0"/>
          <w:marBottom w:val="0"/>
          <w:divBdr>
            <w:top w:val="none" w:sz="0" w:space="0" w:color="auto"/>
            <w:left w:val="none" w:sz="0" w:space="0" w:color="auto"/>
            <w:bottom w:val="none" w:sz="0" w:space="0" w:color="auto"/>
            <w:right w:val="none" w:sz="0" w:space="0" w:color="auto"/>
          </w:divBdr>
          <w:divsChild>
            <w:div w:id="2058116904">
              <w:marLeft w:val="0"/>
              <w:marRight w:val="0"/>
              <w:marTop w:val="0"/>
              <w:marBottom w:val="0"/>
              <w:divBdr>
                <w:top w:val="none" w:sz="0" w:space="0" w:color="auto"/>
                <w:left w:val="none" w:sz="0" w:space="0" w:color="auto"/>
                <w:bottom w:val="none" w:sz="0" w:space="0" w:color="auto"/>
                <w:right w:val="none" w:sz="0" w:space="0" w:color="auto"/>
              </w:divBdr>
            </w:div>
          </w:divsChild>
        </w:div>
        <w:div w:id="1625312872">
          <w:marLeft w:val="0"/>
          <w:marRight w:val="0"/>
          <w:marTop w:val="0"/>
          <w:marBottom w:val="0"/>
          <w:divBdr>
            <w:top w:val="none" w:sz="0" w:space="0" w:color="auto"/>
            <w:left w:val="none" w:sz="0" w:space="0" w:color="auto"/>
            <w:bottom w:val="none" w:sz="0" w:space="0" w:color="auto"/>
            <w:right w:val="none" w:sz="0" w:space="0" w:color="auto"/>
          </w:divBdr>
        </w:div>
        <w:div w:id="203562074">
          <w:marLeft w:val="0"/>
          <w:marRight w:val="0"/>
          <w:marTop w:val="0"/>
          <w:marBottom w:val="0"/>
          <w:divBdr>
            <w:top w:val="none" w:sz="0" w:space="0" w:color="auto"/>
            <w:left w:val="none" w:sz="0" w:space="0" w:color="auto"/>
            <w:bottom w:val="none" w:sz="0" w:space="0" w:color="auto"/>
            <w:right w:val="none" w:sz="0" w:space="0" w:color="auto"/>
          </w:divBdr>
        </w:div>
        <w:div w:id="1156455229">
          <w:marLeft w:val="0"/>
          <w:marRight w:val="0"/>
          <w:marTop w:val="0"/>
          <w:marBottom w:val="0"/>
          <w:divBdr>
            <w:top w:val="none" w:sz="0" w:space="0" w:color="auto"/>
            <w:left w:val="none" w:sz="0" w:space="0" w:color="auto"/>
            <w:bottom w:val="none" w:sz="0" w:space="0" w:color="auto"/>
            <w:right w:val="none" w:sz="0" w:space="0" w:color="auto"/>
          </w:divBdr>
          <w:divsChild>
            <w:div w:id="640812204">
              <w:marLeft w:val="0"/>
              <w:marRight w:val="0"/>
              <w:marTop w:val="0"/>
              <w:marBottom w:val="0"/>
              <w:divBdr>
                <w:top w:val="none" w:sz="0" w:space="0" w:color="auto"/>
                <w:left w:val="none" w:sz="0" w:space="0" w:color="auto"/>
                <w:bottom w:val="none" w:sz="0" w:space="0" w:color="auto"/>
                <w:right w:val="none" w:sz="0" w:space="0" w:color="auto"/>
              </w:divBdr>
            </w:div>
          </w:divsChild>
        </w:div>
        <w:div w:id="352003347">
          <w:marLeft w:val="0"/>
          <w:marRight w:val="0"/>
          <w:marTop w:val="0"/>
          <w:marBottom w:val="0"/>
          <w:divBdr>
            <w:top w:val="none" w:sz="0" w:space="0" w:color="auto"/>
            <w:left w:val="none" w:sz="0" w:space="0" w:color="auto"/>
            <w:bottom w:val="none" w:sz="0" w:space="0" w:color="auto"/>
            <w:right w:val="none" w:sz="0" w:space="0" w:color="auto"/>
          </w:divBdr>
        </w:div>
        <w:div w:id="1854881351">
          <w:marLeft w:val="0"/>
          <w:marRight w:val="0"/>
          <w:marTop w:val="0"/>
          <w:marBottom w:val="0"/>
          <w:divBdr>
            <w:top w:val="none" w:sz="0" w:space="0" w:color="auto"/>
            <w:left w:val="none" w:sz="0" w:space="0" w:color="auto"/>
            <w:bottom w:val="none" w:sz="0" w:space="0" w:color="auto"/>
            <w:right w:val="none" w:sz="0" w:space="0" w:color="auto"/>
          </w:divBdr>
        </w:div>
        <w:div w:id="1102529884">
          <w:marLeft w:val="0"/>
          <w:marRight w:val="0"/>
          <w:marTop w:val="0"/>
          <w:marBottom w:val="0"/>
          <w:divBdr>
            <w:top w:val="none" w:sz="0" w:space="0" w:color="auto"/>
            <w:left w:val="none" w:sz="0" w:space="0" w:color="auto"/>
            <w:bottom w:val="none" w:sz="0" w:space="0" w:color="auto"/>
            <w:right w:val="none" w:sz="0" w:space="0" w:color="auto"/>
          </w:divBdr>
        </w:div>
        <w:div w:id="1750811156">
          <w:marLeft w:val="0"/>
          <w:marRight w:val="0"/>
          <w:marTop w:val="0"/>
          <w:marBottom w:val="0"/>
          <w:divBdr>
            <w:top w:val="none" w:sz="0" w:space="0" w:color="auto"/>
            <w:left w:val="none" w:sz="0" w:space="0" w:color="auto"/>
            <w:bottom w:val="none" w:sz="0" w:space="0" w:color="auto"/>
            <w:right w:val="none" w:sz="0" w:space="0" w:color="auto"/>
          </w:divBdr>
        </w:div>
        <w:div w:id="1749762611">
          <w:marLeft w:val="0"/>
          <w:marRight w:val="0"/>
          <w:marTop w:val="0"/>
          <w:marBottom w:val="0"/>
          <w:divBdr>
            <w:top w:val="none" w:sz="0" w:space="0" w:color="auto"/>
            <w:left w:val="none" w:sz="0" w:space="0" w:color="auto"/>
            <w:bottom w:val="none" w:sz="0" w:space="0" w:color="auto"/>
            <w:right w:val="none" w:sz="0" w:space="0" w:color="auto"/>
          </w:divBdr>
          <w:divsChild>
            <w:div w:id="55857921">
              <w:marLeft w:val="0"/>
              <w:marRight w:val="0"/>
              <w:marTop w:val="0"/>
              <w:marBottom w:val="0"/>
              <w:divBdr>
                <w:top w:val="none" w:sz="0" w:space="0" w:color="auto"/>
                <w:left w:val="none" w:sz="0" w:space="0" w:color="auto"/>
                <w:bottom w:val="none" w:sz="0" w:space="0" w:color="auto"/>
                <w:right w:val="none" w:sz="0" w:space="0" w:color="auto"/>
              </w:divBdr>
            </w:div>
          </w:divsChild>
        </w:div>
        <w:div w:id="923034095">
          <w:marLeft w:val="0"/>
          <w:marRight w:val="0"/>
          <w:marTop w:val="0"/>
          <w:marBottom w:val="0"/>
          <w:divBdr>
            <w:top w:val="none" w:sz="0" w:space="0" w:color="auto"/>
            <w:left w:val="none" w:sz="0" w:space="0" w:color="auto"/>
            <w:bottom w:val="none" w:sz="0" w:space="0" w:color="auto"/>
            <w:right w:val="none" w:sz="0" w:space="0" w:color="auto"/>
          </w:divBdr>
        </w:div>
        <w:div w:id="1150290534">
          <w:marLeft w:val="0"/>
          <w:marRight w:val="0"/>
          <w:marTop w:val="0"/>
          <w:marBottom w:val="0"/>
          <w:divBdr>
            <w:top w:val="none" w:sz="0" w:space="0" w:color="auto"/>
            <w:left w:val="none" w:sz="0" w:space="0" w:color="auto"/>
            <w:bottom w:val="none" w:sz="0" w:space="0" w:color="auto"/>
            <w:right w:val="none" w:sz="0" w:space="0" w:color="auto"/>
          </w:divBdr>
        </w:div>
        <w:div w:id="1593466257">
          <w:marLeft w:val="0"/>
          <w:marRight w:val="0"/>
          <w:marTop w:val="0"/>
          <w:marBottom w:val="0"/>
          <w:divBdr>
            <w:top w:val="none" w:sz="0" w:space="0" w:color="auto"/>
            <w:left w:val="none" w:sz="0" w:space="0" w:color="auto"/>
            <w:bottom w:val="none" w:sz="0" w:space="0" w:color="auto"/>
            <w:right w:val="none" w:sz="0" w:space="0" w:color="auto"/>
          </w:divBdr>
          <w:divsChild>
            <w:div w:id="23143909">
              <w:marLeft w:val="0"/>
              <w:marRight w:val="0"/>
              <w:marTop w:val="0"/>
              <w:marBottom w:val="0"/>
              <w:divBdr>
                <w:top w:val="none" w:sz="0" w:space="0" w:color="auto"/>
                <w:left w:val="none" w:sz="0" w:space="0" w:color="auto"/>
                <w:bottom w:val="none" w:sz="0" w:space="0" w:color="auto"/>
                <w:right w:val="none" w:sz="0" w:space="0" w:color="auto"/>
              </w:divBdr>
            </w:div>
          </w:divsChild>
        </w:div>
        <w:div w:id="512260271">
          <w:marLeft w:val="0"/>
          <w:marRight w:val="0"/>
          <w:marTop w:val="0"/>
          <w:marBottom w:val="0"/>
          <w:divBdr>
            <w:top w:val="none" w:sz="0" w:space="0" w:color="auto"/>
            <w:left w:val="none" w:sz="0" w:space="0" w:color="auto"/>
            <w:bottom w:val="none" w:sz="0" w:space="0" w:color="auto"/>
            <w:right w:val="none" w:sz="0" w:space="0" w:color="auto"/>
          </w:divBdr>
        </w:div>
        <w:div w:id="20937971">
          <w:marLeft w:val="0"/>
          <w:marRight w:val="0"/>
          <w:marTop w:val="0"/>
          <w:marBottom w:val="0"/>
          <w:divBdr>
            <w:top w:val="none" w:sz="0" w:space="0" w:color="auto"/>
            <w:left w:val="none" w:sz="0" w:space="0" w:color="auto"/>
            <w:bottom w:val="none" w:sz="0" w:space="0" w:color="auto"/>
            <w:right w:val="none" w:sz="0" w:space="0" w:color="auto"/>
          </w:divBdr>
        </w:div>
        <w:div w:id="1261141849">
          <w:marLeft w:val="0"/>
          <w:marRight w:val="0"/>
          <w:marTop w:val="0"/>
          <w:marBottom w:val="0"/>
          <w:divBdr>
            <w:top w:val="none" w:sz="0" w:space="0" w:color="auto"/>
            <w:left w:val="none" w:sz="0" w:space="0" w:color="auto"/>
            <w:bottom w:val="none" w:sz="0" w:space="0" w:color="auto"/>
            <w:right w:val="none" w:sz="0" w:space="0" w:color="auto"/>
          </w:divBdr>
          <w:divsChild>
            <w:div w:id="649944396">
              <w:marLeft w:val="0"/>
              <w:marRight w:val="0"/>
              <w:marTop w:val="0"/>
              <w:marBottom w:val="0"/>
              <w:divBdr>
                <w:top w:val="none" w:sz="0" w:space="0" w:color="auto"/>
                <w:left w:val="none" w:sz="0" w:space="0" w:color="auto"/>
                <w:bottom w:val="none" w:sz="0" w:space="0" w:color="auto"/>
                <w:right w:val="none" w:sz="0" w:space="0" w:color="auto"/>
              </w:divBdr>
            </w:div>
          </w:divsChild>
        </w:div>
        <w:div w:id="965618370">
          <w:marLeft w:val="0"/>
          <w:marRight w:val="0"/>
          <w:marTop w:val="0"/>
          <w:marBottom w:val="0"/>
          <w:divBdr>
            <w:top w:val="none" w:sz="0" w:space="0" w:color="auto"/>
            <w:left w:val="none" w:sz="0" w:space="0" w:color="auto"/>
            <w:bottom w:val="none" w:sz="0" w:space="0" w:color="auto"/>
            <w:right w:val="none" w:sz="0" w:space="0" w:color="auto"/>
          </w:divBdr>
        </w:div>
        <w:div w:id="1585453816">
          <w:marLeft w:val="0"/>
          <w:marRight w:val="0"/>
          <w:marTop w:val="0"/>
          <w:marBottom w:val="0"/>
          <w:divBdr>
            <w:top w:val="none" w:sz="0" w:space="0" w:color="auto"/>
            <w:left w:val="none" w:sz="0" w:space="0" w:color="auto"/>
            <w:bottom w:val="none" w:sz="0" w:space="0" w:color="auto"/>
            <w:right w:val="none" w:sz="0" w:space="0" w:color="auto"/>
          </w:divBdr>
        </w:div>
        <w:div w:id="1374116301">
          <w:marLeft w:val="0"/>
          <w:marRight w:val="0"/>
          <w:marTop w:val="0"/>
          <w:marBottom w:val="0"/>
          <w:divBdr>
            <w:top w:val="none" w:sz="0" w:space="0" w:color="auto"/>
            <w:left w:val="none" w:sz="0" w:space="0" w:color="auto"/>
            <w:bottom w:val="none" w:sz="0" w:space="0" w:color="auto"/>
            <w:right w:val="none" w:sz="0" w:space="0" w:color="auto"/>
          </w:divBdr>
          <w:divsChild>
            <w:div w:id="537814509">
              <w:marLeft w:val="0"/>
              <w:marRight w:val="0"/>
              <w:marTop w:val="0"/>
              <w:marBottom w:val="0"/>
              <w:divBdr>
                <w:top w:val="none" w:sz="0" w:space="0" w:color="auto"/>
                <w:left w:val="none" w:sz="0" w:space="0" w:color="auto"/>
                <w:bottom w:val="none" w:sz="0" w:space="0" w:color="auto"/>
                <w:right w:val="none" w:sz="0" w:space="0" w:color="auto"/>
              </w:divBdr>
            </w:div>
          </w:divsChild>
        </w:div>
        <w:div w:id="637347256">
          <w:marLeft w:val="0"/>
          <w:marRight w:val="0"/>
          <w:marTop w:val="0"/>
          <w:marBottom w:val="0"/>
          <w:divBdr>
            <w:top w:val="none" w:sz="0" w:space="0" w:color="auto"/>
            <w:left w:val="none" w:sz="0" w:space="0" w:color="auto"/>
            <w:bottom w:val="none" w:sz="0" w:space="0" w:color="auto"/>
            <w:right w:val="none" w:sz="0" w:space="0" w:color="auto"/>
          </w:divBdr>
        </w:div>
        <w:div w:id="524833154">
          <w:marLeft w:val="0"/>
          <w:marRight w:val="0"/>
          <w:marTop w:val="0"/>
          <w:marBottom w:val="0"/>
          <w:divBdr>
            <w:top w:val="none" w:sz="0" w:space="0" w:color="auto"/>
            <w:left w:val="none" w:sz="0" w:space="0" w:color="auto"/>
            <w:bottom w:val="none" w:sz="0" w:space="0" w:color="auto"/>
            <w:right w:val="none" w:sz="0" w:space="0" w:color="auto"/>
          </w:divBdr>
        </w:div>
        <w:div w:id="1575041351">
          <w:marLeft w:val="0"/>
          <w:marRight w:val="0"/>
          <w:marTop w:val="0"/>
          <w:marBottom w:val="0"/>
          <w:divBdr>
            <w:top w:val="none" w:sz="0" w:space="0" w:color="auto"/>
            <w:left w:val="none" w:sz="0" w:space="0" w:color="auto"/>
            <w:bottom w:val="none" w:sz="0" w:space="0" w:color="auto"/>
            <w:right w:val="none" w:sz="0" w:space="0" w:color="auto"/>
          </w:divBdr>
          <w:divsChild>
            <w:div w:id="58947151">
              <w:marLeft w:val="0"/>
              <w:marRight w:val="0"/>
              <w:marTop w:val="0"/>
              <w:marBottom w:val="0"/>
              <w:divBdr>
                <w:top w:val="none" w:sz="0" w:space="0" w:color="auto"/>
                <w:left w:val="none" w:sz="0" w:space="0" w:color="auto"/>
                <w:bottom w:val="none" w:sz="0" w:space="0" w:color="auto"/>
                <w:right w:val="none" w:sz="0" w:space="0" w:color="auto"/>
              </w:divBdr>
            </w:div>
          </w:divsChild>
        </w:div>
        <w:div w:id="1934898647">
          <w:marLeft w:val="0"/>
          <w:marRight w:val="0"/>
          <w:marTop w:val="0"/>
          <w:marBottom w:val="0"/>
          <w:divBdr>
            <w:top w:val="none" w:sz="0" w:space="0" w:color="auto"/>
            <w:left w:val="none" w:sz="0" w:space="0" w:color="auto"/>
            <w:bottom w:val="none" w:sz="0" w:space="0" w:color="auto"/>
            <w:right w:val="none" w:sz="0" w:space="0" w:color="auto"/>
          </w:divBdr>
        </w:div>
        <w:div w:id="217514850">
          <w:marLeft w:val="0"/>
          <w:marRight w:val="0"/>
          <w:marTop w:val="0"/>
          <w:marBottom w:val="0"/>
          <w:divBdr>
            <w:top w:val="none" w:sz="0" w:space="0" w:color="auto"/>
            <w:left w:val="none" w:sz="0" w:space="0" w:color="auto"/>
            <w:bottom w:val="none" w:sz="0" w:space="0" w:color="auto"/>
            <w:right w:val="none" w:sz="0" w:space="0" w:color="auto"/>
          </w:divBdr>
        </w:div>
        <w:div w:id="1624194264">
          <w:marLeft w:val="0"/>
          <w:marRight w:val="0"/>
          <w:marTop w:val="0"/>
          <w:marBottom w:val="0"/>
          <w:divBdr>
            <w:top w:val="none" w:sz="0" w:space="0" w:color="auto"/>
            <w:left w:val="none" w:sz="0" w:space="0" w:color="auto"/>
            <w:bottom w:val="none" w:sz="0" w:space="0" w:color="auto"/>
            <w:right w:val="none" w:sz="0" w:space="0" w:color="auto"/>
          </w:divBdr>
          <w:divsChild>
            <w:div w:id="1337923998">
              <w:marLeft w:val="0"/>
              <w:marRight w:val="0"/>
              <w:marTop w:val="0"/>
              <w:marBottom w:val="0"/>
              <w:divBdr>
                <w:top w:val="none" w:sz="0" w:space="0" w:color="auto"/>
                <w:left w:val="none" w:sz="0" w:space="0" w:color="auto"/>
                <w:bottom w:val="none" w:sz="0" w:space="0" w:color="auto"/>
                <w:right w:val="none" w:sz="0" w:space="0" w:color="auto"/>
              </w:divBdr>
            </w:div>
          </w:divsChild>
        </w:div>
        <w:div w:id="1025212141">
          <w:marLeft w:val="0"/>
          <w:marRight w:val="0"/>
          <w:marTop w:val="0"/>
          <w:marBottom w:val="0"/>
          <w:divBdr>
            <w:top w:val="none" w:sz="0" w:space="0" w:color="auto"/>
            <w:left w:val="none" w:sz="0" w:space="0" w:color="auto"/>
            <w:bottom w:val="none" w:sz="0" w:space="0" w:color="auto"/>
            <w:right w:val="none" w:sz="0" w:space="0" w:color="auto"/>
          </w:divBdr>
        </w:div>
        <w:div w:id="1883053583">
          <w:marLeft w:val="0"/>
          <w:marRight w:val="0"/>
          <w:marTop w:val="0"/>
          <w:marBottom w:val="0"/>
          <w:divBdr>
            <w:top w:val="none" w:sz="0" w:space="0" w:color="auto"/>
            <w:left w:val="none" w:sz="0" w:space="0" w:color="auto"/>
            <w:bottom w:val="none" w:sz="0" w:space="0" w:color="auto"/>
            <w:right w:val="none" w:sz="0" w:space="0" w:color="auto"/>
          </w:divBdr>
        </w:div>
        <w:div w:id="1181697931">
          <w:marLeft w:val="0"/>
          <w:marRight w:val="0"/>
          <w:marTop w:val="0"/>
          <w:marBottom w:val="0"/>
          <w:divBdr>
            <w:top w:val="none" w:sz="0" w:space="0" w:color="auto"/>
            <w:left w:val="none" w:sz="0" w:space="0" w:color="auto"/>
            <w:bottom w:val="none" w:sz="0" w:space="0" w:color="auto"/>
            <w:right w:val="none" w:sz="0" w:space="0" w:color="auto"/>
          </w:divBdr>
        </w:div>
        <w:div w:id="1180854947">
          <w:marLeft w:val="0"/>
          <w:marRight w:val="0"/>
          <w:marTop w:val="0"/>
          <w:marBottom w:val="0"/>
          <w:divBdr>
            <w:top w:val="none" w:sz="0" w:space="0" w:color="auto"/>
            <w:left w:val="none" w:sz="0" w:space="0" w:color="auto"/>
            <w:bottom w:val="none" w:sz="0" w:space="0" w:color="auto"/>
            <w:right w:val="none" w:sz="0" w:space="0" w:color="auto"/>
          </w:divBdr>
        </w:div>
        <w:div w:id="63380113">
          <w:marLeft w:val="0"/>
          <w:marRight w:val="0"/>
          <w:marTop w:val="0"/>
          <w:marBottom w:val="0"/>
          <w:divBdr>
            <w:top w:val="none" w:sz="0" w:space="0" w:color="auto"/>
            <w:left w:val="none" w:sz="0" w:space="0" w:color="auto"/>
            <w:bottom w:val="none" w:sz="0" w:space="0" w:color="auto"/>
            <w:right w:val="none" w:sz="0" w:space="0" w:color="auto"/>
          </w:divBdr>
          <w:divsChild>
            <w:div w:id="235405325">
              <w:marLeft w:val="0"/>
              <w:marRight w:val="0"/>
              <w:marTop w:val="0"/>
              <w:marBottom w:val="0"/>
              <w:divBdr>
                <w:top w:val="none" w:sz="0" w:space="0" w:color="auto"/>
                <w:left w:val="none" w:sz="0" w:space="0" w:color="auto"/>
                <w:bottom w:val="none" w:sz="0" w:space="0" w:color="auto"/>
                <w:right w:val="none" w:sz="0" w:space="0" w:color="auto"/>
              </w:divBdr>
            </w:div>
          </w:divsChild>
        </w:div>
        <w:div w:id="839780230">
          <w:marLeft w:val="0"/>
          <w:marRight w:val="0"/>
          <w:marTop w:val="0"/>
          <w:marBottom w:val="0"/>
          <w:divBdr>
            <w:top w:val="none" w:sz="0" w:space="0" w:color="auto"/>
            <w:left w:val="none" w:sz="0" w:space="0" w:color="auto"/>
            <w:bottom w:val="none" w:sz="0" w:space="0" w:color="auto"/>
            <w:right w:val="none" w:sz="0" w:space="0" w:color="auto"/>
          </w:divBdr>
        </w:div>
        <w:div w:id="529488567">
          <w:marLeft w:val="0"/>
          <w:marRight w:val="0"/>
          <w:marTop w:val="0"/>
          <w:marBottom w:val="0"/>
          <w:divBdr>
            <w:top w:val="none" w:sz="0" w:space="0" w:color="auto"/>
            <w:left w:val="none" w:sz="0" w:space="0" w:color="auto"/>
            <w:bottom w:val="none" w:sz="0" w:space="0" w:color="auto"/>
            <w:right w:val="none" w:sz="0" w:space="0" w:color="auto"/>
          </w:divBdr>
        </w:div>
        <w:div w:id="1397583102">
          <w:marLeft w:val="0"/>
          <w:marRight w:val="0"/>
          <w:marTop w:val="0"/>
          <w:marBottom w:val="0"/>
          <w:divBdr>
            <w:top w:val="none" w:sz="0" w:space="0" w:color="auto"/>
            <w:left w:val="none" w:sz="0" w:space="0" w:color="auto"/>
            <w:bottom w:val="none" w:sz="0" w:space="0" w:color="auto"/>
            <w:right w:val="none" w:sz="0" w:space="0" w:color="auto"/>
          </w:divBdr>
          <w:divsChild>
            <w:div w:id="1270355688">
              <w:marLeft w:val="0"/>
              <w:marRight w:val="0"/>
              <w:marTop w:val="0"/>
              <w:marBottom w:val="0"/>
              <w:divBdr>
                <w:top w:val="none" w:sz="0" w:space="0" w:color="auto"/>
                <w:left w:val="none" w:sz="0" w:space="0" w:color="auto"/>
                <w:bottom w:val="none" w:sz="0" w:space="0" w:color="auto"/>
                <w:right w:val="none" w:sz="0" w:space="0" w:color="auto"/>
              </w:divBdr>
            </w:div>
          </w:divsChild>
        </w:div>
        <w:div w:id="2045934158">
          <w:marLeft w:val="0"/>
          <w:marRight w:val="0"/>
          <w:marTop w:val="0"/>
          <w:marBottom w:val="0"/>
          <w:divBdr>
            <w:top w:val="none" w:sz="0" w:space="0" w:color="auto"/>
            <w:left w:val="none" w:sz="0" w:space="0" w:color="auto"/>
            <w:bottom w:val="none" w:sz="0" w:space="0" w:color="auto"/>
            <w:right w:val="none" w:sz="0" w:space="0" w:color="auto"/>
          </w:divBdr>
        </w:div>
        <w:div w:id="1019772582">
          <w:marLeft w:val="0"/>
          <w:marRight w:val="0"/>
          <w:marTop w:val="0"/>
          <w:marBottom w:val="0"/>
          <w:divBdr>
            <w:top w:val="none" w:sz="0" w:space="0" w:color="auto"/>
            <w:left w:val="none" w:sz="0" w:space="0" w:color="auto"/>
            <w:bottom w:val="none" w:sz="0" w:space="0" w:color="auto"/>
            <w:right w:val="none" w:sz="0" w:space="0" w:color="auto"/>
          </w:divBdr>
        </w:div>
        <w:div w:id="1035693834">
          <w:marLeft w:val="0"/>
          <w:marRight w:val="0"/>
          <w:marTop w:val="0"/>
          <w:marBottom w:val="0"/>
          <w:divBdr>
            <w:top w:val="none" w:sz="0" w:space="0" w:color="auto"/>
            <w:left w:val="none" w:sz="0" w:space="0" w:color="auto"/>
            <w:bottom w:val="none" w:sz="0" w:space="0" w:color="auto"/>
            <w:right w:val="none" w:sz="0" w:space="0" w:color="auto"/>
          </w:divBdr>
          <w:divsChild>
            <w:div w:id="1190874272">
              <w:marLeft w:val="0"/>
              <w:marRight w:val="0"/>
              <w:marTop w:val="0"/>
              <w:marBottom w:val="0"/>
              <w:divBdr>
                <w:top w:val="none" w:sz="0" w:space="0" w:color="auto"/>
                <w:left w:val="none" w:sz="0" w:space="0" w:color="auto"/>
                <w:bottom w:val="none" w:sz="0" w:space="0" w:color="auto"/>
                <w:right w:val="none" w:sz="0" w:space="0" w:color="auto"/>
              </w:divBdr>
            </w:div>
          </w:divsChild>
        </w:div>
        <w:div w:id="1982879765">
          <w:marLeft w:val="0"/>
          <w:marRight w:val="0"/>
          <w:marTop w:val="0"/>
          <w:marBottom w:val="0"/>
          <w:divBdr>
            <w:top w:val="none" w:sz="0" w:space="0" w:color="auto"/>
            <w:left w:val="none" w:sz="0" w:space="0" w:color="auto"/>
            <w:bottom w:val="none" w:sz="0" w:space="0" w:color="auto"/>
            <w:right w:val="none" w:sz="0" w:space="0" w:color="auto"/>
          </w:divBdr>
        </w:div>
        <w:div w:id="1237059323">
          <w:marLeft w:val="0"/>
          <w:marRight w:val="0"/>
          <w:marTop w:val="0"/>
          <w:marBottom w:val="0"/>
          <w:divBdr>
            <w:top w:val="none" w:sz="0" w:space="0" w:color="auto"/>
            <w:left w:val="none" w:sz="0" w:space="0" w:color="auto"/>
            <w:bottom w:val="none" w:sz="0" w:space="0" w:color="auto"/>
            <w:right w:val="none" w:sz="0" w:space="0" w:color="auto"/>
          </w:divBdr>
        </w:div>
        <w:div w:id="2097162931">
          <w:marLeft w:val="0"/>
          <w:marRight w:val="0"/>
          <w:marTop w:val="0"/>
          <w:marBottom w:val="0"/>
          <w:divBdr>
            <w:top w:val="none" w:sz="0" w:space="0" w:color="auto"/>
            <w:left w:val="none" w:sz="0" w:space="0" w:color="auto"/>
            <w:bottom w:val="none" w:sz="0" w:space="0" w:color="auto"/>
            <w:right w:val="none" w:sz="0" w:space="0" w:color="auto"/>
          </w:divBdr>
          <w:divsChild>
            <w:div w:id="1251430262">
              <w:marLeft w:val="0"/>
              <w:marRight w:val="0"/>
              <w:marTop w:val="0"/>
              <w:marBottom w:val="0"/>
              <w:divBdr>
                <w:top w:val="none" w:sz="0" w:space="0" w:color="auto"/>
                <w:left w:val="none" w:sz="0" w:space="0" w:color="auto"/>
                <w:bottom w:val="none" w:sz="0" w:space="0" w:color="auto"/>
                <w:right w:val="none" w:sz="0" w:space="0" w:color="auto"/>
              </w:divBdr>
            </w:div>
          </w:divsChild>
        </w:div>
        <w:div w:id="889070403">
          <w:marLeft w:val="0"/>
          <w:marRight w:val="0"/>
          <w:marTop w:val="0"/>
          <w:marBottom w:val="0"/>
          <w:divBdr>
            <w:top w:val="none" w:sz="0" w:space="0" w:color="auto"/>
            <w:left w:val="none" w:sz="0" w:space="0" w:color="auto"/>
            <w:bottom w:val="none" w:sz="0" w:space="0" w:color="auto"/>
            <w:right w:val="none" w:sz="0" w:space="0" w:color="auto"/>
          </w:divBdr>
        </w:div>
        <w:div w:id="1172793212">
          <w:marLeft w:val="0"/>
          <w:marRight w:val="0"/>
          <w:marTop w:val="0"/>
          <w:marBottom w:val="0"/>
          <w:divBdr>
            <w:top w:val="none" w:sz="0" w:space="0" w:color="auto"/>
            <w:left w:val="none" w:sz="0" w:space="0" w:color="auto"/>
            <w:bottom w:val="none" w:sz="0" w:space="0" w:color="auto"/>
            <w:right w:val="none" w:sz="0" w:space="0" w:color="auto"/>
          </w:divBdr>
        </w:div>
        <w:div w:id="244535275">
          <w:marLeft w:val="0"/>
          <w:marRight w:val="0"/>
          <w:marTop w:val="0"/>
          <w:marBottom w:val="0"/>
          <w:divBdr>
            <w:top w:val="none" w:sz="0" w:space="0" w:color="auto"/>
            <w:left w:val="none" w:sz="0" w:space="0" w:color="auto"/>
            <w:bottom w:val="none" w:sz="0" w:space="0" w:color="auto"/>
            <w:right w:val="none" w:sz="0" w:space="0" w:color="auto"/>
          </w:divBdr>
          <w:divsChild>
            <w:div w:id="834229508">
              <w:marLeft w:val="0"/>
              <w:marRight w:val="0"/>
              <w:marTop w:val="0"/>
              <w:marBottom w:val="0"/>
              <w:divBdr>
                <w:top w:val="none" w:sz="0" w:space="0" w:color="auto"/>
                <w:left w:val="none" w:sz="0" w:space="0" w:color="auto"/>
                <w:bottom w:val="none" w:sz="0" w:space="0" w:color="auto"/>
                <w:right w:val="none" w:sz="0" w:space="0" w:color="auto"/>
              </w:divBdr>
            </w:div>
          </w:divsChild>
        </w:div>
        <w:div w:id="2060014958">
          <w:marLeft w:val="0"/>
          <w:marRight w:val="0"/>
          <w:marTop w:val="0"/>
          <w:marBottom w:val="0"/>
          <w:divBdr>
            <w:top w:val="none" w:sz="0" w:space="0" w:color="auto"/>
            <w:left w:val="none" w:sz="0" w:space="0" w:color="auto"/>
            <w:bottom w:val="none" w:sz="0" w:space="0" w:color="auto"/>
            <w:right w:val="none" w:sz="0" w:space="0" w:color="auto"/>
          </w:divBdr>
        </w:div>
        <w:div w:id="2140568055">
          <w:marLeft w:val="0"/>
          <w:marRight w:val="0"/>
          <w:marTop w:val="0"/>
          <w:marBottom w:val="0"/>
          <w:divBdr>
            <w:top w:val="none" w:sz="0" w:space="0" w:color="auto"/>
            <w:left w:val="none" w:sz="0" w:space="0" w:color="auto"/>
            <w:bottom w:val="none" w:sz="0" w:space="0" w:color="auto"/>
            <w:right w:val="none" w:sz="0" w:space="0" w:color="auto"/>
          </w:divBdr>
        </w:div>
        <w:div w:id="1197893180">
          <w:marLeft w:val="0"/>
          <w:marRight w:val="0"/>
          <w:marTop w:val="0"/>
          <w:marBottom w:val="0"/>
          <w:divBdr>
            <w:top w:val="none" w:sz="0" w:space="0" w:color="auto"/>
            <w:left w:val="none" w:sz="0" w:space="0" w:color="auto"/>
            <w:bottom w:val="none" w:sz="0" w:space="0" w:color="auto"/>
            <w:right w:val="none" w:sz="0" w:space="0" w:color="auto"/>
          </w:divBdr>
          <w:divsChild>
            <w:div w:id="630791869">
              <w:marLeft w:val="0"/>
              <w:marRight w:val="0"/>
              <w:marTop w:val="0"/>
              <w:marBottom w:val="0"/>
              <w:divBdr>
                <w:top w:val="none" w:sz="0" w:space="0" w:color="auto"/>
                <w:left w:val="none" w:sz="0" w:space="0" w:color="auto"/>
                <w:bottom w:val="none" w:sz="0" w:space="0" w:color="auto"/>
                <w:right w:val="none" w:sz="0" w:space="0" w:color="auto"/>
              </w:divBdr>
            </w:div>
          </w:divsChild>
        </w:div>
        <w:div w:id="1034500252">
          <w:marLeft w:val="0"/>
          <w:marRight w:val="0"/>
          <w:marTop w:val="0"/>
          <w:marBottom w:val="0"/>
          <w:divBdr>
            <w:top w:val="none" w:sz="0" w:space="0" w:color="auto"/>
            <w:left w:val="none" w:sz="0" w:space="0" w:color="auto"/>
            <w:bottom w:val="none" w:sz="0" w:space="0" w:color="auto"/>
            <w:right w:val="none" w:sz="0" w:space="0" w:color="auto"/>
          </w:divBdr>
        </w:div>
        <w:div w:id="1522402131">
          <w:marLeft w:val="0"/>
          <w:marRight w:val="0"/>
          <w:marTop w:val="0"/>
          <w:marBottom w:val="0"/>
          <w:divBdr>
            <w:top w:val="none" w:sz="0" w:space="0" w:color="auto"/>
            <w:left w:val="none" w:sz="0" w:space="0" w:color="auto"/>
            <w:bottom w:val="none" w:sz="0" w:space="0" w:color="auto"/>
            <w:right w:val="none" w:sz="0" w:space="0" w:color="auto"/>
          </w:divBdr>
        </w:div>
        <w:div w:id="489254568">
          <w:marLeft w:val="0"/>
          <w:marRight w:val="0"/>
          <w:marTop w:val="0"/>
          <w:marBottom w:val="0"/>
          <w:divBdr>
            <w:top w:val="none" w:sz="0" w:space="0" w:color="auto"/>
            <w:left w:val="none" w:sz="0" w:space="0" w:color="auto"/>
            <w:bottom w:val="none" w:sz="0" w:space="0" w:color="auto"/>
            <w:right w:val="none" w:sz="0" w:space="0" w:color="auto"/>
          </w:divBdr>
        </w:div>
        <w:div w:id="30031571">
          <w:marLeft w:val="0"/>
          <w:marRight w:val="0"/>
          <w:marTop w:val="0"/>
          <w:marBottom w:val="0"/>
          <w:divBdr>
            <w:top w:val="none" w:sz="0" w:space="0" w:color="auto"/>
            <w:left w:val="none" w:sz="0" w:space="0" w:color="auto"/>
            <w:bottom w:val="none" w:sz="0" w:space="0" w:color="auto"/>
            <w:right w:val="none" w:sz="0" w:space="0" w:color="auto"/>
          </w:divBdr>
          <w:divsChild>
            <w:div w:id="1396203433">
              <w:marLeft w:val="0"/>
              <w:marRight w:val="0"/>
              <w:marTop w:val="0"/>
              <w:marBottom w:val="0"/>
              <w:divBdr>
                <w:top w:val="none" w:sz="0" w:space="0" w:color="auto"/>
                <w:left w:val="none" w:sz="0" w:space="0" w:color="auto"/>
                <w:bottom w:val="none" w:sz="0" w:space="0" w:color="auto"/>
                <w:right w:val="none" w:sz="0" w:space="0" w:color="auto"/>
              </w:divBdr>
            </w:div>
          </w:divsChild>
        </w:div>
        <w:div w:id="979194493">
          <w:marLeft w:val="0"/>
          <w:marRight w:val="0"/>
          <w:marTop w:val="0"/>
          <w:marBottom w:val="0"/>
          <w:divBdr>
            <w:top w:val="none" w:sz="0" w:space="0" w:color="auto"/>
            <w:left w:val="none" w:sz="0" w:space="0" w:color="auto"/>
            <w:bottom w:val="none" w:sz="0" w:space="0" w:color="auto"/>
            <w:right w:val="none" w:sz="0" w:space="0" w:color="auto"/>
          </w:divBdr>
        </w:div>
        <w:div w:id="769471111">
          <w:marLeft w:val="0"/>
          <w:marRight w:val="0"/>
          <w:marTop w:val="0"/>
          <w:marBottom w:val="0"/>
          <w:divBdr>
            <w:top w:val="none" w:sz="0" w:space="0" w:color="auto"/>
            <w:left w:val="none" w:sz="0" w:space="0" w:color="auto"/>
            <w:bottom w:val="none" w:sz="0" w:space="0" w:color="auto"/>
            <w:right w:val="none" w:sz="0" w:space="0" w:color="auto"/>
          </w:divBdr>
        </w:div>
        <w:div w:id="2113627097">
          <w:marLeft w:val="0"/>
          <w:marRight w:val="0"/>
          <w:marTop w:val="0"/>
          <w:marBottom w:val="0"/>
          <w:divBdr>
            <w:top w:val="none" w:sz="0" w:space="0" w:color="auto"/>
            <w:left w:val="none" w:sz="0" w:space="0" w:color="auto"/>
            <w:bottom w:val="none" w:sz="0" w:space="0" w:color="auto"/>
            <w:right w:val="none" w:sz="0" w:space="0" w:color="auto"/>
          </w:divBdr>
          <w:divsChild>
            <w:div w:id="2003966330">
              <w:marLeft w:val="0"/>
              <w:marRight w:val="0"/>
              <w:marTop w:val="0"/>
              <w:marBottom w:val="0"/>
              <w:divBdr>
                <w:top w:val="none" w:sz="0" w:space="0" w:color="auto"/>
                <w:left w:val="none" w:sz="0" w:space="0" w:color="auto"/>
                <w:bottom w:val="none" w:sz="0" w:space="0" w:color="auto"/>
                <w:right w:val="none" w:sz="0" w:space="0" w:color="auto"/>
              </w:divBdr>
            </w:div>
          </w:divsChild>
        </w:div>
        <w:div w:id="439644785">
          <w:marLeft w:val="0"/>
          <w:marRight w:val="0"/>
          <w:marTop w:val="0"/>
          <w:marBottom w:val="0"/>
          <w:divBdr>
            <w:top w:val="none" w:sz="0" w:space="0" w:color="auto"/>
            <w:left w:val="none" w:sz="0" w:space="0" w:color="auto"/>
            <w:bottom w:val="none" w:sz="0" w:space="0" w:color="auto"/>
            <w:right w:val="none" w:sz="0" w:space="0" w:color="auto"/>
          </w:divBdr>
        </w:div>
        <w:div w:id="331025978">
          <w:marLeft w:val="0"/>
          <w:marRight w:val="0"/>
          <w:marTop w:val="0"/>
          <w:marBottom w:val="0"/>
          <w:divBdr>
            <w:top w:val="none" w:sz="0" w:space="0" w:color="auto"/>
            <w:left w:val="none" w:sz="0" w:space="0" w:color="auto"/>
            <w:bottom w:val="none" w:sz="0" w:space="0" w:color="auto"/>
            <w:right w:val="none" w:sz="0" w:space="0" w:color="auto"/>
          </w:divBdr>
        </w:div>
        <w:div w:id="1746103046">
          <w:marLeft w:val="0"/>
          <w:marRight w:val="0"/>
          <w:marTop w:val="0"/>
          <w:marBottom w:val="0"/>
          <w:divBdr>
            <w:top w:val="none" w:sz="0" w:space="0" w:color="auto"/>
            <w:left w:val="none" w:sz="0" w:space="0" w:color="auto"/>
            <w:bottom w:val="none" w:sz="0" w:space="0" w:color="auto"/>
            <w:right w:val="none" w:sz="0" w:space="0" w:color="auto"/>
          </w:divBdr>
          <w:divsChild>
            <w:div w:id="1130241906">
              <w:marLeft w:val="0"/>
              <w:marRight w:val="0"/>
              <w:marTop w:val="0"/>
              <w:marBottom w:val="0"/>
              <w:divBdr>
                <w:top w:val="none" w:sz="0" w:space="0" w:color="auto"/>
                <w:left w:val="none" w:sz="0" w:space="0" w:color="auto"/>
                <w:bottom w:val="none" w:sz="0" w:space="0" w:color="auto"/>
                <w:right w:val="none" w:sz="0" w:space="0" w:color="auto"/>
              </w:divBdr>
            </w:div>
          </w:divsChild>
        </w:div>
        <w:div w:id="2014991301">
          <w:marLeft w:val="0"/>
          <w:marRight w:val="0"/>
          <w:marTop w:val="0"/>
          <w:marBottom w:val="0"/>
          <w:divBdr>
            <w:top w:val="none" w:sz="0" w:space="0" w:color="auto"/>
            <w:left w:val="none" w:sz="0" w:space="0" w:color="auto"/>
            <w:bottom w:val="none" w:sz="0" w:space="0" w:color="auto"/>
            <w:right w:val="none" w:sz="0" w:space="0" w:color="auto"/>
          </w:divBdr>
        </w:div>
        <w:div w:id="1371222197">
          <w:marLeft w:val="0"/>
          <w:marRight w:val="0"/>
          <w:marTop w:val="0"/>
          <w:marBottom w:val="0"/>
          <w:divBdr>
            <w:top w:val="none" w:sz="0" w:space="0" w:color="auto"/>
            <w:left w:val="none" w:sz="0" w:space="0" w:color="auto"/>
            <w:bottom w:val="none" w:sz="0" w:space="0" w:color="auto"/>
            <w:right w:val="none" w:sz="0" w:space="0" w:color="auto"/>
          </w:divBdr>
        </w:div>
        <w:div w:id="461651197">
          <w:marLeft w:val="0"/>
          <w:marRight w:val="0"/>
          <w:marTop w:val="0"/>
          <w:marBottom w:val="0"/>
          <w:divBdr>
            <w:top w:val="none" w:sz="0" w:space="0" w:color="auto"/>
            <w:left w:val="none" w:sz="0" w:space="0" w:color="auto"/>
            <w:bottom w:val="none" w:sz="0" w:space="0" w:color="auto"/>
            <w:right w:val="none" w:sz="0" w:space="0" w:color="auto"/>
          </w:divBdr>
          <w:divsChild>
            <w:div w:id="685206673">
              <w:marLeft w:val="0"/>
              <w:marRight w:val="0"/>
              <w:marTop w:val="0"/>
              <w:marBottom w:val="0"/>
              <w:divBdr>
                <w:top w:val="none" w:sz="0" w:space="0" w:color="auto"/>
                <w:left w:val="none" w:sz="0" w:space="0" w:color="auto"/>
                <w:bottom w:val="none" w:sz="0" w:space="0" w:color="auto"/>
                <w:right w:val="none" w:sz="0" w:space="0" w:color="auto"/>
              </w:divBdr>
            </w:div>
          </w:divsChild>
        </w:div>
        <w:div w:id="1213271283">
          <w:marLeft w:val="0"/>
          <w:marRight w:val="0"/>
          <w:marTop w:val="0"/>
          <w:marBottom w:val="0"/>
          <w:divBdr>
            <w:top w:val="none" w:sz="0" w:space="0" w:color="auto"/>
            <w:left w:val="none" w:sz="0" w:space="0" w:color="auto"/>
            <w:bottom w:val="none" w:sz="0" w:space="0" w:color="auto"/>
            <w:right w:val="none" w:sz="0" w:space="0" w:color="auto"/>
          </w:divBdr>
        </w:div>
        <w:div w:id="1397704055">
          <w:marLeft w:val="0"/>
          <w:marRight w:val="0"/>
          <w:marTop w:val="0"/>
          <w:marBottom w:val="0"/>
          <w:divBdr>
            <w:top w:val="none" w:sz="0" w:space="0" w:color="auto"/>
            <w:left w:val="none" w:sz="0" w:space="0" w:color="auto"/>
            <w:bottom w:val="none" w:sz="0" w:space="0" w:color="auto"/>
            <w:right w:val="none" w:sz="0" w:space="0" w:color="auto"/>
          </w:divBdr>
        </w:div>
        <w:div w:id="68626550">
          <w:marLeft w:val="0"/>
          <w:marRight w:val="0"/>
          <w:marTop w:val="0"/>
          <w:marBottom w:val="0"/>
          <w:divBdr>
            <w:top w:val="none" w:sz="0" w:space="0" w:color="auto"/>
            <w:left w:val="none" w:sz="0" w:space="0" w:color="auto"/>
            <w:bottom w:val="none" w:sz="0" w:space="0" w:color="auto"/>
            <w:right w:val="none" w:sz="0" w:space="0" w:color="auto"/>
          </w:divBdr>
        </w:div>
        <w:div w:id="500395160">
          <w:marLeft w:val="0"/>
          <w:marRight w:val="0"/>
          <w:marTop w:val="0"/>
          <w:marBottom w:val="0"/>
          <w:divBdr>
            <w:top w:val="none" w:sz="0" w:space="0" w:color="auto"/>
            <w:left w:val="none" w:sz="0" w:space="0" w:color="auto"/>
            <w:bottom w:val="none" w:sz="0" w:space="0" w:color="auto"/>
            <w:right w:val="none" w:sz="0" w:space="0" w:color="auto"/>
          </w:divBdr>
          <w:divsChild>
            <w:div w:id="1046218476">
              <w:marLeft w:val="0"/>
              <w:marRight w:val="0"/>
              <w:marTop w:val="0"/>
              <w:marBottom w:val="0"/>
              <w:divBdr>
                <w:top w:val="none" w:sz="0" w:space="0" w:color="auto"/>
                <w:left w:val="none" w:sz="0" w:space="0" w:color="auto"/>
                <w:bottom w:val="none" w:sz="0" w:space="0" w:color="auto"/>
                <w:right w:val="none" w:sz="0" w:space="0" w:color="auto"/>
              </w:divBdr>
            </w:div>
          </w:divsChild>
        </w:div>
        <w:div w:id="692149287">
          <w:marLeft w:val="0"/>
          <w:marRight w:val="0"/>
          <w:marTop w:val="0"/>
          <w:marBottom w:val="0"/>
          <w:divBdr>
            <w:top w:val="none" w:sz="0" w:space="0" w:color="auto"/>
            <w:left w:val="none" w:sz="0" w:space="0" w:color="auto"/>
            <w:bottom w:val="none" w:sz="0" w:space="0" w:color="auto"/>
            <w:right w:val="none" w:sz="0" w:space="0" w:color="auto"/>
          </w:divBdr>
        </w:div>
        <w:div w:id="1994749572">
          <w:marLeft w:val="0"/>
          <w:marRight w:val="0"/>
          <w:marTop w:val="0"/>
          <w:marBottom w:val="0"/>
          <w:divBdr>
            <w:top w:val="none" w:sz="0" w:space="0" w:color="auto"/>
            <w:left w:val="none" w:sz="0" w:space="0" w:color="auto"/>
            <w:bottom w:val="none" w:sz="0" w:space="0" w:color="auto"/>
            <w:right w:val="none" w:sz="0" w:space="0" w:color="auto"/>
          </w:divBdr>
        </w:div>
        <w:div w:id="1927111144">
          <w:marLeft w:val="0"/>
          <w:marRight w:val="0"/>
          <w:marTop w:val="0"/>
          <w:marBottom w:val="0"/>
          <w:divBdr>
            <w:top w:val="none" w:sz="0" w:space="0" w:color="auto"/>
            <w:left w:val="none" w:sz="0" w:space="0" w:color="auto"/>
            <w:bottom w:val="none" w:sz="0" w:space="0" w:color="auto"/>
            <w:right w:val="none" w:sz="0" w:space="0" w:color="auto"/>
          </w:divBdr>
          <w:divsChild>
            <w:div w:id="1083066156">
              <w:marLeft w:val="0"/>
              <w:marRight w:val="0"/>
              <w:marTop w:val="0"/>
              <w:marBottom w:val="0"/>
              <w:divBdr>
                <w:top w:val="none" w:sz="0" w:space="0" w:color="auto"/>
                <w:left w:val="none" w:sz="0" w:space="0" w:color="auto"/>
                <w:bottom w:val="none" w:sz="0" w:space="0" w:color="auto"/>
                <w:right w:val="none" w:sz="0" w:space="0" w:color="auto"/>
              </w:divBdr>
            </w:div>
          </w:divsChild>
        </w:div>
        <w:div w:id="809521473">
          <w:marLeft w:val="0"/>
          <w:marRight w:val="0"/>
          <w:marTop w:val="0"/>
          <w:marBottom w:val="0"/>
          <w:divBdr>
            <w:top w:val="none" w:sz="0" w:space="0" w:color="auto"/>
            <w:left w:val="none" w:sz="0" w:space="0" w:color="auto"/>
            <w:bottom w:val="none" w:sz="0" w:space="0" w:color="auto"/>
            <w:right w:val="none" w:sz="0" w:space="0" w:color="auto"/>
          </w:divBdr>
        </w:div>
        <w:div w:id="943659210">
          <w:marLeft w:val="0"/>
          <w:marRight w:val="0"/>
          <w:marTop w:val="0"/>
          <w:marBottom w:val="0"/>
          <w:divBdr>
            <w:top w:val="none" w:sz="0" w:space="0" w:color="auto"/>
            <w:left w:val="none" w:sz="0" w:space="0" w:color="auto"/>
            <w:bottom w:val="none" w:sz="0" w:space="0" w:color="auto"/>
            <w:right w:val="none" w:sz="0" w:space="0" w:color="auto"/>
          </w:divBdr>
        </w:div>
        <w:div w:id="548109717">
          <w:marLeft w:val="0"/>
          <w:marRight w:val="0"/>
          <w:marTop w:val="0"/>
          <w:marBottom w:val="0"/>
          <w:divBdr>
            <w:top w:val="none" w:sz="0" w:space="0" w:color="auto"/>
            <w:left w:val="none" w:sz="0" w:space="0" w:color="auto"/>
            <w:bottom w:val="none" w:sz="0" w:space="0" w:color="auto"/>
            <w:right w:val="none" w:sz="0" w:space="0" w:color="auto"/>
          </w:divBdr>
          <w:divsChild>
            <w:div w:id="267663291">
              <w:marLeft w:val="0"/>
              <w:marRight w:val="0"/>
              <w:marTop w:val="0"/>
              <w:marBottom w:val="0"/>
              <w:divBdr>
                <w:top w:val="none" w:sz="0" w:space="0" w:color="auto"/>
                <w:left w:val="none" w:sz="0" w:space="0" w:color="auto"/>
                <w:bottom w:val="none" w:sz="0" w:space="0" w:color="auto"/>
                <w:right w:val="none" w:sz="0" w:space="0" w:color="auto"/>
              </w:divBdr>
            </w:div>
          </w:divsChild>
        </w:div>
        <w:div w:id="2023973583">
          <w:marLeft w:val="0"/>
          <w:marRight w:val="0"/>
          <w:marTop w:val="0"/>
          <w:marBottom w:val="0"/>
          <w:divBdr>
            <w:top w:val="none" w:sz="0" w:space="0" w:color="auto"/>
            <w:left w:val="none" w:sz="0" w:space="0" w:color="auto"/>
            <w:bottom w:val="none" w:sz="0" w:space="0" w:color="auto"/>
            <w:right w:val="none" w:sz="0" w:space="0" w:color="auto"/>
          </w:divBdr>
        </w:div>
        <w:div w:id="1185902990">
          <w:marLeft w:val="0"/>
          <w:marRight w:val="0"/>
          <w:marTop w:val="0"/>
          <w:marBottom w:val="0"/>
          <w:divBdr>
            <w:top w:val="none" w:sz="0" w:space="0" w:color="auto"/>
            <w:left w:val="none" w:sz="0" w:space="0" w:color="auto"/>
            <w:bottom w:val="none" w:sz="0" w:space="0" w:color="auto"/>
            <w:right w:val="none" w:sz="0" w:space="0" w:color="auto"/>
          </w:divBdr>
        </w:div>
        <w:div w:id="1295405751">
          <w:marLeft w:val="0"/>
          <w:marRight w:val="0"/>
          <w:marTop w:val="0"/>
          <w:marBottom w:val="0"/>
          <w:divBdr>
            <w:top w:val="none" w:sz="0" w:space="0" w:color="auto"/>
            <w:left w:val="none" w:sz="0" w:space="0" w:color="auto"/>
            <w:bottom w:val="none" w:sz="0" w:space="0" w:color="auto"/>
            <w:right w:val="none" w:sz="0" w:space="0" w:color="auto"/>
          </w:divBdr>
          <w:divsChild>
            <w:div w:id="149106086">
              <w:marLeft w:val="0"/>
              <w:marRight w:val="0"/>
              <w:marTop w:val="0"/>
              <w:marBottom w:val="0"/>
              <w:divBdr>
                <w:top w:val="none" w:sz="0" w:space="0" w:color="auto"/>
                <w:left w:val="none" w:sz="0" w:space="0" w:color="auto"/>
                <w:bottom w:val="none" w:sz="0" w:space="0" w:color="auto"/>
                <w:right w:val="none" w:sz="0" w:space="0" w:color="auto"/>
              </w:divBdr>
            </w:div>
          </w:divsChild>
        </w:div>
        <w:div w:id="1738823119">
          <w:marLeft w:val="0"/>
          <w:marRight w:val="0"/>
          <w:marTop w:val="0"/>
          <w:marBottom w:val="0"/>
          <w:divBdr>
            <w:top w:val="none" w:sz="0" w:space="0" w:color="auto"/>
            <w:left w:val="none" w:sz="0" w:space="0" w:color="auto"/>
            <w:bottom w:val="none" w:sz="0" w:space="0" w:color="auto"/>
            <w:right w:val="none" w:sz="0" w:space="0" w:color="auto"/>
          </w:divBdr>
        </w:div>
        <w:div w:id="276303049">
          <w:marLeft w:val="0"/>
          <w:marRight w:val="0"/>
          <w:marTop w:val="0"/>
          <w:marBottom w:val="0"/>
          <w:divBdr>
            <w:top w:val="none" w:sz="0" w:space="0" w:color="auto"/>
            <w:left w:val="none" w:sz="0" w:space="0" w:color="auto"/>
            <w:bottom w:val="none" w:sz="0" w:space="0" w:color="auto"/>
            <w:right w:val="none" w:sz="0" w:space="0" w:color="auto"/>
          </w:divBdr>
        </w:div>
        <w:div w:id="909735356">
          <w:marLeft w:val="0"/>
          <w:marRight w:val="0"/>
          <w:marTop w:val="0"/>
          <w:marBottom w:val="0"/>
          <w:divBdr>
            <w:top w:val="none" w:sz="0" w:space="0" w:color="auto"/>
            <w:left w:val="none" w:sz="0" w:space="0" w:color="auto"/>
            <w:bottom w:val="none" w:sz="0" w:space="0" w:color="auto"/>
            <w:right w:val="none" w:sz="0" w:space="0" w:color="auto"/>
          </w:divBdr>
          <w:divsChild>
            <w:div w:id="237791651">
              <w:marLeft w:val="0"/>
              <w:marRight w:val="0"/>
              <w:marTop w:val="0"/>
              <w:marBottom w:val="0"/>
              <w:divBdr>
                <w:top w:val="none" w:sz="0" w:space="0" w:color="auto"/>
                <w:left w:val="none" w:sz="0" w:space="0" w:color="auto"/>
                <w:bottom w:val="none" w:sz="0" w:space="0" w:color="auto"/>
                <w:right w:val="none" w:sz="0" w:space="0" w:color="auto"/>
              </w:divBdr>
            </w:div>
          </w:divsChild>
        </w:div>
        <w:div w:id="1556161905">
          <w:marLeft w:val="0"/>
          <w:marRight w:val="0"/>
          <w:marTop w:val="0"/>
          <w:marBottom w:val="0"/>
          <w:divBdr>
            <w:top w:val="none" w:sz="0" w:space="0" w:color="auto"/>
            <w:left w:val="none" w:sz="0" w:space="0" w:color="auto"/>
            <w:bottom w:val="none" w:sz="0" w:space="0" w:color="auto"/>
            <w:right w:val="none" w:sz="0" w:space="0" w:color="auto"/>
          </w:divBdr>
        </w:div>
        <w:div w:id="1664309554">
          <w:marLeft w:val="0"/>
          <w:marRight w:val="0"/>
          <w:marTop w:val="0"/>
          <w:marBottom w:val="0"/>
          <w:divBdr>
            <w:top w:val="none" w:sz="0" w:space="0" w:color="auto"/>
            <w:left w:val="none" w:sz="0" w:space="0" w:color="auto"/>
            <w:bottom w:val="none" w:sz="0" w:space="0" w:color="auto"/>
            <w:right w:val="none" w:sz="0" w:space="0" w:color="auto"/>
          </w:divBdr>
        </w:div>
        <w:div w:id="2018074113">
          <w:marLeft w:val="0"/>
          <w:marRight w:val="0"/>
          <w:marTop w:val="0"/>
          <w:marBottom w:val="0"/>
          <w:divBdr>
            <w:top w:val="none" w:sz="0" w:space="0" w:color="auto"/>
            <w:left w:val="none" w:sz="0" w:space="0" w:color="auto"/>
            <w:bottom w:val="none" w:sz="0" w:space="0" w:color="auto"/>
            <w:right w:val="none" w:sz="0" w:space="0" w:color="auto"/>
          </w:divBdr>
          <w:divsChild>
            <w:div w:id="52849057">
              <w:marLeft w:val="0"/>
              <w:marRight w:val="0"/>
              <w:marTop w:val="0"/>
              <w:marBottom w:val="0"/>
              <w:divBdr>
                <w:top w:val="none" w:sz="0" w:space="0" w:color="auto"/>
                <w:left w:val="none" w:sz="0" w:space="0" w:color="auto"/>
                <w:bottom w:val="none" w:sz="0" w:space="0" w:color="auto"/>
                <w:right w:val="none" w:sz="0" w:space="0" w:color="auto"/>
              </w:divBdr>
            </w:div>
          </w:divsChild>
        </w:div>
        <w:div w:id="1975134434">
          <w:marLeft w:val="0"/>
          <w:marRight w:val="0"/>
          <w:marTop w:val="0"/>
          <w:marBottom w:val="0"/>
          <w:divBdr>
            <w:top w:val="none" w:sz="0" w:space="0" w:color="auto"/>
            <w:left w:val="none" w:sz="0" w:space="0" w:color="auto"/>
            <w:bottom w:val="none" w:sz="0" w:space="0" w:color="auto"/>
            <w:right w:val="none" w:sz="0" w:space="0" w:color="auto"/>
          </w:divBdr>
        </w:div>
        <w:div w:id="38404651">
          <w:marLeft w:val="0"/>
          <w:marRight w:val="0"/>
          <w:marTop w:val="0"/>
          <w:marBottom w:val="0"/>
          <w:divBdr>
            <w:top w:val="none" w:sz="0" w:space="0" w:color="auto"/>
            <w:left w:val="none" w:sz="0" w:space="0" w:color="auto"/>
            <w:bottom w:val="none" w:sz="0" w:space="0" w:color="auto"/>
            <w:right w:val="none" w:sz="0" w:space="0" w:color="auto"/>
          </w:divBdr>
        </w:div>
        <w:div w:id="1442847020">
          <w:marLeft w:val="0"/>
          <w:marRight w:val="0"/>
          <w:marTop w:val="0"/>
          <w:marBottom w:val="0"/>
          <w:divBdr>
            <w:top w:val="none" w:sz="0" w:space="0" w:color="auto"/>
            <w:left w:val="none" w:sz="0" w:space="0" w:color="auto"/>
            <w:bottom w:val="none" w:sz="0" w:space="0" w:color="auto"/>
            <w:right w:val="none" w:sz="0" w:space="0" w:color="auto"/>
          </w:divBdr>
          <w:divsChild>
            <w:div w:id="766003037">
              <w:marLeft w:val="0"/>
              <w:marRight w:val="0"/>
              <w:marTop w:val="0"/>
              <w:marBottom w:val="0"/>
              <w:divBdr>
                <w:top w:val="none" w:sz="0" w:space="0" w:color="auto"/>
                <w:left w:val="none" w:sz="0" w:space="0" w:color="auto"/>
                <w:bottom w:val="none" w:sz="0" w:space="0" w:color="auto"/>
                <w:right w:val="none" w:sz="0" w:space="0" w:color="auto"/>
              </w:divBdr>
            </w:div>
          </w:divsChild>
        </w:div>
        <w:div w:id="958335797">
          <w:marLeft w:val="0"/>
          <w:marRight w:val="0"/>
          <w:marTop w:val="0"/>
          <w:marBottom w:val="0"/>
          <w:divBdr>
            <w:top w:val="none" w:sz="0" w:space="0" w:color="auto"/>
            <w:left w:val="none" w:sz="0" w:space="0" w:color="auto"/>
            <w:bottom w:val="none" w:sz="0" w:space="0" w:color="auto"/>
            <w:right w:val="none" w:sz="0" w:space="0" w:color="auto"/>
          </w:divBdr>
        </w:div>
        <w:div w:id="2081557802">
          <w:marLeft w:val="0"/>
          <w:marRight w:val="0"/>
          <w:marTop w:val="0"/>
          <w:marBottom w:val="0"/>
          <w:divBdr>
            <w:top w:val="none" w:sz="0" w:space="0" w:color="auto"/>
            <w:left w:val="none" w:sz="0" w:space="0" w:color="auto"/>
            <w:bottom w:val="none" w:sz="0" w:space="0" w:color="auto"/>
            <w:right w:val="none" w:sz="0" w:space="0" w:color="auto"/>
          </w:divBdr>
        </w:div>
        <w:div w:id="1038119169">
          <w:marLeft w:val="0"/>
          <w:marRight w:val="0"/>
          <w:marTop w:val="0"/>
          <w:marBottom w:val="0"/>
          <w:divBdr>
            <w:top w:val="none" w:sz="0" w:space="0" w:color="auto"/>
            <w:left w:val="none" w:sz="0" w:space="0" w:color="auto"/>
            <w:bottom w:val="none" w:sz="0" w:space="0" w:color="auto"/>
            <w:right w:val="none" w:sz="0" w:space="0" w:color="auto"/>
          </w:divBdr>
          <w:divsChild>
            <w:div w:id="235172797">
              <w:marLeft w:val="0"/>
              <w:marRight w:val="0"/>
              <w:marTop w:val="0"/>
              <w:marBottom w:val="0"/>
              <w:divBdr>
                <w:top w:val="none" w:sz="0" w:space="0" w:color="auto"/>
                <w:left w:val="none" w:sz="0" w:space="0" w:color="auto"/>
                <w:bottom w:val="none" w:sz="0" w:space="0" w:color="auto"/>
                <w:right w:val="none" w:sz="0" w:space="0" w:color="auto"/>
              </w:divBdr>
            </w:div>
          </w:divsChild>
        </w:div>
        <w:div w:id="1597012214">
          <w:marLeft w:val="0"/>
          <w:marRight w:val="0"/>
          <w:marTop w:val="0"/>
          <w:marBottom w:val="0"/>
          <w:divBdr>
            <w:top w:val="none" w:sz="0" w:space="0" w:color="auto"/>
            <w:left w:val="none" w:sz="0" w:space="0" w:color="auto"/>
            <w:bottom w:val="none" w:sz="0" w:space="0" w:color="auto"/>
            <w:right w:val="none" w:sz="0" w:space="0" w:color="auto"/>
          </w:divBdr>
        </w:div>
        <w:div w:id="724646099">
          <w:marLeft w:val="0"/>
          <w:marRight w:val="0"/>
          <w:marTop w:val="0"/>
          <w:marBottom w:val="0"/>
          <w:divBdr>
            <w:top w:val="none" w:sz="0" w:space="0" w:color="auto"/>
            <w:left w:val="none" w:sz="0" w:space="0" w:color="auto"/>
            <w:bottom w:val="none" w:sz="0" w:space="0" w:color="auto"/>
            <w:right w:val="none" w:sz="0" w:space="0" w:color="auto"/>
          </w:divBdr>
        </w:div>
        <w:div w:id="712460160">
          <w:marLeft w:val="0"/>
          <w:marRight w:val="0"/>
          <w:marTop w:val="0"/>
          <w:marBottom w:val="0"/>
          <w:divBdr>
            <w:top w:val="none" w:sz="0" w:space="0" w:color="auto"/>
            <w:left w:val="none" w:sz="0" w:space="0" w:color="auto"/>
            <w:bottom w:val="none" w:sz="0" w:space="0" w:color="auto"/>
            <w:right w:val="none" w:sz="0" w:space="0" w:color="auto"/>
          </w:divBdr>
          <w:divsChild>
            <w:div w:id="305472295">
              <w:marLeft w:val="0"/>
              <w:marRight w:val="0"/>
              <w:marTop w:val="0"/>
              <w:marBottom w:val="0"/>
              <w:divBdr>
                <w:top w:val="none" w:sz="0" w:space="0" w:color="auto"/>
                <w:left w:val="none" w:sz="0" w:space="0" w:color="auto"/>
                <w:bottom w:val="none" w:sz="0" w:space="0" w:color="auto"/>
                <w:right w:val="none" w:sz="0" w:space="0" w:color="auto"/>
              </w:divBdr>
            </w:div>
          </w:divsChild>
        </w:div>
        <w:div w:id="534930016">
          <w:marLeft w:val="0"/>
          <w:marRight w:val="0"/>
          <w:marTop w:val="0"/>
          <w:marBottom w:val="0"/>
          <w:divBdr>
            <w:top w:val="none" w:sz="0" w:space="0" w:color="auto"/>
            <w:left w:val="none" w:sz="0" w:space="0" w:color="auto"/>
            <w:bottom w:val="none" w:sz="0" w:space="0" w:color="auto"/>
            <w:right w:val="none" w:sz="0" w:space="0" w:color="auto"/>
          </w:divBdr>
        </w:div>
        <w:div w:id="340812364">
          <w:marLeft w:val="0"/>
          <w:marRight w:val="0"/>
          <w:marTop w:val="0"/>
          <w:marBottom w:val="0"/>
          <w:divBdr>
            <w:top w:val="none" w:sz="0" w:space="0" w:color="auto"/>
            <w:left w:val="none" w:sz="0" w:space="0" w:color="auto"/>
            <w:bottom w:val="none" w:sz="0" w:space="0" w:color="auto"/>
            <w:right w:val="none" w:sz="0" w:space="0" w:color="auto"/>
          </w:divBdr>
        </w:div>
        <w:div w:id="453716936">
          <w:marLeft w:val="0"/>
          <w:marRight w:val="0"/>
          <w:marTop w:val="0"/>
          <w:marBottom w:val="0"/>
          <w:divBdr>
            <w:top w:val="none" w:sz="0" w:space="0" w:color="auto"/>
            <w:left w:val="none" w:sz="0" w:space="0" w:color="auto"/>
            <w:bottom w:val="none" w:sz="0" w:space="0" w:color="auto"/>
            <w:right w:val="none" w:sz="0" w:space="0" w:color="auto"/>
          </w:divBdr>
          <w:divsChild>
            <w:div w:id="899753257">
              <w:marLeft w:val="0"/>
              <w:marRight w:val="0"/>
              <w:marTop w:val="0"/>
              <w:marBottom w:val="0"/>
              <w:divBdr>
                <w:top w:val="none" w:sz="0" w:space="0" w:color="auto"/>
                <w:left w:val="none" w:sz="0" w:space="0" w:color="auto"/>
                <w:bottom w:val="none" w:sz="0" w:space="0" w:color="auto"/>
                <w:right w:val="none" w:sz="0" w:space="0" w:color="auto"/>
              </w:divBdr>
            </w:div>
          </w:divsChild>
        </w:div>
        <w:div w:id="461922827">
          <w:marLeft w:val="0"/>
          <w:marRight w:val="0"/>
          <w:marTop w:val="0"/>
          <w:marBottom w:val="0"/>
          <w:divBdr>
            <w:top w:val="none" w:sz="0" w:space="0" w:color="auto"/>
            <w:left w:val="none" w:sz="0" w:space="0" w:color="auto"/>
            <w:bottom w:val="none" w:sz="0" w:space="0" w:color="auto"/>
            <w:right w:val="none" w:sz="0" w:space="0" w:color="auto"/>
          </w:divBdr>
        </w:div>
        <w:div w:id="1560897102">
          <w:marLeft w:val="0"/>
          <w:marRight w:val="0"/>
          <w:marTop w:val="0"/>
          <w:marBottom w:val="0"/>
          <w:divBdr>
            <w:top w:val="none" w:sz="0" w:space="0" w:color="auto"/>
            <w:left w:val="none" w:sz="0" w:space="0" w:color="auto"/>
            <w:bottom w:val="none" w:sz="0" w:space="0" w:color="auto"/>
            <w:right w:val="none" w:sz="0" w:space="0" w:color="auto"/>
          </w:divBdr>
        </w:div>
        <w:div w:id="1078795760">
          <w:marLeft w:val="0"/>
          <w:marRight w:val="0"/>
          <w:marTop w:val="0"/>
          <w:marBottom w:val="0"/>
          <w:divBdr>
            <w:top w:val="none" w:sz="0" w:space="0" w:color="auto"/>
            <w:left w:val="none" w:sz="0" w:space="0" w:color="auto"/>
            <w:bottom w:val="none" w:sz="0" w:space="0" w:color="auto"/>
            <w:right w:val="none" w:sz="0" w:space="0" w:color="auto"/>
          </w:divBdr>
          <w:divsChild>
            <w:div w:id="1571887951">
              <w:marLeft w:val="0"/>
              <w:marRight w:val="0"/>
              <w:marTop w:val="0"/>
              <w:marBottom w:val="0"/>
              <w:divBdr>
                <w:top w:val="none" w:sz="0" w:space="0" w:color="auto"/>
                <w:left w:val="none" w:sz="0" w:space="0" w:color="auto"/>
                <w:bottom w:val="none" w:sz="0" w:space="0" w:color="auto"/>
                <w:right w:val="none" w:sz="0" w:space="0" w:color="auto"/>
              </w:divBdr>
            </w:div>
          </w:divsChild>
        </w:div>
        <w:div w:id="403377258">
          <w:marLeft w:val="0"/>
          <w:marRight w:val="0"/>
          <w:marTop w:val="0"/>
          <w:marBottom w:val="0"/>
          <w:divBdr>
            <w:top w:val="none" w:sz="0" w:space="0" w:color="auto"/>
            <w:left w:val="none" w:sz="0" w:space="0" w:color="auto"/>
            <w:bottom w:val="none" w:sz="0" w:space="0" w:color="auto"/>
            <w:right w:val="none" w:sz="0" w:space="0" w:color="auto"/>
          </w:divBdr>
        </w:div>
        <w:div w:id="1329209205">
          <w:marLeft w:val="0"/>
          <w:marRight w:val="0"/>
          <w:marTop w:val="0"/>
          <w:marBottom w:val="0"/>
          <w:divBdr>
            <w:top w:val="none" w:sz="0" w:space="0" w:color="auto"/>
            <w:left w:val="none" w:sz="0" w:space="0" w:color="auto"/>
            <w:bottom w:val="none" w:sz="0" w:space="0" w:color="auto"/>
            <w:right w:val="none" w:sz="0" w:space="0" w:color="auto"/>
          </w:divBdr>
        </w:div>
        <w:div w:id="2013485713">
          <w:marLeft w:val="0"/>
          <w:marRight w:val="0"/>
          <w:marTop w:val="0"/>
          <w:marBottom w:val="0"/>
          <w:divBdr>
            <w:top w:val="none" w:sz="0" w:space="0" w:color="auto"/>
            <w:left w:val="none" w:sz="0" w:space="0" w:color="auto"/>
            <w:bottom w:val="none" w:sz="0" w:space="0" w:color="auto"/>
            <w:right w:val="none" w:sz="0" w:space="0" w:color="auto"/>
          </w:divBdr>
          <w:divsChild>
            <w:div w:id="1264071223">
              <w:marLeft w:val="0"/>
              <w:marRight w:val="0"/>
              <w:marTop w:val="0"/>
              <w:marBottom w:val="0"/>
              <w:divBdr>
                <w:top w:val="none" w:sz="0" w:space="0" w:color="auto"/>
                <w:left w:val="none" w:sz="0" w:space="0" w:color="auto"/>
                <w:bottom w:val="none" w:sz="0" w:space="0" w:color="auto"/>
                <w:right w:val="none" w:sz="0" w:space="0" w:color="auto"/>
              </w:divBdr>
            </w:div>
          </w:divsChild>
        </w:div>
        <w:div w:id="555623890">
          <w:marLeft w:val="0"/>
          <w:marRight w:val="0"/>
          <w:marTop w:val="0"/>
          <w:marBottom w:val="0"/>
          <w:divBdr>
            <w:top w:val="none" w:sz="0" w:space="0" w:color="auto"/>
            <w:left w:val="none" w:sz="0" w:space="0" w:color="auto"/>
            <w:bottom w:val="none" w:sz="0" w:space="0" w:color="auto"/>
            <w:right w:val="none" w:sz="0" w:space="0" w:color="auto"/>
          </w:divBdr>
        </w:div>
        <w:div w:id="56245961">
          <w:marLeft w:val="0"/>
          <w:marRight w:val="0"/>
          <w:marTop w:val="0"/>
          <w:marBottom w:val="0"/>
          <w:divBdr>
            <w:top w:val="none" w:sz="0" w:space="0" w:color="auto"/>
            <w:left w:val="none" w:sz="0" w:space="0" w:color="auto"/>
            <w:bottom w:val="none" w:sz="0" w:space="0" w:color="auto"/>
            <w:right w:val="none" w:sz="0" w:space="0" w:color="auto"/>
          </w:divBdr>
        </w:div>
        <w:div w:id="1178082093">
          <w:marLeft w:val="0"/>
          <w:marRight w:val="0"/>
          <w:marTop w:val="0"/>
          <w:marBottom w:val="0"/>
          <w:divBdr>
            <w:top w:val="none" w:sz="0" w:space="0" w:color="auto"/>
            <w:left w:val="none" w:sz="0" w:space="0" w:color="auto"/>
            <w:bottom w:val="none" w:sz="0" w:space="0" w:color="auto"/>
            <w:right w:val="none" w:sz="0" w:space="0" w:color="auto"/>
          </w:divBdr>
          <w:divsChild>
            <w:div w:id="1279533410">
              <w:marLeft w:val="0"/>
              <w:marRight w:val="0"/>
              <w:marTop w:val="0"/>
              <w:marBottom w:val="0"/>
              <w:divBdr>
                <w:top w:val="none" w:sz="0" w:space="0" w:color="auto"/>
                <w:left w:val="none" w:sz="0" w:space="0" w:color="auto"/>
                <w:bottom w:val="none" w:sz="0" w:space="0" w:color="auto"/>
                <w:right w:val="none" w:sz="0" w:space="0" w:color="auto"/>
              </w:divBdr>
            </w:div>
          </w:divsChild>
        </w:div>
        <w:div w:id="190916663">
          <w:marLeft w:val="0"/>
          <w:marRight w:val="0"/>
          <w:marTop w:val="0"/>
          <w:marBottom w:val="0"/>
          <w:divBdr>
            <w:top w:val="none" w:sz="0" w:space="0" w:color="auto"/>
            <w:left w:val="none" w:sz="0" w:space="0" w:color="auto"/>
            <w:bottom w:val="none" w:sz="0" w:space="0" w:color="auto"/>
            <w:right w:val="none" w:sz="0" w:space="0" w:color="auto"/>
          </w:divBdr>
        </w:div>
        <w:div w:id="1505897509">
          <w:marLeft w:val="0"/>
          <w:marRight w:val="0"/>
          <w:marTop w:val="0"/>
          <w:marBottom w:val="0"/>
          <w:divBdr>
            <w:top w:val="none" w:sz="0" w:space="0" w:color="auto"/>
            <w:left w:val="none" w:sz="0" w:space="0" w:color="auto"/>
            <w:bottom w:val="none" w:sz="0" w:space="0" w:color="auto"/>
            <w:right w:val="none" w:sz="0" w:space="0" w:color="auto"/>
          </w:divBdr>
        </w:div>
        <w:div w:id="767697513">
          <w:marLeft w:val="0"/>
          <w:marRight w:val="0"/>
          <w:marTop w:val="0"/>
          <w:marBottom w:val="0"/>
          <w:divBdr>
            <w:top w:val="none" w:sz="0" w:space="0" w:color="auto"/>
            <w:left w:val="none" w:sz="0" w:space="0" w:color="auto"/>
            <w:bottom w:val="none" w:sz="0" w:space="0" w:color="auto"/>
            <w:right w:val="none" w:sz="0" w:space="0" w:color="auto"/>
          </w:divBdr>
        </w:div>
        <w:div w:id="881936969">
          <w:marLeft w:val="0"/>
          <w:marRight w:val="0"/>
          <w:marTop w:val="0"/>
          <w:marBottom w:val="0"/>
          <w:divBdr>
            <w:top w:val="none" w:sz="0" w:space="0" w:color="auto"/>
            <w:left w:val="none" w:sz="0" w:space="0" w:color="auto"/>
            <w:bottom w:val="none" w:sz="0" w:space="0" w:color="auto"/>
            <w:right w:val="none" w:sz="0" w:space="0" w:color="auto"/>
          </w:divBdr>
        </w:div>
        <w:div w:id="2146896296">
          <w:marLeft w:val="0"/>
          <w:marRight w:val="0"/>
          <w:marTop w:val="0"/>
          <w:marBottom w:val="0"/>
          <w:divBdr>
            <w:top w:val="none" w:sz="0" w:space="0" w:color="auto"/>
            <w:left w:val="none" w:sz="0" w:space="0" w:color="auto"/>
            <w:bottom w:val="none" w:sz="0" w:space="0" w:color="auto"/>
            <w:right w:val="none" w:sz="0" w:space="0" w:color="auto"/>
          </w:divBdr>
          <w:divsChild>
            <w:div w:id="1570463751">
              <w:marLeft w:val="0"/>
              <w:marRight w:val="0"/>
              <w:marTop w:val="0"/>
              <w:marBottom w:val="0"/>
              <w:divBdr>
                <w:top w:val="none" w:sz="0" w:space="0" w:color="auto"/>
                <w:left w:val="none" w:sz="0" w:space="0" w:color="auto"/>
                <w:bottom w:val="none" w:sz="0" w:space="0" w:color="auto"/>
                <w:right w:val="none" w:sz="0" w:space="0" w:color="auto"/>
              </w:divBdr>
            </w:div>
          </w:divsChild>
        </w:div>
        <w:div w:id="218174568">
          <w:marLeft w:val="0"/>
          <w:marRight w:val="0"/>
          <w:marTop w:val="0"/>
          <w:marBottom w:val="0"/>
          <w:divBdr>
            <w:top w:val="none" w:sz="0" w:space="0" w:color="auto"/>
            <w:left w:val="none" w:sz="0" w:space="0" w:color="auto"/>
            <w:bottom w:val="none" w:sz="0" w:space="0" w:color="auto"/>
            <w:right w:val="none" w:sz="0" w:space="0" w:color="auto"/>
          </w:divBdr>
        </w:div>
        <w:div w:id="1614745120">
          <w:marLeft w:val="0"/>
          <w:marRight w:val="0"/>
          <w:marTop w:val="0"/>
          <w:marBottom w:val="0"/>
          <w:divBdr>
            <w:top w:val="none" w:sz="0" w:space="0" w:color="auto"/>
            <w:left w:val="none" w:sz="0" w:space="0" w:color="auto"/>
            <w:bottom w:val="none" w:sz="0" w:space="0" w:color="auto"/>
            <w:right w:val="none" w:sz="0" w:space="0" w:color="auto"/>
          </w:divBdr>
        </w:div>
        <w:div w:id="447430442">
          <w:marLeft w:val="0"/>
          <w:marRight w:val="0"/>
          <w:marTop w:val="0"/>
          <w:marBottom w:val="0"/>
          <w:divBdr>
            <w:top w:val="none" w:sz="0" w:space="0" w:color="auto"/>
            <w:left w:val="none" w:sz="0" w:space="0" w:color="auto"/>
            <w:bottom w:val="none" w:sz="0" w:space="0" w:color="auto"/>
            <w:right w:val="none" w:sz="0" w:space="0" w:color="auto"/>
          </w:divBdr>
          <w:divsChild>
            <w:div w:id="1654069517">
              <w:marLeft w:val="0"/>
              <w:marRight w:val="0"/>
              <w:marTop w:val="0"/>
              <w:marBottom w:val="0"/>
              <w:divBdr>
                <w:top w:val="none" w:sz="0" w:space="0" w:color="auto"/>
                <w:left w:val="none" w:sz="0" w:space="0" w:color="auto"/>
                <w:bottom w:val="none" w:sz="0" w:space="0" w:color="auto"/>
                <w:right w:val="none" w:sz="0" w:space="0" w:color="auto"/>
              </w:divBdr>
            </w:div>
          </w:divsChild>
        </w:div>
        <w:div w:id="1225797298">
          <w:marLeft w:val="0"/>
          <w:marRight w:val="0"/>
          <w:marTop w:val="0"/>
          <w:marBottom w:val="0"/>
          <w:divBdr>
            <w:top w:val="none" w:sz="0" w:space="0" w:color="auto"/>
            <w:left w:val="none" w:sz="0" w:space="0" w:color="auto"/>
            <w:bottom w:val="none" w:sz="0" w:space="0" w:color="auto"/>
            <w:right w:val="none" w:sz="0" w:space="0" w:color="auto"/>
          </w:divBdr>
        </w:div>
        <w:div w:id="2117753460">
          <w:marLeft w:val="0"/>
          <w:marRight w:val="0"/>
          <w:marTop w:val="0"/>
          <w:marBottom w:val="0"/>
          <w:divBdr>
            <w:top w:val="none" w:sz="0" w:space="0" w:color="auto"/>
            <w:left w:val="none" w:sz="0" w:space="0" w:color="auto"/>
            <w:bottom w:val="none" w:sz="0" w:space="0" w:color="auto"/>
            <w:right w:val="none" w:sz="0" w:space="0" w:color="auto"/>
          </w:divBdr>
        </w:div>
        <w:div w:id="454253307">
          <w:marLeft w:val="0"/>
          <w:marRight w:val="0"/>
          <w:marTop w:val="0"/>
          <w:marBottom w:val="0"/>
          <w:divBdr>
            <w:top w:val="none" w:sz="0" w:space="0" w:color="auto"/>
            <w:left w:val="none" w:sz="0" w:space="0" w:color="auto"/>
            <w:bottom w:val="none" w:sz="0" w:space="0" w:color="auto"/>
            <w:right w:val="none" w:sz="0" w:space="0" w:color="auto"/>
          </w:divBdr>
          <w:divsChild>
            <w:div w:id="1115489484">
              <w:marLeft w:val="0"/>
              <w:marRight w:val="0"/>
              <w:marTop w:val="0"/>
              <w:marBottom w:val="0"/>
              <w:divBdr>
                <w:top w:val="none" w:sz="0" w:space="0" w:color="auto"/>
                <w:left w:val="none" w:sz="0" w:space="0" w:color="auto"/>
                <w:bottom w:val="none" w:sz="0" w:space="0" w:color="auto"/>
                <w:right w:val="none" w:sz="0" w:space="0" w:color="auto"/>
              </w:divBdr>
            </w:div>
          </w:divsChild>
        </w:div>
        <w:div w:id="2028409691">
          <w:marLeft w:val="0"/>
          <w:marRight w:val="0"/>
          <w:marTop w:val="0"/>
          <w:marBottom w:val="0"/>
          <w:divBdr>
            <w:top w:val="none" w:sz="0" w:space="0" w:color="auto"/>
            <w:left w:val="none" w:sz="0" w:space="0" w:color="auto"/>
            <w:bottom w:val="none" w:sz="0" w:space="0" w:color="auto"/>
            <w:right w:val="none" w:sz="0" w:space="0" w:color="auto"/>
          </w:divBdr>
        </w:div>
        <w:div w:id="631399215">
          <w:marLeft w:val="0"/>
          <w:marRight w:val="0"/>
          <w:marTop w:val="0"/>
          <w:marBottom w:val="0"/>
          <w:divBdr>
            <w:top w:val="none" w:sz="0" w:space="0" w:color="auto"/>
            <w:left w:val="none" w:sz="0" w:space="0" w:color="auto"/>
            <w:bottom w:val="none" w:sz="0" w:space="0" w:color="auto"/>
            <w:right w:val="none" w:sz="0" w:space="0" w:color="auto"/>
          </w:divBdr>
        </w:div>
        <w:div w:id="185598935">
          <w:marLeft w:val="0"/>
          <w:marRight w:val="0"/>
          <w:marTop w:val="0"/>
          <w:marBottom w:val="0"/>
          <w:divBdr>
            <w:top w:val="none" w:sz="0" w:space="0" w:color="auto"/>
            <w:left w:val="none" w:sz="0" w:space="0" w:color="auto"/>
            <w:bottom w:val="none" w:sz="0" w:space="0" w:color="auto"/>
            <w:right w:val="none" w:sz="0" w:space="0" w:color="auto"/>
          </w:divBdr>
          <w:divsChild>
            <w:div w:id="872771372">
              <w:marLeft w:val="0"/>
              <w:marRight w:val="0"/>
              <w:marTop w:val="0"/>
              <w:marBottom w:val="0"/>
              <w:divBdr>
                <w:top w:val="none" w:sz="0" w:space="0" w:color="auto"/>
                <w:left w:val="none" w:sz="0" w:space="0" w:color="auto"/>
                <w:bottom w:val="none" w:sz="0" w:space="0" w:color="auto"/>
                <w:right w:val="none" w:sz="0" w:space="0" w:color="auto"/>
              </w:divBdr>
            </w:div>
          </w:divsChild>
        </w:div>
        <w:div w:id="1509562336">
          <w:marLeft w:val="0"/>
          <w:marRight w:val="0"/>
          <w:marTop w:val="0"/>
          <w:marBottom w:val="0"/>
          <w:divBdr>
            <w:top w:val="none" w:sz="0" w:space="0" w:color="auto"/>
            <w:left w:val="none" w:sz="0" w:space="0" w:color="auto"/>
            <w:bottom w:val="none" w:sz="0" w:space="0" w:color="auto"/>
            <w:right w:val="none" w:sz="0" w:space="0" w:color="auto"/>
          </w:divBdr>
        </w:div>
        <w:div w:id="192618130">
          <w:marLeft w:val="0"/>
          <w:marRight w:val="0"/>
          <w:marTop w:val="0"/>
          <w:marBottom w:val="0"/>
          <w:divBdr>
            <w:top w:val="none" w:sz="0" w:space="0" w:color="auto"/>
            <w:left w:val="none" w:sz="0" w:space="0" w:color="auto"/>
            <w:bottom w:val="none" w:sz="0" w:space="0" w:color="auto"/>
            <w:right w:val="none" w:sz="0" w:space="0" w:color="auto"/>
          </w:divBdr>
        </w:div>
        <w:div w:id="1273897740">
          <w:marLeft w:val="0"/>
          <w:marRight w:val="0"/>
          <w:marTop w:val="0"/>
          <w:marBottom w:val="0"/>
          <w:divBdr>
            <w:top w:val="none" w:sz="0" w:space="0" w:color="auto"/>
            <w:left w:val="none" w:sz="0" w:space="0" w:color="auto"/>
            <w:bottom w:val="none" w:sz="0" w:space="0" w:color="auto"/>
            <w:right w:val="none" w:sz="0" w:space="0" w:color="auto"/>
          </w:divBdr>
        </w:div>
        <w:div w:id="1548101927">
          <w:marLeft w:val="0"/>
          <w:marRight w:val="0"/>
          <w:marTop w:val="0"/>
          <w:marBottom w:val="0"/>
          <w:divBdr>
            <w:top w:val="none" w:sz="0" w:space="0" w:color="auto"/>
            <w:left w:val="none" w:sz="0" w:space="0" w:color="auto"/>
            <w:bottom w:val="none" w:sz="0" w:space="0" w:color="auto"/>
            <w:right w:val="none" w:sz="0" w:space="0" w:color="auto"/>
          </w:divBdr>
          <w:divsChild>
            <w:div w:id="468671540">
              <w:marLeft w:val="0"/>
              <w:marRight w:val="0"/>
              <w:marTop w:val="0"/>
              <w:marBottom w:val="0"/>
              <w:divBdr>
                <w:top w:val="none" w:sz="0" w:space="0" w:color="auto"/>
                <w:left w:val="none" w:sz="0" w:space="0" w:color="auto"/>
                <w:bottom w:val="none" w:sz="0" w:space="0" w:color="auto"/>
                <w:right w:val="none" w:sz="0" w:space="0" w:color="auto"/>
              </w:divBdr>
            </w:div>
          </w:divsChild>
        </w:div>
        <w:div w:id="1049109505">
          <w:marLeft w:val="0"/>
          <w:marRight w:val="0"/>
          <w:marTop w:val="0"/>
          <w:marBottom w:val="0"/>
          <w:divBdr>
            <w:top w:val="none" w:sz="0" w:space="0" w:color="auto"/>
            <w:left w:val="none" w:sz="0" w:space="0" w:color="auto"/>
            <w:bottom w:val="none" w:sz="0" w:space="0" w:color="auto"/>
            <w:right w:val="none" w:sz="0" w:space="0" w:color="auto"/>
          </w:divBdr>
        </w:div>
        <w:div w:id="1190873424">
          <w:marLeft w:val="0"/>
          <w:marRight w:val="0"/>
          <w:marTop w:val="0"/>
          <w:marBottom w:val="0"/>
          <w:divBdr>
            <w:top w:val="none" w:sz="0" w:space="0" w:color="auto"/>
            <w:left w:val="none" w:sz="0" w:space="0" w:color="auto"/>
            <w:bottom w:val="none" w:sz="0" w:space="0" w:color="auto"/>
            <w:right w:val="none" w:sz="0" w:space="0" w:color="auto"/>
          </w:divBdr>
        </w:div>
        <w:div w:id="857236658">
          <w:marLeft w:val="0"/>
          <w:marRight w:val="0"/>
          <w:marTop w:val="0"/>
          <w:marBottom w:val="0"/>
          <w:divBdr>
            <w:top w:val="none" w:sz="0" w:space="0" w:color="auto"/>
            <w:left w:val="none" w:sz="0" w:space="0" w:color="auto"/>
            <w:bottom w:val="none" w:sz="0" w:space="0" w:color="auto"/>
            <w:right w:val="none" w:sz="0" w:space="0" w:color="auto"/>
          </w:divBdr>
          <w:divsChild>
            <w:div w:id="303318953">
              <w:marLeft w:val="0"/>
              <w:marRight w:val="0"/>
              <w:marTop w:val="0"/>
              <w:marBottom w:val="0"/>
              <w:divBdr>
                <w:top w:val="none" w:sz="0" w:space="0" w:color="auto"/>
                <w:left w:val="none" w:sz="0" w:space="0" w:color="auto"/>
                <w:bottom w:val="none" w:sz="0" w:space="0" w:color="auto"/>
                <w:right w:val="none" w:sz="0" w:space="0" w:color="auto"/>
              </w:divBdr>
            </w:div>
          </w:divsChild>
        </w:div>
        <w:div w:id="349141492">
          <w:marLeft w:val="0"/>
          <w:marRight w:val="0"/>
          <w:marTop w:val="0"/>
          <w:marBottom w:val="0"/>
          <w:divBdr>
            <w:top w:val="none" w:sz="0" w:space="0" w:color="auto"/>
            <w:left w:val="none" w:sz="0" w:space="0" w:color="auto"/>
            <w:bottom w:val="none" w:sz="0" w:space="0" w:color="auto"/>
            <w:right w:val="none" w:sz="0" w:space="0" w:color="auto"/>
          </w:divBdr>
        </w:div>
        <w:div w:id="916011446">
          <w:marLeft w:val="0"/>
          <w:marRight w:val="0"/>
          <w:marTop w:val="0"/>
          <w:marBottom w:val="0"/>
          <w:divBdr>
            <w:top w:val="none" w:sz="0" w:space="0" w:color="auto"/>
            <w:left w:val="none" w:sz="0" w:space="0" w:color="auto"/>
            <w:bottom w:val="none" w:sz="0" w:space="0" w:color="auto"/>
            <w:right w:val="none" w:sz="0" w:space="0" w:color="auto"/>
          </w:divBdr>
        </w:div>
        <w:div w:id="1759251573">
          <w:marLeft w:val="0"/>
          <w:marRight w:val="0"/>
          <w:marTop w:val="0"/>
          <w:marBottom w:val="0"/>
          <w:divBdr>
            <w:top w:val="none" w:sz="0" w:space="0" w:color="auto"/>
            <w:left w:val="none" w:sz="0" w:space="0" w:color="auto"/>
            <w:bottom w:val="none" w:sz="0" w:space="0" w:color="auto"/>
            <w:right w:val="none" w:sz="0" w:space="0" w:color="auto"/>
          </w:divBdr>
          <w:divsChild>
            <w:div w:id="49116331">
              <w:marLeft w:val="0"/>
              <w:marRight w:val="0"/>
              <w:marTop w:val="0"/>
              <w:marBottom w:val="0"/>
              <w:divBdr>
                <w:top w:val="none" w:sz="0" w:space="0" w:color="auto"/>
                <w:left w:val="none" w:sz="0" w:space="0" w:color="auto"/>
                <w:bottom w:val="none" w:sz="0" w:space="0" w:color="auto"/>
                <w:right w:val="none" w:sz="0" w:space="0" w:color="auto"/>
              </w:divBdr>
            </w:div>
          </w:divsChild>
        </w:div>
        <w:div w:id="1743067926">
          <w:marLeft w:val="0"/>
          <w:marRight w:val="0"/>
          <w:marTop w:val="0"/>
          <w:marBottom w:val="0"/>
          <w:divBdr>
            <w:top w:val="none" w:sz="0" w:space="0" w:color="auto"/>
            <w:left w:val="none" w:sz="0" w:space="0" w:color="auto"/>
            <w:bottom w:val="none" w:sz="0" w:space="0" w:color="auto"/>
            <w:right w:val="none" w:sz="0" w:space="0" w:color="auto"/>
          </w:divBdr>
        </w:div>
        <w:div w:id="610093041">
          <w:marLeft w:val="0"/>
          <w:marRight w:val="0"/>
          <w:marTop w:val="0"/>
          <w:marBottom w:val="0"/>
          <w:divBdr>
            <w:top w:val="none" w:sz="0" w:space="0" w:color="auto"/>
            <w:left w:val="none" w:sz="0" w:space="0" w:color="auto"/>
            <w:bottom w:val="none" w:sz="0" w:space="0" w:color="auto"/>
            <w:right w:val="none" w:sz="0" w:space="0" w:color="auto"/>
          </w:divBdr>
        </w:div>
        <w:div w:id="263266286">
          <w:marLeft w:val="0"/>
          <w:marRight w:val="0"/>
          <w:marTop w:val="0"/>
          <w:marBottom w:val="0"/>
          <w:divBdr>
            <w:top w:val="none" w:sz="0" w:space="0" w:color="auto"/>
            <w:left w:val="none" w:sz="0" w:space="0" w:color="auto"/>
            <w:bottom w:val="none" w:sz="0" w:space="0" w:color="auto"/>
            <w:right w:val="none" w:sz="0" w:space="0" w:color="auto"/>
          </w:divBdr>
          <w:divsChild>
            <w:div w:id="56128580">
              <w:marLeft w:val="0"/>
              <w:marRight w:val="0"/>
              <w:marTop w:val="0"/>
              <w:marBottom w:val="0"/>
              <w:divBdr>
                <w:top w:val="none" w:sz="0" w:space="0" w:color="auto"/>
                <w:left w:val="none" w:sz="0" w:space="0" w:color="auto"/>
                <w:bottom w:val="none" w:sz="0" w:space="0" w:color="auto"/>
                <w:right w:val="none" w:sz="0" w:space="0" w:color="auto"/>
              </w:divBdr>
            </w:div>
          </w:divsChild>
        </w:div>
        <w:div w:id="290326137">
          <w:marLeft w:val="0"/>
          <w:marRight w:val="0"/>
          <w:marTop w:val="0"/>
          <w:marBottom w:val="0"/>
          <w:divBdr>
            <w:top w:val="none" w:sz="0" w:space="0" w:color="auto"/>
            <w:left w:val="none" w:sz="0" w:space="0" w:color="auto"/>
            <w:bottom w:val="none" w:sz="0" w:space="0" w:color="auto"/>
            <w:right w:val="none" w:sz="0" w:space="0" w:color="auto"/>
          </w:divBdr>
        </w:div>
        <w:div w:id="1401832029">
          <w:marLeft w:val="0"/>
          <w:marRight w:val="0"/>
          <w:marTop w:val="0"/>
          <w:marBottom w:val="0"/>
          <w:divBdr>
            <w:top w:val="none" w:sz="0" w:space="0" w:color="auto"/>
            <w:left w:val="none" w:sz="0" w:space="0" w:color="auto"/>
            <w:bottom w:val="none" w:sz="0" w:space="0" w:color="auto"/>
            <w:right w:val="none" w:sz="0" w:space="0" w:color="auto"/>
          </w:divBdr>
        </w:div>
        <w:div w:id="1092579616">
          <w:marLeft w:val="0"/>
          <w:marRight w:val="0"/>
          <w:marTop w:val="0"/>
          <w:marBottom w:val="0"/>
          <w:divBdr>
            <w:top w:val="none" w:sz="0" w:space="0" w:color="auto"/>
            <w:left w:val="none" w:sz="0" w:space="0" w:color="auto"/>
            <w:bottom w:val="none" w:sz="0" w:space="0" w:color="auto"/>
            <w:right w:val="none" w:sz="0" w:space="0" w:color="auto"/>
          </w:divBdr>
          <w:divsChild>
            <w:div w:id="281617362">
              <w:marLeft w:val="0"/>
              <w:marRight w:val="0"/>
              <w:marTop w:val="0"/>
              <w:marBottom w:val="0"/>
              <w:divBdr>
                <w:top w:val="none" w:sz="0" w:space="0" w:color="auto"/>
                <w:left w:val="none" w:sz="0" w:space="0" w:color="auto"/>
                <w:bottom w:val="none" w:sz="0" w:space="0" w:color="auto"/>
                <w:right w:val="none" w:sz="0" w:space="0" w:color="auto"/>
              </w:divBdr>
            </w:div>
          </w:divsChild>
        </w:div>
        <w:div w:id="1905528264">
          <w:marLeft w:val="0"/>
          <w:marRight w:val="0"/>
          <w:marTop w:val="0"/>
          <w:marBottom w:val="0"/>
          <w:divBdr>
            <w:top w:val="none" w:sz="0" w:space="0" w:color="auto"/>
            <w:left w:val="none" w:sz="0" w:space="0" w:color="auto"/>
            <w:bottom w:val="none" w:sz="0" w:space="0" w:color="auto"/>
            <w:right w:val="none" w:sz="0" w:space="0" w:color="auto"/>
          </w:divBdr>
        </w:div>
        <w:div w:id="1016686573">
          <w:marLeft w:val="0"/>
          <w:marRight w:val="0"/>
          <w:marTop w:val="0"/>
          <w:marBottom w:val="0"/>
          <w:divBdr>
            <w:top w:val="none" w:sz="0" w:space="0" w:color="auto"/>
            <w:left w:val="none" w:sz="0" w:space="0" w:color="auto"/>
            <w:bottom w:val="none" w:sz="0" w:space="0" w:color="auto"/>
            <w:right w:val="none" w:sz="0" w:space="0" w:color="auto"/>
          </w:divBdr>
        </w:div>
        <w:div w:id="1251158249">
          <w:marLeft w:val="0"/>
          <w:marRight w:val="0"/>
          <w:marTop w:val="0"/>
          <w:marBottom w:val="0"/>
          <w:divBdr>
            <w:top w:val="none" w:sz="0" w:space="0" w:color="auto"/>
            <w:left w:val="none" w:sz="0" w:space="0" w:color="auto"/>
            <w:bottom w:val="none" w:sz="0" w:space="0" w:color="auto"/>
            <w:right w:val="none" w:sz="0" w:space="0" w:color="auto"/>
          </w:divBdr>
          <w:divsChild>
            <w:div w:id="652569172">
              <w:marLeft w:val="0"/>
              <w:marRight w:val="0"/>
              <w:marTop w:val="0"/>
              <w:marBottom w:val="0"/>
              <w:divBdr>
                <w:top w:val="none" w:sz="0" w:space="0" w:color="auto"/>
                <w:left w:val="none" w:sz="0" w:space="0" w:color="auto"/>
                <w:bottom w:val="none" w:sz="0" w:space="0" w:color="auto"/>
                <w:right w:val="none" w:sz="0" w:space="0" w:color="auto"/>
              </w:divBdr>
            </w:div>
          </w:divsChild>
        </w:div>
        <w:div w:id="1965498235">
          <w:marLeft w:val="0"/>
          <w:marRight w:val="0"/>
          <w:marTop w:val="0"/>
          <w:marBottom w:val="0"/>
          <w:divBdr>
            <w:top w:val="none" w:sz="0" w:space="0" w:color="auto"/>
            <w:left w:val="none" w:sz="0" w:space="0" w:color="auto"/>
            <w:bottom w:val="none" w:sz="0" w:space="0" w:color="auto"/>
            <w:right w:val="none" w:sz="0" w:space="0" w:color="auto"/>
          </w:divBdr>
        </w:div>
        <w:div w:id="865874310">
          <w:marLeft w:val="0"/>
          <w:marRight w:val="0"/>
          <w:marTop w:val="0"/>
          <w:marBottom w:val="0"/>
          <w:divBdr>
            <w:top w:val="none" w:sz="0" w:space="0" w:color="auto"/>
            <w:left w:val="none" w:sz="0" w:space="0" w:color="auto"/>
            <w:bottom w:val="none" w:sz="0" w:space="0" w:color="auto"/>
            <w:right w:val="none" w:sz="0" w:space="0" w:color="auto"/>
          </w:divBdr>
        </w:div>
        <w:div w:id="15355538">
          <w:marLeft w:val="0"/>
          <w:marRight w:val="0"/>
          <w:marTop w:val="0"/>
          <w:marBottom w:val="0"/>
          <w:divBdr>
            <w:top w:val="none" w:sz="0" w:space="0" w:color="auto"/>
            <w:left w:val="none" w:sz="0" w:space="0" w:color="auto"/>
            <w:bottom w:val="none" w:sz="0" w:space="0" w:color="auto"/>
            <w:right w:val="none" w:sz="0" w:space="0" w:color="auto"/>
          </w:divBdr>
        </w:div>
        <w:div w:id="1034960544">
          <w:marLeft w:val="0"/>
          <w:marRight w:val="0"/>
          <w:marTop w:val="0"/>
          <w:marBottom w:val="0"/>
          <w:divBdr>
            <w:top w:val="none" w:sz="0" w:space="0" w:color="auto"/>
            <w:left w:val="none" w:sz="0" w:space="0" w:color="auto"/>
            <w:bottom w:val="none" w:sz="0" w:space="0" w:color="auto"/>
            <w:right w:val="none" w:sz="0" w:space="0" w:color="auto"/>
          </w:divBdr>
          <w:divsChild>
            <w:div w:id="1550415658">
              <w:marLeft w:val="0"/>
              <w:marRight w:val="0"/>
              <w:marTop w:val="0"/>
              <w:marBottom w:val="0"/>
              <w:divBdr>
                <w:top w:val="none" w:sz="0" w:space="0" w:color="auto"/>
                <w:left w:val="none" w:sz="0" w:space="0" w:color="auto"/>
                <w:bottom w:val="none" w:sz="0" w:space="0" w:color="auto"/>
                <w:right w:val="none" w:sz="0" w:space="0" w:color="auto"/>
              </w:divBdr>
            </w:div>
          </w:divsChild>
        </w:div>
        <w:div w:id="252596526">
          <w:marLeft w:val="0"/>
          <w:marRight w:val="0"/>
          <w:marTop w:val="0"/>
          <w:marBottom w:val="0"/>
          <w:divBdr>
            <w:top w:val="none" w:sz="0" w:space="0" w:color="auto"/>
            <w:left w:val="none" w:sz="0" w:space="0" w:color="auto"/>
            <w:bottom w:val="none" w:sz="0" w:space="0" w:color="auto"/>
            <w:right w:val="none" w:sz="0" w:space="0" w:color="auto"/>
          </w:divBdr>
        </w:div>
        <w:div w:id="69624899">
          <w:marLeft w:val="0"/>
          <w:marRight w:val="0"/>
          <w:marTop w:val="0"/>
          <w:marBottom w:val="0"/>
          <w:divBdr>
            <w:top w:val="none" w:sz="0" w:space="0" w:color="auto"/>
            <w:left w:val="none" w:sz="0" w:space="0" w:color="auto"/>
            <w:bottom w:val="none" w:sz="0" w:space="0" w:color="auto"/>
            <w:right w:val="none" w:sz="0" w:space="0" w:color="auto"/>
          </w:divBdr>
        </w:div>
        <w:div w:id="1666859053">
          <w:marLeft w:val="0"/>
          <w:marRight w:val="0"/>
          <w:marTop w:val="0"/>
          <w:marBottom w:val="0"/>
          <w:divBdr>
            <w:top w:val="none" w:sz="0" w:space="0" w:color="auto"/>
            <w:left w:val="none" w:sz="0" w:space="0" w:color="auto"/>
            <w:bottom w:val="none" w:sz="0" w:space="0" w:color="auto"/>
            <w:right w:val="none" w:sz="0" w:space="0" w:color="auto"/>
          </w:divBdr>
          <w:divsChild>
            <w:div w:id="121387431">
              <w:marLeft w:val="0"/>
              <w:marRight w:val="0"/>
              <w:marTop w:val="0"/>
              <w:marBottom w:val="0"/>
              <w:divBdr>
                <w:top w:val="none" w:sz="0" w:space="0" w:color="auto"/>
                <w:left w:val="none" w:sz="0" w:space="0" w:color="auto"/>
                <w:bottom w:val="none" w:sz="0" w:space="0" w:color="auto"/>
                <w:right w:val="none" w:sz="0" w:space="0" w:color="auto"/>
              </w:divBdr>
            </w:div>
          </w:divsChild>
        </w:div>
        <w:div w:id="358626302">
          <w:marLeft w:val="0"/>
          <w:marRight w:val="0"/>
          <w:marTop w:val="0"/>
          <w:marBottom w:val="0"/>
          <w:divBdr>
            <w:top w:val="none" w:sz="0" w:space="0" w:color="auto"/>
            <w:left w:val="none" w:sz="0" w:space="0" w:color="auto"/>
            <w:bottom w:val="none" w:sz="0" w:space="0" w:color="auto"/>
            <w:right w:val="none" w:sz="0" w:space="0" w:color="auto"/>
          </w:divBdr>
        </w:div>
        <w:div w:id="564528294">
          <w:marLeft w:val="0"/>
          <w:marRight w:val="0"/>
          <w:marTop w:val="0"/>
          <w:marBottom w:val="0"/>
          <w:divBdr>
            <w:top w:val="none" w:sz="0" w:space="0" w:color="auto"/>
            <w:left w:val="none" w:sz="0" w:space="0" w:color="auto"/>
            <w:bottom w:val="none" w:sz="0" w:space="0" w:color="auto"/>
            <w:right w:val="none" w:sz="0" w:space="0" w:color="auto"/>
          </w:divBdr>
        </w:div>
        <w:div w:id="924453997">
          <w:marLeft w:val="0"/>
          <w:marRight w:val="0"/>
          <w:marTop w:val="0"/>
          <w:marBottom w:val="0"/>
          <w:divBdr>
            <w:top w:val="none" w:sz="0" w:space="0" w:color="auto"/>
            <w:left w:val="none" w:sz="0" w:space="0" w:color="auto"/>
            <w:bottom w:val="none" w:sz="0" w:space="0" w:color="auto"/>
            <w:right w:val="none" w:sz="0" w:space="0" w:color="auto"/>
          </w:divBdr>
          <w:divsChild>
            <w:div w:id="1359044396">
              <w:marLeft w:val="0"/>
              <w:marRight w:val="0"/>
              <w:marTop w:val="0"/>
              <w:marBottom w:val="0"/>
              <w:divBdr>
                <w:top w:val="none" w:sz="0" w:space="0" w:color="auto"/>
                <w:left w:val="none" w:sz="0" w:space="0" w:color="auto"/>
                <w:bottom w:val="none" w:sz="0" w:space="0" w:color="auto"/>
                <w:right w:val="none" w:sz="0" w:space="0" w:color="auto"/>
              </w:divBdr>
            </w:div>
          </w:divsChild>
        </w:div>
        <w:div w:id="1304853835">
          <w:marLeft w:val="0"/>
          <w:marRight w:val="0"/>
          <w:marTop w:val="0"/>
          <w:marBottom w:val="0"/>
          <w:divBdr>
            <w:top w:val="none" w:sz="0" w:space="0" w:color="auto"/>
            <w:left w:val="none" w:sz="0" w:space="0" w:color="auto"/>
            <w:bottom w:val="none" w:sz="0" w:space="0" w:color="auto"/>
            <w:right w:val="none" w:sz="0" w:space="0" w:color="auto"/>
          </w:divBdr>
        </w:div>
        <w:div w:id="1669940227">
          <w:marLeft w:val="0"/>
          <w:marRight w:val="0"/>
          <w:marTop w:val="0"/>
          <w:marBottom w:val="0"/>
          <w:divBdr>
            <w:top w:val="none" w:sz="0" w:space="0" w:color="auto"/>
            <w:left w:val="none" w:sz="0" w:space="0" w:color="auto"/>
            <w:bottom w:val="none" w:sz="0" w:space="0" w:color="auto"/>
            <w:right w:val="none" w:sz="0" w:space="0" w:color="auto"/>
          </w:divBdr>
        </w:div>
        <w:div w:id="1630939723">
          <w:marLeft w:val="0"/>
          <w:marRight w:val="0"/>
          <w:marTop w:val="0"/>
          <w:marBottom w:val="0"/>
          <w:divBdr>
            <w:top w:val="none" w:sz="0" w:space="0" w:color="auto"/>
            <w:left w:val="none" w:sz="0" w:space="0" w:color="auto"/>
            <w:bottom w:val="none" w:sz="0" w:space="0" w:color="auto"/>
            <w:right w:val="none" w:sz="0" w:space="0" w:color="auto"/>
          </w:divBdr>
          <w:divsChild>
            <w:div w:id="1264529988">
              <w:marLeft w:val="0"/>
              <w:marRight w:val="0"/>
              <w:marTop w:val="0"/>
              <w:marBottom w:val="0"/>
              <w:divBdr>
                <w:top w:val="none" w:sz="0" w:space="0" w:color="auto"/>
                <w:left w:val="none" w:sz="0" w:space="0" w:color="auto"/>
                <w:bottom w:val="none" w:sz="0" w:space="0" w:color="auto"/>
                <w:right w:val="none" w:sz="0" w:space="0" w:color="auto"/>
              </w:divBdr>
            </w:div>
          </w:divsChild>
        </w:div>
        <w:div w:id="29112005">
          <w:marLeft w:val="0"/>
          <w:marRight w:val="0"/>
          <w:marTop w:val="0"/>
          <w:marBottom w:val="0"/>
          <w:divBdr>
            <w:top w:val="none" w:sz="0" w:space="0" w:color="auto"/>
            <w:left w:val="none" w:sz="0" w:space="0" w:color="auto"/>
            <w:bottom w:val="none" w:sz="0" w:space="0" w:color="auto"/>
            <w:right w:val="none" w:sz="0" w:space="0" w:color="auto"/>
          </w:divBdr>
        </w:div>
        <w:div w:id="1029647287">
          <w:marLeft w:val="0"/>
          <w:marRight w:val="0"/>
          <w:marTop w:val="0"/>
          <w:marBottom w:val="0"/>
          <w:divBdr>
            <w:top w:val="none" w:sz="0" w:space="0" w:color="auto"/>
            <w:left w:val="none" w:sz="0" w:space="0" w:color="auto"/>
            <w:bottom w:val="none" w:sz="0" w:space="0" w:color="auto"/>
            <w:right w:val="none" w:sz="0" w:space="0" w:color="auto"/>
          </w:divBdr>
        </w:div>
        <w:div w:id="1794639413">
          <w:marLeft w:val="0"/>
          <w:marRight w:val="0"/>
          <w:marTop w:val="0"/>
          <w:marBottom w:val="0"/>
          <w:divBdr>
            <w:top w:val="none" w:sz="0" w:space="0" w:color="auto"/>
            <w:left w:val="none" w:sz="0" w:space="0" w:color="auto"/>
            <w:bottom w:val="none" w:sz="0" w:space="0" w:color="auto"/>
            <w:right w:val="none" w:sz="0" w:space="0" w:color="auto"/>
          </w:divBdr>
          <w:divsChild>
            <w:div w:id="793672712">
              <w:marLeft w:val="0"/>
              <w:marRight w:val="0"/>
              <w:marTop w:val="0"/>
              <w:marBottom w:val="0"/>
              <w:divBdr>
                <w:top w:val="none" w:sz="0" w:space="0" w:color="auto"/>
                <w:left w:val="none" w:sz="0" w:space="0" w:color="auto"/>
                <w:bottom w:val="none" w:sz="0" w:space="0" w:color="auto"/>
                <w:right w:val="none" w:sz="0" w:space="0" w:color="auto"/>
              </w:divBdr>
            </w:div>
          </w:divsChild>
        </w:div>
        <w:div w:id="699089520">
          <w:marLeft w:val="0"/>
          <w:marRight w:val="0"/>
          <w:marTop w:val="0"/>
          <w:marBottom w:val="0"/>
          <w:divBdr>
            <w:top w:val="none" w:sz="0" w:space="0" w:color="auto"/>
            <w:left w:val="none" w:sz="0" w:space="0" w:color="auto"/>
            <w:bottom w:val="none" w:sz="0" w:space="0" w:color="auto"/>
            <w:right w:val="none" w:sz="0" w:space="0" w:color="auto"/>
          </w:divBdr>
        </w:div>
        <w:div w:id="1305739341">
          <w:marLeft w:val="0"/>
          <w:marRight w:val="0"/>
          <w:marTop w:val="0"/>
          <w:marBottom w:val="0"/>
          <w:divBdr>
            <w:top w:val="none" w:sz="0" w:space="0" w:color="auto"/>
            <w:left w:val="none" w:sz="0" w:space="0" w:color="auto"/>
            <w:bottom w:val="none" w:sz="0" w:space="0" w:color="auto"/>
            <w:right w:val="none" w:sz="0" w:space="0" w:color="auto"/>
          </w:divBdr>
        </w:div>
        <w:div w:id="1850681584">
          <w:marLeft w:val="0"/>
          <w:marRight w:val="0"/>
          <w:marTop w:val="0"/>
          <w:marBottom w:val="0"/>
          <w:divBdr>
            <w:top w:val="none" w:sz="0" w:space="0" w:color="auto"/>
            <w:left w:val="none" w:sz="0" w:space="0" w:color="auto"/>
            <w:bottom w:val="none" w:sz="0" w:space="0" w:color="auto"/>
            <w:right w:val="none" w:sz="0" w:space="0" w:color="auto"/>
          </w:divBdr>
          <w:divsChild>
            <w:div w:id="26949999">
              <w:marLeft w:val="0"/>
              <w:marRight w:val="0"/>
              <w:marTop w:val="0"/>
              <w:marBottom w:val="0"/>
              <w:divBdr>
                <w:top w:val="none" w:sz="0" w:space="0" w:color="auto"/>
                <w:left w:val="none" w:sz="0" w:space="0" w:color="auto"/>
                <w:bottom w:val="none" w:sz="0" w:space="0" w:color="auto"/>
                <w:right w:val="none" w:sz="0" w:space="0" w:color="auto"/>
              </w:divBdr>
            </w:div>
          </w:divsChild>
        </w:div>
        <w:div w:id="245195346">
          <w:marLeft w:val="0"/>
          <w:marRight w:val="0"/>
          <w:marTop w:val="0"/>
          <w:marBottom w:val="0"/>
          <w:divBdr>
            <w:top w:val="none" w:sz="0" w:space="0" w:color="auto"/>
            <w:left w:val="none" w:sz="0" w:space="0" w:color="auto"/>
            <w:bottom w:val="none" w:sz="0" w:space="0" w:color="auto"/>
            <w:right w:val="none" w:sz="0" w:space="0" w:color="auto"/>
          </w:divBdr>
        </w:div>
        <w:div w:id="1983002393">
          <w:marLeft w:val="0"/>
          <w:marRight w:val="0"/>
          <w:marTop w:val="0"/>
          <w:marBottom w:val="0"/>
          <w:divBdr>
            <w:top w:val="none" w:sz="0" w:space="0" w:color="auto"/>
            <w:left w:val="none" w:sz="0" w:space="0" w:color="auto"/>
            <w:bottom w:val="none" w:sz="0" w:space="0" w:color="auto"/>
            <w:right w:val="none" w:sz="0" w:space="0" w:color="auto"/>
          </w:divBdr>
        </w:div>
        <w:div w:id="395861436">
          <w:marLeft w:val="0"/>
          <w:marRight w:val="0"/>
          <w:marTop w:val="0"/>
          <w:marBottom w:val="0"/>
          <w:divBdr>
            <w:top w:val="none" w:sz="0" w:space="0" w:color="auto"/>
            <w:left w:val="none" w:sz="0" w:space="0" w:color="auto"/>
            <w:bottom w:val="none" w:sz="0" w:space="0" w:color="auto"/>
            <w:right w:val="none" w:sz="0" w:space="0" w:color="auto"/>
          </w:divBdr>
          <w:divsChild>
            <w:div w:id="1181358709">
              <w:marLeft w:val="0"/>
              <w:marRight w:val="0"/>
              <w:marTop w:val="0"/>
              <w:marBottom w:val="0"/>
              <w:divBdr>
                <w:top w:val="none" w:sz="0" w:space="0" w:color="auto"/>
                <w:left w:val="none" w:sz="0" w:space="0" w:color="auto"/>
                <w:bottom w:val="none" w:sz="0" w:space="0" w:color="auto"/>
                <w:right w:val="none" w:sz="0" w:space="0" w:color="auto"/>
              </w:divBdr>
            </w:div>
          </w:divsChild>
        </w:div>
        <w:div w:id="230965490">
          <w:marLeft w:val="0"/>
          <w:marRight w:val="0"/>
          <w:marTop w:val="0"/>
          <w:marBottom w:val="0"/>
          <w:divBdr>
            <w:top w:val="none" w:sz="0" w:space="0" w:color="auto"/>
            <w:left w:val="none" w:sz="0" w:space="0" w:color="auto"/>
            <w:bottom w:val="none" w:sz="0" w:space="0" w:color="auto"/>
            <w:right w:val="none" w:sz="0" w:space="0" w:color="auto"/>
          </w:divBdr>
        </w:div>
        <w:div w:id="763914098">
          <w:marLeft w:val="0"/>
          <w:marRight w:val="0"/>
          <w:marTop w:val="0"/>
          <w:marBottom w:val="0"/>
          <w:divBdr>
            <w:top w:val="none" w:sz="0" w:space="0" w:color="auto"/>
            <w:left w:val="none" w:sz="0" w:space="0" w:color="auto"/>
            <w:bottom w:val="none" w:sz="0" w:space="0" w:color="auto"/>
            <w:right w:val="none" w:sz="0" w:space="0" w:color="auto"/>
          </w:divBdr>
        </w:div>
        <w:div w:id="88934232">
          <w:marLeft w:val="0"/>
          <w:marRight w:val="0"/>
          <w:marTop w:val="0"/>
          <w:marBottom w:val="0"/>
          <w:divBdr>
            <w:top w:val="none" w:sz="0" w:space="0" w:color="auto"/>
            <w:left w:val="none" w:sz="0" w:space="0" w:color="auto"/>
            <w:bottom w:val="none" w:sz="0" w:space="0" w:color="auto"/>
            <w:right w:val="none" w:sz="0" w:space="0" w:color="auto"/>
          </w:divBdr>
          <w:divsChild>
            <w:div w:id="343018317">
              <w:marLeft w:val="0"/>
              <w:marRight w:val="0"/>
              <w:marTop w:val="0"/>
              <w:marBottom w:val="0"/>
              <w:divBdr>
                <w:top w:val="none" w:sz="0" w:space="0" w:color="auto"/>
                <w:left w:val="none" w:sz="0" w:space="0" w:color="auto"/>
                <w:bottom w:val="none" w:sz="0" w:space="0" w:color="auto"/>
                <w:right w:val="none" w:sz="0" w:space="0" w:color="auto"/>
              </w:divBdr>
            </w:div>
          </w:divsChild>
        </w:div>
        <w:div w:id="1145045524">
          <w:marLeft w:val="0"/>
          <w:marRight w:val="0"/>
          <w:marTop w:val="0"/>
          <w:marBottom w:val="0"/>
          <w:divBdr>
            <w:top w:val="none" w:sz="0" w:space="0" w:color="auto"/>
            <w:left w:val="none" w:sz="0" w:space="0" w:color="auto"/>
            <w:bottom w:val="none" w:sz="0" w:space="0" w:color="auto"/>
            <w:right w:val="none" w:sz="0" w:space="0" w:color="auto"/>
          </w:divBdr>
        </w:div>
        <w:div w:id="1038628380">
          <w:marLeft w:val="0"/>
          <w:marRight w:val="0"/>
          <w:marTop w:val="0"/>
          <w:marBottom w:val="0"/>
          <w:divBdr>
            <w:top w:val="none" w:sz="0" w:space="0" w:color="auto"/>
            <w:left w:val="none" w:sz="0" w:space="0" w:color="auto"/>
            <w:bottom w:val="none" w:sz="0" w:space="0" w:color="auto"/>
            <w:right w:val="none" w:sz="0" w:space="0" w:color="auto"/>
          </w:divBdr>
        </w:div>
        <w:div w:id="1246845197">
          <w:marLeft w:val="0"/>
          <w:marRight w:val="0"/>
          <w:marTop w:val="0"/>
          <w:marBottom w:val="0"/>
          <w:divBdr>
            <w:top w:val="none" w:sz="0" w:space="0" w:color="auto"/>
            <w:left w:val="none" w:sz="0" w:space="0" w:color="auto"/>
            <w:bottom w:val="none" w:sz="0" w:space="0" w:color="auto"/>
            <w:right w:val="none" w:sz="0" w:space="0" w:color="auto"/>
          </w:divBdr>
          <w:divsChild>
            <w:div w:id="1694913901">
              <w:marLeft w:val="0"/>
              <w:marRight w:val="0"/>
              <w:marTop w:val="0"/>
              <w:marBottom w:val="0"/>
              <w:divBdr>
                <w:top w:val="none" w:sz="0" w:space="0" w:color="auto"/>
                <w:left w:val="none" w:sz="0" w:space="0" w:color="auto"/>
                <w:bottom w:val="none" w:sz="0" w:space="0" w:color="auto"/>
                <w:right w:val="none" w:sz="0" w:space="0" w:color="auto"/>
              </w:divBdr>
            </w:div>
          </w:divsChild>
        </w:div>
        <w:div w:id="1744449101">
          <w:marLeft w:val="0"/>
          <w:marRight w:val="0"/>
          <w:marTop w:val="0"/>
          <w:marBottom w:val="0"/>
          <w:divBdr>
            <w:top w:val="none" w:sz="0" w:space="0" w:color="auto"/>
            <w:left w:val="none" w:sz="0" w:space="0" w:color="auto"/>
            <w:bottom w:val="none" w:sz="0" w:space="0" w:color="auto"/>
            <w:right w:val="none" w:sz="0" w:space="0" w:color="auto"/>
          </w:divBdr>
        </w:div>
        <w:div w:id="1197738187">
          <w:marLeft w:val="0"/>
          <w:marRight w:val="0"/>
          <w:marTop w:val="0"/>
          <w:marBottom w:val="0"/>
          <w:divBdr>
            <w:top w:val="none" w:sz="0" w:space="0" w:color="auto"/>
            <w:left w:val="none" w:sz="0" w:space="0" w:color="auto"/>
            <w:bottom w:val="none" w:sz="0" w:space="0" w:color="auto"/>
            <w:right w:val="none" w:sz="0" w:space="0" w:color="auto"/>
          </w:divBdr>
        </w:div>
        <w:div w:id="694310305">
          <w:marLeft w:val="0"/>
          <w:marRight w:val="0"/>
          <w:marTop w:val="0"/>
          <w:marBottom w:val="0"/>
          <w:divBdr>
            <w:top w:val="none" w:sz="0" w:space="0" w:color="auto"/>
            <w:left w:val="none" w:sz="0" w:space="0" w:color="auto"/>
            <w:bottom w:val="none" w:sz="0" w:space="0" w:color="auto"/>
            <w:right w:val="none" w:sz="0" w:space="0" w:color="auto"/>
          </w:divBdr>
          <w:divsChild>
            <w:div w:id="1609191284">
              <w:marLeft w:val="0"/>
              <w:marRight w:val="0"/>
              <w:marTop w:val="0"/>
              <w:marBottom w:val="0"/>
              <w:divBdr>
                <w:top w:val="none" w:sz="0" w:space="0" w:color="auto"/>
                <w:left w:val="none" w:sz="0" w:space="0" w:color="auto"/>
                <w:bottom w:val="none" w:sz="0" w:space="0" w:color="auto"/>
                <w:right w:val="none" w:sz="0" w:space="0" w:color="auto"/>
              </w:divBdr>
            </w:div>
          </w:divsChild>
        </w:div>
        <w:div w:id="278726182">
          <w:marLeft w:val="0"/>
          <w:marRight w:val="0"/>
          <w:marTop w:val="0"/>
          <w:marBottom w:val="0"/>
          <w:divBdr>
            <w:top w:val="none" w:sz="0" w:space="0" w:color="auto"/>
            <w:left w:val="none" w:sz="0" w:space="0" w:color="auto"/>
            <w:bottom w:val="none" w:sz="0" w:space="0" w:color="auto"/>
            <w:right w:val="none" w:sz="0" w:space="0" w:color="auto"/>
          </w:divBdr>
        </w:div>
        <w:div w:id="1609969567">
          <w:marLeft w:val="0"/>
          <w:marRight w:val="0"/>
          <w:marTop w:val="0"/>
          <w:marBottom w:val="0"/>
          <w:divBdr>
            <w:top w:val="none" w:sz="0" w:space="0" w:color="auto"/>
            <w:left w:val="none" w:sz="0" w:space="0" w:color="auto"/>
            <w:bottom w:val="none" w:sz="0" w:space="0" w:color="auto"/>
            <w:right w:val="none" w:sz="0" w:space="0" w:color="auto"/>
          </w:divBdr>
        </w:div>
        <w:div w:id="1169370175">
          <w:marLeft w:val="0"/>
          <w:marRight w:val="0"/>
          <w:marTop w:val="0"/>
          <w:marBottom w:val="0"/>
          <w:divBdr>
            <w:top w:val="none" w:sz="0" w:space="0" w:color="auto"/>
            <w:left w:val="none" w:sz="0" w:space="0" w:color="auto"/>
            <w:bottom w:val="none" w:sz="0" w:space="0" w:color="auto"/>
            <w:right w:val="none" w:sz="0" w:space="0" w:color="auto"/>
          </w:divBdr>
          <w:divsChild>
            <w:div w:id="1931348504">
              <w:marLeft w:val="0"/>
              <w:marRight w:val="0"/>
              <w:marTop w:val="0"/>
              <w:marBottom w:val="0"/>
              <w:divBdr>
                <w:top w:val="none" w:sz="0" w:space="0" w:color="auto"/>
                <w:left w:val="none" w:sz="0" w:space="0" w:color="auto"/>
                <w:bottom w:val="none" w:sz="0" w:space="0" w:color="auto"/>
                <w:right w:val="none" w:sz="0" w:space="0" w:color="auto"/>
              </w:divBdr>
            </w:div>
          </w:divsChild>
        </w:div>
        <w:div w:id="2007396686">
          <w:marLeft w:val="0"/>
          <w:marRight w:val="0"/>
          <w:marTop w:val="0"/>
          <w:marBottom w:val="0"/>
          <w:divBdr>
            <w:top w:val="none" w:sz="0" w:space="0" w:color="auto"/>
            <w:left w:val="none" w:sz="0" w:space="0" w:color="auto"/>
            <w:bottom w:val="none" w:sz="0" w:space="0" w:color="auto"/>
            <w:right w:val="none" w:sz="0" w:space="0" w:color="auto"/>
          </w:divBdr>
        </w:div>
        <w:div w:id="1715234045">
          <w:marLeft w:val="0"/>
          <w:marRight w:val="0"/>
          <w:marTop w:val="0"/>
          <w:marBottom w:val="0"/>
          <w:divBdr>
            <w:top w:val="none" w:sz="0" w:space="0" w:color="auto"/>
            <w:left w:val="none" w:sz="0" w:space="0" w:color="auto"/>
            <w:bottom w:val="none" w:sz="0" w:space="0" w:color="auto"/>
            <w:right w:val="none" w:sz="0" w:space="0" w:color="auto"/>
          </w:divBdr>
        </w:div>
        <w:div w:id="964896898">
          <w:marLeft w:val="0"/>
          <w:marRight w:val="0"/>
          <w:marTop w:val="0"/>
          <w:marBottom w:val="0"/>
          <w:divBdr>
            <w:top w:val="none" w:sz="0" w:space="0" w:color="auto"/>
            <w:left w:val="none" w:sz="0" w:space="0" w:color="auto"/>
            <w:bottom w:val="none" w:sz="0" w:space="0" w:color="auto"/>
            <w:right w:val="none" w:sz="0" w:space="0" w:color="auto"/>
          </w:divBdr>
          <w:divsChild>
            <w:div w:id="1919749583">
              <w:marLeft w:val="0"/>
              <w:marRight w:val="0"/>
              <w:marTop w:val="0"/>
              <w:marBottom w:val="0"/>
              <w:divBdr>
                <w:top w:val="none" w:sz="0" w:space="0" w:color="auto"/>
                <w:left w:val="none" w:sz="0" w:space="0" w:color="auto"/>
                <w:bottom w:val="none" w:sz="0" w:space="0" w:color="auto"/>
                <w:right w:val="none" w:sz="0" w:space="0" w:color="auto"/>
              </w:divBdr>
            </w:div>
          </w:divsChild>
        </w:div>
        <w:div w:id="576329503">
          <w:marLeft w:val="0"/>
          <w:marRight w:val="0"/>
          <w:marTop w:val="0"/>
          <w:marBottom w:val="0"/>
          <w:divBdr>
            <w:top w:val="none" w:sz="0" w:space="0" w:color="auto"/>
            <w:left w:val="none" w:sz="0" w:space="0" w:color="auto"/>
            <w:bottom w:val="none" w:sz="0" w:space="0" w:color="auto"/>
            <w:right w:val="none" w:sz="0" w:space="0" w:color="auto"/>
          </w:divBdr>
        </w:div>
        <w:div w:id="276909899">
          <w:marLeft w:val="0"/>
          <w:marRight w:val="0"/>
          <w:marTop w:val="0"/>
          <w:marBottom w:val="0"/>
          <w:divBdr>
            <w:top w:val="none" w:sz="0" w:space="0" w:color="auto"/>
            <w:left w:val="none" w:sz="0" w:space="0" w:color="auto"/>
            <w:bottom w:val="none" w:sz="0" w:space="0" w:color="auto"/>
            <w:right w:val="none" w:sz="0" w:space="0" w:color="auto"/>
          </w:divBdr>
        </w:div>
        <w:div w:id="1634826959">
          <w:marLeft w:val="0"/>
          <w:marRight w:val="0"/>
          <w:marTop w:val="0"/>
          <w:marBottom w:val="0"/>
          <w:divBdr>
            <w:top w:val="none" w:sz="0" w:space="0" w:color="auto"/>
            <w:left w:val="none" w:sz="0" w:space="0" w:color="auto"/>
            <w:bottom w:val="none" w:sz="0" w:space="0" w:color="auto"/>
            <w:right w:val="none" w:sz="0" w:space="0" w:color="auto"/>
          </w:divBdr>
          <w:divsChild>
            <w:div w:id="511263955">
              <w:marLeft w:val="0"/>
              <w:marRight w:val="0"/>
              <w:marTop w:val="0"/>
              <w:marBottom w:val="0"/>
              <w:divBdr>
                <w:top w:val="none" w:sz="0" w:space="0" w:color="auto"/>
                <w:left w:val="none" w:sz="0" w:space="0" w:color="auto"/>
                <w:bottom w:val="none" w:sz="0" w:space="0" w:color="auto"/>
                <w:right w:val="none" w:sz="0" w:space="0" w:color="auto"/>
              </w:divBdr>
            </w:div>
          </w:divsChild>
        </w:div>
        <w:div w:id="49771777">
          <w:marLeft w:val="0"/>
          <w:marRight w:val="0"/>
          <w:marTop w:val="0"/>
          <w:marBottom w:val="0"/>
          <w:divBdr>
            <w:top w:val="none" w:sz="0" w:space="0" w:color="auto"/>
            <w:left w:val="none" w:sz="0" w:space="0" w:color="auto"/>
            <w:bottom w:val="none" w:sz="0" w:space="0" w:color="auto"/>
            <w:right w:val="none" w:sz="0" w:space="0" w:color="auto"/>
          </w:divBdr>
        </w:div>
        <w:div w:id="1635063362">
          <w:marLeft w:val="0"/>
          <w:marRight w:val="0"/>
          <w:marTop w:val="0"/>
          <w:marBottom w:val="0"/>
          <w:divBdr>
            <w:top w:val="none" w:sz="0" w:space="0" w:color="auto"/>
            <w:left w:val="none" w:sz="0" w:space="0" w:color="auto"/>
            <w:bottom w:val="none" w:sz="0" w:space="0" w:color="auto"/>
            <w:right w:val="none" w:sz="0" w:space="0" w:color="auto"/>
          </w:divBdr>
        </w:div>
        <w:div w:id="725422094">
          <w:marLeft w:val="0"/>
          <w:marRight w:val="0"/>
          <w:marTop w:val="0"/>
          <w:marBottom w:val="0"/>
          <w:divBdr>
            <w:top w:val="none" w:sz="0" w:space="0" w:color="auto"/>
            <w:left w:val="none" w:sz="0" w:space="0" w:color="auto"/>
            <w:bottom w:val="none" w:sz="0" w:space="0" w:color="auto"/>
            <w:right w:val="none" w:sz="0" w:space="0" w:color="auto"/>
          </w:divBdr>
          <w:divsChild>
            <w:div w:id="2050643932">
              <w:marLeft w:val="0"/>
              <w:marRight w:val="0"/>
              <w:marTop w:val="0"/>
              <w:marBottom w:val="0"/>
              <w:divBdr>
                <w:top w:val="none" w:sz="0" w:space="0" w:color="auto"/>
                <w:left w:val="none" w:sz="0" w:space="0" w:color="auto"/>
                <w:bottom w:val="none" w:sz="0" w:space="0" w:color="auto"/>
                <w:right w:val="none" w:sz="0" w:space="0" w:color="auto"/>
              </w:divBdr>
            </w:div>
          </w:divsChild>
        </w:div>
        <w:div w:id="1938247265">
          <w:marLeft w:val="0"/>
          <w:marRight w:val="0"/>
          <w:marTop w:val="0"/>
          <w:marBottom w:val="0"/>
          <w:divBdr>
            <w:top w:val="none" w:sz="0" w:space="0" w:color="auto"/>
            <w:left w:val="none" w:sz="0" w:space="0" w:color="auto"/>
            <w:bottom w:val="none" w:sz="0" w:space="0" w:color="auto"/>
            <w:right w:val="none" w:sz="0" w:space="0" w:color="auto"/>
          </w:divBdr>
        </w:div>
        <w:div w:id="2101490597">
          <w:marLeft w:val="0"/>
          <w:marRight w:val="0"/>
          <w:marTop w:val="0"/>
          <w:marBottom w:val="0"/>
          <w:divBdr>
            <w:top w:val="none" w:sz="0" w:space="0" w:color="auto"/>
            <w:left w:val="none" w:sz="0" w:space="0" w:color="auto"/>
            <w:bottom w:val="none" w:sz="0" w:space="0" w:color="auto"/>
            <w:right w:val="none" w:sz="0" w:space="0" w:color="auto"/>
          </w:divBdr>
        </w:div>
        <w:div w:id="1370301239">
          <w:marLeft w:val="0"/>
          <w:marRight w:val="0"/>
          <w:marTop w:val="0"/>
          <w:marBottom w:val="0"/>
          <w:divBdr>
            <w:top w:val="none" w:sz="0" w:space="0" w:color="auto"/>
            <w:left w:val="none" w:sz="0" w:space="0" w:color="auto"/>
            <w:bottom w:val="none" w:sz="0" w:space="0" w:color="auto"/>
            <w:right w:val="none" w:sz="0" w:space="0" w:color="auto"/>
          </w:divBdr>
          <w:divsChild>
            <w:div w:id="1513953170">
              <w:marLeft w:val="0"/>
              <w:marRight w:val="0"/>
              <w:marTop w:val="0"/>
              <w:marBottom w:val="0"/>
              <w:divBdr>
                <w:top w:val="none" w:sz="0" w:space="0" w:color="auto"/>
                <w:left w:val="none" w:sz="0" w:space="0" w:color="auto"/>
                <w:bottom w:val="none" w:sz="0" w:space="0" w:color="auto"/>
                <w:right w:val="none" w:sz="0" w:space="0" w:color="auto"/>
              </w:divBdr>
            </w:div>
          </w:divsChild>
        </w:div>
        <w:div w:id="2100102139">
          <w:marLeft w:val="0"/>
          <w:marRight w:val="0"/>
          <w:marTop w:val="0"/>
          <w:marBottom w:val="0"/>
          <w:divBdr>
            <w:top w:val="none" w:sz="0" w:space="0" w:color="auto"/>
            <w:left w:val="none" w:sz="0" w:space="0" w:color="auto"/>
            <w:bottom w:val="none" w:sz="0" w:space="0" w:color="auto"/>
            <w:right w:val="none" w:sz="0" w:space="0" w:color="auto"/>
          </w:divBdr>
        </w:div>
        <w:div w:id="1034381614">
          <w:marLeft w:val="0"/>
          <w:marRight w:val="0"/>
          <w:marTop w:val="0"/>
          <w:marBottom w:val="0"/>
          <w:divBdr>
            <w:top w:val="none" w:sz="0" w:space="0" w:color="auto"/>
            <w:left w:val="none" w:sz="0" w:space="0" w:color="auto"/>
            <w:bottom w:val="none" w:sz="0" w:space="0" w:color="auto"/>
            <w:right w:val="none" w:sz="0" w:space="0" w:color="auto"/>
          </w:divBdr>
        </w:div>
        <w:div w:id="1462113113">
          <w:marLeft w:val="0"/>
          <w:marRight w:val="0"/>
          <w:marTop w:val="0"/>
          <w:marBottom w:val="0"/>
          <w:divBdr>
            <w:top w:val="none" w:sz="0" w:space="0" w:color="auto"/>
            <w:left w:val="none" w:sz="0" w:space="0" w:color="auto"/>
            <w:bottom w:val="none" w:sz="0" w:space="0" w:color="auto"/>
            <w:right w:val="none" w:sz="0" w:space="0" w:color="auto"/>
          </w:divBdr>
          <w:divsChild>
            <w:div w:id="582839996">
              <w:marLeft w:val="0"/>
              <w:marRight w:val="0"/>
              <w:marTop w:val="0"/>
              <w:marBottom w:val="0"/>
              <w:divBdr>
                <w:top w:val="none" w:sz="0" w:space="0" w:color="auto"/>
                <w:left w:val="none" w:sz="0" w:space="0" w:color="auto"/>
                <w:bottom w:val="none" w:sz="0" w:space="0" w:color="auto"/>
                <w:right w:val="none" w:sz="0" w:space="0" w:color="auto"/>
              </w:divBdr>
            </w:div>
          </w:divsChild>
        </w:div>
        <w:div w:id="1455294945">
          <w:marLeft w:val="0"/>
          <w:marRight w:val="0"/>
          <w:marTop w:val="0"/>
          <w:marBottom w:val="0"/>
          <w:divBdr>
            <w:top w:val="none" w:sz="0" w:space="0" w:color="auto"/>
            <w:left w:val="none" w:sz="0" w:space="0" w:color="auto"/>
            <w:bottom w:val="none" w:sz="0" w:space="0" w:color="auto"/>
            <w:right w:val="none" w:sz="0" w:space="0" w:color="auto"/>
          </w:divBdr>
        </w:div>
        <w:div w:id="170799447">
          <w:marLeft w:val="0"/>
          <w:marRight w:val="0"/>
          <w:marTop w:val="0"/>
          <w:marBottom w:val="0"/>
          <w:divBdr>
            <w:top w:val="none" w:sz="0" w:space="0" w:color="auto"/>
            <w:left w:val="none" w:sz="0" w:space="0" w:color="auto"/>
            <w:bottom w:val="none" w:sz="0" w:space="0" w:color="auto"/>
            <w:right w:val="none" w:sz="0" w:space="0" w:color="auto"/>
          </w:divBdr>
        </w:div>
        <w:div w:id="2039968890">
          <w:marLeft w:val="0"/>
          <w:marRight w:val="0"/>
          <w:marTop w:val="0"/>
          <w:marBottom w:val="0"/>
          <w:divBdr>
            <w:top w:val="none" w:sz="0" w:space="0" w:color="auto"/>
            <w:left w:val="none" w:sz="0" w:space="0" w:color="auto"/>
            <w:bottom w:val="none" w:sz="0" w:space="0" w:color="auto"/>
            <w:right w:val="none" w:sz="0" w:space="0" w:color="auto"/>
          </w:divBdr>
          <w:divsChild>
            <w:div w:id="1684552718">
              <w:marLeft w:val="0"/>
              <w:marRight w:val="0"/>
              <w:marTop w:val="0"/>
              <w:marBottom w:val="0"/>
              <w:divBdr>
                <w:top w:val="none" w:sz="0" w:space="0" w:color="auto"/>
                <w:left w:val="none" w:sz="0" w:space="0" w:color="auto"/>
                <w:bottom w:val="none" w:sz="0" w:space="0" w:color="auto"/>
                <w:right w:val="none" w:sz="0" w:space="0" w:color="auto"/>
              </w:divBdr>
            </w:div>
          </w:divsChild>
        </w:div>
        <w:div w:id="262617616">
          <w:marLeft w:val="0"/>
          <w:marRight w:val="0"/>
          <w:marTop w:val="0"/>
          <w:marBottom w:val="0"/>
          <w:divBdr>
            <w:top w:val="none" w:sz="0" w:space="0" w:color="auto"/>
            <w:left w:val="none" w:sz="0" w:space="0" w:color="auto"/>
            <w:bottom w:val="none" w:sz="0" w:space="0" w:color="auto"/>
            <w:right w:val="none" w:sz="0" w:space="0" w:color="auto"/>
          </w:divBdr>
        </w:div>
        <w:div w:id="524290568">
          <w:marLeft w:val="0"/>
          <w:marRight w:val="0"/>
          <w:marTop w:val="0"/>
          <w:marBottom w:val="0"/>
          <w:divBdr>
            <w:top w:val="none" w:sz="0" w:space="0" w:color="auto"/>
            <w:left w:val="none" w:sz="0" w:space="0" w:color="auto"/>
            <w:bottom w:val="none" w:sz="0" w:space="0" w:color="auto"/>
            <w:right w:val="none" w:sz="0" w:space="0" w:color="auto"/>
          </w:divBdr>
        </w:div>
        <w:div w:id="1490629647">
          <w:marLeft w:val="0"/>
          <w:marRight w:val="0"/>
          <w:marTop w:val="0"/>
          <w:marBottom w:val="0"/>
          <w:divBdr>
            <w:top w:val="none" w:sz="0" w:space="0" w:color="auto"/>
            <w:left w:val="none" w:sz="0" w:space="0" w:color="auto"/>
            <w:bottom w:val="none" w:sz="0" w:space="0" w:color="auto"/>
            <w:right w:val="none" w:sz="0" w:space="0" w:color="auto"/>
          </w:divBdr>
          <w:divsChild>
            <w:div w:id="1346784307">
              <w:marLeft w:val="0"/>
              <w:marRight w:val="0"/>
              <w:marTop w:val="0"/>
              <w:marBottom w:val="0"/>
              <w:divBdr>
                <w:top w:val="none" w:sz="0" w:space="0" w:color="auto"/>
                <w:left w:val="none" w:sz="0" w:space="0" w:color="auto"/>
                <w:bottom w:val="none" w:sz="0" w:space="0" w:color="auto"/>
                <w:right w:val="none" w:sz="0" w:space="0" w:color="auto"/>
              </w:divBdr>
            </w:div>
          </w:divsChild>
        </w:div>
        <w:div w:id="1010528942">
          <w:marLeft w:val="0"/>
          <w:marRight w:val="0"/>
          <w:marTop w:val="0"/>
          <w:marBottom w:val="0"/>
          <w:divBdr>
            <w:top w:val="none" w:sz="0" w:space="0" w:color="auto"/>
            <w:left w:val="none" w:sz="0" w:space="0" w:color="auto"/>
            <w:bottom w:val="none" w:sz="0" w:space="0" w:color="auto"/>
            <w:right w:val="none" w:sz="0" w:space="0" w:color="auto"/>
          </w:divBdr>
        </w:div>
        <w:div w:id="370231843">
          <w:marLeft w:val="0"/>
          <w:marRight w:val="0"/>
          <w:marTop w:val="0"/>
          <w:marBottom w:val="0"/>
          <w:divBdr>
            <w:top w:val="none" w:sz="0" w:space="0" w:color="auto"/>
            <w:left w:val="none" w:sz="0" w:space="0" w:color="auto"/>
            <w:bottom w:val="none" w:sz="0" w:space="0" w:color="auto"/>
            <w:right w:val="none" w:sz="0" w:space="0" w:color="auto"/>
          </w:divBdr>
        </w:div>
        <w:div w:id="737019614">
          <w:marLeft w:val="0"/>
          <w:marRight w:val="0"/>
          <w:marTop w:val="0"/>
          <w:marBottom w:val="0"/>
          <w:divBdr>
            <w:top w:val="none" w:sz="0" w:space="0" w:color="auto"/>
            <w:left w:val="none" w:sz="0" w:space="0" w:color="auto"/>
            <w:bottom w:val="none" w:sz="0" w:space="0" w:color="auto"/>
            <w:right w:val="none" w:sz="0" w:space="0" w:color="auto"/>
          </w:divBdr>
        </w:div>
        <w:div w:id="160316609">
          <w:marLeft w:val="0"/>
          <w:marRight w:val="0"/>
          <w:marTop w:val="0"/>
          <w:marBottom w:val="0"/>
          <w:divBdr>
            <w:top w:val="none" w:sz="0" w:space="0" w:color="auto"/>
            <w:left w:val="none" w:sz="0" w:space="0" w:color="auto"/>
            <w:bottom w:val="none" w:sz="0" w:space="0" w:color="auto"/>
            <w:right w:val="none" w:sz="0" w:space="0" w:color="auto"/>
          </w:divBdr>
          <w:divsChild>
            <w:div w:id="1976451143">
              <w:marLeft w:val="0"/>
              <w:marRight w:val="0"/>
              <w:marTop w:val="0"/>
              <w:marBottom w:val="0"/>
              <w:divBdr>
                <w:top w:val="none" w:sz="0" w:space="0" w:color="auto"/>
                <w:left w:val="none" w:sz="0" w:space="0" w:color="auto"/>
                <w:bottom w:val="none" w:sz="0" w:space="0" w:color="auto"/>
                <w:right w:val="none" w:sz="0" w:space="0" w:color="auto"/>
              </w:divBdr>
            </w:div>
          </w:divsChild>
        </w:div>
        <w:div w:id="1062945682">
          <w:marLeft w:val="0"/>
          <w:marRight w:val="0"/>
          <w:marTop w:val="0"/>
          <w:marBottom w:val="0"/>
          <w:divBdr>
            <w:top w:val="none" w:sz="0" w:space="0" w:color="auto"/>
            <w:left w:val="none" w:sz="0" w:space="0" w:color="auto"/>
            <w:bottom w:val="none" w:sz="0" w:space="0" w:color="auto"/>
            <w:right w:val="none" w:sz="0" w:space="0" w:color="auto"/>
          </w:divBdr>
        </w:div>
        <w:div w:id="1287618157">
          <w:marLeft w:val="0"/>
          <w:marRight w:val="0"/>
          <w:marTop w:val="0"/>
          <w:marBottom w:val="0"/>
          <w:divBdr>
            <w:top w:val="none" w:sz="0" w:space="0" w:color="auto"/>
            <w:left w:val="none" w:sz="0" w:space="0" w:color="auto"/>
            <w:bottom w:val="none" w:sz="0" w:space="0" w:color="auto"/>
            <w:right w:val="none" w:sz="0" w:space="0" w:color="auto"/>
          </w:divBdr>
        </w:div>
        <w:div w:id="5594760">
          <w:marLeft w:val="0"/>
          <w:marRight w:val="0"/>
          <w:marTop w:val="0"/>
          <w:marBottom w:val="0"/>
          <w:divBdr>
            <w:top w:val="none" w:sz="0" w:space="0" w:color="auto"/>
            <w:left w:val="none" w:sz="0" w:space="0" w:color="auto"/>
            <w:bottom w:val="none" w:sz="0" w:space="0" w:color="auto"/>
            <w:right w:val="none" w:sz="0" w:space="0" w:color="auto"/>
          </w:divBdr>
          <w:divsChild>
            <w:div w:id="1451045585">
              <w:marLeft w:val="0"/>
              <w:marRight w:val="0"/>
              <w:marTop w:val="0"/>
              <w:marBottom w:val="0"/>
              <w:divBdr>
                <w:top w:val="none" w:sz="0" w:space="0" w:color="auto"/>
                <w:left w:val="none" w:sz="0" w:space="0" w:color="auto"/>
                <w:bottom w:val="none" w:sz="0" w:space="0" w:color="auto"/>
                <w:right w:val="none" w:sz="0" w:space="0" w:color="auto"/>
              </w:divBdr>
            </w:div>
          </w:divsChild>
        </w:div>
        <w:div w:id="440152871">
          <w:marLeft w:val="0"/>
          <w:marRight w:val="0"/>
          <w:marTop w:val="0"/>
          <w:marBottom w:val="0"/>
          <w:divBdr>
            <w:top w:val="none" w:sz="0" w:space="0" w:color="auto"/>
            <w:left w:val="none" w:sz="0" w:space="0" w:color="auto"/>
            <w:bottom w:val="none" w:sz="0" w:space="0" w:color="auto"/>
            <w:right w:val="none" w:sz="0" w:space="0" w:color="auto"/>
          </w:divBdr>
        </w:div>
        <w:div w:id="1857958583">
          <w:marLeft w:val="0"/>
          <w:marRight w:val="0"/>
          <w:marTop w:val="0"/>
          <w:marBottom w:val="0"/>
          <w:divBdr>
            <w:top w:val="none" w:sz="0" w:space="0" w:color="auto"/>
            <w:left w:val="none" w:sz="0" w:space="0" w:color="auto"/>
            <w:bottom w:val="none" w:sz="0" w:space="0" w:color="auto"/>
            <w:right w:val="none" w:sz="0" w:space="0" w:color="auto"/>
          </w:divBdr>
        </w:div>
        <w:div w:id="1835872893">
          <w:marLeft w:val="0"/>
          <w:marRight w:val="0"/>
          <w:marTop w:val="0"/>
          <w:marBottom w:val="0"/>
          <w:divBdr>
            <w:top w:val="none" w:sz="0" w:space="0" w:color="auto"/>
            <w:left w:val="none" w:sz="0" w:space="0" w:color="auto"/>
            <w:bottom w:val="none" w:sz="0" w:space="0" w:color="auto"/>
            <w:right w:val="none" w:sz="0" w:space="0" w:color="auto"/>
          </w:divBdr>
          <w:divsChild>
            <w:div w:id="917012005">
              <w:marLeft w:val="0"/>
              <w:marRight w:val="0"/>
              <w:marTop w:val="0"/>
              <w:marBottom w:val="0"/>
              <w:divBdr>
                <w:top w:val="none" w:sz="0" w:space="0" w:color="auto"/>
                <w:left w:val="none" w:sz="0" w:space="0" w:color="auto"/>
                <w:bottom w:val="none" w:sz="0" w:space="0" w:color="auto"/>
                <w:right w:val="none" w:sz="0" w:space="0" w:color="auto"/>
              </w:divBdr>
            </w:div>
          </w:divsChild>
        </w:div>
        <w:div w:id="16007468">
          <w:marLeft w:val="0"/>
          <w:marRight w:val="0"/>
          <w:marTop w:val="0"/>
          <w:marBottom w:val="0"/>
          <w:divBdr>
            <w:top w:val="none" w:sz="0" w:space="0" w:color="auto"/>
            <w:left w:val="none" w:sz="0" w:space="0" w:color="auto"/>
            <w:bottom w:val="none" w:sz="0" w:space="0" w:color="auto"/>
            <w:right w:val="none" w:sz="0" w:space="0" w:color="auto"/>
          </w:divBdr>
        </w:div>
        <w:div w:id="1291934724">
          <w:marLeft w:val="0"/>
          <w:marRight w:val="0"/>
          <w:marTop w:val="0"/>
          <w:marBottom w:val="0"/>
          <w:divBdr>
            <w:top w:val="none" w:sz="0" w:space="0" w:color="auto"/>
            <w:left w:val="none" w:sz="0" w:space="0" w:color="auto"/>
            <w:bottom w:val="none" w:sz="0" w:space="0" w:color="auto"/>
            <w:right w:val="none" w:sz="0" w:space="0" w:color="auto"/>
          </w:divBdr>
        </w:div>
        <w:div w:id="710763724">
          <w:marLeft w:val="0"/>
          <w:marRight w:val="0"/>
          <w:marTop w:val="0"/>
          <w:marBottom w:val="0"/>
          <w:divBdr>
            <w:top w:val="none" w:sz="0" w:space="0" w:color="auto"/>
            <w:left w:val="none" w:sz="0" w:space="0" w:color="auto"/>
            <w:bottom w:val="none" w:sz="0" w:space="0" w:color="auto"/>
            <w:right w:val="none" w:sz="0" w:space="0" w:color="auto"/>
          </w:divBdr>
          <w:divsChild>
            <w:div w:id="557086923">
              <w:marLeft w:val="0"/>
              <w:marRight w:val="0"/>
              <w:marTop w:val="0"/>
              <w:marBottom w:val="0"/>
              <w:divBdr>
                <w:top w:val="none" w:sz="0" w:space="0" w:color="auto"/>
                <w:left w:val="none" w:sz="0" w:space="0" w:color="auto"/>
                <w:bottom w:val="none" w:sz="0" w:space="0" w:color="auto"/>
                <w:right w:val="none" w:sz="0" w:space="0" w:color="auto"/>
              </w:divBdr>
            </w:div>
          </w:divsChild>
        </w:div>
        <w:div w:id="172454401">
          <w:marLeft w:val="0"/>
          <w:marRight w:val="0"/>
          <w:marTop w:val="0"/>
          <w:marBottom w:val="0"/>
          <w:divBdr>
            <w:top w:val="none" w:sz="0" w:space="0" w:color="auto"/>
            <w:left w:val="none" w:sz="0" w:space="0" w:color="auto"/>
            <w:bottom w:val="none" w:sz="0" w:space="0" w:color="auto"/>
            <w:right w:val="none" w:sz="0" w:space="0" w:color="auto"/>
          </w:divBdr>
        </w:div>
        <w:div w:id="1045445004">
          <w:marLeft w:val="0"/>
          <w:marRight w:val="0"/>
          <w:marTop w:val="0"/>
          <w:marBottom w:val="0"/>
          <w:divBdr>
            <w:top w:val="none" w:sz="0" w:space="0" w:color="auto"/>
            <w:left w:val="none" w:sz="0" w:space="0" w:color="auto"/>
            <w:bottom w:val="none" w:sz="0" w:space="0" w:color="auto"/>
            <w:right w:val="none" w:sz="0" w:space="0" w:color="auto"/>
          </w:divBdr>
        </w:div>
        <w:div w:id="1300838827">
          <w:marLeft w:val="0"/>
          <w:marRight w:val="0"/>
          <w:marTop w:val="0"/>
          <w:marBottom w:val="0"/>
          <w:divBdr>
            <w:top w:val="none" w:sz="0" w:space="0" w:color="auto"/>
            <w:left w:val="none" w:sz="0" w:space="0" w:color="auto"/>
            <w:bottom w:val="none" w:sz="0" w:space="0" w:color="auto"/>
            <w:right w:val="none" w:sz="0" w:space="0" w:color="auto"/>
          </w:divBdr>
          <w:divsChild>
            <w:div w:id="1184827538">
              <w:marLeft w:val="0"/>
              <w:marRight w:val="0"/>
              <w:marTop w:val="0"/>
              <w:marBottom w:val="0"/>
              <w:divBdr>
                <w:top w:val="none" w:sz="0" w:space="0" w:color="auto"/>
                <w:left w:val="none" w:sz="0" w:space="0" w:color="auto"/>
                <w:bottom w:val="none" w:sz="0" w:space="0" w:color="auto"/>
                <w:right w:val="none" w:sz="0" w:space="0" w:color="auto"/>
              </w:divBdr>
            </w:div>
          </w:divsChild>
        </w:div>
        <w:div w:id="1587112699">
          <w:marLeft w:val="0"/>
          <w:marRight w:val="0"/>
          <w:marTop w:val="0"/>
          <w:marBottom w:val="0"/>
          <w:divBdr>
            <w:top w:val="none" w:sz="0" w:space="0" w:color="auto"/>
            <w:left w:val="none" w:sz="0" w:space="0" w:color="auto"/>
            <w:bottom w:val="none" w:sz="0" w:space="0" w:color="auto"/>
            <w:right w:val="none" w:sz="0" w:space="0" w:color="auto"/>
          </w:divBdr>
        </w:div>
        <w:div w:id="1154377439">
          <w:marLeft w:val="0"/>
          <w:marRight w:val="0"/>
          <w:marTop w:val="0"/>
          <w:marBottom w:val="0"/>
          <w:divBdr>
            <w:top w:val="none" w:sz="0" w:space="0" w:color="auto"/>
            <w:left w:val="none" w:sz="0" w:space="0" w:color="auto"/>
            <w:bottom w:val="none" w:sz="0" w:space="0" w:color="auto"/>
            <w:right w:val="none" w:sz="0" w:space="0" w:color="auto"/>
          </w:divBdr>
        </w:div>
        <w:div w:id="483353009">
          <w:marLeft w:val="0"/>
          <w:marRight w:val="0"/>
          <w:marTop w:val="0"/>
          <w:marBottom w:val="0"/>
          <w:divBdr>
            <w:top w:val="none" w:sz="0" w:space="0" w:color="auto"/>
            <w:left w:val="none" w:sz="0" w:space="0" w:color="auto"/>
            <w:bottom w:val="none" w:sz="0" w:space="0" w:color="auto"/>
            <w:right w:val="none" w:sz="0" w:space="0" w:color="auto"/>
          </w:divBdr>
          <w:divsChild>
            <w:div w:id="581573221">
              <w:marLeft w:val="0"/>
              <w:marRight w:val="0"/>
              <w:marTop w:val="0"/>
              <w:marBottom w:val="0"/>
              <w:divBdr>
                <w:top w:val="none" w:sz="0" w:space="0" w:color="auto"/>
                <w:left w:val="none" w:sz="0" w:space="0" w:color="auto"/>
                <w:bottom w:val="none" w:sz="0" w:space="0" w:color="auto"/>
                <w:right w:val="none" w:sz="0" w:space="0" w:color="auto"/>
              </w:divBdr>
            </w:div>
          </w:divsChild>
        </w:div>
        <w:div w:id="1533033779">
          <w:marLeft w:val="0"/>
          <w:marRight w:val="0"/>
          <w:marTop w:val="0"/>
          <w:marBottom w:val="0"/>
          <w:divBdr>
            <w:top w:val="none" w:sz="0" w:space="0" w:color="auto"/>
            <w:left w:val="none" w:sz="0" w:space="0" w:color="auto"/>
            <w:bottom w:val="none" w:sz="0" w:space="0" w:color="auto"/>
            <w:right w:val="none" w:sz="0" w:space="0" w:color="auto"/>
          </w:divBdr>
        </w:div>
        <w:div w:id="1609314706">
          <w:marLeft w:val="0"/>
          <w:marRight w:val="0"/>
          <w:marTop w:val="0"/>
          <w:marBottom w:val="0"/>
          <w:divBdr>
            <w:top w:val="none" w:sz="0" w:space="0" w:color="auto"/>
            <w:left w:val="none" w:sz="0" w:space="0" w:color="auto"/>
            <w:bottom w:val="none" w:sz="0" w:space="0" w:color="auto"/>
            <w:right w:val="none" w:sz="0" w:space="0" w:color="auto"/>
          </w:divBdr>
        </w:div>
        <w:div w:id="1260453926">
          <w:marLeft w:val="0"/>
          <w:marRight w:val="0"/>
          <w:marTop w:val="0"/>
          <w:marBottom w:val="0"/>
          <w:divBdr>
            <w:top w:val="none" w:sz="0" w:space="0" w:color="auto"/>
            <w:left w:val="none" w:sz="0" w:space="0" w:color="auto"/>
            <w:bottom w:val="none" w:sz="0" w:space="0" w:color="auto"/>
            <w:right w:val="none" w:sz="0" w:space="0" w:color="auto"/>
          </w:divBdr>
          <w:divsChild>
            <w:div w:id="1144926373">
              <w:marLeft w:val="0"/>
              <w:marRight w:val="0"/>
              <w:marTop w:val="0"/>
              <w:marBottom w:val="0"/>
              <w:divBdr>
                <w:top w:val="none" w:sz="0" w:space="0" w:color="auto"/>
                <w:left w:val="none" w:sz="0" w:space="0" w:color="auto"/>
                <w:bottom w:val="none" w:sz="0" w:space="0" w:color="auto"/>
                <w:right w:val="none" w:sz="0" w:space="0" w:color="auto"/>
              </w:divBdr>
            </w:div>
          </w:divsChild>
        </w:div>
        <w:div w:id="713311941">
          <w:marLeft w:val="0"/>
          <w:marRight w:val="0"/>
          <w:marTop w:val="0"/>
          <w:marBottom w:val="0"/>
          <w:divBdr>
            <w:top w:val="none" w:sz="0" w:space="0" w:color="auto"/>
            <w:left w:val="none" w:sz="0" w:space="0" w:color="auto"/>
            <w:bottom w:val="none" w:sz="0" w:space="0" w:color="auto"/>
            <w:right w:val="none" w:sz="0" w:space="0" w:color="auto"/>
          </w:divBdr>
        </w:div>
        <w:div w:id="530651003">
          <w:marLeft w:val="0"/>
          <w:marRight w:val="0"/>
          <w:marTop w:val="0"/>
          <w:marBottom w:val="0"/>
          <w:divBdr>
            <w:top w:val="none" w:sz="0" w:space="0" w:color="auto"/>
            <w:left w:val="none" w:sz="0" w:space="0" w:color="auto"/>
            <w:bottom w:val="none" w:sz="0" w:space="0" w:color="auto"/>
            <w:right w:val="none" w:sz="0" w:space="0" w:color="auto"/>
          </w:divBdr>
        </w:div>
        <w:div w:id="1915891371">
          <w:marLeft w:val="0"/>
          <w:marRight w:val="0"/>
          <w:marTop w:val="0"/>
          <w:marBottom w:val="0"/>
          <w:divBdr>
            <w:top w:val="none" w:sz="0" w:space="0" w:color="auto"/>
            <w:left w:val="none" w:sz="0" w:space="0" w:color="auto"/>
            <w:bottom w:val="none" w:sz="0" w:space="0" w:color="auto"/>
            <w:right w:val="none" w:sz="0" w:space="0" w:color="auto"/>
          </w:divBdr>
          <w:divsChild>
            <w:div w:id="1468737128">
              <w:marLeft w:val="0"/>
              <w:marRight w:val="0"/>
              <w:marTop w:val="0"/>
              <w:marBottom w:val="0"/>
              <w:divBdr>
                <w:top w:val="none" w:sz="0" w:space="0" w:color="auto"/>
                <w:left w:val="none" w:sz="0" w:space="0" w:color="auto"/>
                <w:bottom w:val="none" w:sz="0" w:space="0" w:color="auto"/>
                <w:right w:val="none" w:sz="0" w:space="0" w:color="auto"/>
              </w:divBdr>
            </w:div>
          </w:divsChild>
        </w:div>
        <w:div w:id="1659141617">
          <w:marLeft w:val="0"/>
          <w:marRight w:val="0"/>
          <w:marTop w:val="0"/>
          <w:marBottom w:val="0"/>
          <w:divBdr>
            <w:top w:val="none" w:sz="0" w:space="0" w:color="auto"/>
            <w:left w:val="none" w:sz="0" w:space="0" w:color="auto"/>
            <w:bottom w:val="none" w:sz="0" w:space="0" w:color="auto"/>
            <w:right w:val="none" w:sz="0" w:space="0" w:color="auto"/>
          </w:divBdr>
        </w:div>
        <w:div w:id="884951364">
          <w:marLeft w:val="0"/>
          <w:marRight w:val="0"/>
          <w:marTop w:val="0"/>
          <w:marBottom w:val="0"/>
          <w:divBdr>
            <w:top w:val="none" w:sz="0" w:space="0" w:color="auto"/>
            <w:left w:val="none" w:sz="0" w:space="0" w:color="auto"/>
            <w:bottom w:val="none" w:sz="0" w:space="0" w:color="auto"/>
            <w:right w:val="none" w:sz="0" w:space="0" w:color="auto"/>
          </w:divBdr>
        </w:div>
        <w:div w:id="1569226252">
          <w:marLeft w:val="0"/>
          <w:marRight w:val="0"/>
          <w:marTop w:val="0"/>
          <w:marBottom w:val="0"/>
          <w:divBdr>
            <w:top w:val="none" w:sz="0" w:space="0" w:color="auto"/>
            <w:left w:val="none" w:sz="0" w:space="0" w:color="auto"/>
            <w:bottom w:val="none" w:sz="0" w:space="0" w:color="auto"/>
            <w:right w:val="none" w:sz="0" w:space="0" w:color="auto"/>
          </w:divBdr>
        </w:div>
        <w:div w:id="897741879">
          <w:marLeft w:val="0"/>
          <w:marRight w:val="0"/>
          <w:marTop w:val="0"/>
          <w:marBottom w:val="0"/>
          <w:divBdr>
            <w:top w:val="none" w:sz="0" w:space="0" w:color="auto"/>
            <w:left w:val="none" w:sz="0" w:space="0" w:color="auto"/>
            <w:bottom w:val="none" w:sz="0" w:space="0" w:color="auto"/>
            <w:right w:val="none" w:sz="0" w:space="0" w:color="auto"/>
          </w:divBdr>
        </w:div>
      </w:divsChild>
    </w:div>
    <w:div w:id="2066221934">
      <w:bodyDiv w:val="1"/>
      <w:marLeft w:val="0"/>
      <w:marRight w:val="0"/>
      <w:marTop w:val="0"/>
      <w:marBottom w:val="0"/>
      <w:divBdr>
        <w:top w:val="none" w:sz="0" w:space="0" w:color="auto"/>
        <w:left w:val="none" w:sz="0" w:space="0" w:color="auto"/>
        <w:bottom w:val="none" w:sz="0" w:space="0" w:color="auto"/>
        <w:right w:val="none" w:sz="0" w:space="0" w:color="auto"/>
      </w:divBdr>
      <w:divsChild>
        <w:div w:id="1499496108">
          <w:marLeft w:val="0"/>
          <w:marRight w:val="0"/>
          <w:marTop w:val="0"/>
          <w:marBottom w:val="240"/>
          <w:divBdr>
            <w:top w:val="none" w:sz="0" w:space="0" w:color="auto"/>
            <w:left w:val="none" w:sz="0" w:space="0" w:color="auto"/>
            <w:bottom w:val="none" w:sz="0" w:space="0" w:color="auto"/>
            <w:right w:val="none" w:sz="0" w:space="0" w:color="auto"/>
          </w:divBdr>
        </w:div>
        <w:div w:id="869032603">
          <w:marLeft w:val="0"/>
          <w:marRight w:val="0"/>
          <w:marTop w:val="0"/>
          <w:marBottom w:val="0"/>
          <w:divBdr>
            <w:top w:val="none" w:sz="0" w:space="0" w:color="auto"/>
            <w:left w:val="none" w:sz="0" w:space="0" w:color="auto"/>
            <w:bottom w:val="none" w:sz="0" w:space="0" w:color="auto"/>
            <w:right w:val="none" w:sz="0" w:space="0" w:color="auto"/>
          </w:divBdr>
          <w:divsChild>
            <w:div w:id="1014842361">
              <w:marLeft w:val="0"/>
              <w:marRight w:val="0"/>
              <w:marTop w:val="0"/>
              <w:marBottom w:val="0"/>
              <w:divBdr>
                <w:top w:val="none" w:sz="0" w:space="0" w:color="auto"/>
                <w:left w:val="none" w:sz="0" w:space="0" w:color="auto"/>
                <w:bottom w:val="none" w:sz="0" w:space="0" w:color="auto"/>
                <w:right w:val="none" w:sz="0" w:space="0" w:color="auto"/>
              </w:divBdr>
            </w:div>
          </w:divsChild>
        </w:div>
        <w:div w:id="40371353">
          <w:marLeft w:val="0"/>
          <w:marRight w:val="0"/>
          <w:marTop w:val="0"/>
          <w:marBottom w:val="420"/>
          <w:divBdr>
            <w:top w:val="none" w:sz="0" w:space="0" w:color="auto"/>
            <w:left w:val="none" w:sz="0" w:space="0" w:color="auto"/>
            <w:bottom w:val="none" w:sz="0" w:space="0" w:color="auto"/>
            <w:right w:val="none" w:sz="0" w:space="0" w:color="auto"/>
          </w:divBdr>
        </w:div>
        <w:div w:id="1492677612">
          <w:marLeft w:val="0"/>
          <w:marRight w:val="0"/>
          <w:marTop w:val="0"/>
          <w:marBottom w:val="0"/>
          <w:divBdr>
            <w:top w:val="none" w:sz="0" w:space="0" w:color="auto"/>
            <w:left w:val="none" w:sz="0" w:space="0" w:color="auto"/>
            <w:bottom w:val="none" w:sz="0" w:space="0" w:color="auto"/>
            <w:right w:val="none" w:sz="0" w:space="0" w:color="auto"/>
          </w:divBdr>
          <w:divsChild>
            <w:div w:id="1528177752">
              <w:marLeft w:val="0"/>
              <w:marRight w:val="0"/>
              <w:marTop w:val="0"/>
              <w:marBottom w:val="0"/>
              <w:divBdr>
                <w:top w:val="none" w:sz="0" w:space="0" w:color="auto"/>
                <w:left w:val="none" w:sz="0" w:space="0" w:color="auto"/>
                <w:bottom w:val="none" w:sz="0" w:space="0" w:color="auto"/>
                <w:right w:val="none" w:sz="0" w:space="0" w:color="auto"/>
              </w:divBdr>
            </w:div>
          </w:divsChild>
        </w:div>
        <w:div w:id="1369380707">
          <w:marLeft w:val="0"/>
          <w:marRight w:val="0"/>
          <w:marTop w:val="0"/>
          <w:marBottom w:val="420"/>
          <w:divBdr>
            <w:top w:val="none" w:sz="0" w:space="0" w:color="auto"/>
            <w:left w:val="none" w:sz="0" w:space="0" w:color="auto"/>
            <w:bottom w:val="none" w:sz="0" w:space="0" w:color="auto"/>
            <w:right w:val="none" w:sz="0" w:space="0" w:color="auto"/>
          </w:divBdr>
        </w:div>
        <w:div w:id="800151757">
          <w:marLeft w:val="0"/>
          <w:marRight w:val="0"/>
          <w:marTop w:val="0"/>
          <w:marBottom w:val="0"/>
          <w:divBdr>
            <w:top w:val="none" w:sz="0" w:space="0" w:color="auto"/>
            <w:left w:val="none" w:sz="0" w:space="0" w:color="auto"/>
            <w:bottom w:val="none" w:sz="0" w:space="0" w:color="auto"/>
            <w:right w:val="none" w:sz="0" w:space="0" w:color="auto"/>
          </w:divBdr>
          <w:divsChild>
            <w:div w:id="978151212">
              <w:marLeft w:val="0"/>
              <w:marRight w:val="0"/>
              <w:marTop w:val="0"/>
              <w:marBottom w:val="0"/>
              <w:divBdr>
                <w:top w:val="none" w:sz="0" w:space="0" w:color="auto"/>
                <w:left w:val="none" w:sz="0" w:space="0" w:color="auto"/>
                <w:bottom w:val="none" w:sz="0" w:space="0" w:color="auto"/>
                <w:right w:val="none" w:sz="0" w:space="0" w:color="auto"/>
              </w:divBdr>
            </w:div>
          </w:divsChild>
        </w:div>
        <w:div w:id="1169949431">
          <w:marLeft w:val="0"/>
          <w:marRight w:val="0"/>
          <w:marTop w:val="0"/>
          <w:marBottom w:val="420"/>
          <w:divBdr>
            <w:top w:val="none" w:sz="0" w:space="0" w:color="auto"/>
            <w:left w:val="none" w:sz="0" w:space="0" w:color="auto"/>
            <w:bottom w:val="none" w:sz="0" w:space="0" w:color="auto"/>
            <w:right w:val="none" w:sz="0" w:space="0" w:color="auto"/>
          </w:divBdr>
        </w:div>
        <w:div w:id="1895123143">
          <w:marLeft w:val="0"/>
          <w:marRight w:val="0"/>
          <w:marTop w:val="0"/>
          <w:marBottom w:val="450"/>
          <w:divBdr>
            <w:top w:val="none" w:sz="0" w:space="0" w:color="auto"/>
            <w:left w:val="none" w:sz="0" w:space="0" w:color="auto"/>
            <w:bottom w:val="none" w:sz="0" w:space="0" w:color="auto"/>
            <w:right w:val="none" w:sz="0" w:space="0" w:color="auto"/>
          </w:divBdr>
          <w:divsChild>
            <w:div w:id="1710953273">
              <w:marLeft w:val="0"/>
              <w:marRight w:val="0"/>
              <w:marTop w:val="225"/>
              <w:marBottom w:val="0"/>
              <w:divBdr>
                <w:top w:val="none" w:sz="0" w:space="0" w:color="auto"/>
                <w:left w:val="none" w:sz="0" w:space="0" w:color="auto"/>
                <w:bottom w:val="none" w:sz="0" w:space="0" w:color="auto"/>
                <w:right w:val="none" w:sz="0" w:space="0" w:color="auto"/>
              </w:divBdr>
            </w:div>
            <w:div w:id="306983268">
              <w:marLeft w:val="0"/>
              <w:marRight w:val="0"/>
              <w:marTop w:val="0"/>
              <w:marBottom w:val="0"/>
              <w:divBdr>
                <w:top w:val="none" w:sz="0" w:space="0" w:color="auto"/>
                <w:left w:val="none" w:sz="0" w:space="0" w:color="auto"/>
                <w:bottom w:val="none" w:sz="0" w:space="0" w:color="auto"/>
                <w:right w:val="none" w:sz="0" w:space="0" w:color="auto"/>
              </w:divBdr>
            </w:div>
          </w:divsChild>
        </w:div>
        <w:div w:id="714545603">
          <w:marLeft w:val="0"/>
          <w:marRight w:val="0"/>
          <w:marTop w:val="0"/>
          <w:marBottom w:val="450"/>
          <w:divBdr>
            <w:top w:val="none" w:sz="0" w:space="0" w:color="auto"/>
            <w:left w:val="none" w:sz="0" w:space="0" w:color="auto"/>
            <w:bottom w:val="none" w:sz="0" w:space="0" w:color="auto"/>
            <w:right w:val="none" w:sz="0" w:space="0" w:color="auto"/>
          </w:divBdr>
          <w:divsChild>
            <w:div w:id="1811555459">
              <w:marLeft w:val="0"/>
              <w:marRight w:val="0"/>
              <w:marTop w:val="225"/>
              <w:marBottom w:val="0"/>
              <w:divBdr>
                <w:top w:val="none" w:sz="0" w:space="0" w:color="auto"/>
                <w:left w:val="none" w:sz="0" w:space="0" w:color="auto"/>
                <w:bottom w:val="none" w:sz="0" w:space="0" w:color="auto"/>
                <w:right w:val="none" w:sz="0" w:space="0" w:color="auto"/>
              </w:divBdr>
            </w:div>
            <w:div w:id="1206870147">
              <w:marLeft w:val="0"/>
              <w:marRight w:val="0"/>
              <w:marTop w:val="0"/>
              <w:marBottom w:val="0"/>
              <w:divBdr>
                <w:top w:val="none" w:sz="0" w:space="0" w:color="auto"/>
                <w:left w:val="none" w:sz="0" w:space="0" w:color="auto"/>
                <w:bottom w:val="none" w:sz="0" w:space="0" w:color="auto"/>
                <w:right w:val="none" w:sz="0" w:space="0" w:color="auto"/>
              </w:divBdr>
            </w:div>
          </w:divsChild>
        </w:div>
        <w:div w:id="874999555">
          <w:marLeft w:val="0"/>
          <w:marRight w:val="0"/>
          <w:marTop w:val="0"/>
          <w:marBottom w:val="450"/>
          <w:divBdr>
            <w:top w:val="none" w:sz="0" w:space="0" w:color="auto"/>
            <w:left w:val="none" w:sz="0" w:space="0" w:color="auto"/>
            <w:bottom w:val="none" w:sz="0" w:space="0" w:color="auto"/>
            <w:right w:val="none" w:sz="0" w:space="0" w:color="auto"/>
          </w:divBdr>
          <w:divsChild>
            <w:div w:id="498927731">
              <w:marLeft w:val="0"/>
              <w:marRight w:val="0"/>
              <w:marTop w:val="225"/>
              <w:marBottom w:val="0"/>
              <w:divBdr>
                <w:top w:val="none" w:sz="0" w:space="0" w:color="auto"/>
                <w:left w:val="none" w:sz="0" w:space="0" w:color="auto"/>
                <w:bottom w:val="none" w:sz="0" w:space="0" w:color="auto"/>
                <w:right w:val="none" w:sz="0" w:space="0" w:color="auto"/>
              </w:divBdr>
            </w:div>
            <w:div w:id="354161076">
              <w:marLeft w:val="0"/>
              <w:marRight w:val="0"/>
              <w:marTop w:val="0"/>
              <w:marBottom w:val="0"/>
              <w:divBdr>
                <w:top w:val="none" w:sz="0" w:space="0" w:color="auto"/>
                <w:left w:val="none" w:sz="0" w:space="0" w:color="auto"/>
                <w:bottom w:val="none" w:sz="0" w:space="0" w:color="auto"/>
                <w:right w:val="none" w:sz="0" w:space="0" w:color="auto"/>
              </w:divBdr>
            </w:div>
          </w:divsChild>
        </w:div>
        <w:div w:id="1712345390">
          <w:marLeft w:val="0"/>
          <w:marRight w:val="0"/>
          <w:marTop w:val="0"/>
          <w:marBottom w:val="0"/>
          <w:divBdr>
            <w:top w:val="none" w:sz="0" w:space="0" w:color="auto"/>
            <w:left w:val="none" w:sz="0" w:space="0" w:color="auto"/>
            <w:bottom w:val="none" w:sz="0" w:space="0" w:color="auto"/>
            <w:right w:val="none" w:sz="0" w:space="0" w:color="auto"/>
          </w:divBdr>
        </w:div>
      </w:divsChild>
    </w:div>
    <w:div w:id="2068381751">
      <w:bodyDiv w:val="1"/>
      <w:marLeft w:val="0"/>
      <w:marRight w:val="0"/>
      <w:marTop w:val="0"/>
      <w:marBottom w:val="0"/>
      <w:divBdr>
        <w:top w:val="none" w:sz="0" w:space="0" w:color="auto"/>
        <w:left w:val="none" w:sz="0" w:space="0" w:color="auto"/>
        <w:bottom w:val="none" w:sz="0" w:space="0" w:color="auto"/>
        <w:right w:val="none" w:sz="0" w:space="0" w:color="auto"/>
      </w:divBdr>
    </w:div>
    <w:div w:id="2101367618">
      <w:bodyDiv w:val="1"/>
      <w:marLeft w:val="0"/>
      <w:marRight w:val="0"/>
      <w:marTop w:val="0"/>
      <w:marBottom w:val="0"/>
      <w:divBdr>
        <w:top w:val="none" w:sz="0" w:space="0" w:color="auto"/>
        <w:left w:val="none" w:sz="0" w:space="0" w:color="auto"/>
        <w:bottom w:val="none" w:sz="0" w:space="0" w:color="auto"/>
        <w:right w:val="none" w:sz="0" w:space="0" w:color="auto"/>
      </w:divBdr>
      <w:divsChild>
        <w:div w:id="1079984549">
          <w:marLeft w:val="0"/>
          <w:marRight w:val="0"/>
          <w:marTop w:val="225"/>
          <w:marBottom w:val="225"/>
          <w:divBdr>
            <w:top w:val="none" w:sz="0" w:space="0" w:color="auto"/>
            <w:left w:val="none" w:sz="0" w:space="0" w:color="auto"/>
            <w:bottom w:val="none" w:sz="0" w:space="0" w:color="auto"/>
            <w:right w:val="none" w:sz="0" w:space="0" w:color="auto"/>
          </w:divBdr>
          <w:divsChild>
            <w:div w:id="1264387254">
              <w:marLeft w:val="0"/>
              <w:marRight w:val="0"/>
              <w:marTop w:val="0"/>
              <w:marBottom w:val="0"/>
              <w:divBdr>
                <w:top w:val="none" w:sz="0" w:space="0" w:color="auto"/>
                <w:left w:val="none" w:sz="0" w:space="0" w:color="auto"/>
                <w:bottom w:val="none" w:sz="0" w:space="0" w:color="auto"/>
                <w:right w:val="none" w:sz="0" w:space="0" w:color="auto"/>
              </w:divBdr>
              <w:divsChild>
                <w:div w:id="656883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2724261">
      <w:bodyDiv w:val="1"/>
      <w:marLeft w:val="0"/>
      <w:marRight w:val="0"/>
      <w:marTop w:val="0"/>
      <w:marBottom w:val="0"/>
      <w:divBdr>
        <w:top w:val="none" w:sz="0" w:space="0" w:color="auto"/>
        <w:left w:val="none" w:sz="0" w:space="0" w:color="auto"/>
        <w:bottom w:val="none" w:sz="0" w:space="0" w:color="auto"/>
        <w:right w:val="none" w:sz="0" w:space="0" w:color="auto"/>
      </w:divBdr>
      <w:divsChild>
        <w:div w:id="1656061087">
          <w:marLeft w:val="0"/>
          <w:marRight w:val="0"/>
          <w:marTop w:val="0"/>
          <w:marBottom w:val="0"/>
          <w:divBdr>
            <w:top w:val="none" w:sz="0" w:space="0" w:color="auto"/>
            <w:left w:val="none" w:sz="0" w:space="0" w:color="auto"/>
            <w:bottom w:val="single" w:sz="6" w:space="12" w:color="DDDDDD"/>
            <w:right w:val="none" w:sz="0" w:space="0" w:color="auto"/>
          </w:divBdr>
          <w:divsChild>
            <w:div w:id="1608000227">
              <w:marLeft w:val="0"/>
              <w:marRight w:val="0"/>
              <w:marTop w:val="0"/>
              <w:marBottom w:val="0"/>
              <w:divBdr>
                <w:top w:val="none" w:sz="0" w:space="0" w:color="auto"/>
                <w:left w:val="none" w:sz="0" w:space="0" w:color="auto"/>
                <w:bottom w:val="none" w:sz="0" w:space="0" w:color="auto"/>
                <w:right w:val="none" w:sz="0" w:space="0" w:color="auto"/>
              </w:divBdr>
              <w:divsChild>
                <w:div w:id="1851338157">
                  <w:marLeft w:val="0"/>
                  <w:marRight w:val="0"/>
                  <w:marTop w:val="0"/>
                  <w:marBottom w:val="0"/>
                  <w:divBdr>
                    <w:top w:val="none" w:sz="0" w:space="0" w:color="auto"/>
                    <w:left w:val="none" w:sz="0" w:space="0" w:color="auto"/>
                    <w:bottom w:val="none" w:sz="0" w:space="0" w:color="auto"/>
                    <w:right w:val="none" w:sz="0" w:space="0" w:color="auto"/>
                  </w:divBdr>
                  <w:divsChild>
                    <w:div w:id="497499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0877954">
          <w:marLeft w:val="0"/>
          <w:marRight w:val="0"/>
          <w:marTop w:val="0"/>
          <w:marBottom w:val="0"/>
          <w:divBdr>
            <w:top w:val="none" w:sz="0" w:space="0" w:color="auto"/>
            <w:left w:val="none" w:sz="0" w:space="0" w:color="auto"/>
            <w:bottom w:val="single" w:sz="6" w:space="12" w:color="DDDDDD"/>
            <w:right w:val="none" w:sz="0" w:space="0" w:color="auto"/>
          </w:divBdr>
          <w:divsChild>
            <w:div w:id="1765570816">
              <w:marLeft w:val="0"/>
              <w:marRight w:val="0"/>
              <w:marTop w:val="0"/>
              <w:marBottom w:val="0"/>
              <w:divBdr>
                <w:top w:val="none" w:sz="0" w:space="0" w:color="auto"/>
                <w:left w:val="none" w:sz="0" w:space="0" w:color="auto"/>
                <w:bottom w:val="none" w:sz="0" w:space="0" w:color="auto"/>
                <w:right w:val="none" w:sz="0" w:space="0" w:color="auto"/>
              </w:divBdr>
              <w:divsChild>
                <w:div w:id="411703924">
                  <w:marLeft w:val="0"/>
                  <w:marRight w:val="0"/>
                  <w:marTop w:val="0"/>
                  <w:marBottom w:val="0"/>
                  <w:divBdr>
                    <w:top w:val="none" w:sz="0" w:space="0" w:color="auto"/>
                    <w:left w:val="none" w:sz="0" w:space="0" w:color="auto"/>
                    <w:bottom w:val="none" w:sz="0" w:space="0" w:color="auto"/>
                    <w:right w:val="none" w:sz="0" w:space="0" w:color="auto"/>
                  </w:divBdr>
                  <w:divsChild>
                    <w:div w:id="14768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8190160">
          <w:marLeft w:val="0"/>
          <w:marRight w:val="0"/>
          <w:marTop w:val="0"/>
          <w:marBottom w:val="0"/>
          <w:divBdr>
            <w:top w:val="none" w:sz="0" w:space="0" w:color="auto"/>
            <w:left w:val="none" w:sz="0" w:space="0" w:color="auto"/>
            <w:bottom w:val="single" w:sz="6" w:space="12" w:color="DDDDDD"/>
            <w:right w:val="none" w:sz="0" w:space="0" w:color="auto"/>
          </w:divBdr>
          <w:divsChild>
            <w:div w:id="981226975">
              <w:marLeft w:val="0"/>
              <w:marRight w:val="0"/>
              <w:marTop w:val="0"/>
              <w:marBottom w:val="0"/>
              <w:divBdr>
                <w:top w:val="none" w:sz="0" w:space="0" w:color="auto"/>
                <w:left w:val="none" w:sz="0" w:space="0" w:color="auto"/>
                <w:bottom w:val="none" w:sz="0" w:space="0" w:color="auto"/>
                <w:right w:val="none" w:sz="0" w:space="0" w:color="auto"/>
              </w:divBdr>
              <w:divsChild>
                <w:div w:id="1981616441">
                  <w:marLeft w:val="0"/>
                  <w:marRight w:val="0"/>
                  <w:marTop w:val="0"/>
                  <w:marBottom w:val="0"/>
                  <w:divBdr>
                    <w:top w:val="none" w:sz="0" w:space="0" w:color="auto"/>
                    <w:left w:val="none" w:sz="0" w:space="0" w:color="auto"/>
                    <w:bottom w:val="none" w:sz="0" w:space="0" w:color="auto"/>
                    <w:right w:val="none" w:sz="0" w:space="0" w:color="auto"/>
                  </w:divBdr>
                  <w:divsChild>
                    <w:div w:id="1299799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4133902">
          <w:marLeft w:val="0"/>
          <w:marRight w:val="0"/>
          <w:marTop w:val="0"/>
          <w:marBottom w:val="0"/>
          <w:divBdr>
            <w:top w:val="none" w:sz="0" w:space="0" w:color="auto"/>
            <w:left w:val="none" w:sz="0" w:space="0" w:color="auto"/>
            <w:bottom w:val="single" w:sz="6" w:space="12" w:color="DDDDDD"/>
            <w:right w:val="none" w:sz="0" w:space="0" w:color="auto"/>
          </w:divBdr>
          <w:divsChild>
            <w:div w:id="1874531856">
              <w:marLeft w:val="0"/>
              <w:marRight w:val="0"/>
              <w:marTop w:val="0"/>
              <w:marBottom w:val="0"/>
              <w:divBdr>
                <w:top w:val="none" w:sz="0" w:space="0" w:color="auto"/>
                <w:left w:val="none" w:sz="0" w:space="0" w:color="auto"/>
                <w:bottom w:val="none" w:sz="0" w:space="0" w:color="auto"/>
                <w:right w:val="none" w:sz="0" w:space="0" w:color="auto"/>
              </w:divBdr>
              <w:divsChild>
                <w:div w:id="138888873">
                  <w:marLeft w:val="0"/>
                  <w:marRight w:val="0"/>
                  <w:marTop w:val="0"/>
                  <w:marBottom w:val="0"/>
                  <w:divBdr>
                    <w:top w:val="none" w:sz="0" w:space="0" w:color="auto"/>
                    <w:left w:val="none" w:sz="0" w:space="0" w:color="auto"/>
                    <w:bottom w:val="none" w:sz="0" w:space="0" w:color="auto"/>
                    <w:right w:val="none" w:sz="0" w:space="0" w:color="auto"/>
                  </w:divBdr>
                  <w:divsChild>
                    <w:div w:id="14393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0376061">
          <w:marLeft w:val="0"/>
          <w:marRight w:val="0"/>
          <w:marTop w:val="0"/>
          <w:marBottom w:val="0"/>
          <w:divBdr>
            <w:top w:val="none" w:sz="0" w:space="0" w:color="auto"/>
            <w:left w:val="none" w:sz="0" w:space="0" w:color="auto"/>
            <w:bottom w:val="single" w:sz="6" w:space="12" w:color="DDDDDD"/>
            <w:right w:val="none" w:sz="0" w:space="0" w:color="auto"/>
          </w:divBdr>
          <w:divsChild>
            <w:div w:id="1710108374">
              <w:marLeft w:val="0"/>
              <w:marRight w:val="0"/>
              <w:marTop w:val="0"/>
              <w:marBottom w:val="0"/>
              <w:divBdr>
                <w:top w:val="none" w:sz="0" w:space="0" w:color="auto"/>
                <w:left w:val="none" w:sz="0" w:space="0" w:color="auto"/>
                <w:bottom w:val="none" w:sz="0" w:space="0" w:color="auto"/>
                <w:right w:val="none" w:sz="0" w:space="0" w:color="auto"/>
              </w:divBdr>
              <w:divsChild>
                <w:div w:id="530191898">
                  <w:marLeft w:val="0"/>
                  <w:marRight w:val="0"/>
                  <w:marTop w:val="0"/>
                  <w:marBottom w:val="0"/>
                  <w:divBdr>
                    <w:top w:val="none" w:sz="0" w:space="0" w:color="auto"/>
                    <w:left w:val="none" w:sz="0" w:space="0" w:color="auto"/>
                    <w:bottom w:val="none" w:sz="0" w:space="0" w:color="auto"/>
                    <w:right w:val="none" w:sz="0" w:space="0" w:color="auto"/>
                  </w:divBdr>
                  <w:divsChild>
                    <w:div w:id="1895699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7322527">
          <w:marLeft w:val="0"/>
          <w:marRight w:val="0"/>
          <w:marTop w:val="0"/>
          <w:marBottom w:val="0"/>
          <w:divBdr>
            <w:top w:val="none" w:sz="0" w:space="0" w:color="auto"/>
            <w:left w:val="none" w:sz="0" w:space="0" w:color="auto"/>
            <w:bottom w:val="single" w:sz="6" w:space="12" w:color="DDDDDD"/>
            <w:right w:val="none" w:sz="0" w:space="0" w:color="auto"/>
          </w:divBdr>
          <w:divsChild>
            <w:div w:id="1841969892">
              <w:marLeft w:val="0"/>
              <w:marRight w:val="0"/>
              <w:marTop w:val="0"/>
              <w:marBottom w:val="0"/>
              <w:divBdr>
                <w:top w:val="none" w:sz="0" w:space="0" w:color="auto"/>
                <w:left w:val="none" w:sz="0" w:space="0" w:color="auto"/>
                <w:bottom w:val="none" w:sz="0" w:space="0" w:color="auto"/>
                <w:right w:val="none" w:sz="0" w:space="0" w:color="auto"/>
              </w:divBdr>
              <w:divsChild>
                <w:div w:id="2032103752">
                  <w:marLeft w:val="0"/>
                  <w:marRight w:val="0"/>
                  <w:marTop w:val="0"/>
                  <w:marBottom w:val="0"/>
                  <w:divBdr>
                    <w:top w:val="none" w:sz="0" w:space="0" w:color="auto"/>
                    <w:left w:val="none" w:sz="0" w:space="0" w:color="auto"/>
                    <w:bottom w:val="none" w:sz="0" w:space="0" w:color="auto"/>
                    <w:right w:val="none" w:sz="0" w:space="0" w:color="auto"/>
                  </w:divBdr>
                  <w:divsChild>
                    <w:div w:id="1857772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5280337">
          <w:marLeft w:val="0"/>
          <w:marRight w:val="0"/>
          <w:marTop w:val="0"/>
          <w:marBottom w:val="0"/>
          <w:divBdr>
            <w:top w:val="none" w:sz="0" w:space="0" w:color="auto"/>
            <w:left w:val="none" w:sz="0" w:space="0" w:color="auto"/>
            <w:bottom w:val="single" w:sz="6" w:space="12" w:color="DDDDDD"/>
            <w:right w:val="none" w:sz="0" w:space="0" w:color="auto"/>
          </w:divBdr>
          <w:divsChild>
            <w:div w:id="1122379887">
              <w:marLeft w:val="0"/>
              <w:marRight w:val="0"/>
              <w:marTop w:val="0"/>
              <w:marBottom w:val="0"/>
              <w:divBdr>
                <w:top w:val="none" w:sz="0" w:space="0" w:color="auto"/>
                <w:left w:val="none" w:sz="0" w:space="0" w:color="auto"/>
                <w:bottom w:val="none" w:sz="0" w:space="0" w:color="auto"/>
                <w:right w:val="none" w:sz="0" w:space="0" w:color="auto"/>
              </w:divBdr>
              <w:divsChild>
                <w:div w:id="1860895008">
                  <w:marLeft w:val="0"/>
                  <w:marRight w:val="0"/>
                  <w:marTop w:val="0"/>
                  <w:marBottom w:val="0"/>
                  <w:divBdr>
                    <w:top w:val="none" w:sz="0" w:space="0" w:color="auto"/>
                    <w:left w:val="none" w:sz="0" w:space="0" w:color="auto"/>
                    <w:bottom w:val="none" w:sz="0" w:space="0" w:color="auto"/>
                    <w:right w:val="none" w:sz="0" w:space="0" w:color="auto"/>
                  </w:divBdr>
                  <w:divsChild>
                    <w:div w:id="1202521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3887363">
          <w:marLeft w:val="0"/>
          <w:marRight w:val="0"/>
          <w:marTop w:val="0"/>
          <w:marBottom w:val="0"/>
          <w:divBdr>
            <w:top w:val="none" w:sz="0" w:space="0" w:color="auto"/>
            <w:left w:val="none" w:sz="0" w:space="0" w:color="auto"/>
            <w:bottom w:val="single" w:sz="6" w:space="12" w:color="DDDDDD"/>
            <w:right w:val="none" w:sz="0" w:space="0" w:color="auto"/>
          </w:divBdr>
          <w:divsChild>
            <w:div w:id="1098018617">
              <w:marLeft w:val="0"/>
              <w:marRight w:val="0"/>
              <w:marTop w:val="0"/>
              <w:marBottom w:val="0"/>
              <w:divBdr>
                <w:top w:val="none" w:sz="0" w:space="0" w:color="auto"/>
                <w:left w:val="none" w:sz="0" w:space="0" w:color="auto"/>
                <w:bottom w:val="none" w:sz="0" w:space="0" w:color="auto"/>
                <w:right w:val="none" w:sz="0" w:space="0" w:color="auto"/>
              </w:divBdr>
              <w:divsChild>
                <w:div w:id="1589000398">
                  <w:marLeft w:val="0"/>
                  <w:marRight w:val="0"/>
                  <w:marTop w:val="0"/>
                  <w:marBottom w:val="0"/>
                  <w:divBdr>
                    <w:top w:val="none" w:sz="0" w:space="0" w:color="auto"/>
                    <w:left w:val="none" w:sz="0" w:space="0" w:color="auto"/>
                    <w:bottom w:val="none" w:sz="0" w:space="0" w:color="auto"/>
                    <w:right w:val="none" w:sz="0" w:space="0" w:color="auto"/>
                  </w:divBdr>
                  <w:divsChild>
                    <w:div w:id="428160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6992756">
          <w:marLeft w:val="0"/>
          <w:marRight w:val="0"/>
          <w:marTop w:val="0"/>
          <w:marBottom w:val="0"/>
          <w:divBdr>
            <w:top w:val="none" w:sz="0" w:space="0" w:color="auto"/>
            <w:left w:val="none" w:sz="0" w:space="0" w:color="auto"/>
            <w:bottom w:val="single" w:sz="6" w:space="12" w:color="DDDDDD"/>
            <w:right w:val="none" w:sz="0" w:space="0" w:color="auto"/>
          </w:divBdr>
          <w:divsChild>
            <w:div w:id="1066995911">
              <w:marLeft w:val="0"/>
              <w:marRight w:val="0"/>
              <w:marTop w:val="0"/>
              <w:marBottom w:val="0"/>
              <w:divBdr>
                <w:top w:val="none" w:sz="0" w:space="0" w:color="auto"/>
                <w:left w:val="none" w:sz="0" w:space="0" w:color="auto"/>
                <w:bottom w:val="none" w:sz="0" w:space="0" w:color="auto"/>
                <w:right w:val="none" w:sz="0" w:space="0" w:color="auto"/>
              </w:divBdr>
              <w:divsChild>
                <w:div w:id="789587488">
                  <w:marLeft w:val="0"/>
                  <w:marRight w:val="0"/>
                  <w:marTop w:val="0"/>
                  <w:marBottom w:val="0"/>
                  <w:divBdr>
                    <w:top w:val="none" w:sz="0" w:space="0" w:color="auto"/>
                    <w:left w:val="none" w:sz="0" w:space="0" w:color="auto"/>
                    <w:bottom w:val="none" w:sz="0" w:space="0" w:color="auto"/>
                    <w:right w:val="none" w:sz="0" w:space="0" w:color="auto"/>
                  </w:divBdr>
                  <w:divsChild>
                    <w:div w:id="556014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5475817">
          <w:marLeft w:val="0"/>
          <w:marRight w:val="0"/>
          <w:marTop w:val="0"/>
          <w:marBottom w:val="0"/>
          <w:divBdr>
            <w:top w:val="none" w:sz="0" w:space="0" w:color="auto"/>
            <w:left w:val="none" w:sz="0" w:space="0" w:color="auto"/>
            <w:bottom w:val="single" w:sz="6" w:space="12" w:color="DDDDDD"/>
            <w:right w:val="none" w:sz="0" w:space="0" w:color="auto"/>
          </w:divBdr>
          <w:divsChild>
            <w:div w:id="2141682636">
              <w:marLeft w:val="0"/>
              <w:marRight w:val="0"/>
              <w:marTop w:val="0"/>
              <w:marBottom w:val="0"/>
              <w:divBdr>
                <w:top w:val="none" w:sz="0" w:space="0" w:color="auto"/>
                <w:left w:val="none" w:sz="0" w:space="0" w:color="auto"/>
                <w:bottom w:val="none" w:sz="0" w:space="0" w:color="auto"/>
                <w:right w:val="none" w:sz="0" w:space="0" w:color="auto"/>
              </w:divBdr>
              <w:divsChild>
                <w:div w:id="851262682">
                  <w:marLeft w:val="0"/>
                  <w:marRight w:val="0"/>
                  <w:marTop w:val="0"/>
                  <w:marBottom w:val="0"/>
                  <w:divBdr>
                    <w:top w:val="none" w:sz="0" w:space="0" w:color="auto"/>
                    <w:left w:val="none" w:sz="0" w:space="0" w:color="auto"/>
                    <w:bottom w:val="none" w:sz="0" w:space="0" w:color="auto"/>
                    <w:right w:val="none" w:sz="0" w:space="0" w:color="auto"/>
                  </w:divBdr>
                  <w:divsChild>
                    <w:div w:id="1478720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8723270">
          <w:marLeft w:val="0"/>
          <w:marRight w:val="0"/>
          <w:marTop w:val="0"/>
          <w:marBottom w:val="0"/>
          <w:divBdr>
            <w:top w:val="none" w:sz="0" w:space="0" w:color="auto"/>
            <w:left w:val="none" w:sz="0" w:space="0" w:color="auto"/>
            <w:bottom w:val="single" w:sz="6" w:space="12" w:color="DDDDDD"/>
            <w:right w:val="none" w:sz="0" w:space="0" w:color="auto"/>
          </w:divBdr>
          <w:divsChild>
            <w:div w:id="2010868539">
              <w:marLeft w:val="0"/>
              <w:marRight w:val="0"/>
              <w:marTop w:val="0"/>
              <w:marBottom w:val="0"/>
              <w:divBdr>
                <w:top w:val="none" w:sz="0" w:space="0" w:color="auto"/>
                <w:left w:val="none" w:sz="0" w:space="0" w:color="auto"/>
                <w:bottom w:val="none" w:sz="0" w:space="0" w:color="auto"/>
                <w:right w:val="none" w:sz="0" w:space="0" w:color="auto"/>
              </w:divBdr>
              <w:divsChild>
                <w:div w:id="1029374005">
                  <w:marLeft w:val="0"/>
                  <w:marRight w:val="0"/>
                  <w:marTop w:val="0"/>
                  <w:marBottom w:val="0"/>
                  <w:divBdr>
                    <w:top w:val="none" w:sz="0" w:space="0" w:color="auto"/>
                    <w:left w:val="none" w:sz="0" w:space="0" w:color="auto"/>
                    <w:bottom w:val="none" w:sz="0" w:space="0" w:color="auto"/>
                    <w:right w:val="none" w:sz="0" w:space="0" w:color="auto"/>
                  </w:divBdr>
                  <w:divsChild>
                    <w:div w:id="1563561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2833740">
          <w:marLeft w:val="0"/>
          <w:marRight w:val="0"/>
          <w:marTop w:val="0"/>
          <w:marBottom w:val="0"/>
          <w:divBdr>
            <w:top w:val="none" w:sz="0" w:space="0" w:color="auto"/>
            <w:left w:val="none" w:sz="0" w:space="0" w:color="auto"/>
            <w:bottom w:val="single" w:sz="6" w:space="12" w:color="DDDDDD"/>
            <w:right w:val="none" w:sz="0" w:space="0" w:color="auto"/>
          </w:divBdr>
          <w:divsChild>
            <w:div w:id="247620411">
              <w:marLeft w:val="0"/>
              <w:marRight w:val="0"/>
              <w:marTop w:val="0"/>
              <w:marBottom w:val="0"/>
              <w:divBdr>
                <w:top w:val="none" w:sz="0" w:space="0" w:color="auto"/>
                <w:left w:val="none" w:sz="0" w:space="0" w:color="auto"/>
                <w:bottom w:val="none" w:sz="0" w:space="0" w:color="auto"/>
                <w:right w:val="none" w:sz="0" w:space="0" w:color="auto"/>
              </w:divBdr>
              <w:divsChild>
                <w:div w:id="2041861099">
                  <w:marLeft w:val="0"/>
                  <w:marRight w:val="0"/>
                  <w:marTop w:val="0"/>
                  <w:marBottom w:val="0"/>
                  <w:divBdr>
                    <w:top w:val="none" w:sz="0" w:space="0" w:color="auto"/>
                    <w:left w:val="none" w:sz="0" w:space="0" w:color="auto"/>
                    <w:bottom w:val="none" w:sz="0" w:space="0" w:color="auto"/>
                    <w:right w:val="none" w:sz="0" w:space="0" w:color="auto"/>
                  </w:divBdr>
                  <w:divsChild>
                    <w:div w:id="1521432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792567">
          <w:marLeft w:val="0"/>
          <w:marRight w:val="0"/>
          <w:marTop w:val="0"/>
          <w:marBottom w:val="0"/>
          <w:divBdr>
            <w:top w:val="none" w:sz="0" w:space="0" w:color="auto"/>
            <w:left w:val="none" w:sz="0" w:space="0" w:color="auto"/>
            <w:bottom w:val="single" w:sz="6" w:space="12" w:color="DDDDDD"/>
            <w:right w:val="none" w:sz="0" w:space="0" w:color="auto"/>
          </w:divBdr>
          <w:divsChild>
            <w:div w:id="1771732954">
              <w:marLeft w:val="0"/>
              <w:marRight w:val="0"/>
              <w:marTop w:val="0"/>
              <w:marBottom w:val="0"/>
              <w:divBdr>
                <w:top w:val="none" w:sz="0" w:space="0" w:color="auto"/>
                <w:left w:val="none" w:sz="0" w:space="0" w:color="auto"/>
                <w:bottom w:val="none" w:sz="0" w:space="0" w:color="auto"/>
                <w:right w:val="none" w:sz="0" w:space="0" w:color="auto"/>
              </w:divBdr>
              <w:divsChild>
                <w:div w:id="115873419">
                  <w:marLeft w:val="0"/>
                  <w:marRight w:val="0"/>
                  <w:marTop w:val="0"/>
                  <w:marBottom w:val="0"/>
                  <w:divBdr>
                    <w:top w:val="none" w:sz="0" w:space="0" w:color="auto"/>
                    <w:left w:val="none" w:sz="0" w:space="0" w:color="auto"/>
                    <w:bottom w:val="none" w:sz="0" w:space="0" w:color="auto"/>
                    <w:right w:val="none" w:sz="0" w:space="0" w:color="auto"/>
                  </w:divBdr>
                  <w:divsChild>
                    <w:div w:id="1148978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5545855">
          <w:marLeft w:val="0"/>
          <w:marRight w:val="0"/>
          <w:marTop w:val="0"/>
          <w:marBottom w:val="0"/>
          <w:divBdr>
            <w:top w:val="none" w:sz="0" w:space="0" w:color="auto"/>
            <w:left w:val="none" w:sz="0" w:space="0" w:color="auto"/>
            <w:bottom w:val="single" w:sz="6" w:space="12" w:color="DDDDDD"/>
            <w:right w:val="none" w:sz="0" w:space="0" w:color="auto"/>
          </w:divBdr>
          <w:divsChild>
            <w:div w:id="126510089">
              <w:marLeft w:val="0"/>
              <w:marRight w:val="0"/>
              <w:marTop w:val="0"/>
              <w:marBottom w:val="0"/>
              <w:divBdr>
                <w:top w:val="none" w:sz="0" w:space="0" w:color="auto"/>
                <w:left w:val="none" w:sz="0" w:space="0" w:color="auto"/>
                <w:bottom w:val="none" w:sz="0" w:space="0" w:color="auto"/>
                <w:right w:val="none" w:sz="0" w:space="0" w:color="auto"/>
              </w:divBdr>
              <w:divsChild>
                <w:div w:id="1522429243">
                  <w:marLeft w:val="0"/>
                  <w:marRight w:val="0"/>
                  <w:marTop w:val="0"/>
                  <w:marBottom w:val="0"/>
                  <w:divBdr>
                    <w:top w:val="none" w:sz="0" w:space="0" w:color="auto"/>
                    <w:left w:val="none" w:sz="0" w:space="0" w:color="auto"/>
                    <w:bottom w:val="none" w:sz="0" w:space="0" w:color="auto"/>
                    <w:right w:val="none" w:sz="0" w:space="0" w:color="auto"/>
                  </w:divBdr>
                  <w:divsChild>
                    <w:div w:id="428352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5911042">
          <w:marLeft w:val="0"/>
          <w:marRight w:val="0"/>
          <w:marTop w:val="0"/>
          <w:marBottom w:val="0"/>
          <w:divBdr>
            <w:top w:val="none" w:sz="0" w:space="0" w:color="auto"/>
            <w:left w:val="none" w:sz="0" w:space="0" w:color="auto"/>
            <w:bottom w:val="single" w:sz="6" w:space="12" w:color="DDDDDD"/>
            <w:right w:val="none" w:sz="0" w:space="0" w:color="auto"/>
          </w:divBdr>
          <w:divsChild>
            <w:div w:id="130826757">
              <w:marLeft w:val="0"/>
              <w:marRight w:val="0"/>
              <w:marTop w:val="0"/>
              <w:marBottom w:val="0"/>
              <w:divBdr>
                <w:top w:val="none" w:sz="0" w:space="0" w:color="auto"/>
                <w:left w:val="none" w:sz="0" w:space="0" w:color="auto"/>
                <w:bottom w:val="none" w:sz="0" w:space="0" w:color="auto"/>
                <w:right w:val="none" w:sz="0" w:space="0" w:color="auto"/>
              </w:divBdr>
              <w:divsChild>
                <w:div w:id="1027217436">
                  <w:marLeft w:val="0"/>
                  <w:marRight w:val="0"/>
                  <w:marTop w:val="0"/>
                  <w:marBottom w:val="0"/>
                  <w:divBdr>
                    <w:top w:val="none" w:sz="0" w:space="0" w:color="auto"/>
                    <w:left w:val="none" w:sz="0" w:space="0" w:color="auto"/>
                    <w:bottom w:val="none" w:sz="0" w:space="0" w:color="auto"/>
                    <w:right w:val="none" w:sz="0" w:space="0" w:color="auto"/>
                  </w:divBdr>
                  <w:divsChild>
                    <w:div w:id="236550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134897">
          <w:marLeft w:val="0"/>
          <w:marRight w:val="0"/>
          <w:marTop w:val="0"/>
          <w:marBottom w:val="0"/>
          <w:divBdr>
            <w:top w:val="none" w:sz="0" w:space="0" w:color="auto"/>
            <w:left w:val="none" w:sz="0" w:space="0" w:color="auto"/>
            <w:bottom w:val="single" w:sz="6" w:space="12" w:color="DDDDDD"/>
            <w:right w:val="none" w:sz="0" w:space="0" w:color="auto"/>
          </w:divBdr>
          <w:divsChild>
            <w:div w:id="1689941911">
              <w:marLeft w:val="0"/>
              <w:marRight w:val="0"/>
              <w:marTop w:val="0"/>
              <w:marBottom w:val="0"/>
              <w:divBdr>
                <w:top w:val="none" w:sz="0" w:space="0" w:color="auto"/>
                <w:left w:val="none" w:sz="0" w:space="0" w:color="auto"/>
                <w:bottom w:val="none" w:sz="0" w:space="0" w:color="auto"/>
                <w:right w:val="none" w:sz="0" w:space="0" w:color="auto"/>
              </w:divBdr>
              <w:divsChild>
                <w:div w:id="1017922133">
                  <w:marLeft w:val="0"/>
                  <w:marRight w:val="0"/>
                  <w:marTop w:val="0"/>
                  <w:marBottom w:val="0"/>
                  <w:divBdr>
                    <w:top w:val="none" w:sz="0" w:space="0" w:color="auto"/>
                    <w:left w:val="none" w:sz="0" w:space="0" w:color="auto"/>
                    <w:bottom w:val="none" w:sz="0" w:space="0" w:color="auto"/>
                    <w:right w:val="none" w:sz="0" w:space="0" w:color="auto"/>
                  </w:divBdr>
                  <w:divsChild>
                    <w:div w:id="1188905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2771564">
          <w:marLeft w:val="0"/>
          <w:marRight w:val="0"/>
          <w:marTop w:val="0"/>
          <w:marBottom w:val="0"/>
          <w:divBdr>
            <w:top w:val="none" w:sz="0" w:space="0" w:color="auto"/>
            <w:left w:val="none" w:sz="0" w:space="0" w:color="auto"/>
            <w:bottom w:val="single" w:sz="6" w:space="12" w:color="DDDDDD"/>
            <w:right w:val="none" w:sz="0" w:space="0" w:color="auto"/>
          </w:divBdr>
          <w:divsChild>
            <w:div w:id="1986660644">
              <w:marLeft w:val="0"/>
              <w:marRight w:val="0"/>
              <w:marTop w:val="0"/>
              <w:marBottom w:val="0"/>
              <w:divBdr>
                <w:top w:val="none" w:sz="0" w:space="0" w:color="auto"/>
                <w:left w:val="none" w:sz="0" w:space="0" w:color="auto"/>
                <w:bottom w:val="none" w:sz="0" w:space="0" w:color="auto"/>
                <w:right w:val="none" w:sz="0" w:space="0" w:color="auto"/>
              </w:divBdr>
              <w:divsChild>
                <w:div w:id="348794806">
                  <w:marLeft w:val="0"/>
                  <w:marRight w:val="0"/>
                  <w:marTop w:val="0"/>
                  <w:marBottom w:val="0"/>
                  <w:divBdr>
                    <w:top w:val="none" w:sz="0" w:space="0" w:color="auto"/>
                    <w:left w:val="none" w:sz="0" w:space="0" w:color="auto"/>
                    <w:bottom w:val="none" w:sz="0" w:space="0" w:color="auto"/>
                    <w:right w:val="none" w:sz="0" w:space="0" w:color="auto"/>
                  </w:divBdr>
                  <w:divsChild>
                    <w:div w:id="286738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8307402">
          <w:marLeft w:val="0"/>
          <w:marRight w:val="0"/>
          <w:marTop w:val="0"/>
          <w:marBottom w:val="0"/>
          <w:divBdr>
            <w:top w:val="none" w:sz="0" w:space="0" w:color="auto"/>
            <w:left w:val="none" w:sz="0" w:space="0" w:color="auto"/>
            <w:bottom w:val="single" w:sz="6" w:space="12" w:color="DDDDDD"/>
            <w:right w:val="none" w:sz="0" w:space="0" w:color="auto"/>
          </w:divBdr>
          <w:divsChild>
            <w:div w:id="343364702">
              <w:marLeft w:val="0"/>
              <w:marRight w:val="0"/>
              <w:marTop w:val="0"/>
              <w:marBottom w:val="0"/>
              <w:divBdr>
                <w:top w:val="none" w:sz="0" w:space="0" w:color="auto"/>
                <w:left w:val="none" w:sz="0" w:space="0" w:color="auto"/>
                <w:bottom w:val="none" w:sz="0" w:space="0" w:color="auto"/>
                <w:right w:val="none" w:sz="0" w:space="0" w:color="auto"/>
              </w:divBdr>
              <w:divsChild>
                <w:div w:id="239292582">
                  <w:marLeft w:val="0"/>
                  <w:marRight w:val="0"/>
                  <w:marTop w:val="0"/>
                  <w:marBottom w:val="0"/>
                  <w:divBdr>
                    <w:top w:val="none" w:sz="0" w:space="0" w:color="auto"/>
                    <w:left w:val="none" w:sz="0" w:space="0" w:color="auto"/>
                    <w:bottom w:val="none" w:sz="0" w:space="0" w:color="auto"/>
                    <w:right w:val="none" w:sz="0" w:space="0" w:color="auto"/>
                  </w:divBdr>
                  <w:divsChild>
                    <w:div w:id="1319070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5155173">
          <w:marLeft w:val="0"/>
          <w:marRight w:val="0"/>
          <w:marTop w:val="0"/>
          <w:marBottom w:val="0"/>
          <w:divBdr>
            <w:top w:val="none" w:sz="0" w:space="0" w:color="auto"/>
            <w:left w:val="none" w:sz="0" w:space="0" w:color="auto"/>
            <w:bottom w:val="single" w:sz="6" w:space="12" w:color="DDDDDD"/>
            <w:right w:val="none" w:sz="0" w:space="0" w:color="auto"/>
          </w:divBdr>
          <w:divsChild>
            <w:div w:id="717168569">
              <w:marLeft w:val="0"/>
              <w:marRight w:val="0"/>
              <w:marTop w:val="0"/>
              <w:marBottom w:val="0"/>
              <w:divBdr>
                <w:top w:val="none" w:sz="0" w:space="0" w:color="auto"/>
                <w:left w:val="none" w:sz="0" w:space="0" w:color="auto"/>
                <w:bottom w:val="none" w:sz="0" w:space="0" w:color="auto"/>
                <w:right w:val="none" w:sz="0" w:space="0" w:color="auto"/>
              </w:divBdr>
              <w:divsChild>
                <w:div w:id="776481983">
                  <w:marLeft w:val="0"/>
                  <w:marRight w:val="0"/>
                  <w:marTop w:val="0"/>
                  <w:marBottom w:val="0"/>
                  <w:divBdr>
                    <w:top w:val="none" w:sz="0" w:space="0" w:color="auto"/>
                    <w:left w:val="none" w:sz="0" w:space="0" w:color="auto"/>
                    <w:bottom w:val="none" w:sz="0" w:space="0" w:color="auto"/>
                    <w:right w:val="none" w:sz="0" w:space="0" w:color="auto"/>
                  </w:divBdr>
                  <w:divsChild>
                    <w:div w:id="895162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3145877">
          <w:marLeft w:val="0"/>
          <w:marRight w:val="0"/>
          <w:marTop w:val="0"/>
          <w:marBottom w:val="0"/>
          <w:divBdr>
            <w:top w:val="none" w:sz="0" w:space="0" w:color="auto"/>
            <w:left w:val="none" w:sz="0" w:space="0" w:color="auto"/>
            <w:bottom w:val="single" w:sz="6" w:space="12" w:color="DDDDDD"/>
            <w:right w:val="none" w:sz="0" w:space="0" w:color="auto"/>
          </w:divBdr>
          <w:divsChild>
            <w:div w:id="1385982496">
              <w:marLeft w:val="0"/>
              <w:marRight w:val="0"/>
              <w:marTop w:val="0"/>
              <w:marBottom w:val="0"/>
              <w:divBdr>
                <w:top w:val="none" w:sz="0" w:space="0" w:color="auto"/>
                <w:left w:val="none" w:sz="0" w:space="0" w:color="auto"/>
                <w:bottom w:val="none" w:sz="0" w:space="0" w:color="auto"/>
                <w:right w:val="none" w:sz="0" w:space="0" w:color="auto"/>
              </w:divBdr>
              <w:divsChild>
                <w:div w:id="863129991">
                  <w:marLeft w:val="0"/>
                  <w:marRight w:val="0"/>
                  <w:marTop w:val="0"/>
                  <w:marBottom w:val="0"/>
                  <w:divBdr>
                    <w:top w:val="none" w:sz="0" w:space="0" w:color="auto"/>
                    <w:left w:val="none" w:sz="0" w:space="0" w:color="auto"/>
                    <w:bottom w:val="none" w:sz="0" w:space="0" w:color="auto"/>
                    <w:right w:val="none" w:sz="0" w:space="0" w:color="auto"/>
                  </w:divBdr>
                  <w:divsChild>
                    <w:div w:id="1912957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147248">
          <w:marLeft w:val="0"/>
          <w:marRight w:val="0"/>
          <w:marTop w:val="0"/>
          <w:marBottom w:val="0"/>
          <w:divBdr>
            <w:top w:val="none" w:sz="0" w:space="0" w:color="auto"/>
            <w:left w:val="none" w:sz="0" w:space="0" w:color="auto"/>
            <w:bottom w:val="single" w:sz="6" w:space="12" w:color="DDDDDD"/>
            <w:right w:val="none" w:sz="0" w:space="0" w:color="auto"/>
          </w:divBdr>
          <w:divsChild>
            <w:div w:id="181943434">
              <w:marLeft w:val="0"/>
              <w:marRight w:val="0"/>
              <w:marTop w:val="0"/>
              <w:marBottom w:val="0"/>
              <w:divBdr>
                <w:top w:val="none" w:sz="0" w:space="0" w:color="auto"/>
                <w:left w:val="none" w:sz="0" w:space="0" w:color="auto"/>
                <w:bottom w:val="none" w:sz="0" w:space="0" w:color="auto"/>
                <w:right w:val="none" w:sz="0" w:space="0" w:color="auto"/>
              </w:divBdr>
              <w:divsChild>
                <w:div w:id="1991784295">
                  <w:marLeft w:val="0"/>
                  <w:marRight w:val="0"/>
                  <w:marTop w:val="0"/>
                  <w:marBottom w:val="0"/>
                  <w:divBdr>
                    <w:top w:val="none" w:sz="0" w:space="0" w:color="auto"/>
                    <w:left w:val="none" w:sz="0" w:space="0" w:color="auto"/>
                    <w:bottom w:val="none" w:sz="0" w:space="0" w:color="auto"/>
                    <w:right w:val="none" w:sz="0" w:space="0" w:color="auto"/>
                  </w:divBdr>
                  <w:divsChild>
                    <w:div w:id="1983926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7393090">
          <w:marLeft w:val="0"/>
          <w:marRight w:val="0"/>
          <w:marTop w:val="0"/>
          <w:marBottom w:val="0"/>
          <w:divBdr>
            <w:top w:val="none" w:sz="0" w:space="0" w:color="auto"/>
            <w:left w:val="none" w:sz="0" w:space="0" w:color="auto"/>
            <w:bottom w:val="single" w:sz="6" w:space="12" w:color="DDDDDD"/>
            <w:right w:val="none" w:sz="0" w:space="0" w:color="auto"/>
          </w:divBdr>
          <w:divsChild>
            <w:div w:id="274407249">
              <w:marLeft w:val="0"/>
              <w:marRight w:val="0"/>
              <w:marTop w:val="0"/>
              <w:marBottom w:val="0"/>
              <w:divBdr>
                <w:top w:val="none" w:sz="0" w:space="0" w:color="auto"/>
                <w:left w:val="none" w:sz="0" w:space="0" w:color="auto"/>
                <w:bottom w:val="none" w:sz="0" w:space="0" w:color="auto"/>
                <w:right w:val="none" w:sz="0" w:space="0" w:color="auto"/>
              </w:divBdr>
              <w:divsChild>
                <w:div w:id="916860628">
                  <w:marLeft w:val="0"/>
                  <w:marRight w:val="0"/>
                  <w:marTop w:val="0"/>
                  <w:marBottom w:val="0"/>
                  <w:divBdr>
                    <w:top w:val="none" w:sz="0" w:space="0" w:color="auto"/>
                    <w:left w:val="none" w:sz="0" w:space="0" w:color="auto"/>
                    <w:bottom w:val="none" w:sz="0" w:space="0" w:color="auto"/>
                    <w:right w:val="none" w:sz="0" w:space="0" w:color="auto"/>
                  </w:divBdr>
                  <w:divsChild>
                    <w:div w:id="1268078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1534883">
          <w:marLeft w:val="0"/>
          <w:marRight w:val="0"/>
          <w:marTop w:val="0"/>
          <w:marBottom w:val="0"/>
          <w:divBdr>
            <w:top w:val="none" w:sz="0" w:space="0" w:color="auto"/>
            <w:left w:val="none" w:sz="0" w:space="0" w:color="auto"/>
            <w:bottom w:val="single" w:sz="6" w:space="12" w:color="DDDDDD"/>
            <w:right w:val="none" w:sz="0" w:space="0" w:color="auto"/>
          </w:divBdr>
          <w:divsChild>
            <w:div w:id="1174607942">
              <w:marLeft w:val="0"/>
              <w:marRight w:val="0"/>
              <w:marTop w:val="0"/>
              <w:marBottom w:val="0"/>
              <w:divBdr>
                <w:top w:val="none" w:sz="0" w:space="0" w:color="auto"/>
                <w:left w:val="none" w:sz="0" w:space="0" w:color="auto"/>
                <w:bottom w:val="none" w:sz="0" w:space="0" w:color="auto"/>
                <w:right w:val="none" w:sz="0" w:space="0" w:color="auto"/>
              </w:divBdr>
              <w:divsChild>
                <w:div w:id="689062968">
                  <w:marLeft w:val="0"/>
                  <w:marRight w:val="0"/>
                  <w:marTop w:val="0"/>
                  <w:marBottom w:val="0"/>
                  <w:divBdr>
                    <w:top w:val="none" w:sz="0" w:space="0" w:color="auto"/>
                    <w:left w:val="none" w:sz="0" w:space="0" w:color="auto"/>
                    <w:bottom w:val="none" w:sz="0" w:space="0" w:color="auto"/>
                    <w:right w:val="none" w:sz="0" w:space="0" w:color="auto"/>
                  </w:divBdr>
                  <w:divsChild>
                    <w:div w:id="120268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5679872">
          <w:marLeft w:val="0"/>
          <w:marRight w:val="0"/>
          <w:marTop w:val="0"/>
          <w:marBottom w:val="0"/>
          <w:divBdr>
            <w:top w:val="none" w:sz="0" w:space="0" w:color="auto"/>
            <w:left w:val="none" w:sz="0" w:space="0" w:color="auto"/>
            <w:bottom w:val="single" w:sz="6" w:space="12" w:color="DDDDDD"/>
            <w:right w:val="none" w:sz="0" w:space="0" w:color="auto"/>
          </w:divBdr>
          <w:divsChild>
            <w:div w:id="1025792541">
              <w:marLeft w:val="0"/>
              <w:marRight w:val="0"/>
              <w:marTop w:val="0"/>
              <w:marBottom w:val="0"/>
              <w:divBdr>
                <w:top w:val="none" w:sz="0" w:space="0" w:color="auto"/>
                <w:left w:val="none" w:sz="0" w:space="0" w:color="auto"/>
                <w:bottom w:val="none" w:sz="0" w:space="0" w:color="auto"/>
                <w:right w:val="none" w:sz="0" w:space="0" w:color="auto"/>
              </w:divBdr>
              <w:divsChild>
                <w:div w:id="411239813">
                  <w:marLeft w:val="0"/>
                  <w:marRight w:val="0"/>
                  <w:marTop w:val="0"/>
                  <w:marBottom w:val="0"/>
                  <w:divBdr>
                    <w:top w:val="none" w:sz="0" w:space="0" w:color="auto"/>
                    <w:left w:val="none" w:sz="0" w:space="0" w:color="auto"/>
                    <w:bottom w:val="none" w:sz="0" w:space="0" w:color="auto"/>
                    <w:right w:val="none" w:sz="0" w:space="0" w:color="auto"/>
                  </w:divBdr>
                  <w:divsChild>
                    <w:div w:id="740296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16635">
          <w:marLeft w:val="0"/>
          <w:marRight w:val="0"/>
          <w:marTop w:val="0"/>
          <w:marBottom w:val="0"/>
          <w:divBdr>
            <w:top w:val="none" w:sz="0" w:space="0" w:color="auto"/>
            <w:left w:val="none" w:sz="0" w:space="0" w:color="auto"/>
            <w:bottom w:val="none" w:sz="0" w:space="0" w:color="auto"/>
            <w:right w:val="none" w:sz="0" w:space="0" w:color="auto"/>
          </w:divBdr>
          <w:divsChild>
            <w:div w:id="200753213">
              <w:marLeft w:val="0"/>
              <w:marRight w:val="0"/>
              <w:marTop w:val="0"/>
              <w:marBottom w:val="0"/>
              <w:divBdr>
                <w:top w:val="none" w:sz="0" w:space="0" w:color="auto"/>
                <w:left w:val="none" w:sz="0" w:space="0" w:color="auto"/>
                <w:bottom w:val="none" w:sz="0" w:space="0" w:color="auto"/>
                <w:right w:val="none" w:sz="0" w:space="0" w:color="auto"/>
              </w:divBdr>
              <w:divsChild>
                <w:div w:id="302735347">
                  <w:marLeft w:val="0"/>
                  <w:marRight w:val="0"/>
                  <w:marTop w:val="0"/>
                  <w:marBottom w:val="0"/>
                  <w:divBdr>
                    <w:top w:val="none" w:sz="0" w:space="0" w:color="auto"/>
                    <w:left w:val="none" w:sz="0" w:space="0" w:color="auto"/>
                    <w:bottom w:val="none" w:sz="0" w:space="0" w:color="auto"/>
                    <w:right w:val="none" w:sz="0" w:space="0" w:color="auto"/>
                  </w:divBdr>
                  <w:divsChild>
                    <w:div w:id="1619752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8036607">
      <w:bodyDiv w:val="1"/>
      <w:marLeft w:val="0"/>
      <w:marRight w:val="0"/>
      <w:marTop w:val="0"/>
      <w:marBottom w:val="0"/>
      <w:divBdr>
        <w:top w:val="none" w:sz="0" w:space="0" w:color="auto"/>
        <w:left w:val="none" w:sz="0" w:space="0" w:color="auto"/>
        <w:bottom w:val="none" w:sz="0" w:space="0" w:color="auto"/>
        <w:right w:val="none" w:sz="0" w:space="0" w:color="auto"/>
      </w:divBdr>
    </w:div>
    <w:div w:id="2138378841">
      <w:bodyDiv w:val="1"/>
      <w:marLeft w:val="0"/>
      <w:marRight w:val="0"/>
      <w:marTop w:val="0"/>
      <w:marBottom w:val="0"/>
      <w:divBdr>
        <w:top w:val="none" w:sz="0" w:space="0" w:color="auto"/>
        <w:left w:val="none" w:sz="0" w:space="0" w:color="auto"/>
        <w:bottom w:val="none" w:sz="0" w:space="0" w:color="auto"/>
        <w:right w:val="none" w:sz="0" w:space="0" w:color="auto"/>
      </w:divBdr>
      <w:divsChild>
        <w:div w:id="1606186806">
          <w:marLeft w:val="0"/>
          <w:marRight w:val="0"/>
          <w:marTop w:val="0"/>
          <w:marBottom w:val="0"/>
          <w:divBdr>
            <w:top w:val="none" w:sz="0" w:space="0" w:color="auto"/>
            <w:left w:val="none" w:sz="0" w:space="0" w:color="auto"/>
            <w:bottom w:val="none" w:sz="0" w:space="0" w:color="auto"/>
            <w:right w:val="none" w:sz="0" w:space="0" w:color="auto"/>
          </w:divBdr>
          <w:divsChild>
            <w:div w:id="2101294004">
              <w:marLeft w:val="0"/>
              <w:marRight w:val="0"/>
              <w:marTop w:val="0"/>
              <w:marBottom w:val="0"/>
              <w:divBdr>
                <w:top w:val="none" w:sz="0" w:space="0" w:color="auto"/>
                <w:left w:val="none" w:sz="0" w:space="0" w:color="auto"/>
                <w:bottom w:val="none" w:sz="0" w:space="0" w:color="auto"/>
                <w:right w:val="none" w:sz="0" w:space="0" w:color="auto"/>
              </w:divBdr>
            </w:div>
            <w:div w:id="507839971">
              <w:marLeft w:val="0"/>
              <w:marRight w:val="0"/>
              <w:marTop w:val="0"/>
              <w:marBottom w:val="0"/>
              <w:divBdr>
                <w:top w:val="none" w:sz="0" w:space="0" w:color="auto"/>
                <w:left w:val="none" w:sz="0" w:space="0" w:color="auto"/>
                <w:bottom w:val="none" w:sz="0" w:space="0" w:color="auto"/>
                <w:right w:val="none" w:sz="0" w:space="0" w:color="auto"/>
              </w:divBdr>
            </w:div>
            <w:div w:id="1376387515">
              <w:marLeft w:val="0"/>
              <w:marRight w:val="0"/>
              <w:marTop w:val="0"/>
              <w:marBottom w:val="0"/>
              <w:divBdr>
                <w:top w:val="none" w:sz="0" w:space="0" w:color="auto"/>
                <w:left w:val="none" w:sz="0" w:space="0" w:color="auto"/>
                <w:bottom w:val="none" w:sz="0" w:space="0" w:color="auto"/>
                <w:right w:val="none" w:sz="0" w:space="0" w:color="auto"/>
              </w:divBdr>
              <w:divsChild>
                <w:div w:id="1026637501">
                  <w:marLeft w:val="0"/>
                  <w:marRight w:val="0"/>
                  <w:marTop w:val="0"/>
                  <w:marBottom w:val="0"/>
                  <w:divBdr>
                    <w:top w:val="none" w:sz="0" w:space="0" w:color="auto"/>
                    <w:left w:val="none" w:sz="0" w:space="0" w:color="auto"/>
                    <w:bottom w:val="none" w:sz="0" w:space="0" w:color="auto"/>
                    <w:right w:val="none" w:sz="0" w:space="0" w:color="auto"/>
                  </w:divBdr>
                  <w:divsChild>
                    <w:div w:id="1273897207">
                      <w:marLeft w:val="0"/>
                      <w:marRight w:val="0"/>
                      <w:marTop w:val="0"/>
                      <w:marBottom w:val="0"/>
                      <w:divBdr>
                        <w:top w:val="none" w:sz="0" w:space="0" w:color="auto"/>
                        <w:left w:val="none" w:sz="0" w:space="0" w:color="auto"/>
                        <w:bottom w:val="none" w:sz="0" w:space="0" w:color="auto"/>
                        <w:right w:val="none" w:sz="0" w:space="0" w:color="auto"/>
                      </w:divBdr>
                    </w:div>
                  </w:divsChild>
                </w:div>
                <w:div w:id="1871334469">
                  <w:marLeft w:val="0"/>
                  <w:marRight w:val="0"/>
                  <w:marTop w:val="0"/>
                  <w:marBottom w:val="0"/>
                  <w:divBdr>
                    <w:top w:val="none" w:sz="0" w:space="0" w:color="auto"/>
                    <w:left w:val="none" w:sz="0" w:space="0" w:color="auto"/>
                    <w:bottom w:val="none" w:sz="0" w:space="0" w:color="auto"/>
                    <w:right w:val="none" w:sz="0" w:space="0" w:color="auto"/>
                  </w:divBdr>
                  <w:divsChild>
                    <w:div w:id="150171842">
                      <w:marLeft w:val="0"/>
                      <w:marRight w:val="0"/>
                      <w:marTop w:val="0"/>
                      <w:marBottom w:val="0"/>
                      <w:divBdr>
                        <w:top w:val="none" w:sz="0" w:space="0" w:color="auto"/>
                        <w:left w:val="none" w:sz="0" w:space="0" w:color="auto"/>
                        <w:bottom w:val="none" w:sz="0" w:space="0" w:color="auto"/>
                        <w:right w:val="none" w:sz="0" w:space="0" w:color="auto"/>
                      </w:divBdr>
                    </w:div>
                  </w:divsChild>
                </w:div>
                <w:div w:id="1012411490">
                  <w:marLeft w:val="0"/>
                  <w:marRight w:val="0"/>
                  <w:marTop w:val="0"/>
                  <w:marBottom w:val="0"/>
                  <w:divBdr>
                    <w:top w:val="none" w:sz="0" w:space="0" w:color="auto"/>
                    <w:left w:val="none" w:sz="0" w:space="0" w:color="auto"/>
                    <w:bottom w:val="none" w:sz="0" w:space="0" w:color="auto"/>
                    <w:right w:val="none" w:sz="0" w:space="0" w:color="auto"/>
                  </w:divBdr>
                  <w:divsChild>
                    <w:div w:id="1124613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0090220">
              <w:marLeft w:val="0"/>
              <w:marRight w:val="0"/>
              <w:marTop w:val="0"/>
              <w:marBottom w:val="0"/>
              <w:divBdr>
                <w:top w:val="none" w:sz="0" w:space="0" w:color="auto"/>
                <w:left w:val="none" w:sz="0" w:space="0" w:color="auto"/>
                <w:bottom w:val="none" w:sz="0" w:space="0" w:color="auto"/>
                <w:right w:val="none" w:sz="0" w:space="0" w:color="auto"/>
              </w:divBdr>
            </w:div>
          </w:divsChild>
        </w:div>
        <w:div w:id="1302887292">
          <w:marLeft w:val="0"/>
          <w:marRight w:val="0"/>
          <w:marTop w:val="0"/>
          <w:marBottom w:val="0"/>
          <w:divBdr>
            <w:top w:val="none" w:sz="0" w:space="0" w:color="auto"/>
            <w:left w:val="none" w:sz="0" w:space="0" w:color="auto"/>
            <w:bottom w:val="none" w:sz="0" w:space="0" w:color="auto"/>
            <w:right w:val="none" w:sz="0" w:space="0" w:color="auto"/>
          </w:divBdr>
          <w:divsChild>
            <w:div w:id="2112581188">
              <w:marLeft w:val="0"/>
              <w:marRight w:val="0"/>
              <w:marTop w:val="0"/>
              <w:marBottom w:val="0"/>
              <w:divBdr>
                <w:top w:val="none" w:sz="0" w:space="0" w:color="auto"/>
                <w:left w:val="none" w:sz="0" w:space="0" w:color="auto"/>
                <w:bottom w:val="none" w:sz="0" w:space="0" w:color="auto"/>
                <w:right w:val="none" w:sz="0" w:space="0" w:color="auto"/>
              </w:divBdr>
            </w:div>
          </w:divsChild>
        </w:div>
        <w:div w:id="1145271338">
          <w:marLeft w:val="0"/>
          <w:marRight w:val="0"/>
          <w:marTop w:val="0"/>
          <w:marBottom w:val="0"/>
          <w:divBdr>
            <w:top w:val="none" w:sz="0" w:space="0" w:color="auto"/>
            <w:left w:val="none" w:sz="0" w:space="0" w:color="auto"/>
            <w:bottom w:val="none" w:sz="0" w:space="0" w:color="auto"/>
            <w:right w:val="none" w:sz="0" w:space="0" w:color="auto"/>
          </w:divBdr>
          <w:divsChild>
            <w:div w:id="1838574619">
              <w:marLeft w:val="0"/>
              <w:marRight w:val="0"/>
              <w:marTop w:val="0"/>
              <w:marBottom w:val="0"/>
              <w:divBdr>
                <w:top w:val="none" w:sz="0" w:space="0" w:color="auto"/>
                <w:left w:val="none" w:sz="0" w:space="0" w:color="auto"/>
                <w:bottom w:val="none" w:sz="0" w:space="0" w:color="auto"/>
                <w:right w:val="none" w:sz="0" w:space="0" w:color="auto"/>
              </w:divBdr>
            </w:div>
            <w:div w:id="2142528194">
              <w:marLeft w:val="0"/>
              <w:marRight w:val="0"/>
              <w:marTop w:val="0"/>
              <w:marBottom w:val="0"/>
              <w:divBdr>
                <w:top w:val="none" w:sz="0" w:space="0" w:color="auto"/>
                <w:left w:val="none" w:sz="0" w:space="0" w:color="auto"/>
                <w:bottom w:val="none" w:sz="0" w:space="0" w:color="auto"/>
                <w:right w:val="none" w:sz="0" w:space="0" w:color="auto"/>
              </w:divBdr>
            </w:div>
          </w:divsChild>
        </w:div>
        <w:div w:id="39200354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muse.jhu.edu/article/628473" TargetMode="Externa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epublications.marquette.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2" ma:contentTypeDescription="Create a new document." ma:contentTypeScope="" ma:versionID="f90cd5851653a4511567808786892bc7">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1e86a54c6b1ad779fd14bde2da31797b"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59AA2B7-7E60-4BC2-9168-6FE20CBDF9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01FF1D9-20A0-4299-B9AD-7B0618E0A4C2}">
  <ds:schemaRefs>
    <ds:schemaRef ds:uri="http://schemas.microsoft.com/sharepoint/v3/contenttype/forms"/>
  </ds:schemaRefs>
</ds:datastoreItem>
</file>

<file path=customXml/itemProps3.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21</Pages>
  <Words>11583</Words>
  <Characters>66027</Characters>
  <Application>Microsoft Office Word</Application>
  <DocSecurity>8</DocSecurity>
  <Lines>550</Lines>
  <Paragraphs>154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77456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22</cp:revision>
  <dcterms:created xsi:type="dcterms:W3CDTF">2022-07-25T15:10:00Z</dcterms:created>
  <dcterms:modified xsi:type="dcterms:W3CDTF">2022-08-04T16:37:00Z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ies>
</file>