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9A5E7F0" w:rsidR="000A7622" w:rsidRPr="00C04F25" w:rsidRDefault="131582C3" w:rsidP="4623802F">
      <w:pPr>
        <w:autoSpaceDE w:val="0"/>
        <w:autoSpaceDN w:val="0"/>
        <w:adjustRightInd w:val="0"/>
        <w:rPr>
          <w:b/>
          <w:bCs/>
          <w:i/>
          <w:iCs/>
          <w:sz w:val="32"/>
          <w:szCs w:val="32"/>
        </w:rPr>
      </w:pPr>
      <w:r w:rsidRPr="4623802F">
        <w:rPr>
          <w:b/>
          <w:bCs/>
          <w:i/>
          <w:iCs/>
          <w:sz w:val="32"/>
          <w:szCs w:val="32"/>
        </w:rPr>
        <w:t xml:space="preserve">Department of Computer Science </w:t>
      </w:r>
      <w:r w:rsidR="000A7622" w:rsidRPr="4623802F">
        <w:rPr>
          <w:b/>
          <w:bCs/>
          <w:i/>
          <w:iCs/>
          <w:sz w:val="32"/>
          <w:szCs w:val="32"/>
        </w:rPr>
        <w:t>Faculty Research and Publications/</w:t>
      </w:r>
      <w:r w:rsidR="009732A9" w:rsidRPr="4623802F">
        <w:rPr>
          <w:b/>
          <w:bCs/>
          <w:i/>
          <w:iCs/>
          <w:sz w:val="32"/>
          <w:szCs w:val="32"/>
        </w:rPr>
        <w:t xml:space="preserve">College of </w:t>
      </w:r>
      <w:r w:rsidR="6010F6E8" w:rsidRPr="4623802F">
        <w:rPr>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DA28DF2" w:rsidR="000A7622" w:rsidRDefault="23C27924" w:rsidP="4623802F">
      <w:pPr>
        <w:rPr>
          <w:sz w:val="24"/>
          <w:szCs w:val="24"/>
        </w:rPr>
      </w:pPr>
      <w:r w:rsidRPr="4623802F">
        <w:rPr>
          <w:i/>
          <w:iCs/>
          <w:sz w:val="24"/>
          <w:szCs w:val="24"/>
          <w:lang w:val="fr-FR"/>
        </w:rPr>
        <w:t xml:space="preserve">Western Journal of Nursing </w:t>
      </w:r>
      <w:proofErr w:type="spellStart"/>
      <w:r w:rsidRPr="4623802F">
        <w:rPr>
          <w:i/>
          <w:iCs/>
          <w:sz w:val="24"/>
          <w:szCs w:val="24"/>
          <w:lang w:val="fr-FR"/>
        </w:rPr>
        <w:t>Research</w:t>
      </w:r>
      <w:proofErr w:type="spellEnd"/>
      <w:r w:rsidR="000A7622" w:rsidRPr="4623802F">
        <w:rPr>
          <w:sz w:val="24"/>
          <w:szCs w:val="24"/>
          <w:lang w:val="fr-FR"/>
        </w:rPr>
        <w:t>, (</w:t>
      </w:r>
      <w:r w:rsidR="00332099" w:rsidRPr="4623802F">
        <w:rPr>
          <w:sz w:val="24"/>
          <w:szCs w:val="24"/>
          <w:lang w:val="fr-FR"/>
        </w:rPr>
        <w:t>May 28</w:t>
      </w:r>
      <w:r w:rsidR="00332099">
        <w:rPr>
          <w:sz w:val="24"/>
          <w:szCs w:val="24"/>
          <w:lang w:val="fr-FR"/>
        </w:rPr>
        <w:t xml:space="preserve">, </w:t>
      </w:r>
      <w:r w:rsidR="6CB371D8" w:rsidRPr="4623802F">
        <w:rPr>
          <w:sz w:val="24"/>
          <w:szCs w:val="24"/>
          <w:lang w:val="fr-FR"/>
        </w:rPr>
        <w:t>2021</w:t>
      </w:r>
      <w:r w:rsidR="000A7622" w:rsidRPr="4623802F">
        <w:rPr>
          <w:sz w:val="24"/>
          <w:szCs w:val="24"/>
          <w:lang w:val="fr-FR"/>
        </w:rPr>
        <w:t xml:space="preserve">). </w:t>
      </w:r>
      <w:hyperlink r:id="rId8">
        <w:r w:rsidR="000A7622" w:rsidRPr="4623802F">
          <w:rPr>
            <w:rStyle w:val="Hyperlink"/>
            <w:sz w:val="24"/>
            <w:szCs w:val="24"/>
            <w:lang w:val="fr-FR"/>
          </w:rPr>
          <w:t>DOI</w:t>
        </w:r>
      </w:hyperlink>
      <w:r w:rsidR="000A7622" w:rsidRPr="4623802F">
        <w:rPr>
          <w:sz w:val="24"/>
          <w:szCs w:val="24"/>
          <w:lang w:val="fr-FR"/>
        </w:rPr>
        <w:t xml:space="preserve">. </w:t>
      </w:r>
      <w:r w:rsidR="000A7622" w:rsidRPr="4623802F">
        <w:rPr>
          <w:sz w:val="24"/>
          <w:szCs w:val="24"/>
        </w:rPr>
        <w:t xml:space="preserve">This article is © </w:t>
      </w:r>
      <w:r w:rsidR="77E5F3D7" w:rsidRPr="4623802F">
        <w:rPr>
          <w:sz w:val="24"/>
          <w:szCs w:val="24"/>
        </w:rPr>
        <w:t>SAGE Publications</w:t>
      </w:r>
      <w:r w:rsidR="000A7622" w:rsidRPr="4623802F">
        <w:rPr>
          <w:sz w:val="24"/>
          <w:szCs w:val="24"/>
        </w:rPr>
        <w:t xml:space="preserve"> and permission has been granted for this version to appear in </w:t>
      </w:r>
      <w:hyperlink r:id="rId9">
        <w:r w:rsidR="000A7622" w:rsidRPr="4623802F">
          <w:rPr>
            <w:color w:val="0563C1"/>
            <w:sz w:val="24"/>
            <w:szCs w:val="24"/>
            <w:u w:val="single"/>
          </w:rPr>
          <w:t>e-Publications@Marquette</w:t>
        </w:r>
      </w:hyperlink>
      <w:r w:rsidR="000A7622" w:rsidRPr="4623802F">
        <w:rPr>
          <w:sz w:val="24"/>
          <w:szCs w:val="24"/>
        </w:rPr>
        <w:t xml:space="preserve">. </w:t>
      </w:r>
      <w:r w:rsidR="60F01D13" w:rsidRPr="4623802F">
        <w:rPr>
          <w:sz w:val="24"/>
          <w:szCs w:val="24"/>
        </w:rPr>
        <w:t>SAGE Publications</w:t>
      </w:r>
      <w:r w:rsidR="000A7622" w:rsidRPr="4623802F">
        <w:rPr>
          <w:sz w:val="24"/>
          <w:szCs w:val="24"/>
        </w:rPr>
        <w:t xml:space="preserve"> does not grant permission for this article to be further copied/distributed or hosted elsewhere without the express permission from </w:t>
      </w:r>
      <w:r w:rsidR="374C7A99" w:rsidRPr="4623802F">
        <w:rPr>
          <w:sz w:val="24"/>
          <w:szCs w:val="24"/>
        </w:rPr>
        <w:t>SAGE Publications</w:t>
      </w:r>
      <w:r w:rsidR="000A7622" w:rsidRPr="4623802F">
        <w:rPr>
          <w:sz w:val="24"/>
          <w:szCs w:val="24"/>
        </w:rPr>
        <w:t xml:space="preserve">. </w:t>
      </w:r>
      <w:bookmarkEnd w:id="1"/>
    </w:p>
    <w:p w14:paraId="33B44CD5" w14:textId="26F4554E" w:rsidR="00056C17" w:rsidRDefault="00056C17" w:rsidP="00D14423">
      <w:pPr>
        <w:rPr>
          <w:rFonts w:cstheme="minorHAnsi"/>
          <w:sz w:val="24"/>
          <w:szCs w:val="24"/>
        </w:rPr>
      </w:pPr>
    </w:p>
    <w:p w14:paraId="0193EBF4" w14:textId="4AA6D326" w:rsidR="00F76A3B" w:rsidRDefault="005463AB" w:rsidP="005463AB">
      <w:pPr>
        <w:pStyle w:val="Title"/>
      </w:pPr>
      <w:r w:rsidRPr="005463AB">
        <w:t>One Size Does Not Fit All: Discharge Teaching and Child Challenging Behaviors</w:t>
      </w:r>
    </w:p>
    <w:p w14:paraId="66B35AEC" w14:textId="719B064A" w:rsidR="005463AB" w:rsidRDefault="78812A0D" w:rsidP="005463AB">
      <w:r>
        <w:t xml:space="preserve"> </w:t>
      </w:r>
    </w:p>
    <w:p w14:paraId="17A2A218" w14:textId="52E7818B" w:rsidR="005463AB" w:rsidRDefault="6E4CAE5B" w:rsidP="4623802F">
      <w:pPr>
        <w:spacing w:after="0"/>
        <w:rPr>
          <w:sz w:val="28"/>
          <w:szCs w:val="28"/>
        </w:rPr>
      </w:pPr>
      <w:r w:rsidRPr="4623802F">
        <w:rPr>
          <w:sz w:val="28"/>
          <w:szCs w:val="28"/>
        </w:rPr>
        <w:t xml:space="preserve">Norah </w:t>
      </w:r>
      <w:r w:rsidR="3B73C20C" w:rsidRPr="4623802F">
        <w:rPr>
          <w:sz w:val="28"/>
          <w:szCs w:val="28"/>
        </w:rPr>
        <w:t>L</w:t>
      </w:r>
      <w:r w:rsidRPr="4623802F">
        <w:rPr>
          <w:sz w:val="28"/>
          <w:szCs w:val="28"/>
        </w:rPr>
        <w:t>. Johnson</w:t>
      </w:r>
    </w:p>
    <w:p w14:paraId="6F552D9C" w14:textId="43B1EACA" w:rsidR="005463AB" w:rsidRDefault="44204A9F" w:rsidP="4623802F">
      <w:pPr>
        <w:spacing w:after="0"/>
      </w:pPr>
      <w:r>
        <w:t>College of Nursing, Marquette University, Milwaukee, WI, USA</w:t>
      </w:r>
    </w:p>
    <w:p w14:paraId="5D8AEF69" w14:textId="136332DD" w:rsidR="005463AB" w:rsidRDefault="6E4CAE5B" w:rsidP="4623802F">
      <w:pPr>
        <w:spacing w:after="0"/>
        <w:rPr>
          <w:sz w:val="28"/>
          <w:szCs w:val="28"/>
        </w:rPr>
      </w:pPr>
      <w:r w:rsidRPr="4623802F">
        <w:rPr>
          <w:sz w:val="28"/>
          <w:szCs w:val="28"/>
        </w:rPr>
        <w:t xml:space="preserve">Stacee </w:t>
      </w:r>
      <w:proofErr w:type="spellStart"/>
      <w:r w:rsidRPr="4623802F">
        <w:rPr>
          <w:sz w:val="28"/>
          <w:szCs w:val="28"/>
        </w:rPr>
        <w:t>Lerret</w:t>
      </w:r>
      <w:proofErr w:type="spellEnd"/>
    </w:p>
    <w:p w14:paraId="3AA840BA" w14:textId="19407ACF" w:rsidR="005463AB" w:rsidRDefault="188D00CC" w:rsidP="4623802F">
      <w:pPr>
        <w:spacing w:after="0"/>
      </w:pPr>
      <w:r>
        <w:t>Medical College of Wisconsin, Milwaukee, WI, USA</w:t>
      </w:r>
    </w:p>
    <w:p w14:paraId="343EA4AE" w14:textId="7DE5193B" w:rsidR="005463AB" w:rsidRDefault="6E4CAE5B" w:rsidP="4623802F">
      <w:pPr>
        <w:spacing w:after="0"/>
        <w:rPr>
          <w:sz w:val="28"/>
          <w:szCs w:val="28"/>
        </w:rPr>
      </w:pPr>
      <w:r w:rsidRPr="4623802F">
        <w:rPr>
          <w:sz w:val="28"/>
          <w:szCs w:val="28"/>
        </w:rPr>
        <w:t xml:space="preserve">Michele </w:t>
      </w:r>
      <w:proofErr w:type="spellStart"/>
      <w:r w:rsidRPr="4623802F">
        <w:rPr>
          <w:sz w:val="28"/>
          <w:szCs w:val="28"/>
        </w:rPr>
        <w:t>Polfuss</w:t>
      </w:r>
      <w:proofErr w:type="spellEnd"/>
    </w:p>
    <w:p w14:paraId="50867F72" w14:textId="23A02907" w:rsidR="005463AB" w:rsidRDefault="066144FA" w:rsidP="4623802F">
      <w:pPr>
        <w:spacing w:after="0"/>
      </w:pPr>
      <w:r>
        <w:t>Children’s Wisconsin, Milwaukee, WI, USA</w:t>
      </w:r>
    </w:p>
    <w:p w14:paraId="25DE16FE" w14:textId="529C8081" w:rsidR="005463AB" w:rsidRDefault="066144FA" w:rsidP="4623802F">
      <w:pPr>
        <w:spacing w:after="0"/>
      </w:pPr>
      <w:r>
        <w:t>College of Nursing, University of Wisconsin Milwaukee, Milwaukee, WI, USA</w:t>
      </w:r>
    </w:p>
    <w:p w14:paraId="636E3A22" w14:textId="361B639B" w:rsidR="005463AB" w:rsidRDefault="6E4CAE5B" w:rsidP="4623802F">
      <w:pPr>
        <w:spacing w:after="0"/>
        <w:rPr>
          <w:sz w:val="28"/>
          <w:szCs w:val="28"/>
        </w:rPr>
      </w:pPr>
      <w:r w:rsidRPr="4623802F">
        <w:rPr>
          <w:sz w:val="28"/>
          <w:szCs w:val="28"/>
        </w:rPr>
        <w:t xml:space="preserve">Karen </w:t>
      </w:r>
      <w:proofErr w:type="spellStart"/>
      <w:r w:rsidRPr="4623802F">
        <w:rPr>
          <w:sz w:val="28"/>
          <w:szCs w:val="28"/>
        </w:rPr>
        <w:t>Gralton</w:t>
      </w:r>
      <w:proofErr w:type="spellEnd"/>
    </w:p>
    <w:p w14:paraId="5BB78BDF" w14:textId="1AD5E898" w:rsidR="005463AB" w:rsidRDefault="0046AA99" w:rsidP="4623802F">
      <w:pPr>
        <w:spacing w:after="0"/>
      </w:pPr>
      <w:r>
        <w:t>Children’s Wisconsin, Milwaukee, WI</w:t>
      </w:r>
    </w:p>
    <w:p w14:paraId="64862D6A" w14:textId="7D7DE493" w:rsidR="005463AB" w:rsidRDefault="6E4CAE5B" w:rsidP="4623802F">
      <w:pPr>
        <w:spacing w:after="0"/>
        <w:rPr>
          <w:sz w:val="28"/>
          <w:szCs w:val="28"/>
        </w:rPr>
      </w:pPr>
      <w:r w:rsidRPr="4623802F">
        <w:rPr>
          <w:sz w:val="28"/>
          <w:szCs w:val="28"/>
        </w:rPr>
        <w:t>Cori Gibson</w:t>
      </w:r>
    </w:p>
    <w:p w14:paraId="3F305D63" w14:textId="5B401A9D" w:rsidR="005463AB" w:rsidRDefault="178B6FFC" w:rsidP="4623802F">
      <w:pPr>
        <w:spacing w:after="0"/>
      </w:pPr>
      <w:r>
        <w:t>Children’s Wisconsin, Milwaukee, WI, USA</w:t>
      </w:r>
    </w:p>
    <w:p w14:paraId="7CFF3D48" w14:textId="0D59FAE2" w:rsidR="005463AB" w:rsidRDefault="005463AB" w:rsidP="4623802F">
      <w:pPr>
        <w:spacing w:after="0"/>
        <w:rPr>
          <w:sz w:val="28"/>
          <w:szCs w:val="28"/>
        </w:rPr>
      </w:pPr>
      <w:r w:rsidRPr="4623802F">
        <w:rPr>
          <w:sz w:val="28"/>
          <w:szCs w:val="28"/>
        </w:rPr>
        <w:t xml:space="preserve">Sheikh </w:t>
      </w:r>
      <w:r w:rsidR="474DF408" w:rsidRPr="4623802F">
        <w:rPr>
          <w:sz w:val="28"/>
          <w:szCs w:val="28"/>
        </w:rPr>
        <w:t xml:space="preserve">I. </w:t>
      </w:r>
      <w:r w:rsidRPr="4623802F">
        <w:rPr>
          <w:sz w:val="28"/>
          <w:szCs w:val="28"/>
        </w:rPr>
        <w:t xml:space="preserve">Ahamed </w:t>
      </w:r>
    </w:p>
    <w:p w14:paraId="1EFEC1EF" w14:textId="13D0D0E9" w:rsidR="71D79386" w:rsidRDefault="71D79386" w:rsidP="4623802F">
      <w:pPr>
        <w:spacing w:after="0"/>
      </w:pPr>
      <w:r>
        <w:t xml:space="preserve">Department of Computer Science, Marquette </w:t>
      </w:r>
      <w:r w:rsidR="4A4A6C30">
        <w:t>University</w:t>
      </w:r>
      <w:r>
        <w:t>, Milwaukee, WI, USA</w:t>
      </w:r>
    </w:p>
    <w:p w14:paraId="16671CA9" w14:textId="074E13C4" w:rsidR="4D2AFADA" w:rsidRDefault="4D2AFADA" w:rsidP="4623802F">
      <w:pPr>
        <w:spacing w:after="0"/>
        <w:rPr>
          <w:sz w:val="28"/>
          <w:szCs w:val="28"/>
        </w:rPr>
      </w:pPr>
      <w:proofErr w:type="spellStart"/>
      <w:r w:rsidRPr="4623802F">
        <w:rPr>
          <w:sz w:val="28"/>
          <w:szCs w:val="28"/>
        </w:rPr>
        <w:t>Adib</w:t>
      </w:r>
      <w:proofErr w:type="spellEnd"/>
      <w:r w:rsidRPr="4623802F">
        <w:rPr>
          <w:sz w:val="28"/>
          <w:szCs w:val="28"/>
        </w:rPr>
        <w:t xml:space="preserve"> </w:t>
      </w:r>
      <w:proofErr w:type="spellStart"/>
      <w:r w:rsidRPr="4623802F">
        <w:rPr>
          <w:sz w:val="28"/>
          <w:szCs w:val="28"/>
        </w:rPr>
        <w:t>Riddhiman</w:t>
      </w:r>
      <w:proofErr w:type="spellEnd"/>
    </w:p>
    <w:p w14:paraId="221A444A" w14:textId="0F732EA7" w:rsidR="2C7434DF" w:rsidRDefault="2C7434DF" w:rsidP="4623802F">
      <w:pPr>
        <w:spacing w:after="0"/>
      </w:pPr>
      <w:r>
        <w:t>Department of Computer Science, Marquette University, Milwaukee, WI, USA</w:t>
      </w:r>
    </w:p>
    <w:p w14:paraId="0976BD72" w14:textId="4892709D" w:rsidR="4D2AFADA" w:rsidRDefault="4D2AFADA" w:rsidP="4623802F">
      <w:pPr>
        <w:spacing w:after="0"/>
        <w:rPr>
          <w:sz w:val="28"/>
          <w:szCs w:val="28"/>
        </w:rPr>
      </w:pPr>
      <w:r w:rsidRPr="4623802F">
        <w:rPr>
          <w:sz w:val="28"/>
          <w:szCs w:val="28"/>
        </w:rPr>
        <w:lastRenderedPageBreak/>
        <w:t>Rosemary White-</w:t>
      </w:r>
      <w:proofErr w:type="spellStart"/>
      <w:r w:rsidRPr="4623802F">
        <w:rPr>
          <w:sz w:val="28"/>
          <w:szCs w:val="28"/>
        </w:rPr>
        <w:t>Traut</w:t>
      </w:r>
      <w:proofErr w:type="spellEnd"/>
    </w:p>
    <w:p w14:paraId="28A95BDA" w14:textId="160BF6DF" w:rsidR="6D312D70" w:rsidRDefault="6D312D70" w:rsidP="4623802F">
      <w:pPr>
        <w:spacing w:after="0"/>
      </w:pPr>
      <w:r>
        <w:t>Children’s Wisconsin, Milwaukee, WI, USA</w:t>
      </w:r>
    </w:p>
    <w:p w14:paraId="2E0EF04A" w14:textId="56D25E32" w:rsidR="4D2AFADA" w:rsidRDefault="4D2AFADA" w:rsidP="4623802F">
      <w:pPr>
        <w:spacing w:after="0"/>
        <w:rPr>
          <w:sz w:val="28"/>
          <w:szCs w:val="28"/>
        </w:rPr>
      </w:pPr>
      <w:r w:rsidRPr="4623802F">
        <w:rPr>
          <w:sz w:val="28"/>
          <w:szCs w:val="28"/>
        </w:rPr>
        <w:t>Roger L. Brown</w:t>
      </w:r>
    </w:p>
    <w:p w14:paraId="16F38281" w14:textId="75DE3958" w:rsidR="639DE29B" w:rsidRDefault="639DE29B" w:rsidP="4623802F">
      <w:pPr>
        <w:spacing w:after="0"/>
      </w:pPr>
      <w:r>
        <w:t xml:space="preserve">School of </w:t>
      </w:r>
      <w:r w:rsidR="3E688EB2">
        <w:t>Nursing</w:t>
      </w:r>
      <w:r>
        <w:t>, University of Wisconsin, Madison, WI, USA</w:t>
      </w:r>
    </w:p>
    <w:p w14:paraId="3B85C25D" w14:textId="02AEC183" w:rsidR="4D2AFADA" w:rsidRDefault="4D2AFADA" w:rsidP="4623802F">
      <w:pPr>
        <w:spacing w:after="0"/>
        <w:rPr>
          <w:sz w:val="28"/>
          <w:szCs w:val="28"/>
        </w:rPr>
      </w:pPr>
      <w:r w:rsidRPr="4623802F">
        <w:rPr>
          <w:sz w:val="28"/>
          <w:szCs w:val="28"/>
        </w:rPr>
        <w:t xml:space="preserve">Kathleen J. </w:t>
      </w:r>
      <w:proofErr w:type="spellStart"/>
      <w:r w:rsidRPr="4623802F">
        <w:rPr>
          <w:sz w:val="28"/>
          <w:szCs w:val="28"/>
        </w:rPr>
        <w:t>Sawin</w:t>
      </w:r>
      <w:proofErr w:type="spellEnd"/>
    </w:p>
    <w:p w14:paraId="2BB98747" w14:textId="6E5F2B26" w:rsidR="4051D6A6" w:rsidRDefault="4051D6A6" w:rsidP="4623802F">
      <w:pPr>
        <w:spacing w:after="0"/>
      </w:pPr>
      <w:r>
        <w:t>Children’s Wisconsin, Milwaukee, WI, USA</w:t>
      </w:r>
    </w:p>
    <w:p w14:paraId="7D0722D2" w14:textId="5D798EBA" w:rsidR="4051D6A6" w:rsidRDefault="4051D6A6" w:rsidP="4623802F">
      <w:pPr>
        <w:spacing w:after="0"/>
      </w:pPr>
      <w:r>
        <w:t>College of Nursing, University of Wisconsin Milwaukee, Milwaukee, WI, USA</w:t>
      </w:r>
    </w:p>
    <w:p w14:paraId="1D3AF181" w14:textId="794F9CC1" w:rsidR="005463AB" w:rsidRDefault="005463AB" w:rsidP="005463AB"/>
    <w:p w14:paraId="579B5A81" w14:textId="77777777" w:rsidR="005463AB" w:rsidRPr="005463AB" w:rsidRDefault="005463AB" w:rsidP="4623802F">
      <w:pPr>
        <w:pStyle w:val="Heading1"/>
        <w:rPr>
          <w:rFonts w:ascii="Calibri" w:eastAsia="Meiryo" w:hAnsi="Calibri" w:cs="Arial"/>
        </w:rPr>
      </w:pPr>
      <w:r>
        <w:t>Abstract</w:t>
      </w:r>
    </w:p>
    <w:p w14:paraId="7DEBE665" w14:textId="77777777" w:rsidR="005463AB" w:rsidRPr="005463AB" w:rsidRDefault="005463AB" w:rsidP="005463AB">
      <w:r w:rsidRPr="005463AB">
        <w:t>This study compares quality of discharge teaching and care coordination for parents of children with challenging behaviors participating in a nursing implementation project, which used an interactive iPad application, to usual discharge care. Unlike parents in the larger quasi-experimental longitudinal project, parents of children with challenging behaviors receiving the discharge teaching application (n = 14) reported lower mean scores on the quality of discharge teaching scale–delivery subscale (</w:t>
      </w:r>
      <w:r w:rsidRPr="005463AB">
        <w:rPr>
          <w:i/>
          <w:iCs/>
        </w:rPr>
        <w:t>M</w:t>
      </w:r>
      <w:r w:rsidRPr="005463AB">
        <w:t> = 8.2, </w:t>
      </w:r>
      <w:r w:rsidRPr="005463AB">
        <w:rPr>
          <w:i/>
          <w:iCs/>
        </w:rPr>
        <w:t>SD</w:t>
      </w:r>
      <w:r w:rsidRPr="005463AB">
        <w:t> = 3.1) than parents receiving usual care (n = 11) (</w:t>
      </w:r>
      <w:r w:rsidRPr="005463AB">
        <w:rPr>
          <w:i/>
          <w:iCs/>
        </w:rPr>
        <w:t>M</w:t>
      </w:r>
      <w:r w:rsidRPr="005463AB">
        <w:t> = 9.6, </w:t>
      </w:r>
      <w:r w:rsidRPr="005463AB">
        <w:rPr>
          <w:i/>
          <w:iCs/>
        </w:rPr>
        <w:t>SD</w:t>
      </w:r>
      <w:r w:rsidRPr="005463AB">
        <w:t> = 4.7) and lower scores on the Care Transition Measure (</w:t>
      </w:r>
      <w:r w:rsidRPr="005463AB">
        <w:rPr>
          <w:i/>
          <w:iCs/>
        </w:rPr>
        <w:t>M</w:t>
      </w:r>
      <w:r w:rsidRPr="005463AB">
        <w:t> = 2.44, </w:t>
      </w:r>
      <w:r w:rsidRPr="005463AB">
        <w:rPr>
          <w:i/>
          <w:iCs/>
        </w:rPr>
        <w:t>SD</w:t>
      </w:r>
      <w:r w:rsidRPr="005463AB">
        <w:t> = 1.09) than parents receiving usual care (</w:t>
      </w:r>
      <w:r w:rsidRPr="005463AB">
        <w:rPr>
          <w:i/>
          <w:iCs/>
        </w:rPr>
        <w:t>M</w:t>
      </w:r>
      <w:r w:rsidRPr="005463AB">
        <w:t> = 3.02, </w:t>
      </w:r>
      <w:r w:rsidRPr="005463AB">
        <w:rPr>
          <w:i/>
          <w:iCs/>
        </w:rPr>
        <w:t>SD</w:t>
      </w:r>
      <w:r w:rsidRPr="005463AB">
        <w:t> = 0.37), with moderate to large effects (0.554–0.775). The discharge teaching approach was less effective with this subset, suggesting other approaches might be considered for this group of parents. Further study with a larger sample specific to parents of children with challenging behaviors is needed to assess their unique needs and to optimize their discharge experience.</w:t>
      </w:r>
    </w:p>
    <w:p w14:paraId="5DF2A13B" w14:textId="77777777" w:rsidR="005463AB" w:rsidRPr="005463AB" w:rsidRDefault="005463AB" w:rsidP="00E63ABC">
      <w:pPr>
        <w:pStyle w:val="Heading1"/>
      </w:pPr>
      <w:r w:rsidRPr="005463AB">
        <w:t>Keywords </w:t>
      </w:r>
    </w:p>
    <w:p w14:paraId="40204E0B" w14:textId="05771763" w:rsidR="005463AB" w:rsidRPr="005463AB" w:rsidRDefault="005463AB" w:rsidP="005463AB">
      <w:r>
        <w:t>Child challenging behaviors</w:t>
      </w:r>
      <w:r w:rsidR="00E63ABC">
        <w:t xml:space="preserve">, </w:t>
      </w:r>
      <w:r>
        <w:t>Discharge teaching</w:t>
      </w:r>
      <w:r w:rsidR="00E63ABC">
        <w:t xml:space="preserve">, </w:t>
      </w:r>
      <w:r>
        <w:t>Parent engagement</w:t>
      </w:r>
    </w:p>
    <w:p w14:paraId="56E8586B" w14:textId="7860C51C" w:rsidR="4623802F" w:rsidRDefault="4623802F" w:rsidP="4623802F"/>
    <w:p w14:paraId="325ECE45" w14:textId="3C88E578" w:rsidR="005463AB" w:rsidRPr="005463AB" w:rsidRDefault="005463AB" w:rsidP="005463AB">
      <w:r w:rsidRPr="005463AB">
        <w:t>The transition from hospital to home can be stressful for families of hospitalized children who demonstrate challenging behaviors sometimes referred to as behaviors of frustration (e.g., self-injury, hitting, repetitive behaviors, and running away) and evoke their parents’ fear and anxiety (</w:t>
      </w:r>
      <w:r w:rsidRPr="00933605">
        <w:t>Johnson et al., 2014</w:t>
      </w:r>
      <w:r w:rsidRPr="005463AB">
        <w:t>; </w:t>
      </w:r>
      <w:r w:rsidRPr="00933605">
        <w:t>Johnson &amp; Rodriguez, 2013</w:t>
      </w:r>
      <w:r w:rsidRPr="005463AB">
        <w:t>). Children with challenging behaviors commonly experience stress and anxiety when hospitalized due to uncertainty about when they will be ready to go home and from novel stimuli such as hypersensitivity to light and sound (</w:t>
      </w:r>
      <w:r w:rsidRPr="00933605">
        <w:t>Straus et al., 2019</w:t>
      </w:r>
      <w:r w:rsidRPr="005463AB">
        <w:t>). This combination of the challenging behaviors and parental fear and anxiety may make the child’s treatment difficult to manage in terms of cooperating with assessments and procedures. Furthermore, it can interfere with the parent’s ability to listen, comprehend, internalize, and personalize the discharge instructions. As a result, parents may not be prepared with the knowledge and confidence they need to help their child recover at home (</w:t>
      </w:r>
      <w:r w:rsidRPr="00933605">
        <w:t>Johnson &amp; Rodriguez, 2013</w:t>
      </w:r>
      <w:r w:rsidRPr="005463AB">
        <w:t>).</w:t>
      </w:r>
    </w:p>
    <w:p w14:paraId="7A1BF179" w14:textId="3DB154BF" w:rsidR="005463AB" w:rsidRPr="005463AB" w:rsidRDefault="005463AB" w:rsidP="005463AB">
      <w:r w:rsidRPr="005463AB">
        <w:t>Children with challenging behaviors may have an autism spectrum disorder (ASD) diagnosis and/or other conditions such as attention deficit hyperactivity disorder, language disorder, bipolar disorder, depression, and anxiety disorder (</w:t>
      </w:r>
      <w:r w:rsidRPr="00933605">
        <w:t>Avni et al., 2018</w:t>
      </w:r>
      <w:r w:rsidRPr="005463AB">
        <w:t>; </w:t>
      </w:r>
      <w:r w:rsidRPr="00933605">
        <w:t>Levy et al., 2010</w:t>
      </w:r>
      <w:r w:rsidRPr="005463AB">
        <w:t>). The prevalence of challenging behaviors is difficult to estimate as they are generally reported as part of disease conditions (e.g., ASD) and not directly measured. A national survey of children’s health, involving 78,042 households in the United States between 2005 and 2011, indicated that 4.6% of children between 3 and 17 years old had a history of disruptive behavior disorders, anxiety (4.7%), depression (3.9%), and ASD (1.1%) (</w:t>
      </w:r>
      <w:proofErr w:type="spellStart"/>
      <w:r w:rsidRPr="00933605">
        <w:t>Perou</w:t>
      </w:r>
      <w:proofErr w:type="spellEnd"/>
      <w:r w:rsidRPr="00933605">
        <w:t xml:space="preserve"> et al., 2013</w:t>
      </w:r>
      <w:r w:rsidRPr="005463AB">
        <w:t>). Children admitted for medical or surgical issues can have co-occurring challenging behaviors that are not the reason for the hospitalization. To date, no studies have provided evidence about the discharge experience of children with challenging behaviors from a pediatric hospital (</w:t>
      </w:r>
      <w:r w:rsidRPr="00933605">
        <w:t>Straus et al., 2019</w:t>
      </w:r>
      <w:r w:rsidRPr="005463AB">
        <w:t>).</w:t>
      </w:r>
    </w:p>
    <w:p w14:paraId="1D0BA8F1" w14:textId="77777777" w:rsidR="005463AB" w:rsidRPr="005463AB" w:rsidRDefault="005463AB" w:rsidP="4623802F">
      <w:pPr>
        <w:pStyle w:val="Heading1"/>
        <w:rPr>
          <w:rFonts w:ascii="Calibri" w:eastAsia="Meiryo" w:hAnsi="Calibri" w:cs="Arial"/>
        </w:rPr>
      </w:pPr>
      <w:bookmarkStart w:id="2" w:name="_i1"/>
      <w:bookmarkEnd w:id="2"/>
      <w:r>
        <w:t>Discharge Preparation</w:t>
      </w:r>
    </w:p>
    <w:p w14:paraId="635CF44C" w14:textId="1049A497" w:rsidR="005463AB" w:rsidRPr="005463AB" w:rsidRDefault="005463AB" w:rsidP="005463AB">
      <w:r w:rsidRPr="005463AB">
        <w:t>Discharge is a complex process. Essentials of discharge preparation have been identified of which family education is a key component (</w:t>
      </w:r>
      <w:r w:rsidRPr="00933605">
        <w:t>Berry et al., 2014</w:t>
      </w:r>
      <w:r w:rsidRPr="005463AB">
        <w:t>). While there are many approaches to discharge teaching (</w:t>
      </w:r>
      <w:proofErr w:type="spellStart"/>
      <w:r w:rsidRPr="00933605">
        <w:t>Bajorek</w:t>
      </w:r>
      <w:proofErr w:type="spellEnd"/>
      <w:r w:rsidRPr="00933605">
        <w:t xml:space="preserve"> &amp; McElroy, 2020</w:t>
      </w:r>
      <w:r w:rsidRPr="005463AB">
        <w:t>), they all include some aspects of the IDEAL discharge model (</w:t>
      </w:r>
      <w:r w:rsidRPr="00933605">
        <w:t>Agency for Healthcare Research and Quality [AHRQ], 2013</w:t>
      </w:r>
      <w:r w:rsidRPr="005463AB">
        <w:t>). IDEAL has five essential components, each of which involves interaction with parents to prepare children for discharge: (1) include the patient and family, (2) discuss key areas to prevent problems at home, (3) educate in plain language, (4) assess understanding using teach-back (</w:t>
      </w:r>
      <w:r w:rsidRPr="00933605">
        <w:t>AHRQ, 2017</w:t>
      </w:r>
      <w:r w:rsidRPr="005463AB">
        <w:t>), and (5) listen to and honor goals, preferences, observations, and concerns [IDEAL (</w:t>
      </w:r>
      <w:r w:rsidRPr="00933605">
        <w:t>AHRQ, 2013</w:t>
      </w:r>
      <w:r w:rsidRPr="005463AB">
        <w:t>)].</w:t>
      </w:r>
    </w:p>
    <w:p w14:paraId="00150425" w14:textId="3434E0FA" w:rsidR="005463AB" w:rsidRPr="005463AB" w:rsidRDefault="005463AB" w:rsidP="005463AB">
      <w:r w:rsidRPr="005463AB">
        <w:t>Family members of children with challenging behaviors value individualized attention to their child’s needs by an engaged health care provider (</w:t>
      </w:r>
      <w:r w:rsidRPr="00933605">
        <w:t>Koski et al., 2016</w:t>
      </w:r>
      <w:r w:rsidRPr="005463AB">
        <w:t>). Parents need to feel both prepared and capable to implement care once they return home, as well as cared for by those providing the teaching (</w:t>
      </w:r>
      <w:r w:rsidRPr="00933605">
        <w:t>Mitchell et al., 2018</w:t>
      </w:r>
      <w:r w:rsidRPr="005463AB">
        <w:t xml:space="preserve">). Family engagement is particularly important for families of children with diagnoses that include challenging behaviors as parents tend to know the </w:t>
      </w:r>
      <w:proofErr w:type="gramStart"/>
      <w:r w:rsidRPr="005463AB">
        <w:t>particular triggers</w:t>
      </w:r>
      <w:proofErr w:type="gramEnd"/>
      <w:r w:rsidRPr="005463AB">
        <w:t xml:space="preserve"> for their child’s behavior (</w:t>
      </w:r>
      <w:r w:rsidRPr="00933605">
        <w:t>Straus et al., 2019</w:t>
      </w:r>
      <w:r w:rsidRPr="005463AB">
        <w:t>). Systems have been developed across the health care continuum to increase family engagement by including families as part of the health care team, forming collaborative partnerships, making decisions, and fostering communication between providers and family members (</w:t>
      </w:r>
      <w:proofErr w:type="spellStart"/>
      <w:r w:rsidRPr="00933605">
        <w:t>Cene</w:t>
      </w:r>
      <w:proofErr w:type="spellEnd"/>
      <w:r w:rsidRPr="00933605">
        <w:t xml:space="preserve"> et al., 2016</w:t>
      </w:r>
      <w:r w:rsidRPr="005463AB">
        <w:t>).</w:t>
      </w:r>
    </w:p>
    <w:p w14:paraId="414CAE92" w14:textId="283A8DF0" w:rsidR="005463AB" w:rsidRPr="005463AB" w:rsidRDefault="005463AB" w:rsidP="005463AB">
      <w:r w:rsidRPr="005463AB">
        <w:t>When providers use empathetic language, family members are more trusting of the discharge teaching and are encouraged to follow through on implementation of the teaching (</w:t>
      </w:r>
      <w:r w:rsidRPr="00933605">
        <w:t>Mitchell et al., 2018</w:t>
      </w:r>
      <w:r w:rsidRPr="005463AB">
        <w:t>). Additionally, nurses skilled in engaging parents can better prepare them to be able to recall and draw upon discharge teaching when needed at home (</w:t>
      </w:r>
      <w:r w:rsidRPr="00933605">
        <w:t>Berger et al., 2014</w:t>
      </w:r>
      <w:r w:rsidRPr="005463AB">
        <w:t>). Ideally, hospital discharge teaching begins on admission and continues throughout the hospitalization and is reviewed on the day of discharge, but since it is often hard to predict the day of discharge, the timing of the process varies (</w:t>
      </w:r>
      <w:r w:rsidRPr="00933605">
        <w:t>Berry et al., 2014</w:t>
      </w:r>
      <w:r w:rsidRPr="005463AB">
        <w:t>; </w:t>
      </w:r>
      <w:r w:rsidRPr="00933605">
        <w:t>Sullivan et al., 2015</w:t>
      </w:r>
      <w:r w:rsidRPr="005463AB">
        <w:t>). Quality delivery of discharge teaching by the nurse to a parent engaged in the process has been shown to best prepare parents to cope and care for their children after discharge (</w:t>
      </w:r>
      <w:r w:rsidRPr="00933605">
        <w:t>Weiss et al., 2008</w:t>
      </w:r>
      <w:r w:rsidRPr="005463AB">
        <w:t>, </w:t>
      </w:r>
      <w:r w:rsidRPr="00933605">
        <w:t>2017</w:t>
      </w:r>
      <w:r w:rsidRPr="005463AB">
        <w:t>).</w:t>
      </w:r>
    </w:p>
    <w:p w14:paraId="35D1FA8C" w14:textId="29CCBF2E" w:rsidR="005463AB" w:rsidRPr="005463AB" w:rsidRDefault="005463AB" w:rsidP="005463AB">
      <w:r w:rsidRPr="005463AB">
        <w:t>Our team of researchers has a progressive program of research focusing on hospital discharge. As part of a larger project, we developed and implemented the engaging parents in education for discharge (</w:t>
      </w:r>
      <w:proofErr w:type="spellStart"/>
      <w:r w:rsidRPr="005463AB">
        <w:rPr>
          <w:i/>
          <w:iCs/>
        </w:rPr>
        <w:t>e</w:t>
      </w:r>
      <w:r w:rsidRPr="005463AB">
        <w:t>PED</w:t>
      </w:r>
      <w:proofErr w:type="spellEnd"/>
      <w:r w:rsidRPr="005463AB">
        <w:t>) iPad application (app), a theory-based day-of-discharge teaching developed and implemented at a Midwest pediatric hospital to improve discharge teaching effectiveness and parent outcomes (</w:t>
      </w:r>
      <w:proofErr w:type="spellStart"/>
      <w:r w:rsidRPr="00933605">
        <w:t>Lerret</w:t>
      </w:r>
      <w:proofErr w:type="spellEnd"/>
      <w:r w:rsidRPr="00933605">
        <w:t xml:space="preserve"> et al., 2020</w:t>
      </w:r>
      <w:r w:rsidRPr="005463AB">
        <w:t>; </w:t>
      </w:r>
      <w:r w:rsidRPr="00933605">
        <w:t xml:space="preserve">Johnson, </w:t>
      </w:r>
      <w:proofErr w:type="spellStart"/>
      <w:r w:rsidRPr="00933605">
        <w:t>Lerret</w:t>
      </w:r>
      <w:proofErr w:type="spellEnd"/>
      <w:r w:rsidRPr="00933605">
        <w:t>, et al., 2020</w:t>
      </w:r>
      <w:r w:rsidRPr="005463AB">
        <w:t>).</w:t>
      </w:r>
    </w:p>
    <w:p w14:paraId="5385965D" w14:textId="3308476C" w:rsidR="005463AB" w:rsidRPr="005463AB" w:rsidRDefault="005463AB" w:rsidP="005463AB">
      <w:r w:rsidRPr="005463AB">
        <w:t>In an evaluation of the effectiveness of the </w:t>
      </w:r>
      <w:proofErr w:type="spellStart"/>
      <w:r w:rsidRPr="005463AB">
        <w:rPr>
          <w:i/>
          <w:iCs/>
        </w:rPr>
        <w:t>e</w:t>
      </w:r>
      <w:r w:rsidRPr="005463AB">
        <w:t>PED</w:t>
      </w:r>
      <w:proofErr w:type="spellEnd"/>
      <w:r w:rsidRPr="005463AB">
        <w:t xml:space="preserve"> app, parents receiving the day-of-discharge teaching guided by the app as a supplement to their usual discharge teaching had higher quality of discharge teaching scores than parents receiving only usual discharge teaching (</w:t>
      </w:r>
      <w:proofErr w:type="spellStart"/>
      <w:r w:rsidRPr="00933605">
        <w:t>Lerret</w:t>
      </w:r>
      <w:proofErr w:type="spellEnd"/>
      <w:r w:rsidRPr="00933605">
        <w:t xml:space="preserve"> et al., 2020</w:t>
      </w:r>
      <w:r w:rsidRPr="005463AB">
        <w:t>). However, in an evaluation of the </w:t>
      </w:r>
      <w:proofErr w:type="spellStart"/>
      <w:r w:rsidRPr="005463AB">
        <w:rPr>
          <w:i/>
          <w:iCs/>
        </w:rPr>
        <w:t>e</w:t>
      </w:r>
      <w:r w:rsidRPr="005463AB">
        <w:t>PED</w:t>
      </w:r>
      <w:proofErr w:type="spellEnd"/>
      <w:r w:rsidRPr="005463AB">
        <w:t xml:space="preserve"> implementation using the Reach, Adoption, Evaluation, Maintenance (RE-AIM) framework (</w:t>
      </w:r>
      <w:r w:rsidRPr="00933605">
        <w:t>Glasgow et al., 2006</w:t>
      </w:r>
      <w:r w:rsidRPr="005463AB">
        <w:t>), there was not full reach or adoption of the </w:t>
      </w:r>
      <w:proofErr w:type="spellStart"/>
      <w:r w:rsidRPr="005463AB">
        <w:rPr>
          <w:i/>
          <w:iCs/>
        </w:rPr>
        <w:t>e</w:t>
      </w:r>
      <w:r w:rsidRPr="005463AB">
        <w:t>PED</w:t>
      </w:r>
      <w:proofErr w:type="spellEnd"/>
      <w:r w:rsidRPr="005463AB">
        <w:t xml:space="preserve"> app, meaning that some of the nurses did not use the app to guide their day-of-discharge teaching or started using the app and stopped using it before completing the discharge (</w:t>
      </w:r>
      <w:r w:rsidRPr="00933605">
        <w:t xml:space="preserve">Johnson, </w:t>
      </w:r>
      <w:proofErr w:type="spellStart"/>
      <w:r w:rsidRPr="00933605">
        <w:t>Lerret</w:t>
      </w:r>
      <w:proofErr w:type="spellEnd"/>
      <w:r w:rsidRPr="00933605">
        <w:t>, et al., 2020</w:t>
      </w:r>
      <w:r w:rsidRPr="005463AB">
        <w:t>). Based on informal interviews with nurse participants, nurses perceived that some parents reported being in a hurry to get home and were dealing with child behaviors that may have interfered with their attention and patience with the </w:t>
      </w:r>
      <w:proofErr w:type="spellStart"/>
      <w:r w:rsidRPr="005463AB">
        <w:rPr>
          <w:i/>
          <w:iCs/>
        </w:rPr>
        <w:t>e</w:t>
      </w:r>
      <w:r w:rsidRPr="005463AB">
        <w:t>PED</w:t>
      </w:r>
      <w:proofErr w:type="spellEnd"/>
      <w:r w:rsidRPr="005463AB">
        <w:t xml:space="preserve"> implementation (</w:t>
      </w:r>
      <w:r w:rsidRPr="00933605">
        <w:t xml:space="preserve">Johnson, </w:t>
      </w:r>
      <w:proofErr w:type="spellStart"/>
      <w:r w:rsidRPr="00933605">
        <w:t>Lerret</w:t>
      </w:r>
      <w:proofErr w:type="spellEnd"/>
      <w:r w:rsidRPr="00933605">
        <w:t>, et al., 2020</w:t>
      </w:r>
      <w:r w:rsidRPr="005463AB">
        <w:t>). These results stimulated our interest in evaluating the use of the </w:t>
      </w:r>
      <w:proofErr w:type="spellStart"/>
      <w:r w:rsidRPr="005463AB">
        <w:rPr>
          <w:i/>
          <w:iCs/>
        </w:rPr>
        <w:t>e</w:t>
      </w:r>
      <w:r w:rsidRPr="005463AB">
        <w:t>PED</w:t>
      </w:r>
      <w:proofErr w:type="spellEnd"/>
      <w:r w:rsidRPr="005463AB">
        <w:t xml:space="preserve"> app in this subset of parents from the original study who reported challenging child behaviors and who have the potential for greater difficulty at times of transition.</w:t>
      </w:r>
    </w:p>
    <w:p w14:paraId="46E64EE4" w14:textId="77777777" w:rsidR="005463AB" w:rsidRPr="005463AB" w:rsidRDefault="005463AB" w:rsidP="4623802F">
      <w:pPr>
        <w:pStyle w:val="Heading1"/>
        <w:rPr>
          <w:rFonts w:ascii="Calibri" w:eastAsia="Meiryo" w:hAnsi="Calibri" w:cs="Arial"/>
        </w:rPr>
      </w:pPr>
      <w:bookmarkStart w:id="3" w:name="_i2"/>
      <w:bookmarkEnd w:id="3"/>
      <w:r>
        <w:t>Purpose</w:t>
      </w:r>
    </w:p>
    <w:p w14:paraId="0C6D6A41" w14:textId="77777777" w:rsidR="005463AB" w:rsidRPr="005463AB" w:rsidRDefault="005463AB" w:rsidP="005463AB">
      <w:r w:rsidRPr="005463AB">
        <w:t>The purpose of this secondary analysis was to compare parent perception of the quality of discharge teaching and care coordination for parents of children with challenging behaviors who received teaching from nurses using the </w:t>
      </w:r>
      <w:proofErr w:type="spellStart"/>
      <w:r w:rsidRPr="005463AB">
        <w:rPr>
          <w:i/>
          <w:iCs/>
        </w:rPr>
        <w:t>e</w:t>
      </w:r>
      <w:r w:rsidRPr="005463AB">
        <w:t>PED</w:t>
      </w:r>
      <w:proofErr w:type="spellEnd"/>
      <w:r w:rsidRPr="005463AB">
        <w:t xml:space="preserve"> app compared to parents who received usual discharge teaching.</w:t>
      </w:r>
    </w:p>
    <w:p w14:paraId="5C9208E4" w14:textId="77777777" w:rsidR="005463AB" w:rsidRPr="005463AB" w:rsidRDefault="005463AB" w:rsidP="4623802F">
      <w:pPr>
        <w:pStyle w:val="Heading1"/>
        <w:rPr>
          <w:rFonts w:ascii="Calibri" w:eastAsia="Meiryo" w:hAnsi="Calibri" w:cs="Arial"/>
        </w:rPr>
      </w:pPr>
      <w:bookmarkStart w:id="4" w:name="_i3"/>
      <w:bookmarkEnd w:id="4"/>
      <w:r>
        <w:t>Methods</w:t>
      </w:r>
    </w:p>
    <w:p w14:paraId="696C0564" w14:textId="77777777" w:rsidR="005463AB" w:rsidRPr="005463AB" w:rsidRDefault="005463AB" w:rsidP="4623802F">
      <w:pPr>
        <w:pStyle w:val="Heading2"/>
        <w:rPr>
          <w:rFonts w:ascii="Calibri" w:eastAsia="Meiryo" w:hAnsi="Calibri" w:cs="Arial"/>
        </w:rPr>
      </w:pPr>
      <w:r>
        <w:t>Design</w:t>
      </w:r>
    </w:p>
    <w:p w14:paraId="7017C31D" w14:textId="18710F9F" w:rsidR="005463AB" w:rsidRPr="005463AB" w:rsidRDefault="005463AB" w:rsidP="005463AB">
      <w:r w:rsidRPr="005463AB">
        <w:t>This secondary analysis of a larger two-group pre/post-test quasi-experimental two-unit implementation project was designed to test the effectiveness of the iPad-application-guided discharge (</w:t>
      </w:r>
      <w:proofErr w:type="spellStart"/>
      <w:r w:rsidRPr="00933605">
        <w:t>Lerret</w:t>
      </w:r>
      <w:proofErr w:type="spellEnd"/>
      <w:r w:rsidRPr="00933605">
        <w:t xml:space="preserve"> et al., 2020</w:t>
      </w:r>
      <w:r w:rsidRPr="005463AB">
        <w:t>) in a specific subset of parents of children with challenging behaviors. Outcomes evaluated were the quality of discharge teaching, care coordination, and post-discharge outcomes. With the implementation group, a discharge nurse used the </w:t>
      </w:r>
      <w:proofErr w:type="spellStart"/>
      <w:r w:rsidRPr="005463AB">
        <w:rPr>
          <w:i/>
          <w:iCs/>
        </w:rPr>
        <w:t>e</w:t>
      </w:r>
      <w:r w:rsidRPr="005463AB">
        <w:t>PED</w:t>
      </w:r>
      <w:proofErr w:type="spellEnd"/>
      <w:r w:rsidRPr="005463AB">
        <w:t xml:space="preserve"> app to guide the discharge teaching, which supplemented usual discharge teaching that included verbal teaching interactions with the discharging nurse and written discharge instructions. For the comparison group parents, the discharge nurse provided “usual care” discharge teaching.</w:t>
      </w:r>
    </w:p>
    <w:p w14:paraId="5AA51E0E" w14:textId="77777777" w:rsidR="005463AB" w:rsidRPr="005463AB" w:rsidRDefault="005463AB" w:rsidP="4623802F">
      <w:pPr>
        <w:pStyle w:val="Heading2"/>
        <w:rPr>
          <w:rFonts w:ascii="Calibri" w:eastAsia="Meiryo" w:hAnsi="Calibri" w:cs="Arial"/>
        </w:rPr>
      </w:pPr>
      <w:r>
        <w:t>Sample and Setting</w:t>
      </w:r>
    </w:p>
    <w:p w14:paraId="0B7ED5EE" w14:textId="77777777" w:rsidR="005463AB" w:rsidRPr="005463AB" w:rsidRDefault="005463AB" w:rsidP="005463AB">
      <w:r w:rsidRPr="005463AB">
        <w:t>The study took place on two units of a pediatric hospital in the Midwestern United States. The first unit was a surgical unit that served as the </w:t>
      </w:r>
      <w:proofErr w:type="spellStart"/>
      <w:r w:rsidRPr="005463AB">
        <w:rPr>
          <w:i/>
          <w:iCs/>
        </w:rPr>
        <w:t>e</w:t>
      </w:r>
      <w:r w:rsidRPr="005463AB">
        <w:t>PED</w:t>
      </w:r>
      <w:proofErr w:type="spellEnd"/>
      <w:r w:rsidRPr="005463AB">
        <w:t xml:space="preserve"> implementation </w:t>
      </w:r>
      <w:proofErr w:type="gramStart"/>
      <w:r w:rsidRPr="005463AB">
        <w:t>unit</w:t>
      </w:r>
      <w:proofErr w:type="gramEnd"/>
      <w:r w:rsidRPr="005463AB">
        <w:t xml:space="preserve"> and the second unit was a medical unit that served as the usual discharge care unit. All staff nurses on both units completed the training on the </w:t>
      </w:r>
      <w:proofErr w:type="spellStart"/>
      <w:r w:rsidRPr="005463AB">
        <w:rPr>
          <w:i/>
          <w:iCs/>
        </w:rPr>
        <w:t>e</w:t>
      </w:r>
      <w:r w:rsidRPr="005463AB">
        <w:t>PED</w:t>
      </w:r>
      <w:proofErr w:type="spellEnd"/>
      <w:r w:rsidRPr="005463AB">
        <w:t xml:space="preserve"> app implementation study. Of the 211 parents of children with acute, chronic, and complex health conditions in the larger study, there were 14 who answered “yes” to the question “Does your child exhibit one or more of the following behaviors of frustration: Self-injury or injury to others or self-calming such as rocking?” from the implementation unit, and 11 of the 184 parents who received usual discharge care on the usual care unit.</w:t>
      </w:r>
    </w:p>
    <w:p w14:paraId="1BE1D2F2" w14:textId="77777777" w:rsidR="005463AB" w:rsidRPr="005463AB" w:rsidRDefault="005463AB" w:rsidP="4623802F">
      <w:pPr>
        <w:pStyle w:val="Heading2"/>
        <w:rPr>
          <w:rFonts w:ascii="Calibri" w:eastAsia="Meiryo" w:hAnsi="Calibri" w:cs="Arial"/>
        </w:rPr>
      </w:pPr>
      <w:proofErr w:type="spellStart"/>
      <w:r>
        <w:t>ePED</w:t>
      </w:r>
      <w:proofErr w:type="spellEnd"/>
      <w:r>
        <w:t xml:space="preserve"> Discharge Teaching Application</w:t>
      </w:r>
    </w:p>
    <w:p w14:paraId="41664C54" w14:textId="3B68027E" w:rsidR="005463AB" w:rsidRPr="005463AB" w:rsidRDefault="005463AB" w:rsidP="005463AB">
      <w:r w:rsidRPr="005463AB">
        <w:t>The </w:t>
      </w:r>
      <w:proofErr w:type="spellStart"/>
      <w:r w:rsidRPr="005463AB">
        <w:rPr>
          <w:i/>
          <w:iCs/>
        </w:rPr>
        <w:t>e</w:t>
      </w:r>
      <w:r w:rsidRPr="005463AB">
        <w:t>PED</w:t>
      </w:r>
      <w:proofErr w:type="spellEnd"/>
      <w:r w:rsidRPr="005463AB">
        <w:t xml:space="preserve"> app was designed to promote parent engagement on the day of discharge by providing scripting for nurse interactions, with parents across five domains of discharge material across five screens of the app: (1) signs and symptoms, (2) medications, (3) appointments and results, (4) recovery, and (5) thinking forward to family adjustment (</w:t>
      </w:r>
      <w:proofErr w:type="spellStart"/>
      <w:r w:rsidRPr="00933605">
        <w:t>Lerret</w:t>
      </w:r>
      <w:proofErr w:type="spellEnd"/>
      <w:r w:rsidRPr="00933605">
        <w:t xml:space="preserve"> et al., 2020</w:t>
      </w:r>
      <w:r w:rsidRPr="005463AB">
        <w:t>). The </w:t>
      </w:r>
      <w:proofErr w:type="spellStart"/>
      <w:r w:rsidRPr="005463AB">
        <w:rPr>
          <w:i/>
          <w:iCs/>
        </w:rPr>
        <w:t>e</w:t>
      </w:r>
      <w:r w:rsidRPr="005463AB">
        <w:t>PED</w:t>
      </w:r>
      <w:proofErr w:type="spellEnd"/>
      <w:r w:rsidRPr="005463AB">
        <w:t xml:space="preserve"> app is based on three frameworks: (1) the individual and family self-management theory (IFSMT) (</w:t>
      </w:r>
      <w:r w:rsidRPr="00933605">
        <w:t xml:space="preserve">Ryan &amp; </w:t>
      </w:r>
      <w:proofErr w:type="spellStart"/>
      <w:r w:rsidRPr="00933605">
        <w:t>Sawin</w:t>
      </w:r>
      <w:proofErr w:type="spellEnd"/>
      <w:r w:rsidRPr="00933605">
        <w:t>, 2009</w:t>
      </w:r>
      <w:r w:rsidRPr="005463AB">
        <w:t>), (2) Tanner’s model of clinical judgment (</w:t>
      </w:r>
      <w:r w:rsidRPr="00933605">
        <w:t>Tanner, 2006</w:t>
      </w:r>
      <w:r w:rsidRPr="005463AB">
        <w:t>), and (3) teach-back method (</w:t>
      </w:r>
      <w:r w:rsidRPr="00933605">
        <w:t>AHRQ, 2017</w:t>
      </w:r>
      <w:r w:rsidRPr="005463AB">
        <w:t>). First, the app guides the nurse to support the process of self-management by focusing on the risks and complexities as well as the strengths of the family in managing the child’s condition as they transition between hospital and home (</w:t>
      </w:r>
      <w:proofErr w:type="spellStart"/>
      <w:r w:rsidRPr="00933605">
        <w:t>Sawin</w:t>
      </w:r>
      <w:proofErr w:type="spellEnd"/>
      <w:r w:rsidRPr="00933605">
        <w:t xml:space="preserve"> et al., 2017</w:t>
      </w:r>
      <w:r w:rsidRPr="005463AB">
        <w:t>). Second, using Tanner’s model of clinical judgment (</w:t>
      </w:r>
      <w:r w:rsidRPr="00933605">
        <w:t>Tanner, 2006</w:t>
      </w:r>
      <w:r w:rsidRPr="005463AB">
        <w:t>), nurses formulate responses to parent feedback from the </w:t>
      </w:r>
      <w:proofErr w:type="spellStart"/>
      <w:r w:rsidRPr="005463AB">
        <w:rPr>
          <w:i/>
          <w:iCs/>
        </w:rPr>
        <w:t>e</w:t>
      </w:r>
      <w:r w:rsidRPr="005463AB">
        <w:t>PED</w:t>
      </w:r>
      <w:proofErr w:type="spellEnd"/>
      <w:r w:rsidRPr="005463AB">
        <w:t xml:space="preserve"> app questions using their expertise and clinical judgment. Third, the teach-back method (</w:t>
      </w:r>
      <w:r w:rsidRPr="00933605">
        <w:t>AHRQ, 2017</w:t>
      </w:r>
      <w:r w:rsidRPr="005463AB">
        <w:t>) is incorporated in the </w:t>
      </w:r>
      <w:proofErr w:type="spellStart"/>
      <w:r w:rsidRPr="005463AB">
        <w:rPr>
          <w:i/>
          <w:iCs/>
        </w:rPr>
        <w:t>e</w:t>
      </w:r>
      <w:r w:rsidRPr="005463AB">
        <w:t>PED</w:t>
      </w:r>
      <w:proofErr w:type="spellEnd"/>
      <w:r w:rsidRPr="005463AB">
        <w:t xml:space="preserve"> app as questions on the app require the parents to interact with </w:t>
      </w:r>
      <w:proofErr w:type="gramStart"/>
      <w:r w:rsidRPr="005463AB">
        <w:t>nurses</w:t>
      </w:r>
      <w:proofErr w:type="gramEnd"/>
      <w:r w:rsidRPr="005463AB">
        <w:t xml:space="preserve"> so the nurse knows the parents understand how to support ongoing recovery in the home environment.</w:t>
      </w:r>
    </w:p>
    <w:p w14:paraId="0C8B181F" w14:textId="271530AC" w:rsidR="005463AB" w:rsidRPr="005463AB" w:rsidRDefault="005463AB" w:rsidP="005463AB">
      <w:r w:rsidRPr="005463AB">
        <w:t>Together, the nurse and parent/caregiver think ahead about what life will be like once the parent/caregiver and child return home by eliciting specific plans, potential concerns, knowledge gaps, and additional teaching needs (</w:t>
      </w:r>
      <w:r w:rsidRPr="00933605">
        <w:t xml:space="preserve">Johnson, </w:t>
      </w:r>
      <w:proofErr w:type="spellStart"/>
      <w:r w:rsidRPr="00933605">
        <w:t>Lerret</w:t>
      </w:r>
      <w:proofErr w:type="spellEnd"/>
      <w:r w:rsidRPr="00933605">
        <w:t>, et al., 2020</w:t>
      </w:r>
      <w:r w:rsidRPr="005463AB">
        <w:t>; </w:t>
      </w:r>
      <w:proofErr w:type="spellStart"/>
      <w:r w:rsidRPr="00933605">
        <w:t>Lerret</w:t>
      </w:r>
      <w:proofErr w:type="spellEnd"/>
      <w:r w:rsidRPr="00933605">
        <w:t xml:space="preserve"> et al., 2020</w:t>
      </w:r>
      <w:r w:rsidRPr="005463AB">
        <w:t>). For example, the first screen of the </w:t>
      </w:r>
      <w:proofErr w:type="spellStart"/>
      <w:r w:rsidRPr="005463AB">
        <w:rPr>
          <w:i/>
          <w:iCs/>
        </w:rPr>
        <w:t>e</w:t>
      </w:r>
      <w:r w:rsidRPr="005463AB">
        <w:t>PED</w:t>
      </w:r>
      <w:proofErr w:type="spellEnd"/>
      <w:r w:rsidRPr="005463AB">
        <w:t xml:space="preserve"> app covers signs and symptoms. The first question is: “Let’s talk about things to watch for in the first few days or weeks after your child is home. Tell me how you would know if your child </w:t>
      </w:r>
      <w:proofErr w:type="gramStart"/>
      <w:r w:rsidRPr="005463AB">
        <w:t>is</w:t>
      </w:r>
      <w:proofErr w:type="gramEnd"/>
      <w:r w:rsidRPr="005463AB">
        <w:t xml:space="preserve"> not doing well? What will you watch for? What will you do to keep track of these things?” For the fifth screen on “Thinking forward to family adjustment” sample questions included the following: “In taking your child home from the hospital, what adjustments will you make? Have you thought about changes you and your family will have to make for your other children, your job, childcare and/or other family members? There will be things that other caregivers will need to learn. How will they learn them and when? Who can you count on to give you emotional support if you are worried or stressed?” A full description of the development of the initial content (</w:t>
      </w:r>
      <w:proofErr w:type="spellStart"/>
      <w:r w:rsidRPr="00933605">
        <w:t>Sawin</w:t>
      </w:r>
      <w:proofErr w:type="spellEnd"/>
      <w:r w:rsidRPr="00933605">
        <w:t xml:space="preserve"> et al., 2017</w:t>
      </w:r>
      <w:r w:rsidRPr="005463AB">
        <w:t>), subsequent content reduction, </w:t>
      </w:r>
      <w:proofErr w:type="spellStart"/>
      <w:r w:rsidRPr="005463AB">
        <w:rPr>
          <w:i/>
          <w:iCs/>
        </w:rPr>
        <w:t>e</w:t>
      </w:r>
      <w:r w:rsidRPr="005463AB">
        <w:t>PED</w:t>
      </w:r>
      <w:proofErr w:type="spellEnd"/>
      <w:r w:rsidRPr="005463AB">
        <w:t xml:space="preserve"> app development, and implementation are published elsewhere (</w:t>
      </w:r>
      <w:r w:rsidRPr="00933605">
        <w:t xml:space="preserve">Johnson, </w:t>
      </w:r>
      <w:proofErr w:type="spellStart"/>
      <w:r w:rsidRPr="00933605">
        <w:t>Lerret</w:t>
      </w:r>
      <w:proofErr w:type="spellEnd"/>
      <w:r w:rsidRPr="00933605">
        <w:t>, et al., 2020</w:t>
      </w:r>
      <w:r w:rsidRPr="005463AB">
        <w:t>; </w:t>
      </w:r>
      <w:proofErr w:type="spellStart"/>
      <w:r w:rsidRPr="00933605">
        <w:t>Lerret</w:t>
      </w:r>
      <w:proofErr w:type="spellEnd"/>
      <w:r w:rsidRPr="00933605">
        <w:t xml:space="preserve"> et al., 2020</w:t>
      </w:r>
      <w:r w:rsidRPr="005463AB">
        <w:t>).</w:t>
      </w:r>
    </w:p>
    <w:p w14:paraId="4F291C6D" w14:textId="77777777" w:rsidR="005463AB" w:rsidRPr="005463AB" w:rsidRDefault="005463AB" w:rsidP="4623802F">
      <w:pPr>
        <w:pStyle w:val="Heading2"/>
        <w:rPr>
          <w:rFonts w:ascii="Calibri" w:eastAsia="Meiryo" w:hAnsi="Calibri" w:cs="Arial"/>
        </w:rPr>
      </w:pPr>
      <w:r>
        <w:t>Measures</w:t>
      </w:r>
    </w:p>
    <w:p w14:paraId="77346027" w14:textId="77777777" w:rsidR="005463AB" w:rsidRPr="005463AB" w:rsidRDefault="005463AB" w:rsidP="4623802F">
      <w:pPr>
        <w:pStyle w:val="Heading3"/>
        <w:rPr>
          <w:rFonts w:ascii="Calibri" w:eastAsia="Meiryo" w:hAnsi="Calibri" w:cs="Arial"/>
          <w:b/>
          <w:bCs/>
          <w:i/>
          <w:iCs/>
        </w:rPr>
      </w:pPr>
      <w:r>
        <w:t>Quality of Discharge Teaching</w:t>
      </w:r>
    </w:p>
    <w:p w14:paraId="2F59C137" w14:textId="4CBE84F6" w:rsidR="005463AB" w:rsidRPr="005463AB" w:rsidRDefault="005463AB" w:rsidP="005463AB">
      <w:r w:rsidRPr="005463AB">
        <w:t>The 12-item quality of discharge teaching scale–delivery subscale (QDTS-D) of the QDTS was used to measure the parent’s perspective on the quality of the delivery of discharge teaching throughout the hospitalization (</w:t>
      </w:r>
      <w:r w:rsidRPr="00933605">
        <w:t>Weiss et al., 2008</w:t>
      </w:r>
      <w:r w:rsidRPr="005463AB">
        <w:t xml:space="preserve">). This subscale reflects the skill of the nurses as educators in presenting discharge teaching. The items </w:t>
      </w:r>
      <w:proofErr w:type="gramStart"/>
      <w:r w:rsidRPr="005463AB">
        <w:t>include:</w:t>
      </w:r>
      <w:proofErr w:type="gramEnd"/>
      <w:r w:rsidRPr="005463AB">
        <w:t xml:space="preserve"> listening to and answering specific questions and concerns, being sensitive and understanding of personal beliefs and values, using health-literate terminology, teaching at times that were good for parents and family members, providing consistent information, promoting confidence in ability to care for the child and in knowing what to do in an emergency, and decreasing parent anxiety about the transition home. The QDTS-D responses are on a Likert scale ranging from “not at all” (0) to “always” (10). The reliability of the tool is high for samples of parents of hospitalized children with Cronbach’s alpha at 0.88 (</w:t>
      </w:r>
      <w:proofErr w:type="spellStart"/>
      <w:r w:rsidRPr="00933605">
        <w:t>Lerret</w:t>
      </w:r>
      <w:proofErr w:type="spellEnd"/>
      <w:r w:rsidRPr="00933605">
        <w:t xml:space="preserve"> et al., 2014</w:t>
      </w:r>
      <w:r w:rsidRPr="005463AB">
        <w:t>; </w:t>
      </w:r>
      <w:r w:rsidRPr="00933605">
        <w:t>Weiss et al., 2008</w:t>
      </w:r>
      <w:r w:rsidRPr="005463AB">
        <w:t>). The QDTS-D scale score is reported as the mean of the item scores, with higher scores reflecting parent’s perception of receiving better quality of discharge teaching.</w:t>
      </w:r>
    </w:p>
    <w:p w14:paraId="21561700" w14:textId="77777777" w:rsidR="005463AB" w:rsidRPr="005463AB" w:rsidRDefault="005463AB" w:rsidP="4623802F">
      <w:pPr>
        <w:pStyle w:val="Heading3"/>
        <w:rPr>
          <w:rFonts w:ascii="Calibri" w:eastAsia="Meiryo" w:hAnsi="Calibri" w:cs="Arial"/>
          <w:b/>
          <w:bCs/>
          <w:i/>
          <w:iCs/>
        </w:rPr>
      </w:pPr>
      <w:r>
        <w:t>Care Coordination</w:t>
      </w:r>
    </w:p>
    <w:p w14:paraId="7EBD216E" w14:textId="3EB51C35" w:rsidR="005463AB" w:rsidRPr="005463AB" w:rsidRDefault="005463AB" w:rsidP="005463AB">
      <w:r w:rsidRPr="005463AB">
        <w:t>The Care Transition Measure (CTM) was used to measure care coordination (</w:t>
      </w:r>
      <w:r w:rsidRPr="00933605">
        <w:t>Coleman et al., 2002</w:t>
      </w:r>
      <w:r w:rsidRPr="005463AB">
        <w:t>). The CTM-15 is a 15-item measure that has four key domains: (1) transfer of information, (2) preparation of patient/caregiver, (3) self-management support, and (4) empowerment to address preferences. The reliability of the tool is high in both the adult and pediatric populations with a Cronbach’s alpha of 0.92–0.93 (</w:t>
      </w:r>
      <w:r w:rsidRPr="00933605">
        <w:t>Coleman et al., 2005</w:t>
      </w:r>
      <w:r w:rsidRPr="005463AB">
        <w:t>; </w:t>
      </w:r>
      <w:proofErr w:type="spellStart"/>
      <w:r w:rsidRPr="00933605">
        <w:t>Lerret</w:t>
      </w:r>
      <w:proofErr w:type="spellEnd"/>
      <w:r w:rsidRPr="00933605">
        <w:t xml:space="preserve"> &amp; Weiss, 2011</w:t>
      </w:r>
      <w:r w:rsidRPr="005463AB">
        <w:t>; </w:t>
      </w:r>
      <w:proofErr w:type="spellStart"/>
      <w:r w:rsidRPr="00933605">
        <w:t>Lerret</w:t>
      </w:r>
      <w:proofErr w:type="spellEnd"/>
      <w:r w:rsidRPr="00933605">
        <w:t xml:space="preserve"> et al., 2015</w:t>
      </w:r>
      <w:r w:rsidRPr="005463AB">
        <w:t>). The CTM responses use a 4-point Likert scale with responses ranging from “strongly disagree to strongly agree.” The CTM total score represents the overall parent perceived quality of the care transition, with lower total scale scores reflecting poorer transition and higher scores reflecting a better transition (</w:t>
      </w:r>
      <w:r w:rsidRPr="00933605">
        <w:t>Coleman et al., 2002</w:t>
      </w:r>
      <w:r w:rsidRPr="005463AB">
        <w:t>).</w:t>
      </w:r>
    </w:p>
    <w:p w14:paraId="38B86F46" w14:textId="77777777" w:rsidR="005463AB" w:rsidRPr="005463AB" w:rsidRDefault="005463AB" w:rsidP="4623802F">
      <w:pPr>
        <w:pStyle w:val="Heading3"/>
        <w:rPr>
          <w:rFonts w:ascii="Calibri" w:eastAsia="Meiryo" w:hAnsi="Calibri" w:cs="Arial"/>
          <w:b/>
          <w:bCs/>
          <w:i/>
          <w:iCs/>
        </w:rPr>
      </w:pPr>
      <w:r>
        <w:t>Child and Family Characteristics</w:t>
      </w:r>
    </w:p>
    <w:p w14:paraId="1691A314" w14:textId="77777777" w:rsidR="005463AB" w:rsidRPr="005463AB" w:rsidRDefault="005463AB" w:rsidP="005463AB">
      <w:r w:rsidRPr="005463AB">
        <w:t>Child and family characteristics were collected by parent self-report to describe the sample. Characteristics included: parent’s age, gender, ethnicity, race, marital status, and employment, child age, sex, race, reason for hospitalization, psychiatric/ behavioral comorbidities, number of adults and children in the home, number of medications, and types of insurance.</w:t>
      </w:r>
    </w:p>
    <w:p w14:paraId="6C29F727" w14:textId="77777777" w:rsidR="005463AB" w:rsidRPr="005463AB" w:rsidRDefault="005463AB" w:rsidP="4623802F">
      <w:pPr>
        <w:pStyle w:val="Heading2"/>
        <w:rPr>
          <w:rFonts w:ascii="Calibri" w:eastAsia="Meiryo" w:hAnsi="Calibri" w:cs="Arial"/>
        </w:rPr>
      </w:pPr>
      <w:r>
        <w:t>Procedures</w:t>
      </w:r>
    </w:p>
    <w:p w14:paraId="20FB788C" w14:textId="77777777" w:rsidR="005463AB" w:rsidRPr="005463AB" w:rsidRDefault="005463AB" w:rsidP="005463AB">
      <w:r w:rsidRPr="005463AB">
        <w:t>Institutional Review Board (IRB) approval was obtained for the larger implementation study. A waiver of documentation of consent was approved for this evaluation of unit-wide implementation of the enhanced approach to discharge teaching with all nurses trained in the use of the discharge teaching process using the </w:t>
      </w:r>
      <w:proofErr w:type="spellStart"/>
      <w:r w:rsidRPr="005463AB">
        <w:rPr>
          <w:i/>
          <w:iCs/>
        </w:rPr>
        <w:t>e</w:t>
      </w:r>
      <w:r w:rsidRPr="005463AB">
        <w:t>PED</w:t>
      </w:r>
      <w:proofErr w:type="spellEnd"/>
      <w:r w:rsidRPr="005463AB">
        <w:t xml:space="preserve"> app. Parents received an information sheet explaining the study components and a verbal explanation by the bedside nurse on both the </w:t>
      </w:r>
      <w:proofErr w:type="spellStart"/>
      <w:r w:rsidRPr="005463AB">
        <w:rPr>
          <w:i/>
          <w:iCs/>
        </w:rPr>
        <w:t>e</w:t>
      </w:r>
      <w:r w:rsidRPr="005463AB">
        <w:t>PED</w:t>
      </w:r>
      <w:proofErr w:type="spellEnd"/>
      <w:r w:rsidRPr="005463AB">
        <w:t xml:space="preserve"> app implementation and the usual care unit of the hospital.</w:t>
      </w:r>
    </w:p>
    <w:p w14:paraId="6A4C638E" w14:textId="77777777" w:rsidR="005463AB" w:rsidRPr="005463AB" w:rsidRDefault="005463AB" w:rsidP="005463AB">
      <w:r w:rsidRPr="005463AB">
        <w:t>The content development for the </w:t>
      </w:r>
      <w:proofErr w:type="spellStart"/>
      <w:r w:rsidRPr="005463AB">
        <w:rPr>
          <w:i/>
          <w:iCs/>
        </w:rPr>
        <w:t>e</w:t>
      </w:r>
      <w:r w:rsidRPr="005463AB">
        <w:t>PED</w:t>
      </w:r>
      <w:proofErr w:type="spellEnd"/>
      <w:r w:rsidRPr="005463AB">
        <w:t xml:space="preserve"> iPad app, staff training, and the data collection took place between September 2018 and January 2019. Only the parents on the implementation unit received the discharge teaching guided by the </w:t>
      </w:r>
      <w:proofErr w:type="spellStart"/>
      <w:r w:rsidRPr="005463AB">
        <w:rPr>
          <w:i/>
          <w:iCs/>
        </w:rPr>
        <w:t>e</w:t>
      </w:r>
      <w:r w:rsidRPr="005463AB">
        <w:t>PED</w:t>
      </w:r>
      <w:proofErr w:type="spellEnd"/>
      <w:r w:rsidRPr="005463AB">
        <w:t xml:space="preserve"> app. Standard teaching with written information sheets was completed on both units. Data collected on the day of discharge for all participants included the two-parent experience questionnaires (QDTS-D and CTM) and a questionnaire on child and family characteristics used to describe the sample; the questionnaire was completed by the parents on an iPad provided by the study. The discharging nurse handed the iPad to the parent to respond to the questionnaires immediately on completion of the discharge teaching. Parents on both units completed the questionnaires independently and closed the app prior to returning the iPad to the bedside nurse. Study data collected via the iPad was directly entered into a </w:t>
      </w:r>
      <w:proofErr w:type="spellStart"/>
      <w:r w:rsidRPr="005463AB">
        <w:t>REDCap</w:t>
      </w:r>
      <w:proofErr w:type="spellEnd"/>
      <w:r w:rsidRPr="005463AB">
        <w:t xml:space="preserve"> database.</w:t>
      </w:r>
    </w:p>
    <w:p w14:paraId="0F94307B" w14:textId="77777777" w:rsidR="005463AB" w:rsidRPr="005463AB" w:rsidRDefault="005463AB" w:rsidP="4623802F">
      <w:pPr>
        <w:pStyle w:val="Heading2"/>
        <w:rPr>
          <w:rFonts w:ascii="Calibri" w:eastAsia="Meiryo" w:hAnsi="Calibri" w:cs="Arial"/>
        </w:rPr>
      </w:pPr>
      <w:r>
        <w:t>Data Analysis</w:t>
      </w:r>
    </w:p>
    <w:p w14:paraId="431495C2" w14:textId="2552F6E4" w:rsidR="005463AB" w:rsidRPr="005463AB" w:rsidRDefault="005463AB" w:rsidP="005463AB">
      <w:r w:rsidRPr="005463AB">
        <w:t>In this analysis, we were interested in assessing possible treatment effects of discharge teaching using the </w:t>
      </w:r>
      <w:proofErr w:type="spellStart"/>
      <w:r w:rsidRPr="005463AB">
        <w:rPr>
          <w:i/>
          <w:iCs/>
        </w:rPr>
        <w:t>e</w:t>
      </w:r>
      <w:r w:rsidRPr="005463AB">
        <w:t>PED</w:t>
      </w:r>
      <w:proofErr w:type="spellEnd"/>
      <w:r w:rsidRPr="005463AB">
        <w:t xml:space="preserve"> iPad app. Therefore, covariate balance was crucial for unconfounded descriptive or causal comparisons (</w:t>
      </w:r>
      <w:r w:rsidRPr="00933605">
        <w:t>Holmes &amp; Olsen, 2010</w:t>
      </w:r>
      <w:r w:rsidRPr="005463AB">
        <w:t>). However, lack of balance is common in studies with small sample sizes. Propensity scores were used to minimize the confounding of treatment effects with group differences (unbalance of covariates). The propensity score method involves calculating the conditional probability (propensity) of being in the implementation group (exposure to the </w:t>
      </w:r>
      <w:proofErr w:type="spellStart"/>
      <w:r w:rsidRPr="005463AB">
        <w:rPr>
          <w:i/>
          <w:iCs/>
        </w:rPr>
        <w:t>e</w:t>
      </w:r>
      <w:r w:rsidRPr="005463AB">
        <w:t>PED</w:t>
      </w:r>
      <w:proofErr w:type="spellEnd"/>
      <w:r w:rsidRPr="005463AB">
        <w:t>) given a set of covariates, weighting the data based on these propensity scores, and then analyzing the outcome using the weighted data. Even though small samples have larger error variances than large sample studies, usable results can be produced to control for covariate imbalance in comparison groups (</w:t>
      </w:r>
      <w:r w:rsidRPr="00933605">
        <w:t>Holmes &amp; Olsen, 2010</w:t>
      </w:r>
      <w:r w:rsidRPr="005463AB">
        <w:t>). To obtain propensity weights, we used generalized boosted modeling, an automated algorithm that uses covariates to predict treatment assignment (</w:t>
      </w:r>
      <w:r w:rsidRPr="00933605">
        <w:t>McCaffrey et al., 2004</w:t>
      </w:r>
      <w:r w:rsidRPr="005463AB">
        <w:t>, </w:t>
      </w:r>
      <w:r w:rsidRPr="00933605">
        <w:t>2013</w:t>
      </w:r>
      <w:r w:rsidRPr="005463AB">
        <w:t>). The covariates in the models (listed in </w:t>
      </w:r>
      <w:r w:rsidRPr="00933605">
        <w:t>Table 3</w:t>
      </w:r>
      <w:r w:rsidRPr="005463AB">
        <w:t>) included: parent age, child age, gender of parent, gender of child, number of medications, number of comorbid conditions, marital status, reasons for admission (medical or surgical). The covariates were analyzed to see how unbalanced the two groups were (n = 14 compared to n = 11). Unbalance would bias the estimated means and the effect size. Balancing the covariates gives a better idea of the effect size differences. First, we developed unweighted raw covariate means and proportions for all participants in both groups. A one-to-one effect size would be zero, showing that both groups would be the same and would not be a biasing factor. Unbalance was based on calculating effect size differences, with values greater than 0.20 indicating unbalance. Next, it is suggested that after covariate balancing if some covariates are still unbalanced, one may create a doubly robust weighting by including those unbalanced covariates in the regression model (</w:t>
      </w:r>
      <w:proofErr w:type="spellStart"/>
      <w:r w:rsidRPr="00933605">
        <w:t>Tsiatis</w:t>
      </w:r>
      <w:proofErr w:type="spellEnd"/>
      <w:r w:rsidRPr="00933605">
        <w:t xml:space="preserve"> &amp; Davidian, 2007</w:t>
      </w:r>
      <w:r w:rsidRPr="005463AB">
        <w:t>). Propensity weights are established for each participant and incorporated into a simple multiple regression model with group [implementation vs. usual car/comparison] and any further unbalanced covariates. All analyses were conducted using Stata version 16.1 (</w:t>
      </w:r>
      <w:proofErr w:type="spellStart"/>
      <w:r w:rsidRPr="005463AB">
        <w:t>StataCorp</w:t>
      </w:r>
      <w:proofErr w:type="spellEnd"/>
      <w:r w:rsidRPr="005463AB">
        <w:t>., </w:t>
      </w:r>
      <w:r w:rsidRPr="00933605">
        <w:t>2019</w:t>
      </w:r>
      <w:r w:rsidRPr="005463AB">
        <w:t>).</w:t>
      </w:r>
    </w:p>
    <w:p w14:paraId="07C1FA5D" w14:textId="77777777" w:rsidR="005463AB" w:rsidRPr="005463AB" w:rsidRDefault="005463AB" w:rsidP="4623802F">
      <w:pPr>
        <w:pStyle w:val="Heading1"/>
        <w:rPr>
          <w:rFonts w:ascii="Calibri" w:eastAsia="Meiryo" w:hAnsi="Calibri" w:cs="Arial"/>
        </w:rPr>
      </w:pPr>
      <w:bookmarkStart w:id="5" w:name="_i13"/>
      <w:bookmarkEnd w:id="5"/>
      <w:r>
        <w:t>Results</w:t>
      </w:r>
    </w:p>
    <w:p w14:paraId="37AE6ED1" w14:textId="767595E6" w:rsidR="005463AB" w:rsidRPr="005463AB" w:rsidRDefault="005463AB" w:rsidP="005463AB">
      <w:r>
        <w:t>The sample included 25 parents, with 56% (n = 14) who received the teaching guided by the iPad app and 44% (n = 11) who received usual care. Parent and child characteristics are presented in </w:t>
      </w:r>
      <w:r w:rsidRPr="00933605">
        <w:t>Table 1</w:t>
      </w:r>
      <w:r>
        <w:t>. Parents in both groups were primarily female, predominantly of white race and non-Latinx ethnicity, and half were married. Compared to the usual care group (parent/caregiver mean age 36 years, </w:t>
      </w:r>
      <w:r w:rsidRPr="4623802F">
        <w:rPr>
          <w:i/>
          <w:iCs/>
        </w:rPr>
        <w:t>SD</w:t>
      </w:r>
      <w:r>
        <w:t> 8.8 years), the </w:t>
      </w:r>
      <w:proofErr w:type="spellStart"/>
      <w:r w:rsidRPr="4623802F">
        <w:rPr>
          <w:i/>
          <w:iCs/>
        </w:rPr>
        <w:t>e</w:t>
      </w:r>
      <w:r>
        <w:t>PED</w:t>
      </w:r>
      <w:proofErr w:type="spellEnd"/>
      <w:r>
        <w:t xml:space="preserve"> group were younger (parent/caregiver mean age 32.5 years, </w:t>
      </w:r>
      <w:r w:rsidRPr="4623802F">
        <w:rPr>
          <w:i/>
          <w:iCs/>
        </w:rPr>
        <w:t>SD</w:t>
      </w:r>
      <w:r>
        <w:t xml:space="preserve"> 12.5 years), included fewer white and more </w:t>
      </w:r>
      <w:proofErr w:type="gramStart"/>
      <w:r>
        <w:t>African-American</w:t>
      </w:r>
      <w:proofErr w:type="gramEnd"/>
      <w:r>
        <w:t xml:space="preserve"> parents, were more likely to work full-time and have Medicaid insurance. In addition, their children were younger (mean age 6.8 years, </w:t>
      </w:r>
      <w:r w:rsidRPr="4623802F">
        <w:rPr>
          <w:i/>
          <w:iCs/>
        </w:rPr>
        <w:t>SD</w:t>
      </w:r>
      <w:r>
        <w:t> 5.1) had more Autism diagnoses and language disorder diagnoses compared to usual care children (mean age 8.3 years, </w:t>
      </w:r>
      <w:r w:rsidRPr="4623802F">
        <w:rPr>
          <w:i/>
          <w:iCs/>
        </w:rPr>
        <w:t>SD</w:t>
      </w:r>
      <w:r>
        <w:t xml:space="preserve"> 4.7 </w:t>
      </w:r>
      <w:proofErr w:type="gramStart"/>
      <w:r>
        <w:t>years )</w:t>
      </w:r>
      <w:proofErr w:type="gramEnd"/>
      <w:r>
        <w:t xml:space="preserve"> who had more anxiety and eating disorders, and took more medications.</w:t>
      </w:r>
    </w:p>
    <w:p w14:paraId="506BA198" w14:textId="5ED1ACC8" w:rsidR="00C0784A" w:rsidRPr="00C0784A" w:rsidRDefault="005463AB" w:rsidP="00D053AF">
      <w:pPr>
        <w:spacing w:after="0"/>
      </w:pPr>
      <w:r w:rsidRPr="005463AB">
        <w:rPr>
          <w:b/>
          <w:bCs/>
        </w:rPr>
        <w:t>Table 1.</w:t>
      </w:r>
      <w:r w:rsidRPr="005463AB">
        <w:t> Sample Characteristics of Children with Behaviors of Frustration and Their Parent/Caregiver (n = 25).</w:t>
      </w:r>
    </w:p>
    <w:tbl>
      <w:tblPr>
        <w:tblStyle w:val="TableGrid"/>
        <w:tblW w:w="0" w:type="auto"/>
        <w:tblLook w:val="0020" w:firstRow="1" w:lastRow="0" w:firstColumn="0" w:lastColumn="0" w:noHBand="0" w:noVBand="0"/>
      </w:tblPr>
      <w:tblGrid>
        <w:gridCol w:w="2970"/>
        <w:gridCol w:w="3437"/>
        <w:gridCol w:w="2437"/>
      </w:tblGrid>
      <w:tr w:rsidR="00C0784A" w:rsidRPr="00C0784A" w14:paraId="2D7868D9" w14:textId="77777777" w:rsidTr="00D053AF">
        <w:trPr>
          <w:trHeight w:val="492"/>
        </w:trPr>
        <w:tc>
          <w:tcPr>
            <w:tcW w:w="0" w:type="auto"/>
          </w:tcPr>
          <w:p w14:paraId="4C232387" w14:textId="77777777" w:rsidR="00C0784A" w:rsidRPr="00C0784A" w:rsidRDefault="00C0784A" w:rsidP="00C0784A">
            <w:pPr>
              <w:spacing w:line="259" w:lineRule="auto"/>
            </w:pPr>
          </w:p>
        </w:tc>
        <w:tc>
          <w:tcPr>
            <w:tcW w:w="0" w:type="auto"/>
          </w:tcPr>
          <w:p w14:paraId="7B16CDAD" w14:textId="77777777" w:rsidR="00C0784A" w:rsidRPr="00C0784A" w:rsidRDefault="00C0784A" w:rsidP="00C0784A">
            <w:pPr>
              <w:spacing w:line="259" w:lineRule="auto"/>
            </w:pPr>
            <w:proofErr w:type="spellStart"/>
            <w:r w:rsidRPr="00C0784A">
              <w:t>ePED</w:t>
            </w:r>
            <w:proofErr w:type="spellEnd"/>
            <w:r w:rsidRPr="00C0784A">
              <w:t xml:space="preserve"> Implementation (n = 14) N (%)</w:t>
            </w:r>
          </w:p>
        </w:tc>
        <w:tc>
          <w:tcPr>
            <w:tcW w:w="0" w:type="auto"/>
          </w:tcPr>
          <w:p w14:paraId="34DD6BAC" w14:textId="77777777" w:rsidR="00C0784A" w:rsidRPr="00C0784A" w:rsidRDefault="00C0784A" w:rsidP="00C0784A">
            <w:pPr>
              <w:spacing w:line="259" w:lineRule="auto"/>
            </w:pPr>
            <w:r w:rsidRPr="00C0784A">
              <w:t>Usual Care (n = 11) N (%)</w:t>
            </w:r>
          </w:p>
        </w:tc>
      </w:tr>
      <w:tr w:rsidR="00C0784A" w:rsidRPr="00C0784A" w14:paraId="525523A1" w14:textId="77777777" w:rsidTr="00D053AF">
        <w:trPr>
          <w:trHeight w:val="277"/>
        </w:trPr>
        <w:tc>
          <w:tcPr>
            <w:tcW w:w="0" w:type="auto"/>
          </w:tcPr>
          <w:p w14:paraId="7F5B0B9E" w14:textId="77777777" w:rsidR="00C0784A" w:rsidRPr="00C0784A" w:rsidRDefault="00C0784A" w:rsidP="00C0784A">
            <w:pPr>
              <w:spacing w:line="259" w:lineRule="auto"/>
            </w:pPr>
            <w:r w:rsidRPr="00C0784A">
              <w:t>Parenting/caregiver sex:</w:t>
            </w:r>
          </w:p>
        </w:tc>
        <w:tc>
          <w:tcPr>
            <w:tcW w:w="0" w:type="auto"/>
          </w:tcPr>
          <w:p w14:paraId="62D9B4D7" w14:textId="77777777" w:rsidR="00C0784A" w:rsidRPr="00C0784A" w:rsidRDefault="00C0784A" w:rsidP="00C0784A">
            <w:pPr>
              <w:spacing w:line="259" w:lineRule="auto"/>
            </w:pPr>
          </w:p>
        </w:tc>
        <w:tc>
          <w:tcPr>
            <w:tcW w:w="0" w:type="auto"/>
          </w:tcPr>
          <w:p w14:paraId="54FB9377" w14:textId="77777777" w:rsidR="00C0784A" w:rsidRPr="00C0784A" w:rsidRDefault="00C0784A" w:rsidP="00C0784A">
            <w:pPr>
              <w:spacing w:line="259" w:lineRule="auto"/>
            </w:pPr>
          </w:p>
        </w:tc>
      </w:tr>
      <w:tr w:rsidR="00C0784A" w:rsidRPr="00C0784A" w14:paraId="3EA4D72F" w14:textId="77777777" w:rsidTr="00D053AF">
        <w:trPr>
          <w:trHeight w:val="230"/>
        </w:trPr>
        <w:tc>
          <w:tcPr>
            <w:tcW w:w="0" w:type="auto"/>
          </w:tcPr>
          <w:p w14:paraId="2744CACE" w14:textId="77777777" w:rsidR="00C0784A" w:rsidRPr="00C0784A" w:rsidRDefault="00C0784A" w:rsidP="00C0784A">
            <w:pPr>
              <w:spacing w:line="259" w:lineRule="auto"/>
              <w:ind w:left="154"/>
            </w:pPr>
            <w:r w:rsidRPr="00C0784A">
              <w:t>Female</w:t>
            </w:r>
          </w:p>
        </w:tc>
        <w:tc>
          <w:tcPr>
            <w:tcW w:w="0" w:type="auto"/>
          </w:tcPr>
          <w:p w14:paraId="15250938" w14:textId="77777777" w:rsidR="00C0784A" w:rsidRPr="00C0784A" w:rsidRDefault="00C0784A" w:rsidP="00C0784A">
            <w:pPr>
              <w:spacing w:line="259" w:lineRule="auto"/>
            </w:pPr>
            <w:r w:rsidRPr="00C0784A">
              <w:t>10 (71.4)</w:t>
            </w:r>
          </w:p>
        </w:tc>
        <w:tc>
          <w:tcPr>
            <w:tcW w:w="0" w:type="auto"/>
          </w:tcPr>
          <w:p w14:paraId="48DF6EA7" w14:textId="77777777" w:rsidR="00C0784A" w:rsidRPr="00C0784A" w:rsidRDefault="00C0784A" w:rsidP="00C0784A">
            <w:pPr>
              <w:spacing w:line="259" w:lineRule="auto"/>
            </w:pPr>
            <w:r w:rsidRPr="00C0784A">
              <w:t>9 (81.8)</w:t>
            </w:r>
          </w:p>
        </w:tc>
      </w:tr>
      <w:tr w:rsidR="00C0784A" w:rsidRPr="00C0784A" w14:paraId="141D4F28" w14:textId="77777777" w:rsidTr="00D053AF">
        <w:trPr>
          <w:trHeight w:val="219"/>
        </w:trPr>
        <w:tc>
          <w:tcPr>
            <w:tcW w:w="0" w:type="auto"/>
          </w:tcPr>
          <w:p w14:paraId="54DFE9BC" w14:textId="77777777" w:rsidR="00C0784A" w:rsidRPr="00C0784A" w:rsidRDefault="00C0784A" w:rsidP="00C0784A">
            <w:pPr>
              <w:spacing w:line="259" w:lineRule="auto"/>
              <w:ind w:left="154"/>
            </w:pPr>
            <w:r w:rsidRPr="00C0784A">
              <w:t>Male</w:t>
            </w:r>
          </w:p>
        </w:tc>
        <w:tc>
          <w:tcPr>
            <w:tcW w:w="0" w:type="auto"/>
          </w:tcPr>
          <w:p w14:paraId="2D16ABF6" w14:textId="77777777" w:rsidR="00C0784A" w:rsidRPr="00C0784A" w:rsidRDefault="00C0784A" w:rsidP="00C0784A">
            <w:pPr>
              <w:spacing w:line="259" w:lineRule="auto"/>
            </w:pPr>
            <w:r w:rsidRPr="00C0784A">
              <w:t>4 (28.6)</w:t>
            </w:r>
          </w:p>
        </w:tc>
        <w:tc>
          <w:tcPr>
            <w:tcW w:w="0" w:type="auto"/>
          </w:tcPr>
          <w:p w14:paraId="59CFCDF6" w14:textId="77777777" w:rsidR="00C0784A" w:rsidRPr="00C0784A" w:rsidRDefault="00C0784A" w:rsidP="00C0784A">
            <w:pPr>
              <w:spacing w:line="259" w:lineRule="auto"/>
            </w:pPr>
            <w:r w:rsidRPr="00C0784A">
              <w:t>2 (18.2)</w:t>
            </w:r>
          </w:p>
        </w:tc>
      </w:tr>
      <w:tr w:rsidR="00C0784A" w:rsidRPr="00C0784A" w14:paraId="1529705E" w14:textId="77777777" w:rsidTr="00D053AF">
        <w:trPr>
          <w:trHeight w:val="230"/>
        </w:trPr>
        <w:tc>
          <w:tcPr>
            <w:tcW w:w="0" w:type="auto"/>
          </w:tcPr>
          <w:p w14:paraId="43725D84" w14:textId="77777777" w:rsidR="00C0784A" w:rsidRPr="00C0784A" w:rsidRDefault="00C0784A" w:rsidP="00C0784A">
            <w:pPr>
              <w:spacing w:line="259" w:lineRule="auto"/>
            </w:pPr>
            <w:r w:rsidRPr="00C0784A">
              <w:t>Parenting/caregiver role:</w:t>
            </w:r>
          </w:p>
        </w:tc>
        <w:tc>
          <w:tcPr>
            <w:tcW w:w="0" w:type="auto"/>
          </w:tcPr>
          <w:p w14:paraId="157A5C55" w14:textId="77777777" w:rsidR="00C0784A" w:rsidRPr="00C0784A" w:rsidRDefault="00C0784A" w:rsidP="00C0784A">
            <w:pPr>
              <w:spacing w:line="259" w:lineRule="auto"/>
            </w:pPr>
          </w:p>
        </w:tc>
        <w:tc>
          <w:tcPr>
            <w:tcW w:w="0" w:type="auto"/>
          </w:tcPr>
          <w:p w14:paraId="1234F862" w14:textId="77777777" w:rsidR="00C0784A" w:rsidRPr="00C0784A" w:rsidRDefault="00C0784A" w:rsidP="00C0784A">
            <w:pPr>
              <w:spacing w:line="259" w:lineRule="auto"/>
            </w:pPr>
          </w:p>
        </w:tc>
      </w:tr>
      <w:tr w:rsidR="00C0784A" w:rsidRPr="00C0784A" w14:paraId="30644801" w14:textId="77777777" w:rsidTr="00D053AF">
        <w:trPr>
          <w:trHeight w:val="240"/>
        </w:trPr>
        <w:tc>
          <w:tcPr>
            <w:tcW w:w="0" w:type="auto"/>
          </w:tcPr>
          <w:p w14:paraId="71C8726E" w14:textId="77777777" w:rsidR="00C0784A" w:rsidRPr="00C0784A" w:rsidRDefault="00C0784A" w:rsidP="00C0784A">
            <w:pPr>
              <w:spacing w:line="259" w:lineRule="auto"/>
              <w:ind w:left="154"/>
            </w:pPr>
            <w:r w:rsidRPr="00C0784A">
              <w:t>Mother</w:t>
            </w:r>
          </w:p>
        </w:tc>
        <w:tc>
          <w:tcPr>
            <w:tcW w:w="0" w:type="auto"/>
          </w:tcPr>
          <w:p w14:paraId="31DACD37" w14:textId="77777777" w:rsidR="00C0784A" w:rsidRPr="00C0784A" w:rsidRDefault="00C0784A" w:rsidP="00C0784A">
            <w:pPr>
              <w:spacing w:line="259" w:lineRule="auto"/>
            </w:pPr>
            <w:r w:rsidRPr="00C0784A">
              <w:t>10(71.4)</w:t>
            </w:r>
          </w:p>
        </w:tc>
        <w:tc>
          <w:tcPr>
            <w:tcW w:w="0" w:type="auto"/>
          </w:tcPr>
          <w:p w14:paraId="31FF7625" w14:textId="77777777" w:rsidR="00C0784A" w:rsidRPr="00C0784A" w:rsidRDefault="00C0784A" w:rsidP="00C0784A">
            <w:pPr>
              <w:spacing w:line="259" w:lineRule="auto"/>
            </w:pPr>
            <w:r w:rsidRPr="00C0784A">
              <w:t>8 (72.7)</w:t>
            </w:r>
          </w:p>
        </w:tc>
      </w:tr>
      <w:tr w:rsidR="00C0784A" w:rsidRPr="00C0784A" w14:paraId="67D634B9" w14:textId="77777777" w:rsidTr="00D053AF">
        <w:trPr>
          <w:trHeight w:val="230"/>
        </w:trPr>
        <w:tc>
          <w:tcPr>
            <w:tcW w:w="0" w:type="auto"/>
          </w:tcPr>
          <w:p w14:paraId="122B0AAF" w14:textId="77777777" w:rsidR="00C0784A" w:rsidRPr="00C0784A" w:rsidRDefault="00C0784A" w:rsidP="00C0784A">
            <w:pPr>
              <w:spacing w:line="259" w:lineRule="auto"/>
              <w:ind w:left="154"/>
            </w:pPr>
            <w:r w:rsidRPr="00C0784A">
              <w:t>Father</w:t>
            </w:r>
          </w:p>
        </w:tc>
        <w:tc>
          <w:tcPr>
            <w:tcW w:w="0" w:type="auto"/>
          </w:tcPr>
          <w:p w14:paraId="18459785" w14:textId="77777777" w:rsidR="00C0784A" w:rsidRPr="00C0784A" w:rsidRDefault="00C0784A" w:rsidP="00C0784A">
            <w:pPr>
              <w:spacing w:line="259" w:lineRule="auto"/>
            </w:pPr>
            <w:r w:rsidRPr="00C0784A">
              <w:t>3 (21.4)</w:t>
            </w:r>
          </w:p>
        </w:tc>
        <w:tc>
          <w:tcPr>
            <w:tcW w:w="0" w:type="auto"/>
          </w:tcPr>
          <w:p w14:paraId="40D288C8" w14:textId="77777777" w:rsidR="00C0784A" w:rsidRPr="00C0784A" w:rsidRDefault="00C0784A" w:rsidP="00C0784A">
            <w:pPr>
              <w:spacing w:line="259" w:lineRule="auto"/>
            </w:pPr>
            <w:r w:rsidRPr="00C0784A">
              <w:t>2 (18.2)</w:t>
            </w:r>
          </w:p>
        </w:tc>
      </w:tr>
      <w:tr w:rsidR="00C0784A" w:rsidRPr="00C0784A" w14:paraId="10C2620C" w14:textId="77777777" w:rsidTr="00D053AF">
        <w:trPr>
          <w:trHeight w:val="230"/>
        </w:trPr>
        <w:tc>
          <w:tcPr>
            <w:tcW w:w="0" w:type="auto"/>
          </w:tcPr>
          <w:p w14:paraId="1FB195C5" w14:textId="77777777" w:rsidR="00C0784A" w:rsidRPr="00C0784A" w:rsidRDefault="00C0784A" w:rsidP="00C0784A">
            <w:pPr>
              <w:spacing w:line="259" w:lineRule="auto"/>
              <w:ind w:left="154"/>
            </w:pPr>
            <w:r w:rsidRPr="00C0784A">
              <w:t>Grandmother</w:t>
            </w:r>
          </w:p>
        </w:tc>
        <w:tc>
          <w:tcPr>
            <w:tcW w:w="0" w:type="auto"/>
          </w:tcPr>
          <w:p w14:paraId="7ACB6401" w14:textId="77777777" w:rsidR="00C0784A" w:rsidRPr="00C0784A" w:rsidRDefault="00C0784A" w:rsidP="00C0784A">
            <w:pPr>
              <w:spacing w:line="259" w:lineRule="auto"/>
            </w:pPr>
            <w:r w:rsidRPr="00C0784A">
              <w:t>0 (0)</w:t>
            </w:r>
          </w:p>
        </w:tc>
        <w:tc>
          <w:tcPr>
            <w:tcW w:w="0" w:type="auto"/>
          </w:tcPr>
          <w:p w14:paraId="67C87877" w14:textId="77777777" w:rsidR="00C0784A" w:rsidRPr="00C0784A" w:rsidRDefault="00C0784A" w:rsidP="00C0784A">
            <w:pPr>
              <w:spacing w:line="259" w:lineRule="auto"/>
            </w:pPr>
            <w:r w:rsidRPr="00C0784A">
              <w:t>1 (9.1)</w:t>
            </w:r>
          </w:p>
        </w:tc>
      </w:tr>
      <w:tr w:rsidR="00C0784A" w:rsidRPr="00C0784A" w14:paraId="66F76F3B" w14:textId="77777777" w:rsidTr="00D053AF">
        <w:trPr>
          <w:trHeight w:val="230"/>
        </w:trPr>
        <w:tc>
          <w:tcPr>
            <w:tcW w:w="0" w:type="auto"/>
          </w:tcPr>
          <w:p w14:paraId="0C3820A8" w14:textId="77777777" w:rsidR="00C0784A" w:rsidRPr="00C0784A" w:rsidRDefault="00C0784A" w:rsidP="00C0784A">
            <w:pPr>
              <w:spacing w:line="259" w:lineRule="auto"/>
              <w:ind w:left="154"/>
            </w:pPr>
            <w:r w:rsidRPr="00C0784A">
              <w:t>Grandfather</w:t>
            </w:r>
          </w:p>
        </w:tc>
        <w:tc>
          <w:tcPr>
            <w:tcW w:w="0" w:type="auto"/>
          </w:tcPr>
          <w:p w14:paraId="60498CA5" w14:textId="77777777" w:rsidR="00C0784A" w:rsidRPr="00C0784A" w:rsidRDefault="00C0784A" w:rsidP="00C0784A">
            <w:pPr>
              <w:spacing w:line="259" w:lineRule="auto"/>
            </w:pPr>
            <w:r w:rsidRPr="00C0784A">
              <w:t>1 (7.1)</w:t>
            </w:r>
          </w:p>
        </w:tc>
        <w:tc>
          <w:tcPr>
            <w:tcW w:w="0" w:type="auto"/>
          </w:tcPr>
          <w:p w14:paraId="00A577F4" w14:textId="77777777" w:rsidR="00C0784A" w:rsidRPr="00C0784A" w:rsidRDefault="00C0784A" w:rsidP="00C0784A">
            <w:pPr>
              <w:spacing w:line="259" w:lineRule="auto"/>
            </w:pPr>
            <w:r w:rsidRPr="00C0784A">
              <w:t>0 (0)</w:t>
            </w:r>
          </w:p>
        </w:tc>
      </w:tr>
      <w:tr w:rsidR="00C0784A" w:rsidRPr="00C0784A" w14:paraId="722B173C" w14:textId="77777777" w:rsidTr="00D053AF">
        <w:trPr>
          <w:trHeight w:val="230"/>
        </w:trPr>
        <w:tc>
          <w:tcPr>
            <w:tcW w:w="0" w:type="auto"/>
          </w:tcPr>
          <w:p w14:paraId="3D730EFD" w14:textId="77777777" w:rsidR="00C0784A" w:rsidRPr="00C0784A" w:rsidRDefault="00C0784A" w:rsidP="00C0784A">
            <w:pPr>
              <w:spacing w:line="259" w:lineRule="auto"/>
            </w:pPr>
            <w:r w:rsidRPr="00C0784A">
              <w:t>Parent ethnicity:</w:t>
            </w:r>
          </w:p>
        </w:tc>
        <w:tc>
          <w:tcPr>
            <w:tcW w:w="0" w:type="auto"/>
          </w:tcPr>
          <w:p w14:paraId="0212DC13" w14:textId="77777777" w:rsidR="00C0784A" w:rsidRPr="00C0784A" w:rsidRDefault="00C0784A" w:rsidP="00C0784A">
            <w:pPr>
              <w:spacing w:line="259" w:lineRule="auto"/>
            </w:pPr>
          </w:p>
        </w:tc>
        <w:tc>
          <w:tcPr>
            <w:tcW w:w="0" w:type="auto"/>
          </w:tcPr>
          <w:p w14:paraId="2891886A" w14:textId="77777777" w:rsidR="00C0784A" w:rsidRPr="00C0784A" w:rsidRDefault="00C0784A" w:rsidP="00C0784A">
            <w:pPr>
              <w:spacing w:line="259" w:lineRule="auto"/>
            </w:pPr>
          </w:p>
        </w:tc>
      </w:tr>
      <w:tr w:rsidR="00C0784A" w:rsidRPr="00C0784A" w14:paraId="09ED72B0" w14:textId="77777777" w:rsidTr="00D053AF">
        <w:trPr>
          <w:trHeight w:val="230"/>
        </w:trPr>
        <w:tc>
          <w:tcPr>
            <w:tcW w:w="0" w:type="auto"/>
          </w:tcPr>
          <w:p w14:paraId="7A2749A3" w14:textId="77777777" w:rsidR="00C0784A" w:rsidRPr="00C0784A" w:rsidRDefault="00C0784A" w:rsidP="00C0784A">
            <w:pPr>
              <w:spacing w:line="259" w:lineRule="auto"/>
              <w:ind w:left="154"/>
            </w:pPr>
            <w:r w:rsidRPr="00C0784A">
              <w:t>Hispanic/Latinx</w:t>
            </w:r>
          </w:p>
        </w:tc>
        <w:tc>
          <w:tcPr>
            <w:tcW w:w="0" w:type="auto"/>
          </w:tcPr>
          <w:p w14:paraId="5040E155" w14:textId="77777777" w:rsidR="00C0784A" w:rsidRPr="00C0784A" w:rsidRDefault="00C0784A" w:rsidP="00C0784A">
            <w:pPr>
              <w:spacing w:line="259" w:lineRule="auto"/>
            </w:pPr>
            <w:r w:rsidRPr="00C0784A">
              <w:t>2 (14.3)</w:t>
            </w:r>
          </w:p>
        </w:tc>
        <w:tc>
          <w:tcPr>
            <w:tcW w:w="0" w:type="auto"/>
          </w:tcPr>
          <w:p w14:paraId="6411621A" w14:textId="77777777" w:rsidR="00C0784A" w:rsidRPr="00C0784A" w:rsidRDefault="00C0784A" w:rsidP="00C0784A">
            <w:pPr>
              <w:spacing w:line="259" w:lineRule="auto"/>
            </w:pPr>
            <w:r w:rsidRPr="00C0784A">
              <w:t>1 (9.1)</w:t>
            </w:r>
          </w:p>
        </w:tc>
      </w:tr>
      <w:tr w:rsidR="00C0784A" w:rsidRPr="00C0784A" w14:paraId="26A3C476" w14:textId="77777777" w:rsidTr="00D053AF">
        <w:trPr>
          <w:trHeight w:val="230"/>
        </w:trPr>
        <w:tc>
          <w:tcPr>
            <w:tcW w:w="0" w:type="auto"/>
          </w:tcPr>
          <w:p w14:paraId="75558B59" w14:textId="77777777" w:rsidR="00C0784A" w:rsidRPr="00C0784A" w:rsidRDefault="00C0784A" w:rsidP="00C0784A">
            <w:pPr>
              <w:spacing w:line="259" w:lineRule="auto"/>
              <w:ind w:left="154"/>
            </w:pPr>
            <w:r w:rsidRPr="00C0784A">
              <w:t>Non-Hispanic/Latinx</w:t>
            </w:r>
          </w:p>
        </w:tc>
        <w:tc>
          <w:tcPr>
            <w:tcW w:w="0" w:type="auto"/>
          </w:tcPr>
          <w:p w14:paraId="6DCFC51F" w14:textId="77777777" w:rsidR="00C0784A" w:rsidRPr="00C0784A" w:rsidRDefault="00C0784A" w:rsidP="00C0784A">
            <w:pPr>
              <w:spacing w:line="259" w:lineRule="auto"/>
            </w:pPr>
            <w:r w:rsidRPr="00C0784A">
              <w:t>12 (85.7)</w:t>
            </w:r>
          </w:p>
        </w:tc>
        <w:tc>
          <w:tcPr>
            <w:tcW w:w="0" w:type="auto"/>
          </w:tcPr>
          <w:p w14:paraId="56CA36C3" w14:textId="77777777" w:rsidR="00C0784A" w:rsidRPr="00C0784A" w:rsidRDefault="00C0784A" w:rsidP="00C0784A">
            <w:pPr>
              <w:spacing w:line="259" w:lineRule="auto"/>
            </w:pPr>
            <w:r w:rsidRPr="00C0784A">
              <w:t>10 (90.9)</w:t>
            </w:r>
          </w:p>
        </w:tc>
      </w:tr>
      <w:tr w:rsidR="00C0784A" w:rsidRPr="00C0784A" w14:paraId="1AAE881E" w14:textId="77777777" w:rsidTr="00D053AF">
        <w:trPr>
          <w:trHeight w:val="230"/>
        </w:trPr>
        <w:tc>
          <w:tcPr>
            <w:tcW w:w="0" w:type="auto"/>
          </w:tcPr>
          <w:p w14:paraId="73B4B2BD" w14:textId="77777777" w:rsidR="00C0784A" w:rsidRPr="00C0784A" w:rsidRDefault="00C0784A" w:rsidP="00C0784A">
            <w:pPr>
              <w:spacing w:line="259" w:lineRule="auto"/>
            </w:pPr>
            <w:r w:rsidRPr="00C0784A">
              <w:t>Parent race:</w:t>
            </w:r>
          </w:p>
        </w:tc>
        <w:tc>
          <w:tcPr>
            <w:tcW w:w="0" w:type="auto"/>
          </w:tcPr>
          <w:p w14:paraId="7639EEA0" w14:textId="77777777" w:rsidR="00C0784A" w:rsidRPr="00C0784A" w:rsidRDefault="00C0784A" w:rsidP="00C0784A">
            <w:pPr>
              <w:spacing w:line="259" w:lineRule="auto"/>
            </w:pPr>
          </w:p>
        </w:tc>
        <w:tc>
          <w:tcPr>
            <w:tcW w:w="0" w:type="auto"/>
          </w:tcPr>
          <w:p w14:paraId="2784549B" w14:textId="77777777" w:rsidR="00C0784A" w:rsidRPr="00C0784A" w:rsidRDefault="00C0784A" w:rsidP="00C0784A">
            <w:pPr>
              <w:spacing w:line="259" w:lineRule="auto"/>
            </w:pPr>
          </w:p>
        </w:tc>
      </w:tr>
      <w:tr w:rsidR="00C0784A" w:rsidRPr="00C0784A" w14:paraId="4561C6C2" w14:textId="77777777" w:rsidTr="00D053AF">
        <w:trPr>
          <w:trHeight w:val="230"/>
        </w:trPr>
        <w:tc>
          <w:tcPr>
            <w:tcW w:w="0" w:type="auto"/>
          </w:tcPr>
          <w:p w14:paraId="34A89727" w14:textId="77777777" w:rsidR="00C0784A" w:rsidRPr="00C0784A" w:rsidRDefault="00C0784A" w:rsidP="00C0784A">
            <w:pPr>
              <w:spacing w:line="259" w:lineRule="auto"/>
              <w:ind w:left="154"/>
            </w:pPr>
            <w:r w:rsidRPr="00C0784A">
              <w:t>White</w:t>
            </w:r>
          </w:p>
        </w:tc>
        <w:tc>
          <w:tcPr>
            <w:tcW w:w="0" w:type="auto"/>
          </w:tcPr>
          <w:p w14:paraId="42BB8C1C" w14:textId="77777777" w:rsidR="00C0784A" w:rsidRPr="00C0784A" w:rsidRDefault="00C0784A" w:rsidP="00C0784A">
            <w:pPr>
              <w:spacing w:line="259" w:lineRule="auto"/>
            </w:pPr>
            <w:r w:rsidRPr="00C0784A">
              <w:t>8(57.1)</w:t>
            </w:r>
          </w:p>
        </w:tc>
        <w:tc>
          <w:tcPr>
            <w:tcW w:w="0" w:type="auto"/>
          </w:tcPr>
          <w:p w14:paraId="2FFAD8F4" w14:textId="77777777" w:rsidR="00C0784A" w:rsidRPr="00C0784A" w:rsidRDefault="00C0784A" w:rsidP="00C0784A">
            <w:pPr>
              <w:spacing w:line="259" w:lineRule="auto"/>
            </w:pPr>
            <w:r w:rsidRPr="00C0784A">
              <w:t>7 (70)</w:t>
            </w:r>
          </w:p>
        </w:tc>
      </w:tr>
      <w:tr w:rsidR="00C0784A" w:rsidRPr="00C0784A" w14:paraId="27C66B97" w14:textId="77777777" w:rsidTr="00D053AF">
        <w:trPr>
          <w:trHeight w:val="230"/>
        </w:trPr>
        <w:tc>
          <w:tcPr>
            <w:tcW w:w="0" w:type="auto"/>
          </w:tcPr>
          <w:p w14:paraId="5312CA35" w14:textId="77777777" w:rsidR="00C0784A" w:rsidRPr="00C0784A" w:rsidRDefault="00C0784A" w:rsidP="00C0784A">
            <w:pPr>
              <w:spacing w:line="259" w:lineRule="auto"/>
              <w:ind w:left="154"/>
            </w:pPr>
            <w:r w:rsidRPr="00C0784A">
              <w:t>Black</w:t>
            </w:r>
          </w:p>
        </w:tc>
        <w:tc>
          <w:tcPr>
            <w:tcW w:w="0" w:type="auto"/>
          </w:tcPr>
          <w:p w14:paraId="12E422E8" w14:textId="77777777" w:rsidR="00C0784A" w:rsidRPr="00C0784A" w:rsidRDefault="00C0784A" w:rsidP="00C0784A">
            <w:pPr>
              <w:spacing w:line="259" w:lineRule="auto"/>
            </w:pPr>
            <w:r w:rsidRPr="00C0784A">
              <w:t>4 (28.6)</w:t>
            </w:r>
          </w:p>
        </w:tc>
        <w:tc>
          <w:tcPr>
            <w:tcW w:w="0" w:type="auto"/>
          </w:tcPr>
          <w:p w14:paraId="551BD4FA" w14:textId="77777777" w:rsidR="00C0784A" w:rsidRPr="00C0784A" w:rsidRDefault="00C0784A" w:rsidP="00C0784A">
            <w:pPr>
              <w:spacing w:line="259" w:lineRule="auto"/>
            </w:pPr>
            <w:r w:rsidRPr="00C0784A">
              <w:t>2 (20)</w:t>
            </w:r>
          </w:p>
        </w:tc>
      </w:tr>
      <w:tr w:rsidR="00C0784A" w:rsidRPr="00C0784A" w14:paraId="1330F197" w14:textId="77777777" w:rsidTr="00D053AF">
        <w:trPr>
          <w:trHeight w:val="230"/>
        </w:trPr>
        <w:tc>
          <w:tcPr>
            <w:tcW w:w="0" w:type="auto"/>
          </w:tcPr>
          <w:p w14:paraId="021A417F" w14:textId="77777777" w:rsidR="00C0784A" w:rsidRPr="00C0784A" w:rsidRDefault="00C0784A" w:rsidP="00C0784A">
            <w:pPr>
              <w:spacing w:line="259" w:lineRule="auto"/>
              <w:ind w:left="154"/>
            </w:pPr>
            <w:r w:rsidRPr="00C0784A">
              <w:t>Asian</w:t>
            </w:r>
          </w:p>
        </w:tc>
        <w:tc>
          <w:tcPr>
            <w:tcW w:w="0" w:type="auto"/>
          </w:tcPr>
          <w:p w14:paraId="444F5D1C" w14:textId="77777777" w:rsidR="00C0784A" w:rsidRPr="00C0784A" w:rsidRDefault="00C0784A" w:rsidP="00C0784A">
            <w:pPr>
              <w:spacing w:line="259" w:lineRule="auto"/>
            </w:pPr>
            <w:r w:rsidRPr="00C0784A">
              <w:t>1 (7.1)</w:t>
            </w:r>
          </w:p>
        </w:tc>
        <w:tc>
          <w:tcPr>
            <w:tcW w:w="0" w:type="auto"/>
          </w:tcPr>
          <w:p w14:paraId="33B3C8F3" w14:textId="77777777" w:rsidR="00C0784A" w:rsidRPr="00C0784A" w:rsidRDefault="00C0784A" w:rsidP="00C0784A">
            <w:pPr>
              <w:spacing w:line="259" w:lineRule="auto"/>
            </w:pPr>
            <w:r w:rsidRPr="00C0784A">
              <w:t>0 (0)</w:t>
            </w:r>
          </w:p>
        </w:tc>
      </w:tr>
      <w:tr w:rsidR="00C0784A" w:rsidRPr="00C0784A" w14:paraId="40E28F21" w14:textId="77777777" w:rsidTr="00D053AF">
        <w:trPr>
          <w:trHeight w:val="230"/>
        </w:trPr>
        <w:tc>
          <w:tcPr>
            <w:tcW w:w="0" w:type="auto"/>
          </w:tcPr>
          <w:p w14:paraId="57B0E321" w14:textId="77777777" w:rsidR="00C0784A" w:rsidRPr="00C0784A" w:rsidRDefault="00C0784A" w:rsidP="00C0784A">
            <w:pPr>
              <w:spacing w:line="259" w:lineRule="auto"/>
              <w:ind w:left="154"/>
            </w:pPr>
            <w:r w:rsidRPr="00C0784A">
              <w:t>Multiple</w:t>
            </w:r>
          </w:p>
        </w:tc>
        <w:tc>
          <w:tcPr>
            <w:tcW w:w="0" w:type="auto"/>
          </w:tcPr>
          <w:p w14:paraId="38064873" w14:textId="77777777" w:rsidR="00C0784A" w:rsidRPr="00C0784A" w:rsidRDefault="00C0784A" w:rsidP="00C0784A">
            <w:pPr>
              <w:spacing w:line="259" w:lineRule="auto"/>
            </w:pPr>
            <w:r w:rsidRPr="00C0784A">
              <w:t>1 (7.1)</w:t>
            </w:r>
          </w:p>
        </w:tc>
        <w:tc>
          <w:tcPr>
            <w:tcW w:w="0" w:type="auto"/>
          </w:tcPr>
          <w:p w14:paraId="641626FC" w14:textId="77777777" w:rsidR="00C0784A" w:rsidRPr="00C0784A" w:rsidRDefault="00C0784A" w:rsidP="00C0784A">
            <w:pPr>
              <w:spacing w:line="259" w:lineRule="auto"/>
            </w:pPr>
            <w:r w:rsidRPr="00C0784A">
              <w:t>1 (10)</w:t>
            </w:r>
          </w:p>
        </w:tc>
      </w:tr>
      <w:tr w:rsidR="00C0784A" w:rsidRPr="00C0784A" w14:paraId="71F41A9B" w14:textId="77777777" w:rsidTr="00D053AF">
        <w:trPr>
          <w:trHeight w:val="230"/>
        </w:trPr>
        <w:tc>
          <w:tcPr>
            <w:tcW w:w="0" w:type="auto"/>
          </w:tcPr>
          <w:p w14:paraId="4E99A8F3" w14:textId="77777777" w:rsidR="00C0784A" w:rsidRPr="00C0784A" w:rsidRDefault="00C0784A" w:rsidP="00C0784A">
            <w:pPr>
              <w:spacing w:line="259" w:lineRule="auto"/>
              <w:ind w:left="154"/>
            </w:pPr>
            <w:r w:rsidRPr="00C0784A">
              <w:t>Missing</w:t>
            </w:r>
          </w:p>
        </w:tc>
        <w:tc>
          <w:tcPr>
            <w:tcW w:w="0" w:type="auto"/>
          </w:tcPr>
          <w:p w14:paraId="77F34273" w14:textId="77777777" w:rsidR="00C0784A" w:rsidRPr="00C0784A" w:rsidRDefault="00C0784A" w:rsidP="00C0784A">
            <w:pPr>
              <w:spacing w:line="259" w:lineRule="auto"/>
            </w:pPr>
            <w:r w:rsidRPr="00C0784A">
              <w:t>0 (0)</w:t>
            </w:r>
          </w:p>
        </w:tc>
        <w:tc>
          <w:tcPr>
            <w:tcW w:w="0" w:type="auto"/>
          </w:tcPr>
          <w:p w14:paraId="4A491D41" w14:textId="77777777" w:rsidR="00C0784A" w:rsidRPr="00C0784A" w:rsidRDefault="00C0784A" w:rsidP="00C0784A">
            <w:pPr>
              <w:spacing w:line="259" w:lineRule="auto"/>
            </w:pPr>
            <w:r w:rsidRPr="00C0784A">
              <w:t>1 (10)</w:t>
            </w:r>
          </w:p>
        </w:tc>
      </w:tr>
      <w:tr w:rsidR="00C0784A" w:rsidRPr="00C0784A" w14:paraId="052FDAC6" w14:textId="77777777" w:rsidTr="00D053AF">
        <w:trPr>
          <w:trHeight w:val="230"/>
        </w:trPr>
        <w:tc>
          <w:tcPr>
            <w:tcW w:w="0" w:type="auto"/>
          </w:tcPr>
          <w:p w14:paraId="3CAD9DE7" w14:textId="77777777" w:rsidR="00C0784A" w:rsidRPr="00C0784A" w:rsidRDefault="00C0784A" w:rsidP="00C0784A">
            <w:pPr>
              <w:spacing w:line="259" w:lineRule="auto"/>
            </w:pPr>
            <w:r w:rsidRPr="00C0784A">
              <w:t>Marital status:</w:t>
            </w:r>
          </w:p>
        </w:tc>
        <w:tc>
          <w:tcPr>
            <w:tcW w:w="0" w:type="auto"/>
          </w:tcPr>
          <w:p w14:paraId="6B8F687A" w14:textId="77777777" w:rsidR="00C0784A" w:rsidRPr="00C0784A" w:rsidRDefault="00C0784A" w:rsidP="00C0784A">
            <w:pPr>
              <w:spacing w:line="259" w:lineRule="auto"/>
            </w:pPr>
          </w:p>
        </w:tc>
        <w:tc>
          <w:tcPr>
            <w:tcW w:w="0" w:type="auto"/>
          </w:tcPr>
          <w:p w14:paraId="77A80E0C" w14:textId="77777777" w:rsidR="00C0784A" w:rsidRPr="00C0784A" w:rsidRDefault="00C0784A" w:rsidP="00C0784A">
            <w:pPr>
              <w:spacing w:line="259" w:lineRule="auto"/>
            </w:pPr>
          </w:p>
        </w:tc>
      </w:tr>
      <w:tr w:rsidR="00C0784A" w:rsidRPr="00C0784A" w14:paraId="0C890817" w14:textId="77777777" w:rsidTr="00D053AF">
        <w:trPr>
          <w:trHeight w:val="230"/>
        </w:trPr>
        <w:tc>
          <w:tcPr>
            <w:tcW w:w="0" w:type="auto"/>
          </w:tcPr>
          <w:p w14:paraId="17E88D83" w14:textId="77777777" w:rsidR="00C0784A" w:rsidRPr="00C0784A" w:rsidRDefault="00C0784A" w:rsidP="00C0784A">
            <w:pPr>
              <w:spacing w:line="259" w:lineRule="auto"/>
              <w:ind w:left="154"/>
            </w:pPr>
            <w:r w:rsidRPr="00C0784A">
              <w:t>Married</w:t>
            </w:r>
          </w:p>
        </w:tc>
        <w:tc>
          <w:tcPr>
            <w:tcW w:w="0" w:type="auto"/>
          </w:tcPr>
          <w:p w14:paraId="4F899B2D" w14:textId="77777777" w:rsidR="00C0784A" w:rsidRPr="00C0784A" w:rsidRDefault="00C0784A" w:rsidP="00C0784A">
            <w:pPr>
              <w:spacing w:line="259" w:lineRule="auto"/>
            </w:pPr>
            <w:r w:rsidRPr="00C0784A">
              <w:t>7 (50)</w:t>
            </w:r>
          </w:p>
        </w:tc>
        <w:tc>
          <w:tcPr>
            <w:tcW w:w="0" w:type="auto"/>
          </w:tcPr>
          <w:p w14:paraId="6D12FD37" w14:textId="77777777" w:rsidR="00C0784A" w:rsidRPr="00C0784A" w:rsidRDefault="00C0784A" w:rsidP="00C0784A">
            <w:pPr>
              <w:spacing w:line="259" w:lineRule="auto"/>
            </w:pPr>
            <w:r w:rsidRPr="00C0784A">
              <w:t>7 (45.5)</w:t>
            </w:r>
          </w:p>
        </w:tc>
      </w:tr>
      <w:tr w:rsidR="00C0784A" w:rsidRPr="00C0784A" w14:paraId="31B42093" w14:textId="77777777" w:rsidTr="00D053AF">
        <w:trPr>
          <w:trHeight w:val="230"/>
        </w:trPr>
        <w:tc>
          <w:tcPr>
            <w:tcW w:w="0" w:type="auto"/>
          </w:tcPr>
          <w:p w14:paraId="00081D6C" w14:textId="77777777" w:rsidR="00C0784A" w:rsidRPr="00C0784A" w:rsidRDefault="00C0784A" w:rsidP="00C0784A">
            <w:pPr>
              <w:spacing w:line="259" w:lineRule="auto"/>
              <w:ind w:left="154"/>
            </w:pPr>
            <w:r w:rsidRPr="00C0784A">
              <w:t>Single</w:t>
            </w:r>
          </w:p>
        </w:tc>
        <w:tc>
          <w:tcPr>
            <w:tcW w:w="0" w:type="auto"/>
          </w:tcPr>
          <w:p w14:paraId="525D5B26" w14:textId="77777777" w:rsidR="00C0784A" w:rsidRPr="00C0784A" w:rsidRDefault="00C0784A" w:rsidP="00C0784A">
            <w:pPr>
              <w:spacing w:line="259" w:lineRule="auto"/>
            </w:pPr>
            <w:r w:rsidRPr="00C0784A">
              <w:t>5 (35.7)</w:t>
            </w:r>
          </w:p>
        </w:tc>
        <w:tc>
          <w:tcPr>
            <w:tcW w:w="0" w:type="auto"/>
          </w:tcPr>
          <w:p w14:paraId="627EB35F" w14:textId="77777777" w:rsidR="00C0784A" w:rsidRPr="00C0784A" w:rsidRDefault="00C0784A" w:rsidP="00C0784A">
            <w:pPr>
              <w:spacing w:line="259" w:lineRule="auto"/>
            </w:pPr>
            <w:r w:rsidRPr="00C0784A">
              <w:t>2 (18.2)</w:t>
            </w:r>
          </w:p>
        </w:tc>
      </w:tr>
      <w:tr w:rsidR="00C0784A" w:rsidRPr="00C0784A" w14:paraId="1173A80B" w14:textId="77777777" w:rsidTr="00D053AF">
        <w:trPr>
          <w:trHeight w:val="230"/>
        </w:trPr>
        <w:tc>
          <w:tcPr>
            <w:tcW w:w="0" w:type="auto"/>
          </w:tcPr>
          <w:p w14:paraId="665271CE" w14:textId="77777777" w:rsidR="00C0784A" w:rsidRPr="00C0784A" w:rsidRDefault="00C0784A" w:rsidP="00C0784A">
            <w:pPr>
              <w:spacing w:line="259" w:lineRule="auto"/>
              <w:ind w:left="154"/>
            </w:pPr>
            <w:r w:rsidRPr="00C0784A">
              <w:t>Divorced</w:t>
            </w:r>
          </w:p>
        </w:tc>
        <w:tc>
          <w:tcPr>
            <w:tcW w:w="0" w:type="auto"/>
          </w:tcPr>
          <w:p w14:paraId="03E4D3D7" w14:textId="77777777" w:rsidR="00C0784A" w:rsidRPr="00C0784A" w:rsidRDefault="00C0784A" w:rsidP="00C0784A">
            <w:pPr>
              <w:spacing w:line="259" w:lineRule="auto"/>
            </w:pPr>
            <w:r w:rsidRPr="00C0784A">
              <w:t>1 (7.1)</w:t>
            </w:r>
          </w:p>
        </w:tc>
        <w:tc>
          <w:tcPr>
            <w:tcW w:w="0" w:type="auto"/>
          </w:tcPr>
          <w:p w14:paraId="7C9F9713" w14:textId="77777777" w:rsidR="00C0784A" w:rsidRPr="00C0784A" w:rsidRDefault="00C0784A" w:rsidP="00C0784A">
            <w:pPr>
              <w:spacing w:line="259" w:lineRule="auto"/>
            </w:pPr>
            <w:r w:rsidRPr="00C0784A">
              <w:t>2 (18.2)</w:t>
            </w:r>
          </w:p>
        </w:tc>
      </w:tr>
      <w:tr w:rsidR="00C0784A" w:rsidRPr="00C0784A" w14:paraId="619263BD" w14:textId="77777777" w:rsidTr="00D053AF">
        <w:trPr>
          <w:trHeight w:val="230"/>
        </w:trPr>
        <w:tc>
          <w:tcPr>
            <w:tcW w:w="0" w:type="auto"/>
          </w:tcPr>
          <w:p w14:paraId="1D027674" w14:textId="77777777" w:rsidR="00C0784A" w:rsidRPr="00C0784A" w:rsidRDefault="00C0784A" w:rsidP="00C0784A">
            <w:pPr>
              <w:spacing w:line="259" w:lineRule="auto"/>
              <w:ind w:left="154"/>
            </w:pPr>
            <w:r w:rsidRPr="00C0784A">
              <w:t>Widowed</w:t>
            </w:r>
          </w:p>
        </w:tc>
        <w:tc>
          <w:tcPr>
            <w:tcW w:w="0" w:type="auto"/>
          </w:tcPr>
          <w:p w14:paraId="02870C6C" w14:textId="77777777" w:rsidR="00C0784A" w:rsidRPr="00C0784A" w:rsidRDefault="00C0784A" w:rsidP="00C0784A">
            <w:pPr>
              <w:spacing w:line="259" w:lineRule="auto"/>
            </w:pPr>
            <w:r w:rsidRPr="00C0784A">
              <w:t>1 (7.1)</w:t>
            </w:r>
          </w:p>
        </w:tc>
        <w:tc>
          <w:tcPr>
            <w:tcW w:w="0" w:type="auto"/>
          </w:tcPr>
          <w:p w14:paraId="11F43B44" w14:textId="77777777" w:rsidR="00C0784A" w:rsidRPr="00C0784A" w:rsidRDefault="00C0784A" w:rsidP="00C0784A">
            <w:pPr>
              <w:spacing w:line="259" w:lineRule="auto"/>
            </w:pPr>
            <w:r w:rsidRPr="00C0784A">
              <w:t>2 (18.2)</w:t>
            </w:r>
          </w:p>
        </w:tc>
      </w:tr>
      <w:tr w:rsidR="00C0784A" w:rsidRPr="00C0784A" w14:paraId="225FD40D" w14:textId="77777777" w:rsidTr="00D053AF">
        <w:trPr>
          <w:trHeight w:val="230"/>
        </w:trPr>
        <w:tc>
          <w:tcPr>
            <w:tcW w:w="0" w:type="auto"/>
          </w:tcPr>
          <w:p w14:paraId="480937CE" w14:textId="77777777" w:rsidR="00C0784A" w:rsidRPr="00C0784A" w:rsidRDefault="00C0784A" w:rsidP="00C0784A">
            <w:pPr>
              <w:spacing w:line="259" w:lineRule="auto"/>
            </w:pPr>
            <w:r w:rsidRPr="00C0784A">
              <w:t>Child sex:</w:t>
            </w:r>
          </w:p>
        </w:tc>
        <w:tc>
          <w:tcPr>
            <w:tcW w:w="0" w:type="auto"/>
          </w:tcPr>
          <w:p w14:paraId="24AEB420" w14:textId="77777777" w:rsidR="00C0784A" w:rsidRPr="00C0784A" w:rsidRDefault="00C0784A" w:rsidP="00C0784A">
            <w:pPr>
              <w:spacing w:line="259" w:lineRule="auto"/>
            </w:pPr>
          </w:p>
        </w:tc>
        <w:tc>
          <w:tcPr>
            <w:tcW w:w="0" w:type="auto"/>
          </w:tcPr>
          <w:p w14:paraId="5D4104BE" w14:textId="77777777" w:rsidR="00C0784A" w:rsidRPr="00C0784A" w:rsidRDefault="00C0784A" w:rsidP="00C0784A">
            <w:pPr>
              <w:spacing w:line="259" w:lineRule="auto"/>
            </w:pPr>
          </w:p>
        </w:tc>
      </w:tr>
      <w:tr w:rsidR="00C0784A" w:rsidRPr="00C0784A" w14:paraId="4A3CA511" w14:textId="77777777" w:rsidTr="00D053AF">
        <w:trPr>
          <w:trHeight w:val="230"/>
        </w:trPr>
        <w:tc>
          <w:tcPr>
            <w:tcW w:w="0" w:type="auto"/>
          </w:tcPr>
          <w:p w14:paraId="5156C732" w14:textId="77777777" w:rsidR="00C0784A" w:rsidRPr="00C0784A" w:rsidRDefault="00C0784A" w:rsidP="00C0784A">
            <w:pPr>
              <w:spacing w:line="259" w:lineRule="auto"/>
              <w:ind w:left="154"/>
            </w:pPr>
            <w:r w:rsidRPr="00C0784A">
              <w:t>Female</w:t>
            </w:r>
          </w:p>
        </w:tc>
        <w:tc>
          <w:tcPr>
            <w:tcW w:w="0" w:type="auto"/>
          </w:tcPr>
          <w:p w14:paraId="0924A627" w14:textId="77777777" w:rsidR="00C0784A" w:rsidRPr="00C0784A" w:rsidRDefault="00C0784A" w:rsidP="00C0784A">
            <w:pPr>
              <w:spacing w:line="259" w:lineRule="auto"/>
            </w:pPr>
            <w:r w:rsidRPr="00C0784A">
              <w:t>7 (50)</w:t>
            </w:r>
          </w:p>
        </w:tc>
        <w:tc>
          <w:tcPr>
            <w:tcW w:w="0" w:type="auto"/>
          </w:tcPr>
          <w:p w14:paraId="5E06E99A" w14:textId="77777777" w:rsidR="00C0784A" w:rsidRPr="00C0784A" w:rsidRDefault="00C0784A" w:rsidP="00C0784A">
            <w:pPr>
              <w:spacing w:line="259" w:lineRule="auto"/>
            </w:pPr>
            <w:r w:rsidRPr="00C0784A">
              <w:t>5 (42.9)</w:t>
            </w:r>
          </w:p>
        </w:tc>
      </w:tr>
      <w:tr w:rsidR="00C0784A" w:rsidRPr="00C0784A" w14:paraId="01C449D6" w14:textId="77777777" w:rsidTr="00D053AF">
        <w:trPr>
          <w:trHeight w:val="219"/>
        </w:trPr>
        <w:tc>
          <w:tcPr>
            <w:tcW w:w="0" w:type="auto"/>
          </w:tcPr>
          <w:p w14:paraId="13955B24" w14:textId="77777777" w:rsidR="00C0784A" w:rsidRPr="00C0784A" w:rsidRDefault="00C0784A" w:rsidP="00C0784A">
            <w:pPr>
              <w:spacing w:line="259" w:lineRule="auto"/>
              <w:ind w:left="154"/>
            </w:pPr>
            <w:r w:rsidRPr="00C0784A">
              <w:t>Male</w:t>
            </w:r>
          </w:p>
        </w:tc>
        <w:tc>
          <w:tcPr>
            <w:tcW w:w="0" w:type="auto"/>
          </w:tcPr>
          <w:p w14:paraId="63D61F03" w14:textId="77777777" w:rsidR="00C0784A" w:rsidRPr="00C0784A" w:rsidRDefault="00C0784A" w:rsidP="00C0784A">
            <w:pPr>
              <w:spacing w:line="259" w:lineRule="auto"/>
            </w:pPr>
            <w:r w:rsidRPr="00C0784A">
              <w:t>7 (50)</w:t>
            </w:r>
          </w:p>
        </w:tc>
        <w:tc>
          <w:tcPr>
            <w:tcW w:w="0" w:type="auto"/>
          </w:tcPr>
          <w:p w14:paraId="28709301" w14:textId="77777777" w:rsidR="00C0784A" w:rsidRPr="00C0784A" w:rsidRDefault="00C0784A" w:rsidP="00C0784A">
            <w:pPr>
              <w:spacing w:line="259" w:lineRule="auto"/>
            </w:pPr>
            <w:r w:rsidRPr="00C0784A">
              <w:t>6 (57.1)</w:t>
            </w:r>
          </w:p>
        </w:tc>
      </w:tr>
      <w:tr w:rsidR="00C0784A" w:rsidRPr="00C0784A" w14:paraId="54DB2BCD" w14:textId="77777777" w:rsidTr="00D053AF">
        <w:trPr>
          <w:trHeight w:val="230"/>
        </w:trPr>
        <w:tc>
          <w:tcPr>
            <w:tcW w:w="0" w:type="auto"/>
          </w:tcPr>
          <w:p w14:paraId="62513A42" w14:textId="77777777" w:rsidR="00C0784A" w:rsidRPr="00C0784A" w:rsidRDefault="00C0784A" w:rsidP="00C0784A">
            <w:pPr>
              <w:spacing w:line="259" w:lineRule="auto"/>
            </w:pPr>
            <w:r w:rsidRPr="00C0784A">
              <w:t>Child ethnicity:</w:t>
            </w:r>
          </w:p>
        </w:tc>
        <w:tc>
          <w:tcPr>
            <w:tcW w:w="0" w:type="auto"/>
          </w:tcPr>
          <w:p w14:paraId="6134D390" w14:textId="77777777" w:rsidR="00C0784A" w:rsidRPr="00C0784A" w:rsidRDefault="00C0784A" w:rsidP="00C0784A">
            <w:pPr>
              <w:spacing w:line="259" w:lineRule="auto"/>
            </w:pPr>
          </w:p>
        </w:tc>
        <w:tc>
          <w:tcPr>
            <w:tcW w:w="0" w:type="auto"/>
          </w:tcPr>
          <w:p w14:paraId="42A52722" w14:textId="77777777" w:rsidR="00C0784A" w:rsidRPr="00C0784A" w:rsidRDefault="00C0784A" w:rsidP="00C0784A">
            <w:pPr>
              <w:spacing w:line="259" w:lineRule="auto"/>
            </w:pPr>
          </w:p>
        </w:tc>
      </w:tr>
      <w:tr w:rsidR="00C0784A" w:rsidRPr="00C0784A" w14:paraId="7319E7BA" w14:textId="77777777" w:rsidTr="00D053AF">
        <w:trPr>
          <w:trHeight w:val="240"/>
        </w:trPr>
        <w:tc>
          <w:tcPr>
            <w:tcW w:w="0" w:type="auto"/>
          </w:tcPr>
          <w:p w14:paraId="772C3940" w14:textId="77777777" w:rsidR="00C0784A" w:rsidRPr="00C0784A" w:rsidRDefault="00C0784A" w:rsidP="00C0784A">
            <w:pPr>
              <w:spacing w:line="259" w:lineRule="auto"/>
              <w:ind w:left="154"/>
            </w:pPr>
            <w:r w:rsidRPr="00C0784A">
              <w:t>Hispanic/Latinx</w:t>
            </w:r>
          </w:p>
        </w:tc>
        <w:tc>
          <w:tcPr>
            <w:tcW w:w="0" w:type="auto"/>
          </w:tcPr>
          <w:p w14:paraId="769D4E06" w14:textId="77777777" w:rsidR="00C0784A" w:rsidRPr="00C0784A" w:rsidRDefault="00C0784A" w:rsidP="00C0784A">
            <w:pPr>
              <w:spacing w:line="259" w:lineRule="auto"/>
            </w:pPr>
            <w:r w:rsidRPr="00C0784A">
              <w:t>1 (7.1)</w:t>
            </w:r>
          </w:p>
        </w:tc>
        <w:tc>
          <w:tcPr>
            <w:tcW w:w="0" w:type="auto"/>
          </w:tcPr>
          <w:p w14:paraId="0BC72D1A" w14:textId="77777777" w:rsidR="00C0784A" w:rsidRPr="00C0784A" w:rsidRDefault="00C0784A" w:rsidP="00C0784A">
            <w:pPr>
              <w:spacing w:line="259" w:lineRule="auto"/>
            </w:pPr>
            <w:r w:rsidRPr="00C0784A">
              <w:t>1 (9.1)</w:t>
            </w:r>
          </w:p>
        </w:tc>
      </w:tr>
      <w:tr w:rsidR="00C0784A" w:rsidRPr="00C0784A" w14:paraId="33732DF8" w14:textId="77777777" w:rsidTr="00D053AF">
        <w:trPr>
          <w:trHeight w:val="230"/>
        </w:trPr>
        <w:tc>
          <w:tcPr>
            <w:tcW w:w="0" w:type="auto"/>
          </w:tcPr>
          <w:p w14:paraId="43DBCDFF" w14:textId="77777777" w:rsidR="00C0784A" w:rsidRPr="00C0784A" w:rsidRDefault="00C0784A" w:rsidP="00C0784A">
            <w:pPr>
              <w:spacing w:line="259" w:lineRule="auto"/>
              <w:ind w:left="154"/>
            </w:pPr>
            <w:r w:rsidRPr="00C0784A">
              <w:t>Non-Hispanic/Latinx</w:t>
            </w:r>
          </w:p>
        </w:tc>
        <w:tc>
          <w:tcPr>
            <w:tcW w:w="0" w:type="auto"/>
          </w:tcPr>
          <w:p w14:paraId="627A7A30" w14:textId="77777777" w:rsidR="00C0784A" w:rsidRPr="00C0784A" w:rsidRDefault="00C0784A" w:rsidP="00C0784A">
            <w:pPr>
              <w:spacing w:line="259" w:lineRule="auto"/>
            </w:pPr>
            <w:r w:rsidRPr="00C0784A">
              <w:t>13 (92.9)</w:t>
            </w:r>
          </w:p>
        </w:tc>
        <w:tc>
          <w:tcPr>
            <w:tcW w:w="0" w:type="auto"/>
          </w:tcPr>
          <w:p w14:paraId="0FAE7961" w14:textId="77777777" w:rsidR="00C0784A" w:rsidRPr="00C0784A" w:rsidRDefault="00C0784A" w:rsidP="00C0784A">
            <w:pPr>
              <w:spacing w:line="259" w:lineRule="auto"/>
            </w:pPr>
            <w:r w:rsidRPr="00C0784A">
              <w:t>10 (90.9)</w:t>
            </w:r>
          </w:p>
        </w:tc>
      </w:tr>
      <w:tr w:rsidR="00C0784A" w:rsidRPr="00C0784A" w14:paraId="695675A6" w14:textId="77777777" w:rsidTr="00D053AF">
        <w:trPr>
          <w:trHeight w:val="230"/>
        </w:trPr>
        <w:tc>
          <w:tcPr>
            <w:tcW w:w="0" w:type="auto"/>
          </w:tcPr>
          <w:p w14:paraId="64B7519E" w14:textId="77777777" w:rsidR="00C0784A" w:rsidRPr="00C0784A" w:rsidRDefault="00C0784A" w:rsidP="00C0784A">
            <w:pPr>
              <w:spacing w:line="259" w:lineRule="auto"/>
            </w:pPr>
            <w:r w:rsidRPr="00C0784A">
              <w:t>Reason for hospitalization:</w:t>
            </w:r>
          </w:p>
        </w:tc>
        <w:tc>
          <w:tcPr>
            <w:tcW w:w="0" w:type="auto"/>
          </w:tcPr>
          <w:p w14:paraId="67C30206" w14:textId="77777777" w:rsidR="00C0784A" w:rsidRPr="00C0784A" w:rsidRDefault="00C0784A" w:rsidP="00C0784A">
            <w:pPr>
              <w:spacing w:line="259" w:lineRule="auto"/>
            </w:pPr>
          </w:p>
        </w:tc>
        <w:tc>
          <w:tcPr>
            <w:tcW w:w="0" w:type="auto"/>
          </w:tcPr>
          <w:p w14:paraId="3F318209" w14:textId="77777777" w:rsidR="00C0784A" w:rsidRPr="00C0784A" w:rsidRDefault="00C0784A" w:rsidP="00C0784A">
            <w:pPr>
              <w:spacing w:line="259" w:lineRule="auto"/>
            </w:pPr>
          </w:p>
        </w:tc>
      </w:tr>
      <w:tr w:rsidR="00C0784A" w:rsidRPr="00C0784A" w14:paraId="2AE98EA0" w14:textId="77777777" w:rsidTr="00D053AF">
        <w:trPr>
          <w:trHeight w:val="230"/>
        </w:trPr>
        <w:tc>
          <w:tcPr>
            <w:tcW w:w="0" w:type="auto"/>
          </w:tcPr>
          <w:p w14:paraId="34EC4E1A" w14:textId="77777777" w:rsidR="00C0784A" w:rsidRPr="00C0784A" w:rsidRDefault="00C0784A" w:rsidP="00C0784A">
            <w:pPr>
              <w:spacing w:line="259" w:lineRule="auto"/>
              <w:ind w:left="154"/>
            </w:pPr>
            <w:r w:rsidRPr="00C0784A">
              <w:t>Medical</w:t>
            </w:r>
          </w:p>
        </w:tc>
        <w:tc>
          <w:tcPr>
            <w:tcW w:w="0" w:type="auto"/>
          </w:tcPr>
          <w:p w14:paraId="687D0B64" w14:textId="77777777" w:rsidR="00C0784A" w:rsidRPr="00C0784A" w:rsidRDefault="00C0784A" w:rsidP="00C0784A">
            <w:pPr>
              <w:spacing w:line="259" w:lineRule="auto"/>
            </w:pPr>
            <w:r w:rsidRPr="00C0784A">
              <w:t>5 (35.7)</w:t>
            </w:r>
          </w:p>
        </w:tc>
        <w:tc>
          <w:tcPr>
            <w:tcW w:w="0" w:type="auto"/>
          </w:tcPr>
          <w:p w14:paraId="202AF444" w14:textId="77777777" w:rsidR="00C0784A" w:rsidRPr="00C0784A" w:rsidRDefault="00C0784A" w:rsidP="00C0784A">
            <w:pPr>
              <w:spacing w:line="259" w:lineRule="auto"/>
            </w:pPr>
            <w:r w:rsidRPr="00C0784A">
              <w:t>8 (72.7)</w:t>
            </w:r>
          </w:p>
        </w:tc>
      </w:tr>
      <w:tr w:rsidR="00C0784A" w:rsidRPr="00C0784A" w14:paraId="458F5823" w14:textId="77777777" w:rsidTr="00D053AF">
        <w:trPr>
          <w:trHeight w:val="219"/>
        </w:trPr>
        <w:tc>
          <w:tcPr>
            <w:tcW w:w="0" w:type="auto"/>
          </w:tcPr>
          <w:p w14:paraId="5D115342" w14:textId="77777777" w:rsidR="00C0784A" w:rsidRPr="00C0784A" w:rsidRDefault="00C0784A" w:rsidP="00C0784A">
            <w:pPr>
              <w:spacing w:line="259" w:lineRule="auto"/>
              <w:ind w:left="154"/>
            </w:pPr>
            <w:r w:rsidRPr="00C0784A">
              <w:t>Surgical</w:t>
            </w:r>
          </w:p>
        </w:tc>
        <w:tc>
          <w:tcPr>
            <w:tcW w:w="0" w:type="auto"/>
          </w:tcPr>
          <w:p w14:paraId="7CB40196" w14:textId="77777777" w:rsidR="00C0784A" w:rsidRPr="00C0784A" w:rsidRDefault="00C0784A" w:rsidP="00C0784A">
            <w:pPr>
              <w:spacing w:line="259" w:lineRule="auto"/>
            </w:pPr>
            <w:r w:rsidRPr="00C0784A">
              <w:t>9 (64.3)</w:t>
            </w:r>
          </w:p>
        </w:tc>
        <w:tc>
          <w:tcPr>
            <w:tcW w:w="0" w:type="auto"/>
          </w:tcPr>
          <w:p w14:paraId="20ADC5F0" w14:textId="77777777" w:rsidR="00C0784A" w:rsidRPr="00C0784A" w:rsidRDefault="00C0784A" w:rsidP="00C0784A">
            <w:pPr>
              <w:spacing w:line="259" w:lineRule="auto"/>
            </w:pPr>
            <w:r w:rsidRPr="00C0784A">
              <w:t>3 (27.7)</w:t>
            </w:r>
          </w:p>
        </w:tc>
      </w:tr>
      <w:tr w:rsidR="00C0784A" w:rsidRPr="00C0784A" w14:paraId="1C451AB5" w14:textId="77777777" w:rsidTr="00D053AF">
        <w:trPr>
          <w:trHeight w:val="230"/>
        </w:trPr>
        <w:tc>
          <w:tcPr>
            <w:tcW w:w="0" w:type="auto"/>
          </w:tcPr>
          <w:p w14:paraId="2735094A" w14:textId="77777777" w:rsidR="00C0784A" w:rsidRPr="00C0784A" w:rsidRDefault="00C0784A" w:rsidP="00C0784A">
            <w:pPr>
              <w:spacing w:line="259" w:lineRule="auto"/>
            </w:pPr>
            <w:r w:rsidRPr="00C0784A">
              <w:t>Number of medications:</w:t>
            </w:r>
          </w:p>
        </w:tc>
        <w:tc>
          <w:tcPr>
            <w:tcW w:w="0" w:type="auto"/>
          </w:tcPr>
          <w:p w14:paraId="38B215CE" w14:textId="77777777" w:rsidR="00C0784A" w:rsidRPr="00C0784A" w:rsidRDefault="00C0784A" w:rsidP="00C0784A">
            <w:pPr>
              <w:spacing w:line="259" w:lineRule="auto"/>
            </w:pPr>
          </w:p>
        </w:tc>
        <w:tc>
          <w:tcPr>
            <w:tcW w:w="0" w:type="auto"/>
          </w:tcPr>
          <w:p w14:paraId="22FB42F9" w14:textId="77777777" w:rsidR="00C0784A" w:rsidRPr="00C0784A" w:rsidRDefault="00C0784A" w:rsidP="00C0784A">
            <w:pPr>
              <w:spacing w:line="259" w:lineRule="auto"/>
            </w:pPr>
          </w:p>
        </w:tc>
      </w:tr>
      <w:tr w:rsidR="00C0784A" w:rsidRPr="00C0784A" w14:paraId="0575D585" w14:textId="77777777" w:rsidTr="00D053AF">
        <w:trPr>
          <w:trHeight w:val="240"/>
        </w:trPr>
        <w:tc>
          <w:tcPr>
            <w:tcW w:w="0" w:type="auto"/>
          </w:tcPr>
          <w:p w14:paraId="221E59D6" w14:textId="77777777" w:rsidR="00C0784A" w:rsidRPr="00C0784A" w:rsidRDefault="00C0784A" w:rsidP="00C0784A">
            <w:pPr>
              <w:spacing w:line="259" w:lineRule="auto"/>
              <w:ind w:left="154"/>
            </w:pPr>
            <w:r w:rsidRPr="00C0784A">
              <w:t>0</w:t>
            </w:r>
          </w:p>
        </w:tc>
        <w:tc>
          <w:tcPr>
            <w:tcW w:w="0" w:type="auto"/>
          </w:tcPr>
          <w:p w14:paraId="0169368C" w14:textId="77777777" w:rsidR="00C0784A" w:rsidRPr="00C0784A" w:rsidRDefault="00C0784A" w:rsidP="00C0784A">
            <w:pPr>
              <w:spacing w:line="259" w:lineRule="auto"/>
            </w:pPr>
            <w:r w:rsidRPr="00C0784A">
              <w:t>0 (0)</w:t>
            </w:r>
          </w:p>
        </w:tc>
        <w:tc>
          <w:tcPr>
            <w:tcW w:w="0" w:type="auto"/>
          </w:tcPr>
          <w:p w14:paraId="3C5E3722" w14:textId="77777777" w:rsidR="00C0784A" w:rsidRPr="00C0784A" w:rsidRDefault="00C0784A" w:rsidP="00C0784A">
            <w:pPr>
              <w:spacing w:line="259" w:lineRule="auto"/>
            </w:pPr>
            <w:r w:rsidRPr="00C0784A">
              <w:t>1 (9.1)</w:t>
            </w:r>
          </w:p>
        </w:tc>
      </w:tr>
      <w:tr w:rsidR="00C0784A" w:rsidRPr="00C0784A" w14:paraId="28BBC133" w14:textId="77777777" w:rsidTr="00D053AF">
        <w:trPr>
          <w:trHeight w:val="230"/>
        </w:trPr>
        <w:tc>
          <w:tcPr>
            <w:tcW w:w="0" w:type="auto"/>
          </w:tcPr>
          <w:p w14:paraId="148CF6CE" w14:textId="77777777" w:rsidR="00C0784A" w:rsidRPr="00C0784A" w:rsidRDefault="00C0784A" w:rsidP="00C0784A">
            <w:pPr>
              <w:spacing w:line="259" w:lineRule="auto"/>
              <w:ind w:left="154"/>
            </w:pPr>
            <w:r w:rsidRPr="00C0784A">
              <w:t>1–3</w:t>
            </w:r>
          </w:p>
        </w:tc>
        <w:tc>
          <w:tcPr>
            <w:tcW w:w="0" w:type="auto"/>
          </w:tcPr>
          <w:p w14:paraId="7EE50C1B" w14:textId="77777777" w:rsidR="00C0784A" w:rsidRPr="00C0784A" w:rsidRDefault="00C0784A" w:rsidP="00C0784A">
            <w:pPr>
              <w:spacing w:line="259" w:lineRule="auto"/>
            </w:pPr>
            <w:r w:rsidRPr="00C0784A">
              <w:t>6 (42.9)</w:t>
            </w:r>
          </w:p>
        </w:tc>
        <w:tc>
          <w:tcPr>
            <w:tcW w:w="0" w:type="auto"/>
          </w:tcPr>
          <w:p w14:paraId="340E6EC1" w14:textId="77777777" w:rsidR="00C0784A" w:rsidRPr="00C0784A" w:rsidRDefault="00C0784A" w:rsidP="00C0784A">
            <w:pPr>
              <w:spacing w:line="259" w:lineRule="auto"/>
            </w:pPr>
            <w:r w:rsidRPr="00C0784A">
              <w:t>2 (18.2)</w:t>
            </w:r>
          </w:p>
        </w:tc>
      </w:tr>
      <w:tr w:rsidR="00C0784A" w:rsidRPr="00C0784A" w14:paraId="12B2D0BC" w14:textId="77777777" w:rsidTr="00D053AF">
        <w:trPr>
          <w:trHeight w:val="225"/>
        </w:trPr>
        <w:tc>
          <w:tcPr>
            <w:tcW w:w="0" w:type="auto"/>
          </w:tcPr>
          <w:p w14:paraId="45EF8842" w14:textId="77777777" w:rsidR="00C0784A" w:rsidRPr="00C0784A" w:rsidRDefault="00C0784A" w:rsidP="00C0784A">
            <w:pPr>
              <w:spacing w:line="259" w:lineRule="auto"/>
              <w:ind w:left="154"/>
            </w:pPr>
            <w:r w:rsidRPr="00C0784A">
              <w:t>4–10</w:t>
            </w:r>
          </w:p>
        </w:tc>
        <w:tc>
          <w:tcPr>
            <w:tcW w:w="0" w:type="auto"/>
          </w:tcPr>
          <w:p w14:paraId="114B37CD" w14:textId="77777777" w:rsidR="00C0784A" w:rsidRPr="00C0784A" w:rsidRDefault="00C0784A" w:rsidP="00C0784A">
            <w:pPr>
              <w:spacing w:line="259" w:lineRule="auto"/>
            </w:pPr>
            <w:r w:rsidRPr="00C0784A">
              <w:t>7 (50)</w:t>
            </w:r>
          </w:p>
        </w:tc>
        <w:tc>
          <w:tcPr>
            <w:tcW w:w="0" w:type="auto"/>
          </w:tcPr>
          <w:p w14:paraId="0DA87590" w14:textId="77777777" w:rsidR="00C0784A" w:rsidRPr="00C0784A" w:rsidRDefault="00C0784A" w:rsidP="00C0784A">
            <w:pPr>
              <w:spacing w:line="259" w:lineRule="auto"/>
            </w:pPr>
            <w:r w:rsidRPr="00C0784A">
              <w:t>8 (72.7)</w:t>
            </w:r>
          </w:p>
        </w:tc>
      </w:tr>
      <w:tr w:rsidR="00C0784A" w:rsidRPr="00C0784A" w14:paraId="7FEF8EAB" w14:textId="77777777" w:rsidTr="00D053AF">
        <w:trPr>
          <w:trHeight w:val="239"/>
        </w:trPr>
        <w:tc>
          <w:tcPr>
            <w:tcW w:w="0" w:type="auto"/>
          </w:tcPr>
          <w:p w14:paraId="70FE7158" w14:textId="77777777" w:rsidR="00C0784A" w:rsidRPr="00C0784A" w:rsidRDefault="00C0784A" w:rsidP="00C0784A">
            <w:pPr>
              <w:spacing w:line="259" w:lineRule="auto"/>
              <w:ind w:left="154"/>
            </w:pPr>
            <w:r w:rsidRPr="00C0784A">
              <w:t>&gt;10</w:t>
            </w:r>
          </w:p>
        </w:tc>
        <w:tc>
          <w:tcPr>
            <w:tcW w:w="0" w:type="auto"/>
          </w:tcPr>
          <w:p w14:paraId="6C4F2DE2" w14:textId="77777777" w:rsidR="00C0784A" w:rsidRPr="00C0784A" w:rsidRDefault="00C0784A" w:rsidP="00C0784A">
            <w:pPr>
              <w:spacing w:line="259" w:lineRule="auto"/>
            </w:pPr>
            <w:r w:rsidRPr="00C0784A">
              <w:t>1 (7.1)</w:t>
            </w:r>
          </w:p>
        </w:tc>
        <w:tc>
          <w:tcPr>
            <w:tcW w:w="0" w:type="auto"/>
          </w:tcPr>
          <w:p w14:paraId="34A02D1D" w14:textId="77777777" w:rsidR="00C0784A" w:rsidRPr="00C0784A" w:rsidRDefault="00C0784A" w:rsidP="00C0784A">
            <w:pPr>
              <w:spacing w:line="259" w:lineRule="auto"/>
            </w:pPr>
            <w:r w:rsidRPr="00C0784A">
              <w:t>0 (0)</w:t>
            </w:r>
          </w:p>
        </w:tc>
      </w:tr>
      <w:tr w:rsidR="00C0784A" w:rsidRPr="00C0784A" w14:paraId="102A903E" w14:textId="77777777" w:rsidTr="00D053AF">
        <w:trPr>
          <w:trHeight w:val="224"/>
        </w:trPr>
        <w:tc>
          <w:tcPr>
            <w:tcW w:w="0" w:type="auto"/>
          </w:tcPr>
          <w:p w14:paraId="24412DDC" w14:textId="77777777" w:rsidR="00C0784A" w:rsidRPr="00C0784A" w:rsidRDefault="00C0784A" w:rsidP="00C0784A">
            <w:pPr>
              <w:spacing w:line="259" w:lineRule="auto"/>
            </w:pPr>
            <w:r w:rsidRPr="00C0784A">
              <w:t>ADHD:</w:t>
            </w:r>
          </w:p>
        </w:tc>
        <w:tc>
          <w:tcPr>
            <w:tcW w:w="0" w:type="auto"/>
          </w:tcPr>
          <w:p w14:paraId="73890E96" w14:textId="77777777" w:rsidR="00C0784A" w:rsidRPr="00C0784A" w:rsidRDefault="00C0784A" w:rsidP="00C0784A">
            <w:pPr>
              <w:spacing w:line="259" w:lineRule="auto"/>
            </w:pPr>
            <w:r w:rsidRPr="00C0784A">
              <w:t>2 (14)</w:t>
            </w:r>
          </w:p>
        </w:tc>
        <w:tc>
          <w:tcPr>
            <w:tcW w:w="0" w:type="auto"/>
          </w:tcPr>
          <w:p w14:paraId="6C017D23" w14:textId="77777777" w:rsidR="00C0784A" w:rsidRPr="00C0784A" w:rsidRDefault="00C0784A" w:rsidP="00C0784A">
            <w:pPr>
              <w:spacing w:line="259" w:lineRule="auto"/>
            </w:pPr>
            <w:r w:rsidRPr="00C0784A">
              <w:t>3 (27.3)</w:t>
            </w:r>
          </w:p>
        </w:tc>
      </w:tr>
      <w:tr w:rsidR="00C0784A" w:rsidRPr="00C0784A" w14:paraId="4C596A27" w14:textId="77777777" w:rsidTr="00D053AF">
        <w:trPr>
          <w:trHeight w:val="230"/>
        </w:trPr>
        <w:tc>
          <w:tcPr>
            <w:tcW w:w="0" w:type="auto"/>
          </w:tcPr>
          <w:p w14:paraId="4BEC5CFC" w14:textId="77777777" w:rsidR="00C0784A" w:rsidRPr="00C0784A" w:rsidRDefault="00C0784A" w:rsidP="00C0784A">
            <w:pPr>
              <w:spacing w:line="259" w:lineRule="auto"/>
            </w:pPr>
            <w:r w:rsidRPr="00C0784A">
              <w:t>Anxiety disorder</w:t>
            </w:r>
          </w:p>
        </w:tc>
        <w:tc>
          <w:tcPr>
            <w:tcW w:w="0" w:type="auto"/>
          </w:tcPr>
          <w:p w14:paraId="45B80DCF" w14:textId="77777777" w:rsidR="00C0784A" w:rsidRPr="00C0784A" w:rsidRDefault="00C0784A" w:rsidP="00C0784A">
            <w:pPr>
              <w:spacing w:line="259" w:lineRule="auto"/>
            </w:pPr>
            <w:r w:rsidRPr="00C0784A">
              <w:t>0 (0)</w:t>
            </w:r>
          </w:p>
        </w:tc>
        <w:tc>
          <w:tcPr>
            <w:tcW w:w="0" w:type="auto"/>
          </w:tcPr>
          <w:p w14:paraId="40F68502" w14:textId="77777777" w:rsidR="00C0784A" w:rsidRPr="00C0784A" w:rsidRDefault="00C0784A" w:rsidP="00C0784A">
            <w:pPr>
              <w:spacing w:line="259" w:lineRule="auto"/>
            </w:pPr>
            <w:r w:rsidRPr="00C0784A">
              <w:t>4 (36.4)</w:t>
            </w:r>
          </w:p>
        </w:tc>
      </w:tr>
      <w:tr w:rsidR="00C0784A" w:rsidRPr="00C0784A" w14:paraId="24A3AC07" w14:textId="77777777" w:rsidTr="00D053AF">
        <w:trPr>
          <w:trHeight w:val="230"/>
        </w:trPr>
        <w:tc>
          <w:tcPr>
            <w:tcW w:w="0" w:type="auto"/>
          </w:tcPr>
          <w:p w14:paraId="1D4A3E80" w14:textId="77777777" w:rsidR="00C0784A" w:rsidRPr="00C0784A" w:rsidRDefault="00C0784A" w:rsidP="00C0784A">
            <w:pPr>
              <w:spacing w:line="259" w:lineRule="auto"/>
            </w:pPr>
            <w:r w:rsidRPr="00C0784A">
              <w:t>Autism</w:t>
            </w:r>
          </w:p>
        </w:tc>
        <w:tc>
          <w:tcPr>
            <w:tcW w:w="0" w:type="auto"/>
          </w:tcPr>
          <w:p w14:paraId="444C704B" w14:textId="77777777" w:rsidR="00C0784A" w:rsidRPr="00C0784A" w:rsidRDefault="00C0784A" w:rsidP="00C0784A">
            <w:pPr>
              <w:spacing w:line="259" w:lineRule="auto"/>
            </w:pPr>
            <w:r w:rsidRPr="00C0784A">
              <w:t>4 (28.6)</w:t>
            </w:r>
          </w:p>
        </w:tc>
        <w:tc>
          <w:tcPr>
            <w:tcW w:w="0" w:type="auto"/>
          </w:tcPr>
          <w:p w14:paraId="437CC523" w14:textId="77777777" w:rsidR="00C0784A" w:rsidRPr="00C0784A" w:rsidRDefault="00C0784A" w:rsidP="00C0784A">
            <w:pPr>
              <w:spacing w:line="259" w:lineRule="auto"/>
            </w:pPr>
            <w:r w:rsidRPr="00C0784A">
              <w:t>2 (18.2)</w:t>
            </w:r>
          </w:p>
        </w:tc>
      </w:tr>
      <w:tr w:rsidR="00C0784A" w:rsidRPr="00C0784A" w14:paraId="06A5A0E2" w14:textId="77777777" w:rsidTr="00D053AF">
        <w:trPr>
          <w:trHeight w:val="230"/>
        </w:trPr>
        <w:tc>
          <w:tcPr>
            <w:tcW w:w="0" w:type="auto"/>
          </w:tcPr>
          <w:p w14:paraId="360B59FE" w14:textId="77777777" w:rsidR="00C0784A" w:rsidRPr="00C0784A" w:rsidRDefault="00C0784A" w:rsidP="00C0784A">
            <w:pPr>
              <w:spacing w:line="259" w:lineRule="auto"/>
            </w:pPr>
            <w:r w:rsidRPr="00C0784A">
              <w:t>Bipolar disorder</w:t>
            </w:r>
          </w:p>
        </w:tc>
        <w:tc>
          <w:tcPr>
            <w:tcW w:w="0" w:type="auto"/>
          </w:tcPr>
          <w:p w14:paraId="6C8829C1" w14:textId="77777777" w:rsidR="00C0784A" w:rsidRPr="00C0784A" w:rsidRDefault="00C0784A" w:rsidP="00C0784A">
            <w:pPr>
              <w:spacing w:line="259" w:lineRule="auto"/>
            </w:pPr>
            <w:r w:rsidRPr="00C0784A">
              <w:t>0 (0)</w:t>
            </w:r>
          </w:p>
        </w:tc>
        <w:tc>
          <w:tcPr>
            <w:tcW w:w="0" w:type="auto"/>
          </w:tcPr>
          <w:p w14:paraId="3EB6D211" w14:textId="77777777" w:rsidR="00C0784A" w:rsidRPr="00C0784A" w:rsidRDefault="00C0784A" w:rsidP="00C0784A">
            <w:pPr>
              <w:spacing w:line="259" w:lineRule="auto"/>
            </w:pPr>
            <w:r w:rsidRPr="00C0784A">
              <w:t>1 (9.1)</w:t>
            </w:r>
          </w:p>
        </w:tc>
      </w:tr>
      <w:tr w:rsidR="00C0784A" w:rsidRPr="00C0784A" w14:paraId="5F00AD6D" w14:textId="77777777" w:rsidTr="00D053AF">
        <w:trPr>
          <w:trHeight w:val="230"/>
        </w:trPr>
        <w:tc>
          <w:tcPr>
            <w:tcW w:w="0" w:type="auto"/>
          </w:tcPr>
          <w:p w14:paraId="1B19B540" w14:textId="77777777" w:rsidR="00C0784A" w:rsidRPr="00C0784A" w:rsidRDefault="00C0784A" w:rsidP="00C0784A">
            <w:pPr>
              <w:spacing w:line="259" w:lineRule="auto"/>
            </w:pPr>
            <w:r w:rsidRPr="00C0784A">
              <w:t>Depression</w:t>
            </w:r>
          </w:p>
        </w:tc>
        <w:tc>
          <w:tcPr>
            <w:tcW w:w="0" w:type="auto"/>
          </w:tcPr>
          <w:p w14:paraId="444B261A" w14:textId="77777777" w:rsidR="00C0784A" w:rsidRPr="00C0784A" w:rsidRDefault="00C0784A" w:rsidP="00C0784A">
            <w:pPr>
              <w:spacing w:line="259" w:lineRule="auto"/>
            </w:pPr>
            <w:r w:rsidRPr="00C0784A">
              <w:t>1 (7.1)</w:t>
            </w:r>
          </w:p>
        </w:tc>
        <w:tc>
          <w:tcPr>
            <w:tcW w:w="0" w:type="auto"/>
          </w:tcPr>
          <w:p w14:paraId="120182B9" w14:textId="77777777" w:rsidR="00C0784A" w:rsidRPr="00C0784A" w:rsidRDefault="00C0784A" w:rsidP="00C0784A">
            <w:pPr>
              <w:spacing w:line="259" w:lineRule="auto"/>
            </w:pPr>
            <w:r w:rsidRPr="00C0784A">
              <w:t>3 (27.3)</w:t>
            </w:r>
          </w:p>
        </w:tc>
      </w:tr>
      <w:tr w:rsidR="00C0784A" w:rsidRPr="00C0784A" w14:paraId="5CD883ED" w14:textId="77777777" w:rsidTr="00D053AF">
        <w:trPr>
          <w:trHeight w:val="230"/>
        </w:trPr>
        <w:tc>
          <w:tcPr>
            <w:tcW w:w="0" w:type="auto"/>
          </w:tcPr>
          <w:p w14:paraId="380A0D9C" w14:textId="77777777" w:rsidR="00C0784A" w:rsidRPr="00C0784A" w:rsidRDefault="00C0784A" w:rsidP="00C0784A">
            <w:pPr>
              <w:spacing w:line="259" w:lineRule="auto"/>
            </w:pPr>
            <w:r w:rsidRPr="00C0784A">
              <w:t>Eating disorder</w:t>
            </w:r>
          </w:p>
        </w:tc>
        <w:tc>
          <w:tcPr>
            <w:tcW w:w="0" w:type="auto"/>
          </w:tcPr>
          <w:p w14:paraId="74B8D96F" w14:textId="77777777" w:rsidR="00C0784A" w:rsidRPr="00C0784A" w:rsidRDefault="00C0784A" w:rsidP="00C0784A">
            <w:pPr>
              <w:spacing w:line="259" w:lineRule="auto"/>
            </w:pPr>
            <w:r w:rsidRPr="00C0784A">
              <w:t>1 (7.1)</w:t>
            </w:r>
          </w:p>
        </w:tc>
        <w:tc>
          <w:tcPr>
            <w:tcW w:w="0" w:type="auto"/>
          </w:tcPr>
          <w:p w14:paraId="727A6744" w14:textId="77777777" w:rsidR="00C0784A" w:rsidRPr="00C0784A" w:rsidRDefault="00C0784A" w:rsidP="00C0784A">
            <w:pPr>
              <w:spacing w:line="259" w:lineRule="auto"/>
            </w:pPr>
            <w:r w:rsidRPr="00C0784A">
              <w:t>2 (18.2)</w:t>
            </w:r>
          </w:p>
        </w:tc>
      </w:tr>
      <w:tr w:rsidR="00C0784A" w:rsidRPr="00C0784A" w14:paraId="7F2AC8F7" w14:textId="77777777" w:rsidTr="00D053AF">
        <w:trPr>
          <w:trHeight w:val="230"/>
        </w:trPr>
        <w:tc>
          <w:tcPr>
            <w:tcW w:w="0" w:type="auto"/>
          </w:tcPr>
          <w:p w14:paraId="794A0E69" w14:textId="77777777" w:rsidR="00C0784A" w:rsidRPr="00C0784A" w:rsidRDefault="00C0784A" w:rsidP="00C0784A">
            <w:pPr>
              <w:spacing w:line="259" w:lineRule="auto"/>
            </w:pPr>
            <w:r w:rsidRPr="00C0784A">
              <w:t>Language disorder</w:t>
            </w:r>
          </w:p>
        </w:tc>
        <w:tc>
          <w:tcPr>
            <w:tcW w:w="0" w:type="auto"/>
          </w:tcPr>
          <w:p w14:paraId="2917C0E4" w14:textId="77777777" w:rsidR="00C0784A" w:rsidRPr="00C0784A" w:rsidRDefault="00C0784A" w:rsidP="00C0784A">
            <w:pPr>
              <w:spacing w:line="259" w:lineRule="auto"/>
            </w:pPr>
            <w:r w:rsidRPr="00C0784A">
              <w:t>3 (21.4)</w:t>
            </w:r>
          </w:p>
        </w:tc>
        <w:tc>
          <w:tcPr>
            <w:tcW w:w="0" w:type="auto"/>
          </w:tcPr>
          <w:p w14:paraId="0F4FB04A" w14:textId="77777777" w:rsidR="00C0784A" w:rsidRPr="00C0784A" w:rsidRDefault="00C0784A" w:rsidP="00C0784A">
            <w:pPr>
              <w:spacing w:line="259" w:lineRule="auto"/>
            </w:pPr>
            <w:r w:rsidRPr="00C0784A">
              <w:t>0 (0)</w:t>
            </w:r>
          </w:p>
        </w:tc>
      </w:tr>
      <w:tr w:rsidR="00C0784A" w:rsidRPr="00C0784A" w14:paraId="377BEEA7" w14:textId="77777777" w:rsidTr="00D053AF">
        <w:trPr>
          <w:trHeight w:val="230"/>
        </w:trPr>
        <w:tc>
          <w:tcPr>
            <w:tcW w:w="0" w:type="auto"/>
          </w:tcPr>
          <w:p w14:paraId="276CB3E1" w14:textId="77777777" w:rsidR="00C0784A" w:rsidRPr="00C0784A" w:rsidRDefault="00C0784A" w:rsidP="00C0784A">
            <w:pPr>
              <w:spacing w:line="259" w:lineRule="auto"/>
            </w:pPr>
            <w:r w:rsidRPr="00C0784A">
              <w:t>Sleep disorder</w:t>
            </w:r>
          </w:p>
        </w:tc>
        <w:tc>
          <w:tcPr>
            <w:tcW w:w="0" w:type="auto"/>
          </w:tcPr>
          <w:p w14:paraId="103D73DE" w14:textId="77777777" w:rsidR="00C0784A" w:rsidRPr="00C0784A" w:rsidRDefault="00C0784A" w:rsidP="00C0784A">
            <w:pPr>
              <w:spacing w:line="259" w:lineRule="auto"/>
            </w:pPr>
            <w:r w:rsidRPr="00C0784A">
              <w:t>1 (7.1)</w:t>
            </w:r>
          </w:p>
        </w:tc>
        <w:tc>
          <w:tcPr>
            <w:tcW w:w="0" w:type="auto"/>
          </w:tcPr>
          <w:p w14:paraId="2092B6CF" w14:textId="77777777" w:rsidR="00C0784A" w:rsidRPr="00C0784A" w:rsidRDefault="00C0784A" w:rsidP="00C0784A">
            <w:pPr>
              <w:spacing w:line="259" w:lineRule="auto"/>
            </w:pPr>
            <w:r w:rsidRPr="00C0784A">
              <w:t>1 (9.1)</w:t>
            </w:r>
          </w:p>
        </w:tc>
      </w:tr>
      <w:tr w:rsidR="00C0784A" w:rsidRPr="00C0784A" w14:paraId="6CFB6303" w14:textId="77777777" w:rsidTr="00D053AF">
        <w:trPr>
          <w:trHeight w:val="230"/>
        </w:trPr>
        <w:tc>
          <w:tcPr>
            <w:tcW w:w="0" w:type="auto"/>
          </w:tcPr>
          <w:p w14:paraId="287F5323" w14:textId="77777777" w:rsidR="00C0784A" w:rsidRPr="00C0784A" w:rsidRDefault="00C0784A" w:rsidP="00C0784A">
            <w:pPr>
              <w:spacing w:line="259" w:lineRule="auto"/>
            </w:pPr>
            <w:r w:rsidRPr="00C0784A">
              <w:t>None of the disorders</w:t>
            </w:r>
          </w:p>
        </w:tc>
        <w:tc>
          <w:tcPr>
            <w:tcW w:w="0" w:type="auto"/>
          </w:tcPr>
          <w:p w14:paraId="37A530B8" w14:textId="77777777" w:rsidR="00C0784A" w:rsidRPr="00C0784A" w:rsidRDefault="00C0784A" w:rsidP="00C0784A">
            <w:pPr>
              <w:spacing w:line="259" w:lineRule="auto"/>
            </w:pPr>
            <w:r w:rsidRPr="00C0784A">
              <w:t>6 (42.9)</w:t>
            </w:r>
          </w:p>
        </w:tc>
        <w:tc>
          <w:tcPr>
            <w:tcW w:w="0" w:type="auto"/>
          </w:tcPr>
          <w:p w14:paraId="574AD5DD" w14:textId="77777777" w:rsidR="00C0784A" w:rsidRPr="00C0784A" w:rsidRDefault="00C0784A" w:rsidP="00C0784A">
            <w:pPr>
              <w:spacing w:line="259" w:lineRule="auto"/>
            </w:pPr>
            <w:r w:rsidRPr="00C0784A">
              <w:t>4 (36.4)</w:t>
            </w:r>
          </w:p>
        </w:tc>
      </w:tr>
      <w:tr w:rsidR="00C0784A" w:rsidRPr="00C0784A" w14:paraId="35DFE964" w14:textId="77777777" w:rsidTr="00D053AF">
        <w:trPr>
          <w:trHeight w:val="230"/>
        </w:trPr>
        <w:tc>
          <w:tcPr>
            <w:tcW w:w="0" w:type="auto"/>
          </w:tcPr>
          <w:p w14:paraId="0312613B" w14:textId="77777777" w:rsidR="00C0784A" w:rsidRPr="00C0784A" w:rsidRDefault="00C0784A" w:rsidP="00C0784A">
            <w:pPr>
              <w:spacing w:line="259" w:lineRule="auto"/>
            </w:pPr>
            <w:r w:rsidRPr="00C0784A">
              <w:t>Type of insurance:</w:t>
            </w:r>
          </w:p>
        </w:tc>
        <w:tc>
          <w:tcPr>
            <w:tcW w:w="0" w:type="auto"/>
          </w:tcPr>
          <w:p w14:paraId="7328C0B7" w14:textId="77777777" w:rsidR="00C0784A" w:rsidRPr="00C0784A" w:rsidRDefault="00C0784A" w:rsidP="00C0784A">
            <w:pPr>
              <w:spacing w:line="259" w:lineRule="auto"/>
            </w:pPr>
          </w:p>
        </w:tc>
        <w:tc>
          <w:tcPr>
            <w:tcW w:w="0" w:type="auto"/>
          </w:tcPr>
          <w:p w14:paraId="7D7613BB" w14:textId="77777777" w:rsidR="00C0784A" w:rsidRPr="00C0784A" w:rsidRDefault="00C0784A" w:rsidP="00C0784A">
            <w:pPr>
              <w:spacing w:line="259" w:lineRule="auto"/>
            </w:pPr>
          </w:p>
        </w:tc>
      </w:tr>
      <w:tr w:rsidR="00C0784A" w:rsidRPr="00C0784A" w14:paraId="6A503D06" w14:textId="77777777" w:rsidTr="00D053AF">
        <w:trPr>
          <w:trHeight w:val="230"/>
        </w:trPr>
        <w:tc>
          <w:tcPr>
            <w:tcW w:w="0" w:type="auto"/>
          </w:tcPr>
          <w:p w14:paraId="6A096FED" w14:textId="77777777" w:rsidR="00C0784A" w:rsidRPr="00C0784A" w:rsidRDefault="00C0784A" w:rsidP="00C0784A">
            <w:pPr>
              <w:spacing w:line="259" w:lineRule="auto"/>
              <w:ind w:left="154"/>
            </w:pPr>
            <w:r w:rsidRPr="00C0784A">
              <w:t>Private</w:t>
            </w:r>
          </w:p>
        </w:tc>
        <w:tc>
          <w:tcPr>
            <w:tcW w:w="0" w:type="auto"/>
          </w:tcPr>
          <w:p w14:paraId="0717C5B2" w14:textId="77777777" w:rsidR="00C0784A" w:rsidRPr="00C0784A" w:rsidRDefault="00C0784A" w:rsidP="00C0784A">
            <w:pPr>
              <w:spacing w:line="259" w:lineRule="auto"/>
            </w:pPr>
            <w:r w:rsidRPr="00C0784A">
              <w:t>4 (28.6)</w:t>
            </w:r>
          </w:p>
        </w:tc>
        <w:tc>
          <w:tcPr>
            <w:tcW w:w="0" w:type="auto"/>
          </w:tcPr>
          <w:p w14:paraId="3607F509" w14:textId="77777777" w:rsidR="00C0784A" w:rsidRPr="00C0784A" w:rsidRDefault="00C0784A" w:rsidP="00C0784A">
            <w:pPr>
              <w:spacing w:line="259" w:lineRule="auto"/>
            </w:pPr>
            <w:r w:rsidRPr="00C0784A">
              <w:t>1 (9.1)</w:t>
            </w:r>
          </w:p>
        </w:tc>
      </w:tr>
      <w:tr w:rsidR="00C0784A" w:rsidRPr="00C0784A" w14:paraId="770A3A77" w14:textId="77777777" w:rsidTr="00D053AF">
        <w:trPr>
          <w:trHeight w:val="230"/>
        </w:trPr>
        <w:tc>
          <w:tcPr>
            <w:tcW w:w="0" w:type="auto"/>
          </w:tcPr>
          <w:p w14:paraId="2341F875" w14:textId="77777777" w:rsidR="00C0784A" w:rsidRPr="00C0784A" w:rsidRDefault="00C0784A" w:rsidP="00C0784A">
            <w:pPr>
              <w:spacing w:line="259" w:lineRule="auto"/>
              <w:ind w:left="154"/>
            </w:pPr>
            <w:r w:rsidRPr="00C0784A">
              <w:t>Medicaid</w:t>
            </w:r>
          </w:p>
        </w:tc>
        <w:tc>
          <w:tcPr>
            <w:tcW w:w="0" w:type="auto"/>
          </w:tcPr>
          <w:p w14:paraId="34E55BD9" w14:textId="77777777" w:rsidR="00C0784A" w:rsidRPr="00C0784A" w:rsidRDefault="00C0784A" w:rsidP="00C0784A">
            <w:pPr>
              <w:spacing w:line="259" w:lineRule="auto"/>
            </w:pPr>
            <w:r w:rsidRPr="00C0784A">
              <w:t>9 (64.29)</w:t>
            </w:r>
          </w:p>
        </w:tc>
        <w:tc>
          <w:tcPr>
            <w:tcW w:w="0" w:type="auto"/>
          </w:tcPr>
          <w:p w14:paraId="5E016846" w14:textId="77777777" w:rsidR="00C0784A" w:rsidRPr="00C0784A" w:rsidRDefault="00C0784A" w:rsidP="00C0784A">
            <w:pPr>
              <w:spacing w:line="259" w:lineRule="auto"/>
            </w:pPr>
            <w:r w:rsidRPr="00C0784A">
              <w:t>11 (100)</w:t>
            </w:r>
          </w:p>
        </w:tc>
      </w:tr>
      <w:tr w:rsidR="00C0784A" w:rsidRPr="00C0784A" w14:paraId="39A465DE" w14:textId="77777777" w:rsidTr="00D053AF">
        <w:trPr>
          <w:trHeight w:val="230"/>
        </w:trPr>
        <w:tc>
          <w:tcPr>
            <w:tcW w:w="0" w:type="auto"/>
          </w:tcPr>
          <w:p w14:paraId="5E71DCCB" w14:textId="77777777" w:rsidR="00C0784A" w:rsidRPr="00C0784A" w:rsidRDefault="00C0784A" w:rsidP="00C0784A">
            <w:pPr>
              <w:spacing w:line="259" w:lineRule="auto"/>
              <w:ind w:left="154"/>
            </w:pPr>
            <w:r w:rsidRPr="00C0784A">
              <w:t>Military</w:t>
            </w:r>
          </w:p>
        </w:tc>
        <w:tc>
          <w:tcPr>
            <w:tcW w:w="0" w:type="auto"/>
          </w:tcPr>
          <w:p w14:paraId="5130316F" w14:textId="77777777" w:rsidR="00C0784A" w:rsidRPr="00C0784A" w:rsidRDefault="00C0784A" w:rsidP="00C0784A">
            <w:pPr>
              <w:spacing w:line="259" w:lineRule="auto"/>
            </w:pPr>
            <w:r w:rsidRPr="00C0784A">
              <w:t>2 (14.3)</w:t>
            </w:r>
          </w:p>
        </w:tc>
        <w:tc>
          <w:tcPr>
            <w:tcW w:w="0" w:type="auto"/>
          </w:tcPr>
          <w:p w14:paraId="40E5596C" w14:textId="77777777" w:rsidR="00C0784A" w:rsidRPr="00C0784A" w:rsidRDefault="00C0784A" w:rsidP="00C0784A">
            <w:pPr>
              <w:spacing w:line="259" w:lineRule="auto"/>
            </w:pPr>
            <w:r w:rsidRPr="00C0784A">
              <w:t>0 (0)</w:t>
            </w:r>
          </w:p>
        </w:tc>
      </w:tr>
      <w:tr w:rsidR="00C0784A" w:rsidRPr="00C0784A" w14:paraId="16991F75" w14:textId="77777777" w:rsidTr="00D053AF">
        <w:trPr>
          <w:trHeight w:val="219"/>
        </w:trPr>
        <w:tc>
          <w:tcPr>
            <w:tcW w:w="0" w:type="auto"/>
          </w:tcPr>
          <w:p w14:paraId="72E4C31F" w14:textId="77777777" w:rsidR="00C0784A" w:rsidRPr="00C0784A" w:rsidRDefault="00C0784A" w:rsidP="00C0784A">
            <w:pPr>
              <w:spacing w:line="259" w:lineRule="auto"/>
              <w:ind w:left="154"/>
            </w:pPr>
            <w:r w:rsidRPr="00C0784A">
              <w:t>Self-pay</w:t>
            </w:r>
          </w:p>
        </w:tc>
        <w:tc>
          <w:tcPr>
            <w:tcW w:w="0" w:type="auto"/>
          </w:tcPr>
          <w:p w14:paraId="4D1E756C" w14:textId="77777777" w:rsidR="00C0784A" w:rsidRPr="00C0784A" w:rsidRDefault="00C0784A" w:rsidP="00C0784A">
            <w:pPr>
              <w:spacing w:line="259" w:lineRule="auto"/>
            </w:pPr>
            <w:r w:rsidRPr="00C0784A">
              <w:t>0 (0)</w:t>
            </w:r>
          </w:p>
        </w:tc>
        <w:tc>
          <w:tcPr>
            <w:tcW w:w="0" w:type="auto"/>
          </w:tcPr>
          <w:p w14:paraId="248B7F23" w14:textId="77777777" w:rsidR="00C0784A" w:rsidRPr="00C0784A" w:rsidRDefault="00C0784A" w:rsidP="00C0784A">
            <w:pPr>
              <w:spacing w:line="259" w:lineRule="auto"/>
            </w:pPr>
            <w:r w:rsidRPr="00C0784A">
              <w:t>0 (0)</w:t>
            </w:r>
          </w:p>
        </w:tc>
      </w:tr>
      <w:tr w:rsidR="00C0784A" w:rsidRPr="00C0784A" w14:paraId="13100B5D" w14:textId="77777777" w:rsidTr="00D053AF">
        <w:trPr>
          <w:trHeight w:val="219"/>
        </w:trPr>
        <w:tc>
          <w:tcPr>
            <w:tcW w:w="0" w:type="auto"/>
          </w:tcPr>
          <w:p w14:paraId="64883A59" w14:textId="4F46768A" w:rsidR="00C0784A" w:rsidRPr="00C0784A" w:rsidRDefault="0075188F" w:rsidP="0075188F">
            <w:r>
              <w:t>Parent/caregiver employment:</w:t>
            </w:r>
          </w:p>
        </w:tc>
        <w:tc>
          <w:tcPr>
            <w:tcW w:w="0" w:type="auto"/>
          </w:tcPr>
          <w:p w14:paraId="59334910" w14:textId="77777777" w:rsidR="00C0784A" w:rsidRPr="00C0784A" w:rsidRDefault="00C0784A" w:rsidP="00C0784A"/>
        </w:tc>
        <w:tc>
          <w:tcPr>
            <w:tcW w:w="0" w:type="auto"/>
          </w:tcPr>
          <w:p w14:paraId="1F86D7C3" w14:textId="77777777" w:rsidR="00C0784A" w:rsidRPr="00C0784A" w:rsidRDefault="00C0784A" w:rsidP="00C0784A"/>
        </w:tc>
      </w:tr>
      <w:tr w:rsidR="001033E8" w:rsidRPr="00C0784A" w14:paraId="7A38C139" w14:textId="77777777" w:rsidTr="00D053AF">
        <w:trPr>
          <w:trHeight w:val="219"/>
        </w:trPr>
        <w:tc>
          <w:tcPr>
            <w:tcW w:w="0" w:type="auto"/>
          </w:tcPr>
          <w:p w14:paraId="5C026108" w14:textId="560C7011" w:rsidR="001033E8" w:rsidRPr="00C0784A" w:rsidRDefault="0075188F" w:rsidP="00BD35A1">
            <w:pPr>
              <w:ind w:left="154"/>
            </w:pPr>
            <w:r>
              <w:t xml:space="preserve">No work </w:t>
            </w:r>
          </w:p>
        </w:tc>
        <w:tc>
          <w:tcPr>
            <w:tcW w:w="0" w:type="auto"/>
          </w:tcPr>
          <w:p w14:paraId="62516385" w14:textId="36342A9D" w:rsidR="001033E8" w:rsidRPr="00C0784A" w:rsidRDefault="00BD35A1" w:rsidP="00C0784A">
            <w:r>
              <w:t>4 (28.6)</w:t>
            </w:r>
          </w:p>
        </w:tc>
        <w:tc>
          <w:tcPr>
            <w:tcW w:w="0" w:type="auto"/>
          </w:tcPr>
          <w:p w14:paraId="6763C992" w14:textId="50B8E387" w:rsidR="001033E8" w:rsidRPr="00C0784A" w:rsidRDefault="00BD35A1" w:rsidP="00C0784A">
            <w:r>
              <w:t>5 (45.5)</w:t>
            </w:r>
          </w:p>
        </w:tc>
      </w:tr>
      <w:tr w:rsidR="001033E8" w:rsidRPr="00C0784A" w14:paraId="01650D04" w14:textId="77777777" w:rsidTr="00D053AF">
        <w:trPr>
          <w:trHeight w:val="219"/>
        </w:trPr>
        <w:tc>
          <w:tcPr>
            <w:tcW w:w="0" w:type="auto"/>
          </w:tcPr>
          <w:p w14:paraId="39CE80E7" w14:textId="395C7150" w:rsidR="001033E8" w:rsidRPr="00C0784A" w:rsidRDefault="0075188F" w:rsidP="00BD35A1">
            <w:pPr>
              <w:ind w:left="154"/>
            </w:pPr>
            <w:r>
              <w:t xml:space="preserve">Full time </w:t>
            </w:r>
          </w:p>
        </w:tc>
        <w:tc>
          <w:tcPr>
            <w:tcW w:w="0" w:type="auto"/>
          </w:tcPr>
          <w:p w14:paraId="4233FE0D" w14:textId="2A73D5D1" w:rsidR="001033E8" w:rsidRPr="00C0784A" w:rsidRDefault="00BD35A1" w:rsidP="00C0784A">
            <w:r>
              <w:t>7 (50)</w:t>
            </w:r>
          </w:p>
        </w:tc>
        <w:tc>
          <w:tcPr>
            <w:tcW w:w="0" w:type="auto"/>
          </w:tcPr>
          <w:p w14:paraId="5FA61449" w14:textId="71CF7A55" w:rsidR="001033E8" w:rsidRPr="00C0784A" w:rsidRDefault="00BD35A1" w:rsidP="00C0784A">
            <w:r>
              <w:t>2 (18.2)</w:t>
            </w:r>
          </w:p>
        </w:tc>
      </w:tr>
      <w:tr w:rsidR="001033E8" w:rsidRPr="00C0784A" w14:paraId="01599161" w14:textId="77777777" w:rsidTr="00D053AF">
        <w:trPr>
          <w:trHeight w:val="219"/>
        </w:trPr>
        <w:tc>
          <w:tcPr>
            <w:tcW w:w="0" w:type="auto"/>
          </w:tcPr>
          <w:p w14:paraId="10862348" w14:textId="273C43FC" w:rsidR="001033E8" w:rsidRPr="00C0784A" w:rsidRDefault="0075188F" w:rsidP="00BD35A1">
            <w:pPr>
              <w:ind w:left="154"/>
            </w:pPr>
            <w:r>
              <w:t xml:space="preserve">Part time </w:t>
            </w:r>
          </w:p>
        </w:tc>
        <w:tc>
          <w:tcPr>
            <w:tcW w:w="0" w:type="auto"/>
          </w:tcPr>
          <w:p w14:paraId="05042A25" w14:textId="4E08F43C" w:rsidR="001033E8" w:rsidRPr="00C0784A" w:rsidRDefault="00BD35A1" w:rsidP="00C0784A">
            <w:r>
              <w:t>3 (21.4)</w:t>
            </w:r>
          </w:p>
        </w:tc>
        <w:tc>
          <w:tcPr>
            <w:tcW w:w="0" w:type="auto"/>
          </w:tcPr>
          <w:p w14:paraId="0BD18EA2" w14:textId="7A8520E7" w:rsidR="001033E8" w:rsidRPr="00C0784A" w:rsidRDefault="00BD35A1" w:rsidP="00C0784A">
            <w:r>
              <w:t>4 (36.4)</w:t>
            </w:r>
          </w:p>
        </w:tc>
      </w:tr>
      <w:tr w:rsidR="001033E8" w:rsidRPr="00C0784A" w14:paraId="48CF1CAD" w14:textId="77777777" w:rsidTr="00D053AF">
        <w:trPr>
          <w:trHeight w:val="219"/>
        </w:trPr>
        <w:tc>
          <w:tcPr>
            <w:tcW w:w="0" w:type="auto"/>
          </w:tcPr>
          <w:p w14:paraId="368882A8" w14:textId="3BE74371" w:rsidR="001033E8" w:rsidRPr="00C0784A" w:rsidRDefault="0075188F" w:rsidP="0075188F">
            <w:r>
              <w:t>Adults in the home:</w:t>
            </w:r>
          </w:p>
        </w:tc>
        <w:tc>
          <w:tcPr>
            <w:tcW w:w="0" w:type="auto"/>
          </w:tcPr>
          <w:p w14:paraId="2E0934BC" w14:textId="77777777" w:rsidR="001033E8" w:rsidRPr="00C0784A" w:rsidRDefault="001033E8" w:rsidP="00C0784A"/>
        </w:tc>
        <w:tc>
          <w:tcPr>
            <w:tcW w:w="0" w:type="auto"/>
          </w:tcPr>
          <w:p w14:paraId="3238D1A3" w14:textId="77777777" w:rsidR="001033E8" w:rsidRPr="00C0784A" w:rsidRDefault="001033E8" w:rsidP="00C0784A"/>
        </w:tc>
      </w:tr>
      <w:tr w:rsidR="001033E8" w:rsidRPr="00C0784A" w14:paraId="0DE5048D" w14:textId="77777777" w:rsidTr="00D053AF">
        <w:trPr>
          <w:trHeight w:val="219"/>
        </w:trPr>
        <w:tc>
          <w:tcPr>
            <w:tcW w:w="0" w:type="auto"/>
          </w:tcPr>
          <w:p w14:paraId="3428F500" w14:textId="048BF03B" w:rsidR="001033E8" w:rsidRPr="00C0784A" w:rsidRDefault="00A35D33" w:rsidP="00BD35A1">
            <w:pPr>
              <w:ind w:left="154"/>
            </w:pPr>
            <w:r>
              <w:t xml:space="preserve">1 </w:t>
            </w:r>
          </w:p>
        </w:tc>
        <w:tc>
          <w:tcPr>
            <w:tcW w:w="0" w:type="auto"/>
          </w:tcPr>
          <w:p w14:paraId="224BE328" w14:textId="078BAF60" w:rsidR="001033E8" w:rsidRPr="00C0784A" w:rsidRDefault="00BD35A1" w:rsidP="00BD35A1">
            <w:r>
              <w:t>3 (21.4)</w:t>
            </w:r>
          </w:p>
        </w:tc>
        <w:tc>
          <w:tcPr>
            <w:tcW w:w="0" w:type="auto"/>
          </w:tcPr>
          <w:p w14:paraId="54564D6C" w14:textId="5939C7B2" w:rsidR="001033E8" w:rsidRPr="00C0784A" w:rsidRDefault="00BD35A1" w:rsidP="00BD35A1">
            <w:r>
              <w:t>5 (45.5)</w:t>
            </w:r>
          </w:p>
        </w:tc>
      </w:tr>
      <w:tr w:rsidR="001033E8" w:rsidRPr="00C0784A" w14:paraId="6E2ED0B4" w14:textId="77777777" w:rsidTr="00D053AF">
        <w:trPr>
          <w:trHeight w:val="219"/>
        </w:trPr>
        <w:tc>
          <w:tcPr>
            <w:tcW w:w="0" w:type="auto"/>
          </w:tcPr>
          <w:p w14:paraId="0ABC6877" w14:textId="1A05B750" w:rsidR="001033E8" w:rsidRPr="00C0784A" w:rsidRDefault="00A35D33" w:rsidP="00BD35A1">
            <w:pPr>
              <w:ind w:left="154"/>
            </w:pPr>
            <w:r>
              <w:t xml:space="preserve">2 </w:t>
            </w:r>
          </w:p>
        </w:tc>
        <w:tc>
          <w:tcPr>
            <w:tcW w:w="0" w:type="auto"/>
          </w:tcPr>
          <w:p w14:paraId="79005460" w14:textId="685629E3" w:rsidR="001033E8" w:rsidRPr="00C0784A" w:rsidRDefault="00BD35A1" w:rsidP="00BD35A1">
            <w:r>
              <w:t>11 (78.6)</w:t>
            </w:r>
          </w:p>
        </w:tc>
        <w:tc>
          <w:tcPr>
            <w:tcW w:w="0" w:type="auto"/>
          </w:tcPr>
          <w:p w14:paraId="1CB1DB17" w14:textId="23696E38" w:rsidR="001033E8" w:rsidRPr="00C0784A" w:rsidRDefault="00BD35A1" w:rsidP="00BD35A1">
            <w:r>
              <w:t>5 (45.5)</w:t>
            </w:r>
          </w:p>
        </w:tc>
      </w:tr>
      <w:tr w:rsidR="001033E8" w:rsidRPr="00C0784A" w14:paraId="78A68B15" w14:textId="77777777" w:rsidTr="00D053AF">
        <w:trPr>
          <w:trHeight w:val="219"/>
        </w:trPr>
        <w:tc>
          <w:tcPr>
            <w:tcW w:w="0" w:type="auto"/>
          </w:tcPr>
          <w:p w14:paraId="5A9D6CA4" w14:textId="3A32514E" w:rsidR="001033E8" w:rsidRPr="00C0784A" w:rsidRDefault="00A35D33" w:rsidP="00BD35A1">
            <w:pPr>
              <w:ind w:left="154"/>
            </w:pPr>
            <w:r>
              <w:t xml:space="preserve">3 </w:t>
            </w:r>
          </w:p>
        </w:tc>
        <w:tc>
          <w:tcPr>
            <w:tcW w:w="0" w:type="auto"/>
          </w:tcPr>
          <w:p w14:paraId="645DA3CC" w14:textId="3765E4AB" w:rsidR="001033E8" w:rsidRPr="00C0784A" w:rsidRDefault="00BD35A1" w:rsidP="00BD35A1">
            <w:r>
              <w:t>0 (0)</w:t>
            </w:r>
          </w:p>
        </w:tc>
        <w:tc>
          <w:tcPr>
            <w:tcW w:w="0" w:type="auto"/>
          </w:tcPr>
          <w:p w14:paraId="7761A93D" w14:textId="175A857E" w:rsidR="001033E8" w:rsidRPr="00C0784A" w:rsidRDefault="00BD35A1" w:rsidP="00BD35A1">
            <w:r>
              <w:t>1 (9.1)</w:t>
            </w:r>
          </w:p>
        </w:tc>
      </w:tr>
      <w:tr w:rsidR="00A35D33" w:rsidRPr="00C0784A" w14:paraId="7E1B3EDC" w14:textId="77777777" w:rsidTr="00D053AF">
        <w:trPr>
          <w:trHeight w:val="219"/>
        </w:trPr>
        <w:tc>
          <w:tcPr>
            <w:tcW w:w="0" w:type="auto"/>
          </w:tcPr>
          <w:p w14:paraId="3EF6B073" w14:textId="47D937BA" w:rsidR="00A35D33" w:rsidRDefault="00A35D33" w:rsidP="00BD35A1">
            <w:r>
              <w:t>Children in the home:</w:t>
            </w:r>
          </w:p>
        </w:tc>
        <w:tc>
          <w:tcPr>
            <w:tcW w:w="0" w:type="auto"/>
          </w:tcPr>
          <w:p w14:paraId="18DBFE20" w14:textId="77777777" w:rsidR="00A35D33" w:rsidRPr="00C0784A" w:rsidRDefault="00A35D33" w:rsidP="00BD35A1"/>
        </w:tc>
        <w:tc>
          <w:tcPr>
            <w:tcW w:w="0" w:type="auto"/>
          </w:tcPr>
          <w:p w14:paraId="4AB0DD01" w14:textId="77777777" w:rsidR="00A35D33" w:rsidRPr="00C0784A" w:rsidRDefault="00A35D33" w:rsidP="00BD35A1"/>
        </w:tc>
      </w:tr>
      <w:tr w:rsidR="00A35D33" w:rsidRPr="00C0784A" w14:paraId="1BF1DAA8" w14:textId="77777777" w:rsidTr="00D053AF">
        <w:trPr>
          <w:trHeight w:val="219"/>
        </w:trPr>
        <w:tc>
          <w:tcPr>
            <w:tcW w:w="0" w:type="auto"/>
          </w:tcPr>
          <w:p w14:paraId="1CDDC51A" w14:textId="778FF7A4" w:rsidR="00A35D33" w:rsidRDefault="00BD35A1" w:rsidP="00BD35A1">
            <w:pPr>
              <w:ind w:left="154"/>
            </w:pPr>
            <w:r>
              <w:t xml:space="preserve">1 </w:t>
            </w:r>
          </w:p>
        </w:tc>
        <w:tc>
          <w:tcPr>
            <w:tcW w:w="0" w:type="auto"/>
          </w:tcPr>
          <w:p w14:paraId="02DF42F3" w14:textId="691C3AC6" w:rsidR="00A35D33" w:rsidRPr="00C0784A" w:rsidRDefault="00BD35A1" w:rsidP="00BD35A1">
            <w:r>
              <w:t>6 (42.9)</w:t>
            </w:r>
          </w:p>
        </w:tc>
        <w:tc>
          <w:tcPr>
            <w:tcW w:w="0" w:type="auto"/>
          </w:tcPr>
          <w:p w14:paraId="4A182936" w14:textId="6B3FF4CF" w:rsidR="00A35D33" w:rsidRPr="00C0784A" w:rsidRDefault="00BD35A1" w:rsidP="00BD35A1">
            <w:r>
              <w:t>3 (27.3)</w:t>
            </w:r>
          </w:p>
        </w:tc>
      </w:tr>
      <w:tr w:rsidR="00A35D33" w:rsidRPr="00C0784A" w14:paraId="42C5231E" w14:textId="77777777" w:rsidTr="00D053AF">
        <w:trPr>
          <w:trHeight w:val="219"/>
        </w:trPr>
        <w:tc>
          <w:tcPr>
            <w:tcW w:w="0" w:type="auto"/>
          </w:tcPr>
          <w:p w14:paraId="26E0C222" w14:textId="1955E5D0" w:rsidR="00A35D33" w:rsidRDefault="00BD35A1" w:rsidP="00BD35A1">
            <w:pPr>
              <w:ind w:left="154"/>
            </w:pPr>
            <w:r>
              <w:t xml:space="preserve">2 </w:t>
            </w:r>
          </w:p>
        </w:tc>
        <w:tc>
          <w:tcPr>
            <w:tcW w:w="0" w:type="auto"/>
          </w:tcPr>
          <w:p w14:paraId="1784545E" w14:textId="0F5E2DF0" w:rsidR="00A35D33" w:rsidRPr="00C0784A" w:rsidRDefault="00BD35A1" w:rsidP="00BD35A1">
            <w:r>
              <w:t>4 (28.6)</w:t>
            </w:r>
          </w:p>
        </w:tc>
        <w:tc>
          <w:tcPr>
            <w:tcW w:w="0" w:type="auto"/>
          </w:tcPr>
          <w:p w14:paraId="4AA54E99" w14:textId="31667931" w:rsidR="00A35D33" w:rsidRPr="00C0784A" w:rsidRDefault="00BD35A1" w:rsidP="00BD35A1">
            <w:r>
              <w:t>3 (27.3)</w:t>
            </w:r>
          </w:p>
        </w:tc>
      </w:tr>
      <w:tr w:rsidR="00A35D33" w:rsidRPr="00C0784A" w14:paraId="61208B2E" w14:textId="77777777" w:rsidTr="00D053AF">
        <w:trPr>
          <w:trHeight w:val="219"/>
        </w:trPr>
        <w:tc>
          <w:tcPr>
            <w:tcW w:w="0" w:type="auto"/>
          </w:tcPr>
          <w:p w14:paraId="6D57B7E9" w14:textId="44897B60" w:rsidR="00A35D33" w:rsidRDefault="00BD35A1" w:rsidP="00BD35A1">
            <w:pPr>
              <w:ind w:left="154"/>
            </w:pPr>
            <w:r>
              <w:t xml:space="preserve">3 </w:t>
            </w:r>
          </w:p>
        </w:tc>
        <w:tc>
          <w:tcPr>
            <w:tcW w:w="0" w:type="auto"/>
          </w:tcPr>
          <w:p w14:paraId="59375EF4" w14:textId="694EE45E" w:rsidR="00A35D33" w:rsidRPr="00C0784A" w:rsidRDefault="00BD35A1" w:rsidP="00BD35A1">
            <w:r>
              <w:t>2 (14.3)</w:t>
            </w:r>
          </w:p>
        </w:tc>
        <w:tc>
          <w:tcPr>
            <w:tcW w:w="0" w:type="auto"/>
          </w:tcPr>
          <w:p w14:paraId="3C42937A" w14:textId="03A94919" w:rsidR="00A35D33" w:rsidRPr="00C0784A" w:rsidRDefault="00BD35A1" w:rsidP="00BD35A1">
            <w:r>
              <w:t>4 (36.4)</w:t>
            </w:r>
          </w:p>
        </w:tc>
      </w:tr>
      <w:tr w:rsidR="00A35D33" w:rsidRPr="00C0784A" w14:paraId="48A325A0" w14:textId="77777777" w:rsidTr="00D053AF">
        <w:trPr>
          <w:trHeight w:val="219"/>
        </w:trPr>
        <w:tc>
          <w:tcPr>
            <w:tcW w:w="0" w:type="auto"/>
          </w:tcPr>
          <w:p w14:paraId="47AA7F22" w14:textId="2B30C276" w:rsidR="00A35D33" w:rsidRDefault="00BD35A1" w:rsidP="00BD35A1">
            <w:pPr>
              <w:ind w:left="154"/>
            </w:pPr>
            <w:r>
              <w:t xml:space="preserve">4 </w:t>
            </w:r>
          </w:p>
        </w:tc>
        <w:tc>
          <w:tcPr>
            <w:tcW w:w="0" w:type="auto"/>
          </w:tcPr>
          <w:p w14:paraId="72DC1A95" w14:textId="08A0E6FD" w:rsidR="00A35D33" w:rsidRPr="00C0784A" w:rsidRDefault="00BD35A1" w:rsidP="00BD35A1">
            <w:r>
              <w:t>2 (14.3)</w:t>
            </w:r>
          </w:p>
        </w:tc>
        <w:tc>
          <w:tcPr>
            <w:tcW w:w="0" w:type="auto"/>
          </w:tcPr>
          <w:p w14:paraId="00F4C12A" w14:textId="3A5A906C" w:rsidR="00A35D33" w:rsidRPr="00C0784A" w:rsidRDefault="00BD35A1" w:rsidP="00BD35A1">
            <w:r>
              <w:t>0 (0)</w:t>
            </w:r>
          </w:p>
        </w:tc>
      </w:tr>
      <w:tr w:rsidR="00A35D33" w:rsidRPr="00C0784A" w14:paraId="6A3791FE" w14:textId="77777777" w:rsidTr="00D053AF">
        <w:trPr>
          <w:trHeight w:val="219"/>
        </w:trPr>
        <w:tc>
          <w:tcPr>
            <w:tcW w:w="0" w:type="auto"/>
          </w:tcPr>
          <w:p w14:paraId="24E48DBF" w14:textId="3C126519" w:rsidR="00A35D33" w:rsidRDefault="00BD35A1" w:rsidP="00BD35A1">
            <w:pPr>
              <w:ind w:left="154"/>
            </w:pPr>
            <w:r>
              <w:t xml:space="preserve">5 </w:t>
            </w:r>
          </w:p>
        </w:tc>
        <w:tc>
          <w:tcPr>
            <w:tcW w:w="0" w:type="auto"/>
          </w:tcPr>
          <w:p w14:paraId="6F1E9719" w14:textId="28BD4979" w:rsidR="00A35D33" w:rsidRPr="00C0784A" w:rsidRDefault="00BD35A1" w:rsidP="00BD35A1">
            <w:r>
              <w:t>0 (0)</w:t>
            </w:r>
          </w:p>
        </w:tc>
        <w:tc>
          <w:tcPr>
            <w:tcW w:w="0" w:type="auto"/>
          </w:tcPr>
          <w:p w14:paraId="03979B90" w14:textId="14F63673" w:rsidR="00A35D33" w:rsidRPr="00C0784A" w:rsidRDefault="00BD35A1" w:rsidP="00BD35A1">
            <w:r>
              <w:t>1 (9.1)</w:t>
            </w:r>
          </w:p>
        </w:tc>
      </w:tr>
    </w:tbl>
    <w:p w14:paraId="3879D940" w14:textId="7586222E" w:rsidR="00C0784A" w:rsidRPr="005463AB" w:rsidRDefault="00BD35A1" w:rsidP="00BD35A1">
      <w:r>
        <w:rPr>
          <w:sz w:val="16"/>
          <w:szCs w:val="16"/>
        </w:rPr>
        <w:t xml:space="preserve">SD </w:t>
      </w:r>
      <w:r>
        <w:rPr>
          <w:rFonts w:ascii="MathematicalPiLTStd" w:hAnsi="MathematicalPiLTStd" w:cs="MathematicalPiLTStd"/>
          <w:sz w:val="16"/>
          <w:szCs w:val="16"/>
        </w:rPr>
        <w:t xml:space="preserve">= </w:t>
      </w:r>
      <w:r>
        <w:rPr>
          <w:sz w:val="16"/>
          <w:szCs w:val="16"/>
        </w:rPr>
        <w:t>standard deviation.</w:t>
      </w:r>
    </w:p>
    <w:p w14:paraId="3D7E1766" w14:textId="6CC378D9" w:rsidR="005463AB" w:rsidRPr="005463AB" w:rsidRDefault="005463AB" w:rsidP="005463AB">
      <w:r w:rsidRPr="00933605">
        <w:t>Table 2</w:t>
      </w:r>
      <w:r>
        <w:t> presents the mean scores on the two outcome measures. Unadjusted means are reported as well as adjusted means after weighting for co-variates. Scale scores for parents in both groups were at the higher end of the QDTS-D (&gt;8 out of 10) and near the center point of the CTM scale (2.4–3 on a 1–4 scale). Scores on both the QDTS-D and CTM were higher for usual care/comparison group parents than </w:t>
      </w:r>
      <w:proofErr w:type="spellStart"/>
      <w:r w:rsidRPr="4623802F">
        <w:rPr>
          <w:i/>
          <w:iCs/>
        </w:rPr>
        <w:t>e</w:t>
      </w:r>
      <w:r>
        <w:t>PED</w:t>
      </w:r>
      <w:proofErr w:type="spellEnd"/>
      <w:r>
        <w:t xml:space="preserve"> parents.</w:t>
      </w:r>
    </w:p>
    <w:p w14:paraId="259A11F1" w14:textId="36FE7C12" w:rsidR="00FE0E4D" w:rsidRPr="00FE0E4D" w:rsidRDefault="005463AB" w:rsidP="00D053AF">
      <w:pPr>
        <w:spacing w:after="0"/>
      </w:pPr>
      <w:r w:rsidRPr="005463AB">
        <w:rPr>
          <w:b/>
          <w:bCs/>
        </w:rPr>
        <w:t>Table 2.</w:t>
      </w:r>
      <w:r w:rsidRPr="005463AB">
        <w:t xml:space="preserve"> Comparison of the Parent Experience Outcomes for the </w:t>
      </w:r>
      <w:proofErr w:type="spellStart"/>
      <w:r w:rsidRPr="005463AB">
        <w:t>ePED</w:t>
      </w:r>
      <w:proofErr w:type="spellEnd"/>
      <w:r w:rsidRPr="005463AB">
        <w:t xml:space="preserve"> and the non-</w:t>
      </w:r>
      <w:proofErr w:type="spellStart"/>
      <w:r w:rsidRPr="005463AB">
        <w:t>ePED</w:t>
      </w:r>
      <w:proofErr w:type="spellEnd"/>
      <w:r w:rsidRPr="005463AB">
        <w:t xml:space="preserve"> Parent Groups.</w:t>
      </w:r>
    </w:p>
    <w:tbl>
      <w:tblPr>
        <w:tblStyle w:val="TableGrid"/>
        <w:tblW w:w="0" w:type="auto"/>
        <w:tblLook w:val="0020" w:firstRow="1" w:lastRow="0" w:firstColumn="0" w:lastColumn="0" w:noHBand="0" w:noVBand="0"/>
      </w:tblPr>
      <w:tblGrid>
        <w:gridCol w:w="2965"/>
        <w:gridCol w:w="3780"/>
        <w:gridCol w:w="3325"/>
      </w:tblGrid>
      <w:tr w:rsidR="00FE0E4D" w:rsidRPr="00FE0E4D" w14:paraId="2E5D4551" w14:textId="77777777" w:rsidTr="00D14BEC">
        <w:trPr>
          <w:trHeight w:val="492"/>
        </w:trPr>
        <w:tc>
          <w:tcPr>
            <w:tcW w:w="2965" w:type="dxa"/>
          </w:tcPr>
          <w:p w14:paraId="22AF0838" w14:textId="77777777" w:rsidR="00FE0E4D" w:rsidRPr="00FE0E4D" w:rsidRDefault="00FE0E4D" w:rsidP="00FE0E4D">
            <w:pPr>
              <w:spacing w:line="259" w:lineRule="auto"/>
            </w:pPr>
          </w:p>
        </w:tc>
        <w:tc>
          <w:tcPr>
            <w:tcW w:w="3780" w:type="dxa"/>
          </w:tcPr>
          <w:p w14:paraId="2FDB12A1" w14:textId="77777777" w:rsidR="00FE0E4D" w:rsidRPr="00FE0E4D" w:rsidRDefault="00FE0E4D" w:rsidP="00FE0E4D">
            <w:pPr>
              <w:spacing w:line="259" w:lineRule="auto"/>
            </w:pPr>
            <w:proofErr w:type="spellStart"/>
            <w:r w:rsidRPr="00FE0E4D">
              <w:rPr>
                <w:i/>
                <w:iCs/>
              </w:rPr>
              <w:t>e</w:t>
            </w:r>
            <w:r w:rsidRPr="00FE0E4D">
              <w:t>PED</w:t>
            </w:r>
            <w:proofErr w:type="spellEnd"/>
            <w:r w:rsidRPr="00FE0E4D">
              <w:t xml:space="preserve"> Group (n = 14) Mean (</w:t>
            </w:r>
            <w:r w:rsidRPr="00FE0E4D">
              <w:rPr>
                <w:i/>
                <w:iCs/>
              </w:rPr>
              <w:t>SD</w:t>
            </w:r>
            <w:r w:rsidRPr="00FE0E4D">
              <w:t>) (Min–Max)</w:t>
            </w:r>
          </w:p>
        </w:tc>
        <w:tc>
          <w:tcPr>
            <w:tcW w:w="3325" w:type="dxa"/>
          </w:tcPr>
          <w:p w14:paraId="02666C81" w14:textId="77777777" w:rsidR="00FE0E4D" w:rsidRPr="00FE0E4D" w:rsidRDefault="00FE0E4D" w:rsidP="00FE0E4D">
            <w:pPr>
              <w:spacing w:line="259" w:lineRule="auto"/>
            </w:pPr>
            <w:r w:rsidRPr="00FE0E4D">
              <w:t>Non-</w:t>
            </w:r>
            <w:proofErr w:type="spellStart"/>
            <w:r w:rsidRPr="00FE0E4D">
              <w:rPr>
                <w:i/>
                <w:iCs/>
              </w:rPr>
              <w:t>e</w:t>
            </w:r>
            <w:r w:rsidRPr="00FE0E4D">
              <w:t>PED</w:t>
            </w:r>
            <w:proofErr w:type="spellEnd"/>
            <w:r w:rsidRPr="00FE0E4D">
              <w:t xml:space="preserve"> Group (n = 11) Mean (</w:t>
            </w:r>
            <w:r w:rsidRPr="00FE0E4D">
              <w:rPr>
                <w:i/>
                <w:iCs/>
              </w:rPr>
              <w:t>SD</w:t>
            </w:r>
            <w:r w:rsidRPr="00FE0E4D">
              <w:t>) (Min–Max)</w:t>
            </w:r>
          </w:p>
        </w:tc>
      </w:tr>
      <w:tr w:rsidR="00FE0E4D" w:rsidRPr="00FE0E4D" w14:paraId="73F406F4" w14:textId="77777777" w:rsidTr="00D14BEC">
        <w:trPr>
          <w:trHeight w:val="272"/>
        </w:trPr>
        <w:tc>
          <w:tcPr>
            <w:tcW w:w="2965" w:type="dxa"/>
          </w:tcPr>
          <w:p w14:paraId="4B38ED99" w14:textId="77777777" w:rsidR="00FE0E4D" w:rsidRPr="00FE0E4D" w:rsidRDefault="00FE0E4D" w:rsidP="00FE0E4D">
            <w:pPr>
              <w:spacing w:line="259" w:lineRule="auto"/>
            </w:pPr>
            <w:r w:rsidRPr="00FE0E4D">
              <w:t>QDTS-D unadjusted</w:t>
            </w:r>
          </w:p>
        </w:tc>
        <w:tc>
          <w:tcPr>
            <w:tcW w:w="3780" w:type="dxa"/>
          </w:tcPr>
          <w:p w14:paraId="61FFE7C3" w14:textId="77777777" w:rsidR="00FE0E4D" w:rsidRPr="00FE0E4D" w:rsidRDefault="00FE0E4D" w:rsidP="00FE0E4D">
            <w:pPr>
              <w:spacing w:line="259" w:lineRule="auto"/>
            </w:pPr>
            <w:r w:rsidRPr="00FE0E4D">
              <w:t>8.2 (3.1) (0–10)</w:t>
            </w:r>
          </w:p>
        </w:tc>
        <w:tc>
          <w:tcPr>
            <w:tcW w:w="3325" w:type="dxa"/>
          </w:tcPr>
          <w:p w14:paraId="316B143C" w14:textId="77777777" w:rsidR="00FE0E4D" w:rsidRPr="00FE0E4D" w:rsidRDefault="00FE0E4D" w:rsidP="00FE0E4D">
            <w:pPr>
              <w:spacing w:line="259" w:lineRule="auto"/>
            </w:pPr>
            <w:r w:rsidRPr="00FE0E4D">
              <w:t>9.6 (4.7) (8.75–10)</w:t>
            </w:r>
          </w:p>
        </w:tc>
      </w:tr>
      <w:tr w:rsidR="00FE0E4D" w:rsidRPr="00FE0E4D" w14:paraId="46C4F595" w14:textId="77777777" w:rsidTr="00D14BEC">
        <w:trPr>
          <w:trHeight w:val="220"/>
        </w:trPr>
        <w:tc>
          <w:tcPr>
            <w:tcW w:w="2965" w:type="dxa"/>
          </w:tcPr>
          <w:p w14:paraId="73BBB194" w14:textId="77777777" w:rsidR="00FE0E4D" w:rsidRPr="00FE0E4D" w:rsidRDefault="00FE0E4D" w:rsidP="00FE0E4D">
            <w:pPr>
              <w:spacing w:line="259" w:lineRule="auto"/>
            </w:pPr>
            <w:r w:rsidRPr="00FE0E4D">
              <w:t>adjusted*</w:t>
            </w:r>
          </w:p>
        </w:tc>
        <w:tc>
          <w:tcPr>
            <w:tcW w:w="3780" w:type="dxa"/>
          </w:tcPr>
          <w:p w14:paraId="02986D2F" w14:textId="77777777" w:rsidR="00FE0E4D" w:rsidRPr="00FE0E4D" w:rsidRDefault="00FE0E4D" w:rsidP="00FE0E4D">
            <w:pPr>
              <w:spacing w:line="259" w:lineRule="auto"/>
            </w:pPr>
            <w:r w:rsidRPr="00FE0E4D">
              <w:t>8.05 (1.04)</w:t>
            </w:r>
          </w:p>
        </w:tc>
        <w:tc>
          <w:tcPr>
            <w:tcW w:w="3325" w:type="dxa"/>
          </w:tcPr>
          <w:p w14:paraId="2CA165A3" w14:textId="77777777" w:rsidR="00FE0E4D" w:rsidRPr="00FE0E4D" w:rsidRDefault="00FE0E4D" w:rsidP="00FE0E4D">
            <w:pPr>
              <w:spacing w:line="259" w:lineRule="auto"/>
            </w:pPr>
            <w:r w:rsidRPr="00FE0E4D">
              <w:t>9.74 (0.29)</w:t>
            </w:r>
          </w:p>
        </w:tc>
      </w:tr>
      <w:tr w:rsidR="00FE0E4D" w:rsidRPr="00FE0E4D" w14:paraId="1978DF5A" w14:textId="77777777" w:rsidTr="00D14BEC">
        <w:trPr>
          <w:trHeight w:val="220"/>
        </w:trPr>
        <w:tc>
          <w:tcPr>
            <w:tcW w:w="2965" w:type="dxa"/>
          </w:tcPr>
          <w:p w14:paraId="0D0E3E08" w14:textId="77777777" w:rsidR="00FE0E4D" w:rsidRPr="00FE0E4D" w:rsidRDefault="00FE0E4D" w:rsidP="00FE0E4D">
            <w:pPr>
              <w:spacing w:line="259" w:lineRule="auto"/>
            </w:pPr>
            <w:r w:rsidRPr="00FE0E4D">
              <w:t>CTM unadjusted</w:t>
            </w:r>
          </w:p>
        </w:tc>
        <w:tc>
          <w:tcPr>
            <w:tcW w:w="3780" w:type="dxa"/>
          </w:tcPr>
          <w:p w14:paraId="766E77C5" w14:textId="77777777" w:rsidR="00FE0E4D" w:rsidRPr="00FE0E4D" w:rsidRDefault="00FE0E4D" w:rsidP="00FE0E4D">
            <w:pPr>
              <w:spacing w:line="259" w:lineRule="auto"/>
            </w:pPr>
            <w:r w:rsidRPr="00FE0E4D">
              <w:t>2.44 (1.09) (1–4)</w:t>
            </w:r>
          </w:p>
        </w:tc>
        <w:tc>
          <w:tcPr>
            <w:tcW w:w="3325" w:type="dxa"/>
          </w:tcPr>
          <w:p w14:paraId="06F5A99F" w14:textId="77777777" w:rsidR="00FE0E4D" w:rsidRPr="00FE0E4D" w:rsidRDefault="00FE0E4D" w:rsidP="00FE0E4D">
            <w:pPr>
              <w:spacing w:line="259" w:lineRule="auto"/>
            </w:pPr>
            <w:r w:rsidRPr="00FE0E4D">
              <w:t>3.02 (.37) (1–4)</w:t>
            </w:r>
          </w:p>
        </w:tc>
      </w:tr>
      <w:tr w:rsidR="00FE0E4D" w:rsidRPr="00FE0E4D" w14:paraId="7D290407" w14:textId="77777777" w:rsidTr="00D14BEC">
        <w:trPr>
          <w:trHeight w:val="209"/>
        </w:trPr>
        <w:tc>
          <w:tcPr>
            <w:tcW w:w="2965" w:type="dxa"/>
          </w:tcPr>
          <w:p w14:paraId="4D1D4813" w14:textId="77777777" w:rsidR="00FE0E4D" w:rsidRPr="00FE0E4D" w:rsidRDefault="00FE0E4D" w:rsidP="00FE0E4D">
            <w:pPr>
              <w:spacing w:line="259" w:lineRule="auto"/>
            </w:pPr>
            <w:r w:rsidRPr="00FE0E4D">
              <w:t>adjusted*</w:t>
            </w:r>
          </w:p>
        </w:tc>
        <w:tc>
          <w:tcPr>
            <w:tcW w:w="3780" w:type="dxa"/>
          </w:tcPr>
          <w:p w14:paraId="7762EC92" w14:textId="77777777" w:rsidR="00FE0E4D" w:rsidRPr="00FE0E4D" w:rsidRDefault="00FE0E4D" w:rsidP="00FE0E4D">
            <w:pPr>
              <w:spacing w:line="259" w:lineRule="auto"/>
            </w:pPr>
            <w:r w:rsidRPr="00FE0E4D">
              <w:t>2.46 (0.37)</w:t>
            </w:r>
          </w:p>
        </w:tc>
        <w:tc>
          <w:tcPr>
            <w:tcW w:w="3325" w:type="dxa"/>
          </w:tcPr>
          <w:p w14:paraId="291A9DEB" w14:textId="77777777" w:rsidR="00FE0E4D" w:rsidRPr="00FE0E4D" w:rsidRDefault="00FE0E4D" w:rsidP="00FE0E4D">
            <w:pPr>
              <w:spacing w:line="259" w:lineRule="auto"/>
            </w:pPr>
            <w:r w:rsidRPr="00FE0E4D">
              <w:t>2.96 (0.12)</w:t>
            </w:r>
          </w:p>
        </w:tc>
      </w:tr>
    </w:tbl>
    <w:p w14:paraId="569057D2" w14:textId="77777777" w:rsidR="00B4365D" w:rsidRDefault="00B4365D" w:rsidP="00B4365D">
      <w:pPr>
        <w:pStyle w:val="NoSpacing"/>
      </w:pPr>
      <w:r>
        <w:t>Note: Quality of discharge teaching scale-delivery (QDTS-D), Care Transition Measure (CTM).</w:t>
      </w:r>
    </w:p>
    <w:p w14:paraId="607AF256" w14:textId="7A85E508" w:rsidR="005463AB" w:rsidRPr="005463AB" w:rsidRDefault="00B4365D" w:rsidP="00B4365D">
      <w:pPr>
        <w:pStyle w:val="NoSpacing"/>
      </w:pPr>
      <w:r>
        <w:t xml:space="preserve">Adjusted* </w:t>
      </w:r>
      <w:r>
        <w:rPr>
          <w:rFonts w:ascii="MathematicalPiLTStd" w:hAnsi="MathematicalPiLTStd" w:cs="MathematicalPiLTStd"/>
        </w:rPr>
        <w:t xml:space="preserve">= </w:t>
      </w:r>
      <w:r>
        <w:t>after adjustment for covariate weighting.</w:t>
      </w:r>
    </w:p>
    <w:p w14:paraId="67AFB1B8" w14:textId="5A7D4A85" w:rsidR="005463AB" w:rsidRPr="005463AB" w:rsidRDefault="005463AB" w:rsidP="4623802F">
      <w:pPr>
        <w:rPr>
          <w:b/>
          <w:bCs/>
        </w:rPr>
      </w:pPr>
    </w:p>
    <w:p w14:paraId="5A41CFEF" w14:textId="78B26258" w:rsidR="005463AB" w:rsidRPr="005463AB" w:rsidRDefault="005463AB" w:rsidP="005463AB">
      <w:r>
        <w:t>The generalized boosted model provided the mean and SD weighted adjustments for the covariates (refer to </w:t>
      </w:r>
      <w:r w:rsidRPr="00933605">
        <w:t>Table 3</w:t>
      </w:r>
      <w:r>
        <w:t xml:space="preserve">). In the weighted model, the child ages for the two groups are closer than in the unweighted model (73.14 months for those that received the app compared to 78.17 months for the usual care group). Two of the covariates: (1) reason for hospitalization (medical or </w:t>
      </w:r>
      <w:proofErr w:type="gramStart"/>
      <w:r>
        <w:t>surgical )</w:t>
      </w:r>
      <w:proofErr w:type="gramEnd"/>
      <w:r>
        <w:t xml:space="preserve"> and (2) condition 6-eating disorder was still unbalanced (effect size &gt;0.20) after weighting and were included in the doubly robust models.</w:t>
      </w:r>
    </w:p>
    <w:p w14:paraId="55DACF5D" w14:textId="77777777" w:rsidR="00B4365D" w:rsidRDefault="00B4365D" w:rsidP="005463AB">
      <w:pPr>
        <w:rPr>
          <w:b/>
          <w:bCs/>
        </w:rPr>
        <w:sectPr w:rsidR="00B4365D" w:rsidSect="00013176">
          <w:pgSz w:w="12240" w:h="15840"/>
          <w:pgMar w:top="1080" w:right="1080" w:bottom="1080" w:left="1080" w:header="720" w:footer="720" w:gutter="0"/>
          <w:cols w:space="720"/>
          <w:docGrid w:linePitch="360"/>
        </w:sectPr>
      </w:pPr>
    </w:p>
    <w:p w14:paraId="0BDB02D0" w14:textId="3B4C8EBF" w:rsidR="006F101A" w:rsidRPr="006F101A" w:rsidRDefault="005463AB" w:rsidP="00D053AF">
      <w:pPr>
        <w:spacing w:after="0"/>
      </w:pPr>
      <w:r w:rsidRPr="005463AB">
        <w:rPr>
          <w:b/>
          <w:bCs/>
        </w:rPr>
        <w:t>Table 3.</w:t>
      </w:r>
      <w:r w:rsidRPr="005463AB">
        <w:t> Unweighted and Weighted Covariates.</w:t>
      </w:r>
    </w:p>
    <w:tbl>
      <w:tblPr>
        <w:tblStyle w:val="TableGrid"/>
        <w:tblW w:w="0" w:type="auto"/>
        <w:tblLook w:val="0000" w:firstRow="0" w:lastRow="0" w:firstColumn="0" w:lastColumn="0" w:noHBand="0" w:noVBand="0"/>
      </w:tblPr>
      <w:tblGrid>
        <w:gridCol w:w="2426"/>
        <w:gridCol w:w="1418"/>
        <w:gridCol w:w="974"/>
        <w:gridCol w:w="1234"/>
        <w:gridCol w:w="1163"/>
        <w:gridCol w:w="857"/>
        <w:gridCol w:w="1370"/>
        <w:gridCol w:w="974"/>
        <w:gridCol w:w="1234"/>
        <w:gridCol w:w="1163"/>
        <w:gridCol w:w="857"/>
      </w:tblGrid>
      <w:tr w:rsidR="00F562C9" w:rsidRPr="006F101A" w14:paraId="15E23F9D" w14:textId="77777777" w:rsidTr="00F562C9">
        <w:trPr>
          <w:trHeight w:val="562"/>
        </w:trPr>
        <w:tc>
          <w:tcPr>
            <w:tcW w:w="2425" w:type="dxa"/>
          </w:tcPr>
          <w:p w14:paraId="1A08AA03" w14:textId="77777777" w:rsidR="00F562C9" w:rsidRPr="006F101A" w:rsidRDefault="00F562C9" w:rsidP="00F562C9">
            <w:pPr>
              <w:pStyle w:val="NoSpacing"/>
            </w:pPr>
          </w:p>
        </w:tc>
        <w:tc>
          <w:tcPr>
            <w:tcW w:w="989" w:type="dxa"/>
          </w:tcPr>
          <w:p w14:paraId="596EFC0C" w14:textId="2119CA71" w:rsidR="00F562C9" w:rsidRPr="006F101A" w:rsidRDefault="00F562C9" w:rsidP="00F562C9">
            <w:pPr>
              <w:pStyle w:val="NoSpacing"/>
            </w:pPr>
            <w:r w:rsidRPr="006F101A">
              <w:t>Unweighted Raw Covariates (Unbalanced)</w:t>
            </w:r>
          </w:p>
        </w:tc>
        <w:tc>
          <w:tcPr>
            <w:tcW w:w="0" w:type="auto"/>
          </w:tcPr>
          <w:p w14:paraId="11C832BA" w14:textId="77777777" w:rsidR="00F562C9" w:rsidRPr="006F101A" w:rsidRDefault="00F562C9" w:rsidP="00F562C9">
            <w:pPr>
              <w:pStyle w:val="NoSpacing"/>
            </w:pPr>
          </w:p>
        </w:tc>
        <w:tc>
          <w:tcPr>
            <w:tcW w:w="0" w:type="auto"/>
          </w:tcPr>
          <w:p w14:paraId="484EBF4B" w14:textId="77777777" w:rsidR="00F562C9" w:rsidRPr="006F101A" w:rsidRDefault="00F562C9" w:rsidP="00F562C9">
            <w:pPr>
              <w:pStyle w:val="NoSpacing"/>
              <w:rPr>
                <w:i/>
                <w:iCs/>
              </w:rPr>
            </w:pPr>
          </w:p>
        </w:tc>
        <w:tc>
          <w:tcPr>
            <w:tcW w:w="0" w:type="auto"/>
          </w:tcPr>
          <w:p w14:paraId="100D8328" w14:textId="77777777" w:rsidR="00F562C9" w:rsidRPr="006F101A" w:rsidRDefault="00F562C9" w:rsidP="00F562C9">
            <w:pPr>
              <w:pStyle w:val="NoSpacing"/>
              <w:rPr>
                <w:i/>
                <w:iCs/>
              </w:rPr>
            </w:pPr>
          </w:p>
        </w:tc>
        <w:tc>
          <w:tcPr>
            <w:tcW w:w="0" w:type="auto"/>
          </w:tcPr>
          <w:p w14:paraId="716D4003" w14:textId="77777777" w:rsidR="00F562C9" w:rsidRPr="006F101A" w:rsidRDefault="00F562C9" w:rsidP="00F562C9">
            <w:pPr>
              <w:pStyle w:val="NoSpacing"/>
            </w:pPr>
          </w:p>
        </w:tc>
        <w:tc>
          <w:tcPr>
            <w:tcW w:w="0" w:type="auto"/>
          </w:tcPr>
          <w:p w14:paraId="7498F242" w14:textId="77777777" w:rsidR="00F562C9" w:rsidRPr="006F101A" w:rsidRDefault="00F562C9" w:rsidP="00F562C9">
            <w:pPr>
              <w:pStyle w:val="NoSpacing"/>
            </w:pPr>
            <w:r w:rsidRPr="006F101A">
              <w:t>Weighted Covariates (Balanced)</w:t>
            </w:r>
          </w:p>
          <w:p w14:paraId="6505B6B6" w14:textId="77777777" w:rsidR="00F562C9" w:rsidRPr="006F101A" w:rsidRDefault="00F562C9" w:rsidP="00F562C9">
            <w:pPr>
              <w:pStyle w:val="NoSpacing"/>
            </w:pPr>
          </w:p>
        </w:tc>
        <w:tc>
          <w:tcPr>
            <w:tcW w:w="0" w:type="auto"/>
          </w:tcPr>
          <w:p w14:paraId="273F600D" w14:textId="77777777" w:rsidR="00F562C9" w:rsidRPr="006F101A" w:rsidRDefault="00F562C9" w:rsidP="00F562C9">
            <w:pPr>
              <w:pStyle w:val="NoSpacing"/>
            </w:pPr>
          </w:p>
        </w:tc>
        <w:tc>
          <w:tcPr>
            <w:tcW w:w="0" w:type="auto"/>
          </w:tcPr>
          <w:p w14:paraId="455496D5" w14:textId="77777777" w:rsidR="00F562C9" w:rsidRPr="006F101A" w:rsidRDefault="00F562C9" w:rsidP="00F562C9">
            <w:pPr>
              <w:pStyle w:val="NoSpacing"/>
              <w:rPr>
                <w:i/>
                <w:iCs/>
              </w:rPr>
            </w:pPr>
          </w:p>
        </w:tc>
        <w:tc>
          <w:tcPr>
            <w:tcW w:w="0" w:type="auto"/>
          </w:tcPr>
          <w:p w14:paraId="592B477D" w14:textId="77777777" w:rsidR="00F562C9" w:rsidRPr="006F101A" w:rsidRDefault="00F562C9" w:rsidP="00F562C9">
            <w:pPr>
              <w:pStyle w:val="NoSpacing"/>
              <w:rPr>
                <w:i/>
                <w:iCs/>
              </w:rPr>
            </w:pPr>
          </w:p>
        </w:tc>
        <w:tc>
          <w:tcPr>
            <w:tcW w:w="0" w:type="auto"/>
          </w:tcPr>
          <w:p w14:paraId="6C6265A4" w14:textId="77777777" w:rsidR="00F562C9" w:rsidRPr="006F101A" w:rsidRDefault="00F562C9" w:rsidP="00F562C9">
            <w:pPr>
              <w:pStyle w:val="NoSpacing"/>
            </w:pPr>
          </w:p>
        </w:tc>
      </w:tr>
      <w:tr w:rsidR="00F562C9" w:rsidRPr="006F101A" w14:paraId="7D0ECF45" w14:textId="77777777" w:rsidTr="00F562C9">
        <w:trPr>
          <w:trHeight w:val="562"/>
        </w:trPr>
        <w:tc>
          <w:tcPr>
            <w:tcW w:w="2425" w:type="dxa"/>
          </w:tcPr>
          <w:p w14:paraId="6C078BB3" w14:textId="77777777" w:rsidR="00F562C9" w:rsidRPr="006F101A" w:rsidRDefault="00F562C9" w:rsidP="00F562C9">
            <w:pPr>
              <w:pStyle w:val="NoSpacing"/>
            </w:pPr>
            <w:r w:rsidRPr="006F101A">
              <w:t>Continuous Covariates</w:t>
            </w:r>
          </w:p>
        </w:tc>
        <w:tc>
          <w:tcPr>
            <w:tcW w:w="989" w:type="dxa"/>
          </w:tcPr>
          <w:p w14:paraId="78873D52" w14:textId="77777777" w:rsidR="00F562C9" w:rsidRPr="006F101A" w:rsidRDefault="00F562C9" w:rsidP="00F562C9">
            <w:pPr>
              <w:pStyle w:val="NoSpacing"/>
            </w:pPr>
            <w:r w:rsidRPr="006F101A">
              <w:t>Non-</w:t>
            </w:r>
            <w:proofErr w:type="spellStart"/>
            <w:r w:rsidRPr="006F101A">
              <w:rPr>
                <w:i/>
                <w:iCs/>
              </w:rPr>
              <w:t>e</w:t>
            </w:r>
            <w:r w:rsidRPr="006F101A">
              <w:t>PED</w:t>
            </w:r>
            <w:proofErr w:type="spellEnd"/>
            <w:r w:rsidRPr="006F101A">
              <w:t xml:space="preserve"> Mean/ Proportion</w:t>
            </w:r>
          </w:p>
        </w:tc>
        <w:tc>
          <w:tcPr>
            <w:tcW w:w="0" w:type="auto"/>
          </w:tcPr>
          <w:p w14:paraId="7748772F" w14:textId="77777777" w:rsidR="00F562C9" w:rsidRPr="006F101A" w:rsidRDefault="00F562C9" w:rsidP="00F562C9">
            <w:pPr>
              <w:pStyle w:val="NoSpacing"/>
              <w:rPr>
                <w:i/>
                <w:iCs/>
              </w:rPr>
            </w:pPr>
            <w:r w:rsidRPr="006F101A">
              <w:t>Non-</w:t>
            </w:r>
            <w:proofErr w:type="spellStart"/>
            <w:r w:rsidRPr="006F101A">
              <w:rPr>
                <w:i/>
                <w:iCs/>
              </w:rPr>
              <w:t>e</w:t>
            </w:r>
            <w:r w:rsidRPr="006F101A">
              <w:t>PED</w:t>
            </w:r>
            <w:proofErr w:type="spellEnd"/>
            <w:r w:rsidRPr="006F101A">
              <w:t xml:space="preserve"> Unit </w:t>
            </w:r>
            <w:r w:rsidRPr="006F101A">
              <w:rPr>
                <w:i/>
                <w:iCs/>
              </w:rPr>
              <w:t>SD</w:t>
            </w:r>
          </w:p>
        </w:tc>
        <w:tc>
          <w:tcPr>
            <w:tcW w:w="0" w:type="auto"/>
          </w:tcPr>
          <w:p w14:paraId="321144C7" w14:textId="77777777" w:rsidR="00F562C9" w:rsidRPr="006F101A" w:rsidRDefault="00F562C9" w:rsidP="00F562C9">
            <w:pPr>
              <w:pStyle w:val="NoSpacing"/>
            </w:pPr>
            <w:proofErr w:type="spellStart"/>
            <w:r w:rsidRPr="006F101A">
              <w:rPr>
                <w:i/>
                <w:iCs/>
              </w:rPr>
              <w:t>e</w:t>
            </w:r>
            <w:r w:rsidRPr="006F101A">
              <w:t>PED</w:t>
            </w:r>
            <w:proofErr w:type="spellEnd"/>
            <w:r w:rsidRPr="006F101A">
              <w:t xml:space="preserve"> Unit Mean</w:t>
            </w:r>
          </w:p>
        </w:tc>
        <w:tc>
          <w:tcPr>
            <w:tcW w:w="0" w:type="auto"/>
          </w:tcPr>
          <w:p w14:paraId="5B886620" w14:textId="77777777" w:rsidR="00F562C9" w:rsidRPr="006F101A" w:rsidRDefault="00F562C9" w:rsidP="00F562C9">
            <w:pPr>
              <w:pStyle w:val="NoSpacing"/>
            </w:pPr>
            <w:proofErr w:type="spellStart"/>
            <w:r w:rsidRPr="006F101A">
              <w:rPr>
                <w:i/>
                <w:iCs/>
              </w:rPr>
              <w:t>e</w:t>
            </w:r>
            <w:r w:rsidRPr="006F101A">
              <w:t>PED</w:t>
            </w:r>
            <w:proofErr w:type="spellEnd"/>
            <w:r w:rsidRPr="006F101A">
              <w:t xml:space="preserve"> Unit</w:t>
            </w:r>
          </w:p>
          <w:p w14:paraId="1AC2BFAE" w14:textId="77777777" w:rsidR="00F562C9" w:rsidRPr="006F101A" w:rsidRDefault="00F562C9" w:rsidP="00F562C9">
            <w:pPr>
              <w:pStyle w:val="NoSpacing"/>
              <w:rPr>
                <w:i/>
                <w:iCs/>
              </w:rPr>
            </w:pPr>
            <w:r w:rsidRPr="006F101A">
              <w:rPr>
                <w:i/>
                <w:iCs/>
              </w:rPr>
              <w:t>SD</w:t>
            </w:r>
          </w:p>
        </w:tc>
        <w:tc>
          <w:tcPr>
            <w:tcW w:w="0" w:type="auto"/>
          </w:tcPr>
          <w:p w14:paraId="3C4038D3" w14:textId="77777777" w:rsidR="00F562C9" w:rsidRPr="006F101A" w:rsidRDefault="00F562C9" w:rsidP="00F562C9">
            <w:pPr>
              <w:pStyle w:val="NoSpacing"/>
            </w:pPr>
            <w:r w:rsidRPr="006F101A">
              <w:t>Effect Size</w:t>
            </w:r>
          </w:p>
        </w:tc>
        <w:tc>
          <w:tcPr>
            <w:tcW w:w="0" w:type="auto"/>
          </w:tcPr>
          <w:p w14:paraId="10DBC5FA" w14:textId="77777777" w:rsidR="00F562C9" w:rsidRPr="006F101A" w:rsidRDefault="00F562C9" w:rsidP="00F562C9">
            <w:pPr>
              <w:pStyle w:val="NoSpacing"/>
            </w:pPr>
            <w:r w:rsidRPr="006F101A">
              <w:t>Non-</w:t>
            </w:r>
            <w:proofErr w:type="spellStart"/>
            <w:r w:rsidRPr="006F101A">
              <w:rPr>
                <w:i/>
                <w:iCs/>
              </w:rPr>
              <w:t>e</w:t>
            </w:r>
            <w:r w:rsidRPr="006F101A">
              <w:t>PED</w:t>
            </w:r>
            <w:proofErr w:type="spellEnd"/>
            <w:r w:rsidRPr="006F101A">
              <w:t xml:space="preserve"> Unit Mean</w:t>
            </w:r>
          </w:p>
        </w:tc>
        <w:tc>
          <w:tcPr>
            <w:tcW w:w="0" w:type="auto"/>
          </w:tcPr>
          <w:p w14:paraId="5A46D4FF" w14:textId="77777777" w:rsidR="00F562C9" w:rsidRPr="006F101A" w:rsidRDefault="00F562C9" w:rsidP="00F562C9">
            <w:pPr>
              <w:pStyle w:val="NoSpacing"/>
              <w:rPr>
                <w:i/>
                <w:iCs/>
              </w:rPr>
            </w:pPr>
            <w:r w:rsidRPr="006F101A">
              <w:t>Non-</w:t>
            </w:r>
            <w:proofErr w:type="spellStart"/>
            <w:r w:rsidRPr="006F101A">
              <w:rPr>
                <w:i/>
                <w:iCs/>
              </w:rPr>
              <w:t>e</w:t>
            </w:r>
            <w:r w:rsidRPr="006F101A">
              <w:t>PED</w:t>
            </w:r>
            <w:proofErr w:type="spellEnd"/>
            <w:r w:rsidRPr="006F101A">
              <w:t xml:space="preserve"> Unit </w:t>
            </w:r>
            <w:r w:rsidRPr="006F101A">
              <w:rPr>
                <w:i/>
                <w:iCs/>
              </w:rPr>
              <w:t>SD</w:t>
            </w:r>
          </w:p>
        </w:tc>
        <w:tc>
          <w:tcPr>
            <w:tcW w:w="0" w:type="auto"/>
          </w:tcPr>
          <w:p w14:paraId="6A6617EC" w14:textId="77777777" w:rsidR="00F562C9" w:rsidRPr="006F101A" w:rsidRDefault="00F562C9" w:rsidP="00F562C9">
            <w:pPr>
              <w:pStyle w:val="NoSpacing"/>
            </w:pPr>
            <w:proofErr w:type="spellStart"/>
            <w:r w:rsidRPr="006F101A">
              <w:rPr>
                <w:i/>
                <w:iCs/>
              </w:rPr>
              <w:t>e</w:t>
            </w:r>
            <w:r w:rsidRPr="006F101A">
              <w:t>PED</w:t>
            </w:r>
            <w:proofErr w:type="spellEnd"/>
            <w:r w:rsidRPr="006F101A">
              <w:t xml:space="preserve"> Unit Mean</w:t>
            </w:r>
          </w:p>
        </w:tc>
        <w:tc>
          <w:tcPr>
            <w:tcW w:w="0" w:type="auto"/>
          </w:tcPr>
          <w:p w14:paraId="69B0980A" w14:textId="77777777" w:rsidR="00F562C9" w:rsidRPr="006F101A" w:rsidRDefault="00F562C9" w:rsidP="00F562C9">
            <w:pPr>
              <w:pStyle w:val="NoSpacing"/>
            </w:pPr>
            <w:proofErr w:type="spellStart"/>
            <w:r w:rsidRPr="006F101A">
              <w:rPr>
                <w:i/>
                <w:iCs/>
              </w:rPr>
              <w:t>e</w:t>
            </w:r>
            <w:r w:rsidRPr="006F101A">
              <w:t>PED</w:t>
            </w:r>
            <w:proofErr w:type="spellEnd"/>
            <w:r w:rsidRPr="006F101A">
              <w:t xml:space="preserve"> Unit</w:t>
            </w:r>
          </w:p>
          <w:p w14:paraId="36C5B9A2" w14:textId="77777777" w:rsidR="00F562C9" w:rsidRPr="006F101A" w:rsidRDefault="00F562C9" w:rsidP="00F562C9">
            <w:pPr>
              <w:pStyle w:val="NoSpacing"/>
              <w:rPr>
                <w:i/>
                <w:iCs/>
              </w:rPr>
            </w:pPr>
            <w:r w:rsidRPr="006F101A">
              <w:rPr>
                <w:i/>
                <w:iCs/>
              </w:rPr>
              <w:t>SD</w:t>
            </w:r>
          </w:p>
        </w:tc>
        <w:tc>
          <w:tcPr>
            <w:tcW w:w="0" w:type="auto"/>
          </w:tcPr>
          <w:p w14:paraId="5A6F5B4F" w14:textId="77777777" w:rsidR="00F562C9" w:rsidRPr="006F101A" w:rsidRDefault="00F562C9" w:rsidP="00F562C9">
            <w:pPr>
              <w:pStyle w:val="NoSpacing"/>
            </w:pPr>
            <w:r w:rsidRPr="006F101A">
              <w:t>Effect Size</w:t>
            </w:r>
          </w:p>
        </w:tc>
      </w:tr>
      <w:tr w:rsidR="00F562C9" w:rsidRPr="006F101A" w14:paraId="5D909901" w14:textId="77777777" w:rsidTr="00F562C9">
        <w:trPr>
          <w:trHeight w:val="279"/>
        </w:trPr>
        <w:tc>
          <w:tcPr>
            <w:tcW w:w="2425" w:type="dxa"/>
          </w:tcPr>
          <w:p w14:paraId="3C3287A6" w14:textId="77777777" w:rsidR="00F562C9" w:rsidRPr="006F101A" w:rsidRDefault="00F562C9" w:rsidP="00F562C9">
            <w:pPr>
              <w:pStyle w:val="NoSpacing"/>
            </w:pPr>
            <w:r w:rsidRPr="006F101A">
              <w:t>Family age:</w:t>
            </w:r>
          </w:p>
        </w:tc>
        <w:tc>
          <w:tcPr>
            <w:tcW w:w="989" w:type="dxa"/>
          </w:tcPr>
          <w:p w14:paraId="798AAF43" w14:textId="77777777" w:rsidR="00F562C9" w:rsidRPr="006F101A" w:rsidRDefault="00F562C9" w:rsidP="00F562C9">
            <w:pPr>
              <w:pStyle w:val="NoSpacing"/>
            </w:pPr>
            <w:r w:rsidRPr="006F101A">
              <w:t>32.5</w:t>
            </w:r>
          </w:p>
        </w:tc>
        <w:tc>
          <w:tcPr>
            <w:tcW w:w="0" w:type="auto"/>
          </w:tcPr>
          <w:p w14:paraId="587293E0" w14:textId="77777777" w:rsidR="00F562C9" w:rsidRPr="006F101A" w:rsidRDefault="00F562C9" w:rsidP="00F562C9">
            <w:pPr>
              <w:pStyle w:val="NoSpacing"/>
            </w:pPr>
            <w:r w:rsidRPr="006F101A">
              <w:t>12.55</w:t>
            </w:r>
          </w:p>
        </w:tc>
        <w:tc>
          <w:tcPr>
            <w:tcW w:w="0" w:type="auto"/>
          </w:tcPr>
          <w:p w14:paraId="3E9FE000" w14:textId="77777777" w:rsidR="00F562C9" w:rsidRPr="006F101A" w:rsidRDefault="00F562C9" w:rsidP="00F562C9">
            <w:pPr>
              <w:pStyle w:val="NoSpacing"/>
            </w:pPr>
            <w:r w:rsidRPr="006F101A">
              <w:t>36.333</w:t>
            </w:r>
          </w:p>
        </w:tc>
        <w:tc>
          <w:tcPr>
            <w:tcW w:w="0" w:type="auto"/>
          </w:tcPr>
          <w:p w14:paraId="166141DC" w14:textId="77777777" w:rsidR="00F562C9" w:rsidRPr="006F101A" w:rsidRDefault="00F562C9" w:rsidP="00F562C9">
            <w:pPr>
              <w:pStyle w:val="NoSpacing"/>
            </w:pPr>
            <w:r w:rsidRPr="006F101A">
              <w:t>8.5</w:t>
            </w:r>
          </w:p>
        </w:tc>
        <w:tc>
          <w:tcPr>
            <w:tcW w:w="0" w:type="auto"/>
          </w:tcPr>
          <w:p w14:paraId="2C2850F1" w14:textId="77777777" w:rsidR="00F562C9" w:rsidRPr="006F101A" w:rsidRDefault="00F562C9" w:rsidP="00F562C9">
            <w:pPr>
              <w:pStyle w:val="NoSpacing"/>
            </w:pPr>
            <w:r w:rsidRPr="006F101A">
              <w:t>−0.354</w:t>
            </w:r>
          </w:p>
        </w:tc>
        <w:tc>
          <w:tcPr>
            <w:tcW w:w="0" w:type="auto"/>
          </w:tcPr>
          <w:p w14:paraId="5C5DDA7E" w14:textId="77777777" w:rsidR="00F562C9" w:rsidRPr="006F101A" w:rsidRDefault="00F562C9" w:rsidP="00F562C9">
            <w:pPr>
              <w:pStyle w:val="NoSpacing"/>
            </w:pPr>
            <w:r w:rsidRPr="006F101A">
              <w:t>32.378</w:t>
            </w:r>
          </w:p>
        </w:tc>
        <w:tc>
          <w:tcPr>
            <w:tcW w:w="0" w:type="auto"/>
          </w:tcPr>
          <w:p w14:paraId="17940CB6" w14:textId="77777777" w:rsidR="00F562C9" w:rsidRPr="006F101A" w:rsidRDefault="00F562C9" w:rsidP="00F562C9">
            <w:pPr>
              <w:pStyle w:val="NoSpacing"/>
            </w:pPr>
            <w:r w:rsidRPr="006F101A">
              <w:t>11.724</w:t>
            </w:r>
          </w:p>
        </w:tc>
        <w:tc>
          <w:tcPr>
            <w:tcW w:w="0" w:type="auto"/>
          </w:tcPr>
          <w:p w14:paraId="25B85C0A" w14:textId="77777777" w:rsidR="00F562C9" w:rsidRPr="006F101A" w:rsidRDefault="00F562C9" w:rsidP="00F562C9">
            <w:pPr>
              <w:pStyle w:val="NoSpacing"/>
            </w:pPr>
            <w:r w:rsidRPr="006F101A">
              <w:t>35.149</w:t>
            </w:r>
          </w:p>
        </w:tc>
        <w:tc>
          <w:tcPr>
            <w:tcW w:w="0" w:type="auto"/>
          </w:tcPr>
          <w:p w14:paraId="2CAFAEC5" w14:textId="77777777" w:rsidR="00F562C9" w:rsidRPr="006F101A" w:rsidRDefault="00F562C9" w:rsidP="00F562C9">
            <w:pPr>
              <w:pStyle w:val="NoSpacing"/>
            </w:pPr>
            <w:r w:rsidRPr="006F101A">
              <w:t>7.681</w:t>
            </w:r>
          </w:p>
        </w:tc>
        <w:tc>
          <w:tcPr>
            <w:tcW w:w="0" w:type="auto"/>
          </w:tcPr>
          <w:p w14:paraId="6AD08BD0" w14:textId="77777777" w:rsidR="00F562C9" w:rsidRPr="006F101A" w:rsidRDefault="00F562C9" w:rsidP="00F562C9">
            <w:pPr>
              <w:pStyle w:val="NoSpacing"/>
            </w:pPr>
            <w:r w:rsidRPr="006F101A">
              <w:t>−0.256</w:t>
            </w:r>
          </w:p>
        </w:tc>
      </w:tr>
      <w:tr w:rsidR="00F562C9" w:rsidRPr="006F101A" w14:paraId="001BFC38" w14:textId="77777777" w:rsidTr="00F562C9">
        <w:trPr>
          <w:trHeight w:val="230"/>
        </w:trPr>
        <w:tc>
          <w:tcPr>
            <w:tcW w:w="2425" w:type="dxa"/>
          </w:tcPr>
          <w:p w14:paraId="0F4AB1AE" w14:textId="77777777" w:rsidR="00F562C9" w:rsidRPr="006F101A" w:rsidRDefault="00F562C9" w:rsidP="00F562C9">
            <w:pPr>
              <w:pStyle w:val="NoSpacing"/>
            </w:pPr>
            <w:r w:rsidRPr="006F101A">
              <w:t>Child age month:</w:t>
            </w:r>
          </w:p>
        </w:tc>
        <w:tc>
          <w:tcPr>
            <w:tcW w:w="989" w:type="dxa"/>
          </w:tcPr>
          <w:p w14:paraId="3F8F0C6B" w14:textId="77777777" w:rsidR="00F562C9" w:rsidRPr="006F101A" w:rsidRDefault="00F562C9" w:rsidP="00F562C9">
            <w:pPr>
              <w:pStyle w:val="NoSpacing"/>
            </w:pPr>
            <w:r w:rsidRPr="006F101A">
              <w:t>72.64</w:t>
            </w:r>
          </w:p>
        </w:tc>
        <w:tc>
          <w:tcPr>
            <w:tcW w:w="0" w:type="auto"/>
          </w:tcPr>
          <w:p w14:paraId="6DDC4527" w14:textId="77777777" w:rsidR="00F562C9" w:rsidRPr="006F101A" w:rsidRDefault="00F562C9" w:rsidP="00F562C9">
            <w:pPr>
              <w:pStyle w:val="NoSpacing"/>
            </w:pPr>
            <w:r w:rsidRPr="006F101A">
              <w:t>61.44</w:t>
            </w:r>
          </w:p>
        </w:tc>
        <w:tc>
          <w:tcPr>
            <w:tcW w:w="0" w:type="auto"/>
          </w:tcPr>
          <w:p w14:paraId="3655D2AB" w14:textId="77777777" w:rsidR="00F562C9" w:rsidRPr="006F101A" w:rsidRDefault="00F562C9" w:rsidP="00F562C9">
            <w:pPr>
              <w:pStyle w:val="NoSpacing"/>
            </w:pPr>
            <w:r w:rsidRPr="006F101A">
              <w:t>98.33</w:t>
            </w:r>
          </w:p>
        </w:tc>
        <w:tc>
          <w:tcPr>
            <w:tcW w:w="0" w:type="auto"/>
          </w:tcPr>
          <w:p w14:paraId="157FBA5F" w14:textId="77777777" w:rsidR="00F562C9" w:rsidRPr="006F101A" w:rsidRDefault="00F562C9" w:rsidP="00F562C9">
            <w:pPr>
              <w:pStyle w:val="NoSpacing"/>
            </w:pPr>
            <w:r w:rsidRPr="006F101A">
              <w:t>60.86</w:t>
            </w:r>
          </w:p>
        </w:tc>
        <w:tc>
          <w:tcPr>
            <w:tcW w:w="0" w:type="auto"/>
          </w:tcPr>
          <w:p w14:paraId="601D9697" w14:textId="77777777" w:rsidR="00F562C9" w:rsidRPr="006F101A" w:rsidRDefault="00F562C9" w:rsidP="00F562C9">
            <w:pPr>
              <w:pStyle w:val="NoSpacing"/>
            </w:pPr>
            <w:r w:rsidRPr="006F101A">
              <w:t>−0.419</w:t>
            </w:r>
          </w:p>
        </w:tc>
        <w:tc>
          <w:tcPr>
            <w:tcW w:w="0" w:type="auto"/>
          </w:tcPr>
          <w:p w14:paraId="785E2573" w14:textId="77777777" w:rsidR="00F562C9" w:rsidRPr="006F101A" w:rsidRDefault="00F562C9" w:rsidP="00F562C9">
            <w:pPr>
              <w:pStyle w:val="NoSpacing"/>
            </w:pPr>
            <w:r w:rsidRPr="006F101A">
              <w:t>73.14</w:t>
            </w:r>
          </w:p>
        </w:tc>
        <w:tc>
          <w:tcPr>
            <w:tcW w:w="0" w:type="auto"/>
          </w:tcPr>
          <w:p w14:paraId="4ECF954D" w14:textId="77777777" w:rsidR="00F562C9" w:rsidRPr="006F101A" w:rsidRDefault="00F562C9" w:rsidP="00F562C9">
            <w:pPr>
              <w:pStyle w:val="NoSpacing"/>
            </w:pPr>
            <w:r w:rsidRPr="006F101A">
              <w:t>63.28</w:t>
            </w:r>
          </w:p>
        </w:tc>
        <w:tc>
          <w:tcPr>
            <w:tcW w:w="0" w:type="auto"/>
          </w:tcPr>
          <w:p w14:paraId="0C9F93CD" w14:textId="77777777" w:rsidR="00F562C9" w:rsidRPr="006F101A" w:rsidRDefault="00F562C9" w:rsidP="00F562C9">
            <w:pPr>
              <w:pStyle w:val="NoSpacing"/>
            </w:pPr>
            <w:r w:rsidRPr="006F101A">
              <w:t>78.17</w:t>
            </w:r>
          </w:p>
        </w:tc>
        <w:tc>
          <w:tcPr>
            <w:tcW w:w="0" w:type="auto"/>
          </w:tcPr>
          <w:p w14:paraId="60F5D75E" w14:textId="77777777" w:rsidR="00F562C9" w:rsidRPr="006F101A" w:rsidRDefault="00F562C9" w:rsidP="00F562C9">
            <w:pPr>
              <w:pStyle w:val="NoSpacing"/>
            </w:pPr>
            <w:r w:rsidRPr="006F101A">
              <w:t>59.84</w:t>
            </w:r>
          </w:p>
        </w:tc>
        <w:tc>
          <w:tcPr>
            <w:tcW w:w="0" w:type="auto"/>
          </w:tcPr>
          <w:p w14:paraId="52541E51" w14:textId="77777777" w:rsidR="00F562C9" w:rsidRPr="006F101A" w:rsidRDefault="00F562C9" w:rsidP="00F562C9">
            <w:pPr>
              <w:pStyle w:val="NoSpacing"/>
            </w:pPr>
            <w:r w:rsidRPr="006F101A">
              <w:t>−0.082</w:t>
            </w:r>
          </w:p>
        </w:tc>
      </w:tr>
      <w:tr w:rsidR="00F562C9" w:rsidRPr="006F101A" w14:paraId="73D6339D" w14:textId="77777777" w:rsidTr="00F562C9">
        <w:trPr>
          <w:trHeight w:val="230"/>
        </w:trPr>
        <w:tc>
          <w:tcPr>
            <w:tcW w:w="2425" w:type="dxa"/>
          </w:tcPr>
          <w:p w14:paraId="4CA7AE4F" w14:textId="77777777" w:rsidR="00F562C9" w:rsidRPr="006F101A" w:rsidRDefault="00F562C9" w:rsidP="00F562C9">
            <w:pPr>
              <w:pStyle w:val="NoSpacing"/>
            </w:pPr>
            <w:r w:rsidRPr="006F101A">
              <w:t>Number of medications:</w:t>
            </w:r>
          </w:p>
        </w:tc>
        <w:tc>
          <w:tcPr>
            <w:tcW w:w="989" w:type="dxa"/>
          </w:tcPr>
          <w:p w14:paraId="57D6EEDB" w14:textId="77777777" w:rsidR="00F562C9" w:rsidRPr="006F101A" w:rsidRDefault="00F562C9" w:rsidP="00F562C9">
            <w:pPr>
              <w:pStyle w:val="NoSpacing"/>
            </w:pPr>
            <w:r w:rsidRPr="006F101A">
              <w:t>1.643</w:t>
            </w:r>
          </w:p>
        </w:tc>
        <w:tc>
          <w:tcPr>
            <w:tcW w:w="0" w:type="auto"/>
          </w:tcPr>
          <w:p w14:paraId="6B962DD5" w14:textId="77777777" w:rsidR="00F562C9" w:rsidRPr="006F101A" w:rsidRDefault="00F562C9" w:rsidP="00F562C9">
            <w:pPr>
              <w:pStyle w:val="NoSpacing"/>
            </w:pPr>
            <w:r w:rsidRPr="006F101A">
              <w:t>0.633</w:t>
            </w:r>
          </w:p>
        </w:tc>
        <w:tc>
          <w:tcPr>
            <w:tcW w:w="0" w:type="auto"/>
          </w:tcPr>
          <w:p w14:paraId="7B694241" w14:textId="77777777" w:rsidR="00F562C9" w:rsidRPr="006F101A" w:rsidRDefault="00F562C9" w:rsidP="00F562C9">
            <w:pPr>
              <w:pStyle w:val="NoSpacing"/>
            </w:pPr>
            <w:r w:rsidRPr="006F101A">
              <w:t>1.667</w:t>
            </w:r>
          </w:p>
        </w:tc>
        <w:tc>
          <w:tcPr>
            <w:tcW w:w="0" w:type="auto"/>
          </w:tcPr>
          <w:p w14:paraId="101FBDD0" w14:textId="77777777" w:rsidR="00F562C9" w:rsidRPr="006F101A" w:rsidRDefault="00F562C9" w:rsidP="00F562C9">
            <w:pPr>
              <w:pStyle w:val="NoSpacing"/>
            </w:pPr>
            <w:r w:rsidRPr="006F101A">
              <w:t>0.651</w:t>
            </w:r>
          </w:p>
        </w:tc>
        <w:tc>
          <w:tcPr>
            <w:tcW w:w="0" w:type="auto"/>
          </w:tcPr>
          <w:p w14:paraId="2CC19454" w14:textId="77777777" w:rsidR="00F562C9" w:rsidRPr="006F101A" w:rsidRDefault="00F562C9" w:rsidP="00F562C9">
            <w:pPr>
              <w:pStyle w:val="NoSpacing"/>
            </w:pPr>
            <w:r w:rsidRPr="006F101A">
              <w:t>−0.038</w:t>
            </w:r>
          </w:p>
        </w:tc>
        <w:tc>
          <w:tcPr>
            <w:tcW w:w="0" w:type="auto"/>
          </w:tcPr>
          <w:p w14:paraId="31C994CC" w14:textId="77777777" w:rsidR="00F562C9" w:rsidRPr="006F101A" w:rsidRDefault="00F562C9" w:rsidP="00F562C9">
            <w:pPr>
              <w:pStyle w:val="NoSpacing"/>
            </w:pPr>
            <w:r w:rsidRPr="006F101A">
              <w:t>1.71</w:t>
            </w:r>
          </w:p>
        </w:tc>
        <w:tc>
          <w:tcPr>
            <w:tcW w:w="0" w:type="auto"/>
          </w:tcPr>
          <w:p w14:paraId="1D5E150D" w14:textId="77777777" w:rsidR="00F562C9" w:rsidRPr="006F101A" w:rsidRDefault="00F562C9" w:rsidP="00F562C9">
            <w:pPr>
              <w:pStyle w:val="NoSpacing"/>
            </w:pPr>
            <w:r w:rsidRPr="006F101A">
              <w:t>0.65</w:t>
            </w:r>
          </w:p>
        </w:tc>
        <w:tc>
          <w:tcPr>
            <w:tcW w:w="0" w:type="auto"/>
          </w:tcPr>
          <w:p w14:paraId="3D5A5D61" w14:textId="77777777" w:rsidR="00F562C9" w:rsidRPr="006F101A" w:rsidRDefault="00F562C9" w:rsidP="00F562C9">
            <w:pPr>
              <w:pStyle w:val="NoSpacing"/>
            </w:pPr>
            <w:r w:rsidRPr="006F101A">
              <w:t>1.766</w:t>
            </w:r>
          </w:p>
        </w:tc>
        <w:tc>
          <w:tcPr>
            <w:tcW w:w="0" w:type="auto"/>
          </w:tcPr>
          <w:p w14:paraId="4EBD1AEB" w14:textId="77777777" w:rsidR="00F562C9" w:rsidRPr="006F101A" w:rsidRDefault="00F562C9" w:rsidP="00F562C9">
            <w:pPr>
              <w:pStyle w:val="NoSpacing"/>
            </w:pPr>
            <w:r w:rsidRPr="006F101A">
              <w:t>0.564</w:t>
            </w:r>
          </w:p>
        </w:tc>
        <w:tc>
          <w:tcPr>
            <w:tcW w:w="0" w:type="auto"/>
          </w:tcPr>
          <w:p w14:paraId="47BE8A8E" w14:textId="77777777" w:rsidR="00F562C9" w:rsidRPr="006F101A" w:rsidRDefault="00F562C9" w:rsidP="00F562C9">
            <w:pPr>
              <w:pStyle w:val="NoSpacing"/>
            </w:pPr>
            <w:r w:rsidRPr="006F101A">
              <w:t>−0.09</w:t>
            </w:r>
          </w:p>
        </w:tc>
      </w:tr>
      <w:tr w:rsidR="00F562C9" w:rsidRPr="006F101A" w14:paraId="17068B18" w14:textId="77777777" w:rsidTr="00F562C9">
        <w:trPr>
          <w:trHeight w:val="290"/>
        </w:trPr>
        <w:tc>
          <w:tcPr>
            <w:tcW w:w="2425" w:type="dxa"/>
          </w:tcPr>
          <w:p w14:paraId="7B86F98E" w14:textId="77777777" w:rsidR="00F562C9" w:rsidRPr="006F101A" w:rsidRDefault="00F562C9" w:rsidP="00F562C9">
            <w:pPr>
              <w:pStyle w:val="NoSpacing"/>
            </w:pPr>
            <w:r w:rsidRPr="006F101A">
              <w:t>Comorbid sum:</w:t>
            </w:r>
          </w:p>
        </w:tc>
        <w:tc>
          <w:tcPr>
            <w:tcW w:w="989" w:type="dxa"/>
          </w:tcPr>
          <w:p w14:paraId="0420AF9B" w14:textId="77777777" w:rsidR="00F562C9" w:rsidRPr="006F101A" w:rsidRDefault="00F562C9" w:rsidP="00F562C9">
            <w:pPr>
              <w:pStyle w:val="NoSpacing"/>
            </w:pPr>
            <w:r w:rsidRPr="006F101A">
              <w:t>0.929</w:t>
            </w:r>
          </w:p>
        </w:tc>
        <w:tc>
          <w:tcPr>
            <w:tcW w:w="0" w:type="auto"/>
          </w:tcPr>
          <w:p w14:paraId="74FD79E3" w14:textId="77777777" w:rsidR="00F562C9" w:rsidRPr="006F101A" w:rsidRDefault="00F562C9" w:rsidP="00F562C9">
            <w:pPr>
              <w:pStyle w:val="NoSpacing"/>
            </w:pPr>
            <w:r w:rsidRPr="006F101A">
              <w:t>1.072</w:t>
            </w:r>
          </w:p>
        </w:tc>
        <w:tc>
          <w:tcPr>
            <w:tcW w:w="0" w:type="auto"/>
          </w:tcPr>
          <w:p w14:paraId="3B39FC97" w14:textId="77777777" w:rsidR="00F562C9" w:rsidRPr="006F101A" w:rsidRDefault="00F562C9" w:rsidP="00F562C9">
            <w:pPr>
              <w:pStyle w:val="NoSpacing"/>
            </w:pPr>
            <w:r w:rsidRPr="006F101A">
              <w:t>1.000</w:t>
            </w:r>
          </w:p>
        </w:tc>
        <w:tc>
          <w:tcPr>
            <w:tcW w:w="0" w:type="auto"/>
          </w:tcPr>
          <w:p w14:paraId="3A9C01E6" w14:textId="77777777" w:rsidR="00F562C9" w:rsidRPr="006F101A" w:rsidRDefault="00F562C9" w:rsidP="00F562C9">
            <w:pPr>
              <w:pStyle w:val="NoSpacing"/>
            </w:pPr>
            <w:r w:rsidRPr="006F101A">
              <w:t>1.044</w:t>
            </w:r>
          </w:p>
        </w:tc>
        <w:tc>
          <w:tcPr>
            <w:tcW w:w="0" w:type="auto"/>
          </w:tcPr>
          <w:p w14:paraId="0E01B49E" w14:textId="77777777" w:rsidR="00F562C9" w:rsidRPr="006F101A" w:rsidRDefault="00F562C9" w:rsidP="00F562C9">
            <w:pPr>
              <w:pStyle w:val="NoSpacing"/>
            </w:pPr>
            <w:r w:rsidRPr="006F101A">
              <w:t>−0.069</w:t>
            </w:r>
          </w:p>
        </w:tc>
        <w:tc>
          <w:tcPr>
            <w:tcW w:w="0" w:type="auto"/>
          </w:tcPr>
          <w:p w14:paraId="6A166019" w14:textId="77777777" w:rsidR="00F562C9" w:rsidRPr="006F101A" w:rsidRDefault="00F562C9" w:rsidP="00F562C9">
            <w:pPr>
              <w:pStyle w:val="NoSpacing"/>
            </w:pPr>
            <w:r w:rsidRPr="006F101A">
              <w:t>0.939</w:t>
            </w:r>
          </w:p>
        </w:tc>
        <w:tc>
          <w:tcPr>
            <w:tcW w:w="0" w:type="auto"/>
          </w:tcPr>
          <w:p w14:paraId="77718C66" w14:textId="77777777" w:rsidR="00F562C9" w:rsidRPr="006F101A" w:rsidRDefault="00F562C9" w:rsidP="00F562C9">
            <w:pPr>
              <w:pStyle w:val="NoSpacing"/>
            </w:pPr>
            <w:r w:rsidRPr="006F101A">
              <w:t>1.091</w:t>
            </w:r>
          </w:p>
        </w:tc>
        <w:tc>
          <w:tcPr>
            <w:tcW w:w="0" w:type="auto"/>
          </w:tcPr>
          <w:p w14:paraId="5A2425C8" w14:textId="77777777" w:rsidR="00F562C9" w:rsidRPr="006F101A" w:rsidRDefault="00F562C9" w:rsidP="00F562C9">
            <w:pPr>
              <w:pStyle w:val="NoSpacing"/>
            </w:pPr>
            <w:r w:rsidRPr="006F101A">
              <w:t>1.214</w:t>
            </w:r>
          </w:p>
        </w:tc>
        <w:tc>
          <w:tcPr>
            <w:tcW w:w="0" w:type="auto"/>
          </w:tcPr>
          <w:p w14:paraId="37CA45E5" w14:textId="77777777" w:rsidR="00F562C9" w:rsidRPr="006F101A" w:rsidRDefault="00F562C9" w:rsidP="00F562C9">
            <w:pPr>
              <w:pStyle w:val="NoSpacing"/>
            </w:pPr>
            <w:r w:rsidRPr="006F101A">
              <w:t>1.167</w:t>
            </w:r>
          </w:p>
        </w:tc>
        <w:tc>
          <w:tcPr>
            <w:tcW w:w="0" w:type="auto"/>
          </w:tcPr>
          <w:p w14:paraId="65E82CAB" w14:textId="77777777" w:rsidR="00F562C9" w:rsidRPr="006F101A" w:rsidRDefault="00F562C9" w:rsidP="00F562C9">
            <w:pPr>
              <w:pStyle w:val="NoSpacing"/>
            </w:pPr>
            <w:r w:rsidRPr="006F101A">
              <w:t>−0.265</w:t>
            </w:r>
          </w:p>
        </w:tc>
      </w:tr>
      <w:tr w:rsidR="00F562C9" w:rsidRPr="006F101A" w14:paraId="54D0F223" w14:textId="77777777" w:rsidTr="00F562C9">
        <w:trPr>
          <w:trHeight w:val="264"/>
        </w:trPr>
        <w:tc>
          <w:tcPr>
            <w:tcW w:w="2425" w:type="dxa"/>
          </w:tcPr>
          <w:p w14:paraId="7112CB91" w14:textId="77777777" w:rsidR="00F562C9" w:rsidRPr="006F101A" w:rsidRDefault="00F562C9" w:rsidP="00F562C9">
            <w:pPr>
              <w:pStyle w:val="NoSpacing"/>
            </w:pPr>
          </w:p>
        </w:tc>
        <w:tc>
          <w:tcPr>
            <w:tcW w:w="989" w:type="dxa"/>
          </w:tcPr>
          <w:p w14:paraId="79186E30" w14:textId="77777777" w:rsidR="00F562C9" w:rsidRPr="006F101A" w:rsidRDefault="00F562C9" w:rsidP="00F562C9">
            <w:pPr>
              <w:pStyle w:val="NoSpacing"/>
            </w:pPr>
            <w:r w:rsidRPr="006F101A">
              <w:t>Control Unit</w:t>
            </w:r>
          </w:p>
        </w:tc>
        <w:tc>
          <w:tcPr>
            <w:tcW w:w="0" w:type="auto"/>
          </w:tcPr>
          <w:p w14:paraId="394812A9" w14:textId="77777777" w:rsidR="00F562C9" w:rsidRPr="006F101A" w:rsidRDefault="00F562C9" w:rsidP="00F562C9">
            <w:pPr>
              <w:pStyle w:val="NoSpacing"/>
            </w:pPr>
            <w:r w:rsidRPr="006F101A">
              <w:t>Control</w:t>
            </w:r>
          </w:p>
        </w:tc>
        <w:tc>
          <w:tcPr>
            <w:tcW w:w="0" w:type="auto"/>
          </w:tcPr>
          <w:p w14:paraId="1D00B48A" w14:textId="77777777" w:rsidR="00F562C9" w:rsidRPr="006F101A" w:rsidRDefault="00F562C9" w:rsidP="00F562C9">
            <w:pPr>
              <w:pStyle w:val="NoSpacing"/>
            </w:pPr>
            <w:r w:rsidRPr="006F101A">
              <w:t>Treatment Unit</w:t>
            </w:r>
          </w:p>
        </w:tc>
        <w:tc>
          <w:tcPr>
            <w:tcW w:w="0" w:type="auto"/>
          </w:tcPr>
          <w:p w14:paraId="3F1ACF20" w14:textId="77777777" w:rsidR="00F562C9" w:rsidRPr="006F101A" w:rsidRDefault="00F562C9" w:rsidP="00F562C9">
            <w:pPr>
              <w:pStyle w:val="NoSpacing"/>
            </w:pPr>
            <w:r w:rsidRPr="006F101A">
              <w:t>Treatment</w:t>
            </w:r>
          </w:p>
        </w:tc>
        <w:tc>
          <w:tcPr>
            <w:tcW w:w="0" w:type="auto"/>
          </w:tcPr>
          <w:p w14:paraId="0288D2EC" w14:textId="77777777" w:rsidR="00F562C9" w:rsidRPr="006F101A" w:rsidRDefault="00F562C9" w:rsidP="00F562C9">
            <w:pPr>
              <w:pStyle w:val="NoSpacing"/>
            </w:pPr>
            <w:r w:rsidRPr="006F101A">
              <w:t>Effect</w:t>
            </w:r>
          </w:p>
        </w:tc>
        <w:tc>
          <w:tcPr>
            <w:tcW w:w="0" w:type="auto"/>
          </w:tcPr>
          <w:p w14:paraId="4E84C166" w14:textId="77777777" w:rsidR="00F562C9" w:rsidRPr="006F101A" w:rsidRDefault="00F562C9" w:rsidP="00F562C9">
            <w:pPr>
              <w:pStyle w:val="NoSpacing"/>
            </w:pPr>
            <w:r w:rsidRPr="006F101A">
              <w:t>Control Unit</w:t>
            </w:r>
          </w:p>
        </w:tc>
        <w:tc>
          <w:tcPr>
            <w:tcW w:w="0" w:type="auto"/>
          </w:tcPr>
          <w:p w14:paraId="55FC55EC" w14:textId="77777777" w:rsidR="00F562C9" w:rsidRPr="006F101A" w:rsidRDefault="00F562C9" w:rsidP="00F562C9">
            <w:pPr>
              <w:pStyle w:val="NoSpacing"/>
            </w:pPr>
            <w:r w:rsidRPr="006F101A">
              <w:t>Control</w:t>
            </w:r>
          </w:p>
        </w:tc>
        <w:tc>
          <w:tcPr>
            <w:tcW w:w="0" w:type="auto"/>
          </w:tcPr>
          <w:p w14:paraId="4C791FD7" w14:textId="77777777" w:rsidR="00F562C9" w:rsidRPr="006F101A" w:rsidRDefault="00F562C9" w:rsidP="00F562C9">
            <w:pPr>
              <w:pStyle w:val="NoSpacing"/>
            </w:pPr>
            <w:r w:rsidRPr="006F101A">
              <w:t>Treatment Unit</w:t>
            </w:r>
          </w:p>
        </w:tc>
        <w:tc>
          <w:tcPr>
            <w:tcW w:w="0" w:type="auto"/>
          </w:tcPr>
          <w:p w14:paraId="5DC76487" w14:textId="77777777" w:rsidR="00F562C9" w:rsidRPr="006F101A" w:rsidRDefault="00F562C9" w:rsidP="00F562C9">
            <w:pPr>
              <w:pStyle w:val="NoSpacing"/>
            </w:pPr>
            <w:r w:rsidRPr="006F101A">
              <w:t>Treatment</w:t>
            </w:r>
          </w:p>
        </w:tc>
        <w:tc>
          <w:tcPr>
            <w:tcW w:w="0" w:type="auto"/>
          </w:tcPr>
          <w:p w14:paraId="45687EB0" w14:textId="77777777" w:rsidR="00F562C9" w:rsidRPr="006F101A" w:rsidRDefault="00F562C9" w:rsidP="00F562C9">
            <w:pPr>
              <w:pStyle w:val="NoSpacing"/>
            </w:pPr>
            <w:r w:rsidRPr="006F101A">
              <w:t>Effect</w:t>
            </w:r>
          </w:p>
        </w:tc>
      </w:tr>
      <w:tr w:rsidR="00F562C9" w:rsidRPr="006F101A" w14:paraId="16564F80" w14:textId="77777777" w:rsidTr="00F562C9">
        <w:trPr>
          <w:trHeight w:val="280"/>
        </w:trPr>
        <w:tc>
          <w:tcPr>
            <w:tcW w:w="2425" w:type="dxa"/>
          </w:tcPr>
          <w:p w14:paraId="6EE61E80" w14:textId="77777777" w:rsidR="00F562C9" w:rsidRPr="006F101A" w:rsidRDefault="00F562C9" w:rsidP="00F562C9">
            <w:pPr>
              <w:pStyle w:val="NoSpacing"/>
            </w:pPr>
            <w:r w:rsidRPr="006F101A">
              <w:t>Categorical Covariates</w:t>
            </w:r>
          </w:p>
        </w:tc>
        <w:tc>
          <w:tcPr>
            <w:tcW w:w="989" w:type="dxa"/>
          </w:tcPr>
          <w:p w14:paraId="0D2D0306" w14:textId="77777777" w:rsidR="00F562C9" w:rsidRPr="006F101A" w:rsidRDefault="00F562C9" w:rsidP="00F562C9">
            <w:pPr>
              <w:pStyle w:val="NoSpacing"/>
            </w:pPr>
            <w:r w:rsidRPr="006F101A">
              <w:t>Proportion</w:t>
            </w:r>
          </w:p>
        </w:tc>
        <w:tc>
          <w:tcPr>
            <w:tcW w:w="0" w:type="auto"/>
          </w:tcPr>
          <w:p w14:paraId="12D9ADA9" w14:textId="77777777" w:rsidR="00F562C9" w:rsidRPr="006F101A" w:rsidRDefault="00F562C9" w:rsidP="00F562C9">
            <w:pPr>
              <w:pStyle w:val="NoSpacing"/>
              <w:rPr>
                <w:i/>
                <w:iCs/>
              </w:rPr>
            </w:pPr>
            <w:r w:rsidRPr="006F101A">
              <w:t xml:space="preserve">Unit </w:t>
            </w:r>
            <w:r w:rsidRPr="006F101A">
              <w:rPr>
                <w:i/>
                <w:iCs/>
              </w:rPr>
              <w:t>SD</w:t>
            </w:r>
          </w:p>
        </w:tc>
        <w:tc>
          <w:tcPr>
            <w:tcW w:w="0" w:type="auto"/>
          </w:tcPr>
          <w:p w14:paraId="43E7F3E0" w14:textId="77777777" w:rsidR="00F562C9" w:rsidRPr="006F101A" w:rsidRDefault="00F562C9" w:rsidP="00F562C9">
            <w:pPr>
              <w:pStyle w:val="NoSpacing"/>
            </w:pPr>
            <w:r w:rsidRPr="006F101A">
              <w:t>Proportion</w:t>
            </w:r>
          </w:p>
        </w:tc>
        <w:tc>
          <w:tcPr>
            <w:tcW w:w="0" w:type="auto"/>
          </w:tcPr>
          <w:p w14:paraId="3483BD28" w14:textId="77777777" w:rsidR="00F562C9" w:rsidRPr="006F101A" w:rsidRDefault="00F562C9" w:rsidP="00F562C9">
            <w:pPr>
              <w:pStyle w:val="NoSpacing"/>
              <w:rPr>
                <w:i/>
                <w:iCs/>
              </w:rPr>
            </w:pPr>
            <w:r w:rsidRPr="006F101A">
              <w:t xml:space="preserve">Unit </w:t>
            </w:r>
            <w:r w:rsidRPr="006F101A">
              <w:rPr>
                <w:i/>
                <w:iCs/>
              </w:rPr>
              <w:t>SD</w:t>
            </w:r>
          </w:p>
        </w:tc>
        <w:tc>
          <w:tcPr>
            <w:tcW w:w="0" w:type="auto"/>
          </w:tcPr>
          <w:p w14:paraId="3CFC66C5" w14:textId="77777777" w:rsidR="00F562C9" w:rsidRPr="006F101A" w:rsidRDefault="00F562C9" w:rsidP="00F562C9">
            <w:pPr>
              <w:pStyle w:val="NoSpacing"/>
            </w:pPr>
            <w:r w:rsidRPr="006F101A">
              <w:t>Size</w:t>
            </w:r>
          </w:p>
        </w:tc>
        <w:tc>
          <w:tcPr>
            <w:tcW w:w="0" w:type="auto"/>
          </w:tcPr>
          <w:p w14:paraId="18D56C48" w14:textId="77777777" w:rsidR="00F562C9" w:rsidRPr="006F101A" w:rsidRDefault="00F562C9" w:rsidP="00F562C9">
            <w:pPr>
              <w:pStyle w:val="NoSpacing"/>
            </w:pPr>
            <w:r w:rsidRPr="006F101A">
              <w:t>Proportion</w:t>
            </w:r>
          </w:p>
        </w:tc>
        <w:tc>
          <w:tcPr>
            <w:tcW w:w="0" w:type="auto"/>
          </w:tcPr>
          <w:p w14:paraId="4EA7C279" w14:textId="77777777" w:rsidR="00F562C9" w:rsidRPr="006F101A" w:rsidRDefault="00F562C9" w:rsidP="00F562C9">
            <w:pPr>
              <w:pStyle w:val="NoSpacing"/>
              <w:rPr>
                <w:i/>
                <w:iCs/>
              </w:rPr>
            </w:pPr>
            <w:r w:rsidRPr="006F101A">
              <w:t xml:space="preserve">Unit </w:t>
            </w:r>
            <w:r w:rsidRPr="006F101A">
              <w:rPr>
                <w:i/>
                <w:iCs/>
              </w:rPr>
              <w:t>SD</w:t>
            </w:r>
          </w:p>
        </w:tc>
        <w:tc>
          <w:tcPr>
            <w:tcW w:w="0" w:type="auto"/>
          </w:tcPr>
          <w:p w14:paraId="14DC7E44" w14:textId="77777777" w:rsidR="00F562C9" w:rsidRPr="006F101A" w:rsidRDefault="00F562C9" w:rsidP="00F562C9">
            <w:pPr>
              <w:pStyle w:val="NoSpacing"/>
            </w:pPr>
            <w:r w:rsidRPr="006F101A">
              <w:t>Proportion</w:t>
            </w:r>
          </w:p>
        </w:tc>
        <w:tc>
          <w:tcPr>
            <w:tcW w:w="0" w:type="auto"/>
          </w:tcPr>
          <w:p w14:paraId="69E4B62A" w14:textId="77777777" w:rsidR="00F562C9" w:rsidRPr="006F101A" w:rsidRDefault="00F562C9" w:rsidP="00F562C9">
            <w:pPr>
              <w:pStyle w:val="NoSpacing"/>
              <w:rPr>
                <w:i/>
                <w:iCs/>
              </w:rPr>
            </w:pPr>
            <w:r w:rsidRPr="006F101A">
              <w:t xml:space="preserve">Unit </w:t>
            </w:r>
            <w:r w:rsidRPr="006F101A">
              <w:rPr>
                <w:i/>
                <w:iCs/>
              </w:rPr>
              <w:t>SD</w:t>
            </w:r>
          </w:p>
        </w:tc>
        <w:tc>
          <w:tcPr>
            <w:tcW w:w="0" w:type="auto"/>
          </w:tcPr>
          <w:p w14:paraId="062D63B2" w14:textId="77777777" w:rsidR="00F562C9" w:rsidRPr="006F101A" w:rsidRDefault="00F562C9" w:rsidP="00F562C9">
            <w:pPr>
              <w:pStyle w:val="NoSpacing"/>
            </w:pPr>
            <w:r w:rsidRPr="006F101A">
              <w:t>Size</w:t>
            </w:r>
          </w:p>
        </w:tc>
      </w:tr>
      <w:tr w:rsidR="00F562C9" w:rsidRPr="006F101A" w14:paraId="7BB9C29F" w14:textId="77777777" w:rsidTr="00F562C9">
        <w:trPr>
          <w:trHeight w:val="274"/>
        </w:trPr>
        <w:tc>
          <w:tcPr>
            <w:tcW w:w="2425" w:type="dxa"/>
          </w:tcPr>
          <w:p w14:paraId="08349EF2" w14:textId="77777777" w:rsidR="00F562C9" w:rsidRPr="006F101A" w:rsidRDefault="00F562C9" w:rsidP="00F562C9">
            <w:pPr>
              <w:pStyle w:val="NoSpacing"/>
            </w:pPr>
            <w:r w:rsidRPr="006F101A">
              <w:t>Family gender: female</w:t>
            </w:r>
          </w:p>
        </w:tc>
        <w:tc>
          <w:tcPr>
            <w:tcW w:w="989" w:type="dxa"/>
          </w:tcPr>
          <w:p w14:paraId="65C25B4A" w14:textId="77777777" w:rsidR="00F562C9" w:rsidRPr="006F101A" w:rsidRDefault="00F562C9" w:rsidP="00F562C9">
            <w:pPr>
              <w:pStyle w:val="NoSpacing"/>
            </w:pPr>
            <w:r w:rsidRPr="006F101A">
              <w:t>0.643</w:t>
            </w:r>
          </w:p>
        </w:tc>
        <w:tc>
          <w:tcPr>
            <w:tcW w:w="0" w:type="auto"/>
          </w:tcPr>
          <w:p w14:paraId="6C351A9E" w14:textId="77777777" w:rsidR="00F562C9" w:rsidRPr="006F101A" w:rsidRDefault="00F562C9" w:rsidP="00F562C9">
            <w:pPr>
              <w:pStyle w:val="NoSpacing"/>
            </w:pPr>
            <w:r w:rsidRPr="006F101A">
              <w:t>0.479</w:t>
            </w:r>
          </w:p>
        </w:tc>
        <w:tc>
          <w:tcPr>
            <w:tcW w:w="0" w:type="auto"/>
          </w:tcPr>
          <w:p w14:paraId="4C4B1F73" w14:textId="77777777" w:rsidR="00F562C9" w:rsidRPr="006F101A" w:rsidRDefault="00F562C9" w:rsidP="00F562C9">
            <w:pPr>
              <w:pStyle w:val="NoSpacing"/>
            </w:pPr>
            <w:r w:rsidRPr="006F101A">
              <w:t>0.75</w:t>
            </w:r>
          </w:p>
        </w:tc>
        <w:tc>
          <w:tcPr>
            <w:tcW w:w="0" w:type="auto"/>
          </w:tcPr>
          <w:p w14:paraId="790268F3" w14:textId="77777777" w:rsidR="00F562C9" w:rsidRPr="006F101A" w:rsidRDefault="00F562C9" w:rsidP="00F562C9">
            <w:pPr>
              <w:pStyle w:val="NoSpacing"/>
            </w:pPr>
            <w:r w:rsidRPr="006F101A">
              <w:t>0.433</w:t>
            </w:r>
          </w:p>
        </w:tc>
        <w:tc>
          <w:tcPr>
            <w:tcW w:w="0" w:type="auto"/>
          </w:tcPr>
          <w:p w14:paraId="6C811AE0" w14:textId="77777777" w:rsidR="00F562C9" w:rsidRPr="006F101A" w:rsidRDefault="00F562C9" w:rsidP="00F562C9">
            <w:pPr>
              <w:pStyle w:val="NoSpacing"/>
            </w:pPr>
            <w:r w:rsidRPr="006F101A">
              <w:t>−0.232</w:t>
            </w:r>
          </w:p>
        </w:tc>
        <w:tc>
          <w:tcPr>
            <w:tcW w:w="0" w:type="auto"/>
          </w:tcPr>
          <w:p w14:paraId="49AAB2F7" w14:textId="77777777" w:rsidR="00F562C9" w:rsidRPr="006F101A" w:rsidRDefault="00F562C9" w:rsidP="00F562C9">
            <w:pPr>
              <w:pStyle w:val="NoSpacing"/>
            </w:pPr>
            <w:r w:rsidRPr="006F101A">
              <w:t>0.685</w:t>
            </w:r>
          </w:p>
        </w:tc>
        <w:tc>
          <w:tcPr>
            <w:tcW w:w="0" w:type="auto"/>
          </w:tcPr>
          <w:p w14:paraId="34A08001" w14:textId="77777777" w:rsidR="00F562C9" w:rsidRPr="006F101A" w:rsidRDefault="00F562C9" w:rsidP="00F562C9">
            <w:pPr>
              <w:pStyle w:val="NoSpacing"/>
            </w:pPr>
            <w:r w:rsidRPr="006F101A">
              <w:t>0.464</w:t>
            </w:r>
          </w:p>
        </w:tc>
        <w:tc>
          <w:tcPr>
            <w:tcW w:w="0" w:type="auto"/>
          </w:tcPr>
          <w:p w14:paraId="0C5B6AC7" w14:textId="77777777" w:rsidR="00F562C9" w:rsidRPr="006F101A" w:rsidRDefault="00F562C9" w:rsidP="00F562C9">
            <w:pPr>
              <w:pStyle w:val="NoSpacing"/>
            </w:pPr>
            <w:r w:rsidRPr="006F101A">
              <w:t>0.752</w:t>
            </w:r>
          </w:p>
        </w:tc>
        <w:tc>
          <w:tcPr>
            <w:tcW w:w="0" w:type="auto"/>
          </w:tcPr>
          <w:p w14:paraId="2A1C018D" w14:textId="77777777" w:rsidR="00F562C9" w:rsidRPr="006F101A" w:rsidRDefault="00F562C9" w:rsidP="00F562C9">
            <w:pPr>
              <w:pStyle w:val="NoSpacing"/>
            </w:pPr>
            <w:r w:rsidRPr="006F101A">
              <w:t>0.432</w:t>
            </w:r>
          </w:p>
        </w:tc>
        <w:tc>
          <w:tcPr>
            <w:tcW w:w="0" w:type="auto"/>
          </w:tcPr>
          <w:p w14:paraId="0F744CFA" w14:textId="77777777" w:rsidR="00F562C9" w:rsidRPr="006F101A" w:rsidRDefault="00F562C9" w:rsidP="00F562C9">
            <w:pPr>
              <w:pStyle w:val="NoSpacing"/>
            </w:pPr>
            <w:r w:rsidRPr="006F101A">
              <w:t>−0.144</w:t>
            </w:r>
          </w:p>
        </w:tc>
      </w:tr>
      <w:tr w:rsidR="00F562C9" w:rsidRPr="006F101A" w14:paraId="552324B5" w14:textId="77777777" w:rsidTr="00F562C9">
        <w:trPr>
          <w:trHeight w:val="230"/>
        </w:trPr>
        <w:tc>
          <w:tcPr>
            <w:tcW w:w="2425" w:type="dxa"/>
          </w:tcPr>
          <w:p w14:paraId="206C499F" w14:textId="77777777" w:rsidR="00F562C9" w:rsidRPr="006F101A" w:rsidRDefault="00F562C9" w:rsidP="00F562C9">
            <w:pPr>
              <w:pStyle w:val="NoSpacing"/>
            </w:pPr>
            <w:r w:rsidRPr="006F101A">
              <w:t>Family gender: male</w:t>
            </w:r>
          </w:p>
        </w:tc>
        <w:tc>
          <w:tcPr>
            <w:tcW w:w="989" w:type="dxa"/>
          </w:tcPr>
          <w:p w14:paraId="755115FA" w14:textId="77777777" w:rsidR="00F562C9" w:rsidRPr="006F101A" w:rsidRDefault="00F562C9" w:rsidP="00F562C9">
            <w:pPr>
              <w:pStyle w:val="NoSpacing"/>
            </w:pPr>
            <w:r w:rsidRPr="006F101A">
              <w:t>0.357</w:t>
            </w:r>
          </w:p>
        </w:tc>
        <w:tc>
          <w:tcPr>
            <w:tcW w:w="0" w:type="auto"/>
          </w:tcPr>
          <w:p w14:paraId="42C50105" w14:textId="77777777" w:rsidR="00F562C9" w:rsidRPr="006F101A" w:rsidRDefault="00F562C9" w:rsidP="00F562C9">
            <w:pPr>
              <w:pStyle w:val="NoSpacing"/>
            </w:pPr>
            <w:r w:rsidRPr="006F101A">
              <w:t>0.479</w:t>
            </w:r>
          </w:p>
        </w:tc>
        <w:tc>
          <w:tcPr>
            <w:tcW w:w="0" w:type="auto"/>
          </w:tcPr>
          <w:p w14:paraId="1AC4F78F" w14:textId="77777777" w:rsidR="00F562C9" w:rsidRPr="006F101A" w:rsidRDefault="00F562C9" w:rsidP="00F562C9">
            <w:pPr>
              <w:pStyle w:val="NoSpacing"/>
            </w:pPr>
            <w:r w:rsidRPr="006F101A">
              <w:t>0.25</w:t>
            </w:r>
          </w:p>
        </w:tc>
        <w:tc>
          <w:tcPr>
            <w:tcW w:w="0" w:type="auto"/>
          </w:tcPr>
          <w:p w14:paraId="1159DB28" w14:textId="77777777" w:rsidR="00F562C9" w:rsidRPr="006F101A" w:rsidRDefault="00F562C9" w:rsidP="00F562C9">
            <w:pPr>
              <w:pStyle w:val="NoSpacing"/>
            </w:pPr>
            <w:r w:rsidRPr="006F101A">
              <w:t>0.433</w:t>
            </w:r>
          </w:p>
        </w:tc>
        <w:tc>
          <w:tcPr>
            <w:tcW w:w="0" w:type="auto"/>
          </w:tcPr>
          <w:p w14:paraId="3F393578" w14:textId="77777777" w:rsidR="00F562C9" w:rsidRPr="006F101A" w:rsidRDefault="00F562C9" w:rsidP="00F562C9">
            <w:pPr>
              <w:pStyle w:val="NoSpacing"/>
            </w:pPr>
            <w:r w:rsidRPr="006F101A">
              <w:t>0.232</w:t>
            </w:r>
          </w:p>
        </w:tc>
        <w:tc>
          <w:tcPr>
            <w:tcW w:w="0" w:type="auto"/>
          </w:tcPr>
          <w:p w14:paraId="72E95E47" w14:textId="77777777" w:rsidR="00F562C9" w:rsidRPr="006F101A" w:rsidRDefault="00F562C9" w:rsidP="00F562C9">
            <w:pPr>
              <w:pStyle w:val="NoSpacing"/>
            </w:pPr>
            <w:r w:rsidRPr="006F101A">
              <w:t>0.315</w:t>
            </w:r>
          </w:p>
        </w:tc>
        <w:tc>
          <w:tcPr>
            <w:tcW w:w="0" w:type="auto"/>
          </w:tcPr>
          <w:p w14:paraId="7DD2D169" w14:textId="77777777" w:rsidR="00F562C9" w:rsidRPr="006F101A" w:rsidRDefault="00F562C9" w:rsidP="00F562C9">
            <w:pPr>
              <w:pStyle w:val="NoSpacing"/>
            </w:pPr>
            <w:r w:rsidRPr="006F101A">
              <w:t>0.464</w:t>
            </w:r>
          </w:p>
        </w:tc>
        <w:tc>
          <w:tcPr>
            <w:tcW w:w="0" w:type="auto"/>
          </w:tcPr>
          <w:p w14:paraId="1BB8A0A8" w14:textId="77777777" w:rsidR="00F562C9" w:rsidRPr="006F101A" w:rsidRDefault="00F562C9" w:rsidP="00F562C9">
            <w:pPr>
              <w:pStyle w:val="NoSpacing"/>
            </w:pPr>
            <w:r w:rsidRPr="006F101A">
              <w:t>0.248</w:t>
            </w:r>
          </w:p>
        </w:tc>
        <w:tc>
          <w:tcPr>
            <w:tcW w:w="0" w:type="auto"/>
          </w:tcPr>
          <w:p w14:paraId="14F81C15" w14:textId="77777777" w:rsidR="00F562C9" w:rsidRPr="006F101A" w:rsidRDefault="00F562C9" w:rsidP="00F562C9">
            <w:pPr>
              <w:pStyle w:val="NoSpacing"/>
            </w:pPr>
            <w:r w:rsidRPr="006F101A">
              <w:t>0.432</w:t>
            </w:r>
          </w:p>
        </w:tc>
        <w:tc>
          <w:tcPr>
            <w:tcW w:w="0" w:type="auto"/>
          </w:tcPr>
          <w:p w14:paraId="0D5A1D4F" w14:textId="77777777" w:rsidR="00F562C9" w:rsidRPr="006F101A" w:rsidRDefault="00F562C9" w:rsidP="00F562C9">
            <w:pPr>
              <w:pStyle w:val="NoSpacing"/>
            </w:pPr>
            <w:r w:rsidRPr="006F101A">
              <w:t>0.144</w:t>
            </w:r>
          </w:p>
        </w:tc>
      </w:tr>
      <w:tr w:rsidR="00F562C9" w:rsidRPr="006F101A" w14:paraId="31472191" w14:textId="77777777" w:rsidTr="00F562C9">
        <w:trPr>
          <w:trHeight w:val="230"/>
        </w:trPr>
        <w:tc>
          <w:tcPr>
            <w:tcW w:w="2425" w:type="dxa"/>
          </w:tcPr>
          <w:p w14:paraId="404418C2" w14:textId="77777777" w:rsidR="00F562C9" w:rsidRPr="006F101A" w:rsidRDefault="00F562C9" w:rsidP="00F562C9">
            <w:pPr>
              <w:pStyle w:val="NoSpacing"/>
            </w:pPr>
            <w:r w:rsidRPr="006F101A">
              <w:t>Marital: married</w:t>
            </w:r>
          </w:p>
        </w:tc>
        <w:tc>
          <w:tcPr>
            <w:tcW w:w="989" w:type="dxa"/>
          </w:tcPr>
          <w:p w14:paraId="0F769EA0" w14:textId="77777777" w:rsidR="00F562C9" w:rsidRPr="006F101A" w:rsidRDefault="00F562C9" w:rsidP="00F562C9">
            <w:pPr>
              <w:pStyle w:val="NoSpacing"/>
            </w:pPr>
            <w:r w:rsidRPr="006F101A">
              <w:t>0.500</w:t>
            </w:r>
          </w:p>
        </w:tc>
        <w:tc>
          <w:tcPr>
            <w:tcW w:w="0" w:type="auto"/>
          </w:tcPr>
          <w:p w14:paraId="54B012ED" w14:textId="77777777" w:rsidR="00F562C9" w:rsidRPr="006F101A" w:rsidRDefault="00F562C9" w:rsidP="00F562C9">
            <w:pPr>
              <w:pStyle w:val="NoSpacing"/>
            </w:pPr>
            <w:r w:rsidRPr="006F101A">
              <w:t>0.500</w:t>
            </w:r>
          </w:p>
        </w:tc>
        <w:tc>
          <w:tcPr>
            <w:tcW w:w="0" w:type="auto"/>
          </w:tcPr>
          <w:p w14:paraId="01D2EDC9" w14:textId="77777777" w:rsidR="00F562C9" w:rsidRPr="006F101A" w:rsidRDefault="00F562C9" w:rsidP="00F562C9">
            <w:pPr>
              <w:pStyle w:val="NoSpacing"/>
            </w:pPr>
            <w:r w:rsidRPr="006F101A">
              <w:t>0.417</w:t>
            </w:r>
          </w:p>
        </w:tc>
        <w:tc>
          <w:tcPr>
            <w:tcW w:w="0" w:type="auto"/>
          </w:tcPr>
          <w:p w14:paraId="13F8E9C6" w14:textId="77777777" w:rsidR="00F562C9" w:rsidRPr="006F101A" w:rsidRDefault="00F562C9" w:rsidP="00F562C9">
            <w:pPr>
              <w:pStyle w:val="NoSpacing"/>
            </w:pPr>
            <w:r w:rsidRPr="006F101A">
              <w:t>0.493</w:t>
            </w:r>
          </w:p>
        </w:tc>
        <w:tc>
          <w:tcPr>
            <w:tcW w:w="0" w:type="auto"/>
          </w:tcPr>
          <w:p w14:paraId="4F2D1BC9" w14:textId="77777777" w:rsidR="00F562C9" w:rsidRPr="006F101A" w:rsidRDefault="00F562C9" w:rsidP="00F562C9">
            <w:pPr>
              <w:pStyle w:val="NoSpacing"/>
            </w:pPr>
            <w:r w:rsidRPr="006F101A">
              <w:t>0.167</w:t>
            </w:r>
          </w:p>
        </w:tc>
        <w:tc>
          <w:tcPr>
            <w:tcW w:w="0" w:type="auto"/>
          </w:tcPr>
          <w:p w14:paraId="774950B6" w14:textId="77777777" w:rsidR="00F562C9" w:rsidRPr="006F101A" w:rsidRDefault="00F562C9" w:rsidP="00F562C9">
            <w:pPr>
              <w:pStyle w:val="NoSpacing"/>
            </w:pPr>
            <w:r w:rsidRPr="006F101A">
              <w:t>0.451</w:t>
            </w:r>
          </w:p>
        </w:tc>
        <w:tc>
          <w:tcPr>
            <w:tcW w:w="0" w:type="auto"/>
          </w:tcPr>
          <w:p w14:paraId="52AA4D54" w14:textId="77777777" w:rsidR="00F562C9" w:rsidRPr="006F101A" w:rsidRDefault="00F562C9" w:rsidP="00F562C9">
            <w:pPr>
              <w:pStyle w:val="NoSpacing"/>
            </w:pPr>
            <w:r w:rsidRPr="006F101A">
              <w:t>0.498</w:t>
            </w:r>
          </w:p>
        </w:tc>
        <w:tc>
          <w:tcPr>
            <w:tcW w:w="0" w:type="auto"/>
          </w:tcPr>
          <w:p w14:paraId="6A65690D" w14:textId="77777777" w:rsidR="00F562C9" w:rsidRPr="006F101A" w:rsidRDefault="00F562C9" w:rsidP="00F562C9">
            <w:pPr>
              <w:pStyle w:val="NoSpacing"/>
            </w:pPr>
            <w:r w:rsidRPr="006F101A">
              <w:t>0.344</w:t>
            </w:r>
          </w:p>
        </w:tc>
        <w:tc>
          <w:tcPr>
            <w:tcW w:w="0" w:type="auto"/>
          </w:tcPr>
          <w:p w14:paraId="4F7C1A3F" w14:textId="77777777" w:rsidR="00F562C9" w:rsidRPr="006F101A" w:rsidRDefault="00F562C9" w:rsidP="00F562C9">
            <w:pPr>
              <w:pStyle w:val="NoSpacing"/>
            </w:pPr>
            <w:r w:rsidRPr="006F101A">
              <w:t>0.475</w:t>
            </w:r>
          </w:p>
        </w:tc>
        <w:tc>
          <w:tcPr>
            <w:tcW w:w="0" w:type="auto"/>
          </w:tcPr>
          <w:p w14:paraId="6707CCC2" w14:textId="77777777" w:rsidR="00F562C9" w:rsidRPr="006F101A" w:rsidRDefault="00F562C9" w:rsidP="00F562C9">
            <w:pPr>
              <w:pStyle w:val="NoSpacing"/>
            </w:pPr>
            <w:r w:rsidRPr="006F101A">
              <w:t>0.215</w:t>
            </w:r>
          </w:p>
        </w:tc>
      </w:tr>
      <w:tr w:rsidR="00F562C9" w:rsidRPr="006F101A" w14:paraId="76394452" w14:textId="77777777" w:rsidTr="00F562C9">
        <w:trPr>
          <w:trHeight w:val="230"/>
        </w:trPr>
        <w:tc>
          <w:tcPr>
            <w:tcW w:w="2425" w:type="dxa"/>
          </w:tcPr>
          <w:p w14:paraId="10DF9185" w14:textId="77777777" w:rsidR="00F562C9" w:rsidRPr="006F101A" w:rsidRDefault="00F562C9" w:rsidP="00F562C9">
            <w:pPr>
              <w:pStyle w:val="NoSpacing"/>
            </w:pPr>
            <w:r w:rsidRPr="006F101A">
              <w:t>Marital: single</w:t>
            </w:r>
          </w:p>
        </w:tc>
        <w:tc>
          <w:tcPr>
            <w:tcW w:w="989" w:type="dxa"/>
          </w:tcPr>
          <w:p w14:paraId="6BDE469F" w14:textId="77777777" w:rsidR="00F562C9" w:rsidRPr="006F101A" w:rsidRDefault="00F562C9" w:rsidP="00F562C9">
            <w:pPr>
              <w:pStyle w:val="NoSpacing"/>
            </w:pPr>
            <w:r w:rsidRPr="006F101A">
              <w:t>0.500</w:t>
            </w:r>
          </w:p>
        </w:tc>
        <w:tc>
          <w:tcPr>
            <w:tcW w:w="0" w:type="auto"/>
          </w:tcPr>
          <w:p w14:paraId="49484184" w14:textId="77777777" w:rsidR="00F562C9" w:rsidRPr="006F101A" w:rsidRDefault="00F562C9" w:rsidP="00F562C9">
            <w:pPr>
              <w:pStyle w:val="NoSpacing"/>
            </w:pPr>
            <w:r w:rsidRPr="006F101A">
              <w:t>0.500</w:t>
            </w:r>
          </w:p>
        </w:tc>
        <w:tc>
          <w:tcPr>
            <w:tcW w:w="0" w:type="auto"/>
          </w:tcPr>
          <w:p w14:paraId="74063340" w14:textId="77777777" w:rsidR="00F562C9" w:rsidRPr="006F101A" w:rsidRDefault="00F562C9" w:rsidP="00F562C9">
            <w:pPr>
              <w:pStyle w:val="NoSpacing"/>
            </w:pPr>
            <w:r w:rsidRPr="006F101A">
              <w:t>0.583</w:t>
            </w:r>
          </w:p>
        </w:tc>
        <w:tc>
          <w:tcPr>
            <w:tcW w:w="0" w:type="auto"/>
          </w:tcPr>
          <w:p w14:paraId="2CE91756" w14:textId="77777777" w:rsidR="00F562C9" w:rsidRPr="006F101A" w:rsidRDefault="00F562C9" w:rsidP="00F562C9">
            <w:pPr>
              <w:pStyle w:val="NoSpacing"/>
            </w:pPr>
            <w:r w:rsidRPr="006F101A">
              <w:t>0.493</w:t>
            </w:r>
          </w:p>
        </w:tc>
        <w:tc>
          <w:tcPr>
            <w:tcW w:w="0" w:type="auto"/>
          </w:tcPr>
          <w:p w14:paraId="0531061A" w14:textId="77777777" w:rsidR="00F562C9" w:rsidRPr="006F101A" w:rsidRDefault="00F562C9" w:rsidP="00F562C9">
            <w:pPr>
              <w:pStyle w:val="NoSpacing"/>
            </w:pPr>
            <w:r w:rsidRPr="006F101A">
              <w:t>−0.167</w:t>
            </w:r>
          </w:p>
        </w:tc>
        <w:tc>
          <w:tcPr>
            <w:tcW w:w="0" w:type="auto"/>
          </w:tcPr>
          <w:p w14:paraId="26CFB09B" w14:textId="77777777" w:rsidR="00F562C9" w:rsidRPr="006F101A" w:rsidRDefault="00F562C9" w:rsidP="00F562C9">
            <w:pPr>
              <w:pStyle w:val="NoSpacing"/>
            </w:pPr>
            <w:r w:rsidRPr="006F101A">
              <w:t>0.549</w:t>
            </w:r>
          </w:p>
        </w:tc>
        <w:tc>
          <w:tcPr>
            <w:tcW w:w="0" w:type="auto"/>
          </w:tcPr>
          <w:p w14:paraId="08B6EB5A" w14:textId="77777777" w:rsidR="00F562C9" w:rsidRPr="006F101A" w:rsidRDefault="00F562C9" w:rsidP="00F562C9">
            <w:pPr>
              <w:pStyle w:val="NoSpacing"/>
            </w:pPr>
            <w:r w:rsidRPr="006F101A">
              <w:t>0.498</w:t>
            </w:r>
          </w:p>
        </w:tc>
        <w:tc>
          <w:tcPr>
            <w:tcW w:w="0" w:type="auto"/>
          </w:tcPr>
          <w:p w14:paraId="6C6F8248" w14:textId="77777777" w:rsidR="00F562C9" w:rsidRPr="006F101A" w:rsidRDefault="00F562C9" w:rsidP="00F562C9">
            <w:pPr>
              <w:pStyle w:val="NoSpacing"/>
            </w:pPr>
            <w:r w:rsidRPr="006F101A">
              <w:t>0.656</w:t>
            </w:r>
          </w:p>
        </w:tc>
        <w:tc>
          <w:tcPr>
            <w:tcW w:w="0" w:type="auto"/>
          </w:tcPr>
          <w:p w14:paraId="0CE5F2E7" w14:textId="77777777" w:rsidR="00F562C9" w:rsidRPr="006F101A" w:rsidRDefault="00F562C9" w:rsidP="00F562C9">
            <w:pPr>
              <w:pStyle w:val="NoSpacing"/>
            </w:pPr>
            <w:r w:rsidRPr="006F101A">
              <w:t>0.475</w:t>
            </w:r>
          </w:p>
        </w:tc>
        <w:tc>
          <w:tcPr>
            <w:tcW w:w="0" w:type="auto"/>
          </w:tcPr>
          <w:p w14:paraId="6CA44D60" w14:textId="77777777" w:rsidR="00F562C9" w:rsidRPr="006F101A" w:rsidRDefault="00F562C9" w:rsidP="00F562C9">
            <w:pPr>
              <w:pStyle w:val="NoSpacing"/>
            </w:pPr>
            <w:r w:rsidRPr="006F101A">
              <w:t>−0.215</w:t>
            </w:r>
          </w:p>
        </w:tc>
      </w:tr>
      <w:tr w:rsidR="00F562C9" w:rsidRPr="006F101A" w14:paraId="1129A37A" w14:textId="77777777" w:rsidTr="00F562C9">
        <w:trPr>
          <w:trHeight w:val="230"/>
        </w:trPr>
        <w:tc>
          <w:tcPr>
            <w:tcW w:w="2425" w:type="dxa"/>
          </w:tcPr>
          <w:p w14:paraId="0DFF0616" w14:textId="77777777" w:rsidR="00F562C9" w:rsidRPr="006F101A" w:rsidRDefault="00F562C9" w:rsidP="00F562C9">
            <w:pPr>
              <w:pStyle w:val="NoSpacing"/>
            </w:pPr>
            <w:r w:rsidRPr="006F101A">
              <w:t>Child gender: female</w:t>
            </w:r>
          </w:p>
        </w:tc>
        <w:tc>
          <w:tcPr>
            <w:tcW w:w="989" w:type="dxa"/>
          </w:tcPr>
          <w:p w14:paraId="0B993D0E" w14:textId="77777777" w:rsidR="00F562C9" w:rsidRPr="006F101A" w:rsidRDefault="00F562C9" w:rsidP="00F562C9">
            <w:pPr>
              <w:pStyle w:val="NoSpacing"/>
            </w:pPr>
            <w:r w:rsidRPr="006F101A">
              <w:t>0.429</w:t>
            </w:r>
          </w:p>
        </w:tc>
        <w:tc>
          <w:tcPr>
            <w:tcW w:w="0" w:type="auto"/>
          </w:tcPr>
          <w:p w14:paraId="10C80B5E" w14:textId="77777777" w:rsidR="00F562C9" w:rsidRPr="006F101A" w:rsidRDefault="00F562C9" w:rsidP="00F562C9">
            <w:pPr>
              <w:pStyle w:val="NoSpacing"/>
            </w:pPr>
            <w:r w:rsidRPr="006F101A">
              <w:t>0.495</w:t>
            </w:r>
          </w:p>
        </w:tc>
        <w:tc>
          <w:tcPr>
            <w:tcW w:w="0" w:type="auto"/>
          </w:tcPr>
          <w:p w14:paraId="6568E159" w14:textId="77777777" w:rsidR="00F562C9" w:rsidRPr="006F101A" w:rsidRDefault="00F562C9" w:rsidP="00F562C9">
            <w:pPr>
              <w:pStyle w:val="NoSpacing"/>
            </w:pPr>
            <w:r w:rsidRPr="006F101A">
              <w:t>0.500</w:t>
            </w:r>
          </w:p>
        </w:tc>
        <w:tc>
          <w:tcPr>
            <w:tcW w:w="0" w:type="auto"/>
          </w:tcPr>
          <w:p w14:paraId="039A0920" w14:textId="77777777" w:rsidR="00F562C9" w:rsidRPr="006F101A" w:rsidRDefault="00F562C9" w:rsidP="00F562C9">
            <w:pPr>
              <w:pStyle w:val="NoSpacing"/>
            </w:pPr>
            <w:r w:rsidRPr="006F101A">
              <w:t>0.500</w:t>
            </w:r>
          </w:p>
        </w:tc>
        <w:tc>
          <w:tcPr>
            <w:tcW w:w="0" w:type="auto"/>
          </w:tcPr>
          <w:p w14:paraId="475CB26B" w14:textId="77777777" w:rsidR="00F562C9" w:rsidRPr="006F101A" w:rsidRDefault="00F562C9" w:rsidP="00F562C9">
            <w:pPr>
              <w:pStyle w:val="NoSpacing"/>
            </w:pPr>
            <w:r w:rsidRPr="006F101A">
              <w:t>−0.143</w:t>
            </w:r>
          </w:p>
        </w:tc>
        <w:tc>
          <w:tcPr>
            <w:tcW w:w="0" w:type="auto"/>
          </w:tcPr>
          <w:p w14:paraId="02EE1918" w14:textId="77777777" w:rsidR="00F562C9" w:rsidRPr="006F101A" w:rsidRDefault="00F562C9" w:rsidP="00F562C9">
            <w:pPr>
              <w:pStyle w:val="NoSpacing"/>
            </w:pPr>
            <w:r w:rsidRPr="006F101A">
              <w:t>0.406</w:t>
            </w:r>
          </w:p>
        </w:tc>
        <w:tc>
          <w:tcPr>
            <w:tcW w:w="0" w:type="auto"/>
          </w:tcPr>
          <w:p w14:paraId="03457042" w14:textId="77777777" w:rsidR="00F562C9" w:rsidRPr="006F101A" w:rsidRDefault="00F562C9" w:rsidP="00F562C9">
            <w:pPr>
              <w:pStyle w:val="NoSpacing"/>
            </w:pPr>
            <w:r w:rsidRPr="006F101A">
              <w:t>0.491</w:t>
            </w:r>
          </w:p>
        </w:tc>
        <w:tc>
          <w:tcPr>
            <w:tcW w:w="0" w:type="auto"/>
          </w:tcPr>
          <w:p w14:paraId="19F052D9" w14:textId="77777777" w:rsidR="00F562C9" w:rsidRPr="006F101A" w:rsidRDefault="00F562C9" w:rsidP="00F562C9">
            <w:pPr>
              <w:pStyle w:val="NoSpacing"/>
            </w:pPr>
            <w:r w:rsidRPr="006F101A">
              <w:t>0.394</w:t>
            </w:r>
          </w:p>
        </w:tc>
        <w:tc>
          <w:tcPr>
            <w:tcW w:w="0" w:type="auto"/>
          </w:tcPr>
          <w:p w14:paraId="33A70228" w14:textId="77777777" w:rsidR="00F562C9" w:rsidRPr="006F101A" w:rsidRDefault="00F562C9" w:rsidP="00F562C9">
            <w:pPr>
              <w:pStyle w:val="NoSpacing"/>
            </w:pPr>
            <w:r w:rsidRPr="006F101A">
              <w:t>0.489</w:t>
            </w:r>
          </w:p>
        </w:tc>
        <w:tc>
          <w:tcPr>
            <w:tcW w:w="0" w:type="auto"/>
          </w:tcPr>
          <w:p w14:paraId="290A74A5" w14:textId="77777777" w:rsidR="00F562C9" w:rsidRPr="006F101A" w:rsidRDefault="00F562C9" w:rsidP="00F562C9">
            <w:pPr>
              <w:pStyle w:val="NoSpacing"/>
            </w:pPr>
            <w:r w:rsidRPr="006F101A">
              <w:t>0.023</w:t>
            </w:r>
          </w:p>
        </w:tc>
      </w:tr>
      <w:tr w:rsidR="00F562C9" w:rsidRPr="006F101A" w14:paraId="7A3CFA49" w14:textId="77777777" w:rsidTr="00F562C9">
        <w:trPr>
          <w:trHeight w:val="230"/>
        </w:trPr>
        <w:tc>
          <w:tcPr>
            <w:tcW w:w="2425" w:type="dxa"/>
          </w:tcPr>
          <w:p w14:paraId="05714861" w14:textId="77777777" w:rsidR="00F562C9" w:rsidRPr="006F101A" w:rsidRDefault="00F562C9" w:rsidP="00F562C9">
            <w:pPr>
              <w:pStyle w:val="NoSpacing"/>
            </w:pPr>
            <w:r w:rsidRPr="006F101A">
              <w:t>Child gender: male</w:t>
            </w:r>
          </w:p>
        </w:tc>
        <w:tc>
          <w:tcPr>
            <w:tcW w:w="989" w:type="dxa"/>
          </w:tcPr>
          <w:p w14:paraId="65F26889" w14:textId="77777777" w:rsidR="00F562C9" w:rsidRPr="006F101A" w:rsidRDefault="00F562C9" w:rsidP="00F562C9">
            <w:pPr>
              <w:pStyle w:val="NoSpacing"/>
            </w:pPr>
            <w:r w:rsidRPr="006F101A">
              <w:t>0.571</w:t>
            </w:r>
          </w:p>
        </w:tc>
        <w:tc>
          <w:tcPr>
            <w:tcW w:w="0" w:type="auto"/>
          </w:tcPr>
          <w:p w14:paraId="1FA12B8F" w14:textId="77777777" w:rsidR="00F562C9" w:rsidRPr="006F101A" w:rsidRDefault="00F562C9" w:rsidP="00F562C9">
            <w:pPr>
              <w:pStyle w:val="NoSpacing"/>
            </w:pPr>
            <w:r w:rsidRPr="006F101A">
              <w:t>0.495</w:t>
            </w:r>
          </w:p>
        </w:tc>
        <w:tc>
          <w:tcPr>
            <w:tcW w:w="0" w:type="auto"/>
          </w:tcPr>
          <w:p w14:paraId="0510D3FC" w14:textId="77777777" w:rsidR="00F562C9" w:rsidRPr="006F101A" w:rsidRDefault="00F562C9" w:rsidP="00F562C9">
            <w:pPr>
              <w:pStyle w:val="NoSpacing"/>
            </w:pPr>
            <w:r w:rsidRPr="006F101A">
              <w:t>0.500</w:t>
            </w:r>
          </w:p>
        </w:tc>
        <w:tc>
          <w:tcPr>
            <w:tcW w:w="0" w:type="auto"/>
          </w:tcPr>
          <w:p w14:paraId="71A12583" w14:textId="77777777" w:rsidR="00F562C9" w:rsidRPr="006F101A" w:rsidRDefault="00F562C9" w:rsidP="00F562C9">
            <w:pPr>
              <w:pStyle w:val="NoSpacing"/>
            </w:pPr>
            <w:r w:rsidRPr="006F101A">
              <w:t>0.500</w:t>
            </w:r>
          </w:p>
        </w:tc>
        <w:tc>
          <w:tcPr>
            <w:tcW w:w="0" w:type="auto"/>
          </w:tcPr>
          <w:p w14:paraId="4E2910EB" w14:textId="77777777" w:rsidR="00F562C9" w:rsidRPr="006F101A" w:rsidRDefault="00F562C9" w:rsidP="00F562C9">
            <w:pPr>
              <w:pStyle w:val="NoSpacing"/>
            </w:pPr>
            <w:r w:rsidRPr="006F101A">
              <w:t>0.143</w:t>
            </w:r>
          </w:p>
        </w:tc>
        <w:tc>
          <w:tcPr>
            <w:tcW w:w="0" w:type="auto"/>
          </w:tcPr>
          <w:p w14:paraId="3E8E95BC" w14:textId="77777777" w:rsidR="00F562C9" w:rsidRPr="006F101A" w:rsidRDefault="00F562C9" w:rsidP="00F562C9">
            <w:pPr>
              <w:pStyle w:val="NoSpacing"/>
            </w:pPr>
            <w:r w:rsidRPr="006F101A">
              <w:t>0.594</w:t>
            </w:r>
          </w:p>
        </w:tc>
        <w:tc>
          <w:tcPr>
            <w:tcW w:w="0" w:type="auto"/>
          </w:tcPr>
          <w:p w14:paraId="7F133046" w14:textId="77777777" w:rsidR="00F562C9" w:rsidRPr="006F101A" w:rsidRDefault="00F562C9" w:rsidP="00F562C9">
            <w:pPr>
              <w:pStyle w:val="NoSpacing"/>
            </w:pPr>
            <w:r w:rsidRPr="006F101A">
              <w:t>0.491</w:t>
            </w:r>
          </w:p>
        </w:tc>
        <w:tc>
          <w:tcPr>
            <w:tcW w:w="0" w:type="auto"/>
          </w:tcPr>
          <w:p w14:paraId="1E2FEB9C" w14:textId="77777777" w:rsidR="00F562C9" w:rsidRPr="006F101A" w:rsidRDefault="00F562C9" w:rsidP="00F562C9">
            <w:pPr>
              <w:pStyle w:val="NoSpacing"/>
            </w:pPr>
            <w:r w:rsidRPr="006F101A">
              <w:t>0.606</w:t>
            </w:r>
          </w:p>
        </w:tc>
        <w:tc>
          <w:tcPr>
            <w:tcW w:w="0" w:type="auto"/>
          </w:tcPr>
          <w:p w14:paraId="2F6E9504" w14:textId="77777777" w:rsidR="00F562C9" w:rsidRPr="006F101A" w:rsidRDefault="00F562C9" w:rsidP="00F562C9">
            <w:pPr>
              <w:pStyle w:val="NoSpacing"/>
            </w:pPr>
            <w:r w:rsidRPr="006F101A">
              <w:t>0.489</w:t>
            </w:r>
          </w:p>
        </w:tc>
        <w:tc>
          <w:tcPr>
            <w:tcW w:w="0" w:type="auto"/>
          </w:tcPr>
          <w:p w14:paraId="40579006" w14:textId="77777777" w:rsidR="00F562C9" w:rsidRPr="006F101A" w:rsidRDefault="00F562C9" w:rsidP="00F562C9">
            <w:pPr>
              <w:pStyle w:val="NoSpacing"/>
            </w:pPr>
            <w:r w:rsidRPr="006F101A">
              <w:t>−0.023</w:t>
            </w:r>
          </w:p>
        </w:tc>
      </w:tr>
      <w:tr w:rsidR="00F562C9" w:rsidRPr="006F101A" w14:paraId="69093468" w14:textId="77777777" w:rsidTr="00F562C9">
        <w:trPr>
          <w:trHeight w:val="230"/>
        </w:trPr>
        <w:tc>
          <w:tcPr>
            <w:tcW w:w="2425" w:type="dxa"/>
          </w:tcPr>
          <w:p w14:paraId="105AC6FF" w14:textId="0CB38C23" w:rsidR="00F562C9" w:rsidRPr="006F101A" w:rsidRDefault="003449DC" w:rsidP="00F562C9">
            <w:pPr>
              <w:pStyle w:val="NoSpacing"/>
            </w:pPr>
            <w:r>
              <w:t>R</w:t>
            </w:r>
            <w:r w:rsidR="00F562C9" w:rsidRPr="006F101A">
              <w:t>eason: Med</w:t>
            </w:r>
          </w:p>
        </w:tc>
        <w:tc>
          <w:tcPr>
            <w:tcW w:w="989" w:type="dxa"/>
          </w:tcPr>
          <w:p w14:paraId="0590DD83" w14:textId="77777777" w:rsidR="00F562C9" w:rsidRPr="006F101A" w:rsidRDefault="00F562C9" w:rsidP="00F562C9">
            <w:pPr>
              <w:pStyle w:val="NoSpacing"/>
            </w:pPr>
            <w:r w:rsidRPr="006F101A">
              <w:t>0.357</w:t>
            </w:r>
          </w:p>
        </w:tc>
        <w:tc>
          <w:tcPr>
            <w:tcW w:w="0" w:type="auto"/>
          </w:tcPr>
          <w:p w14:paraId="218E98E6" w14:textId="77777777" w:rsidR="00F562C9" w:rsidRPr="006F101A" w:rsidRDefault="00F562C9" w:rsidP="00F562C9">
            <w:pPr>
              <w:pStyle w:val="NoSpacing"/>
            </w:pPr>
            <w:r w:rsidRPr="006F101A">
              <w:t>0.479</w:t>
            </w:r>
          </w:p>
        </w:tc>
        <w:tc>
          <w:tcPr>
            <w:tcW w:w="0" w:type="auto"/>
          </w:tcPr>
          <w:p w14:paraId="768C6CC5" w14:textId="77777777" w:rsidR="00F562C9" w:rsidRPr="006F101A" w:rsidRDefault="00F562C9" w:rsidP="00F562C9">
            <w:pPr>
              <w:pStyle w:val="NoSpacing"/>
            </w:pPr>
            <w:r w:rsidRPr="006F101A">
              <w:t>0.75</w:t>
            </w:r>
          </w:p>
        </w:tc>
        <w:tc>
          <w:tcPr>
            <w:tcW w:w="0" w:type="auto"/>
          </w:tcPr>
          <w:p w14:paraId="0435AAC5" w14:textId="77777777" w:rsidR="00F562C9" w:rsidRPr="006F101A" w:rsidRDefault="00F562C9" w:rsidP="00F562C9">
            <w:pPr>
              <w:pStyle w:val="NoSpacing"/>
            </w:pPr>
            <w:r w:rsidRPr="006F101A">
              <w:t>0.433</w:t>
            </w:r>
          </w:p>
        </w:tc>
        <w:tc>
          <w:tcPr>
            <w:tcW w:w="0" w:type="auto"/>
          </w:tcPr>
          <w:p w14:paraId="19E4FBF2" w14:textId="77777777" w:rsidR="00F562C9" w:rsidRPr="006F101A" w:rsidRDefault="00F562C9" w:rsidP="00F562C9">
            <w:pPr>
              <w:pStyle w:val="NoSpacing"/>
            </w:pPr>
            <w:r w:rsidRPr="006F101A">
              <w:t>−0.788</w:t>
            </w:r>
          </w:p>
        </w:tc>
        <w:tc>
          <w:tcPr>
            <w:tcW w:w="0" w:type="auto"/>
          </w:tcPr>
          <w:p w14:paraId="6776BE32" w14:textId="77777777" w:rsidR="00F562C9" w:rsidRPr="006F101A" w:rsidRDefault="00F562C9" w:rsidP="00F562C9">
            <w:pPr>
              <w:pStyle w:val="NoSpacing"/>
            </w:pPr>
            <w:r w:rsidRPr="006F101A">
              <w:t>0.389</w:t>
            </w:r>
          </w:p>
        </w:tc>
        <w:tc>
          <w:tcPr>
            <w:tcW w:w="0" w:type="auto"/>
          </w:tcPr>
          <w:p w14:paraId="516B7D40" w14:textId="77777777" w:rsidR="00F562C9" w:rsidRPr="006F101A" w:rsidRDefault="00F562C9" w:rsidP="00F562C9">
            <w:pPr>
              <w:pStyle w:val="NoSpacing"/>
            </w:pPr>
            <w:r w:rsidRPr="006F101A">
              <w:t>0.488</w:t>
            </w:r>
          </w:p>
        </w:tc>
        <w:tc>
          <w:tcPr>
            <w:tcW w:w="0" w:type="auto"/>
          </w:tcPr>
          <w:p w14:paraId="23B0D393" w14:textId="77777777" w:rsidR="00F562C9" w:rsidRPr="006F101A" w:rsidRDefault="00F562C9" w:rsidP="00F562C9">
            <w:pPr>
              <w:pStyle w:val="NoSpacing"/>
            </w:pPr>
            <w:r w:rsidRPr="006F101A">
              <w:t>0.634</w:t>
            </w:r>
          </w:p>
        </w:tc>
        <w:tc>
          <w:tcPr>
            <w:tcW w:w="0" w:type="auto"/>
          </w:tcPr>
          <w:p w14:paraId="51B16147" w14:textId="77777777" w:rsidR="00F562C9" w:rsidRPr="006F101A" w:rsidRDefault="00F562C9" w:rsidP="00F562C9">
            <w:pPr>
              <w:pStyle w:val="NoSpacing"/>
            </w:pPr>
            <w:r w:rsidRPr="006F101A">
              <w:t>0.482</w:t>
            </w:r>
          </w:p>
        </w:tc>
        <w:tc>
          <w:tcPr>
            <w:tcW w:w="0" w:type="auto"/>
          </w:tcPr>
          <w:p w14:paraId="1CEDC772" w14:textId="77777777" w:rsidR="00F562C9" w:rsidRPr="006F101A" w:rsidRDefault="00F562C9" w:rsidP="00F562C9">
            <w:pPr>
              <w:pStyle w:val="NoSpacing"/>
            </w:pPr>
            <w:r w:rsidRPr="006F101A">
              <w:t>−0.492</w:t>
            </w:r>
          </w:p>
        </w:tc>
      </w:tr>
      <w:tr w:rsidR="00F562C9" w:rsidRPr="006F101A" w14:paraId="18AC39A4" w14:textId="77777777" w:rsidTr="00F562C9">
        <w:trPr>
          <w:trHeight w:val="230"/>
        </w:trPr>
        <w:tc>
          <w:tcPr>
            <w:tcW w:w="2425" w:type="dxa"/>
          </w:tcPr>
          <w:p w14:paraId="212C6B60" w14:textId="77777777" w:rsidR="00F562C9" w:rsidRPr="006F101A" w:rsidRDefault="00F562C9" w:rsidP="00F562C9">
            <w:pPr>
              <w:pStyle w:val="NoSpacing"/>
            </w:pPr>
            <w:proofErr w:type="gramStart"/>
            <w:r w:rsidRPr="006F101A">
              <w:t>Reason :</w:t>
            </w:r>
            <w:proofErr w:type="gramEnd"/>
            <w:r w:rsidRPr="006F101A">
              <w:t xml:space="preserve"> Surg</w:t>
            </w:r>
          </w:p>
        </w:tc>
        <w:tc>
          <w:tcPr>
            <w:tcW w:w="989" w:type="dxa"/>
          </w:tcPr>
          <w:p w14:paraId="40200370" w14:textId="77777777" w:rsidR="00F562C9" w:rsidRPr="006F101A" w:rsidRDefault="00F562C9" w:rsidP="00F562C9">
            <w:pPr>
              <w:pStyle w:val="NoSpacing"/>
            </w:pPr>
            <w:r w:rsidRPr="006F101A">
              <w:t>0.643</w:t>
            </w:r>
          </w:p>
        </w:tc>
        <w:tc>
          <w:tcPr>
            <w:tcW w:w="0" w:type="auto"/>
          </w:tcPr>
          <w:p w14:paraId="2730B70E" w14:textId="77777777" w:rsidR="00F562C9" w:rsidRPr="006F101A" w:rsidRDefault="00F562C9" w:rsidP="00F562C9">
            <w:pPr>
              <w:pStyle w:val="NoSpacing"/>
            </w:pPr>
            <w:r w:rsidRPr="006F101A">
              <w:t>0.479</w:t>
            </w:r>
          </w:p>
        </w:tc>
        <w:tc>
          <w:tcPr>
            <w:tcW w:w="0" w:type="auto"/>
          </w:tcPr>
          <w:p w14:paraId="12EB65FC" w14:textId="77777777" w:rsidR="00F562C9" w:rsidRPr="006F101A" w:rsidRDefault="00F562C9" w:rsidP="00F562C9">
            <w:pPr>
              <w:pStyle w:val="NoSpacing"/>
            </w:pPr>
            <w:r w:rsidRPr="006F101A">
              <w:t>0.25</w:t>
            </w:r>
          </w:p>
        </w:tc>
        <w:tc>
          <w:tcPr>
            <w:tcW w:w="0" w:type="auto"/>
          </w:tcPr>
          <w:p w14:paraId="6BB43C7A" w14:textId="77777777" w:rsidR="00F562C9" w:rsidRPr="006F101A" w:rsidRDefault="00F562C9" w:rsidP="00F562C9">
            <w:pPr>
              <w:pStyle w:val="NoSpacing"/>
            </w:pPr>
            <w:r w:rsidRPr="006F101A">
              <w:t>0.433</w:t>
            </w:r>
          </w:p>
        </w:tc>
        <w:tc>
          <w:tcPr>
            <w:tcW w:w="0" w:type="auto"/>
          </w:tcPr>
          <w:p w14:paraId="7C80FC8B" w14:textId="77777777" w:rsidR="00F562C9" w:rsidRPr="006F101A" w:rsidRDefault="00F562C9" w:rsidP="00F562C9">
            <w:pPr>
              <w:pStyle w:val="NoSpacing"/>
            </w:pPr>
            <w:r w:rsidRPr="006F101A">
              <w:t>0.788</w:t>
            </w:r>
          </w:p>
        </w:tc>
        <w:tc>
          <w:tcPr>
            <w:tcW w:w="0" w:type="auto"/>
          </w:tcPr>
          <w:p w14:paraId="794D1B04" w14:textId="77777777" w:rsidR="00F562C9" w:rsidRPr="006F101A" w:rsidRDefault="00F562C9" w:rsidP="00F562C9">
            <w:pPr>
              <w:pStyle w:val="NoSpacing"/>
            </w:pPr>
            <w:r w:rsidRPr="006F101A">
              <w:t>0.611</w:t>
            </w:r>
          </w:p>
        </w:tc>
        <w:tc>
          <w:tcPr>
            <w:tcW w:w="0" w:type="auto"/>
          </w:tcPr>
          <w:p w14:paraId="1E125B2C" w14:textId="77777777" w:rsidR="00F562C9" w:rsidRPr="006F101A" w:rsidRDefault="00F562C9" w:rsidP="00F562C9">
            <w:pPr>
              <w:pStyle w:val="NoSpacing"/>
            </w:pPr>
            <w:r w:rsidRPr="006F101A">
              <w:t>0.488</w:t>
            </w:r>
          </w:p>
        </w:tc>
        <w:tc>
          <w:tcPr>
            <w:tcW w:w="0" w:type="auto"/>
          </w:tcPr>
          <w:p w14:paraId="41405E0F" w14:textId="77777777" w:rsidR="00F562C9" w:rsidRPr="006F101A" w:rsidRDefault="00F562C9" w:rsidP="00F562C9">
            <w:pPr>
              <w:pStyle w:val="NoSpacing"/>
            </w:pPr>
            <w:r w:rsidRPr="006F101A">
              <w:t>0.366</w:t>
            </w:r>
          </w:p>
        </w:tc>
        <w:tc>
          <w:tcPr>
            <w:tcW w:w="0" w:type="auto"/>
          </w:tcPr>
          <w:p w14:paraId="5D652C54" w14:textId="77777777" w:rsidR="00F562C9" w:rsidRPr="006F101A" w:rsidRDefault="00F562C9" w:rsidP="00F562C9">
            <w:pPr>
              <w:pStyle w:val="NoSpacing"/>
            </w:pPr>
            <w:r w:rsidRPr="006F101A">
              <w:t>0.482</w:t>
            </w:r>
          </w:p>
        </w:tc>
        <w:tc>
          <w:tcPr>
            <w:tcW w:w="0" w:type="auto"/>
          </w:tcPr>
          <w:p w14:paraId="0D628C47" w14:textId="77777777" w:rsidR="00F562C9" w:rsidRPr="006F101A" w:rsidRDefault="00F562C9" w:rsidP="00F562C9">
            <w:pPr>
              <w:pStyle w:val="NoSpacing"/>
            </w:pPr>
            <w:r w:rsidRPr="006F101A">
              <w:t>0.492</w:t>
            </w:r>
          </w:p>
        </w:tc>
      </w:tr>
      <w:tr w:rsidR="00F562C9" w:rsidRPr="006F101A" w14:paraId="52D799EA" w14:textId="77777777" w:rsidTr="00F562C9">
        <w:trPr>
          <w:trHeight w:val="230"/>
        </w:trPr>
        <w:tc>
          <w:tcPr>
            <w:tcW w:w="2425" w:type="dxa"/>
          </w:tcPr>
          <w:p w14:paraId="222C04BF" w14:textId="77777777" w:rsidR="00F562C9" w:rsidRPr="006F101A" w:rsidRDefault="00F562C9" w:rsidP="00F562C9">
            <w:pPr>
              <w:pStyle w:val="NoSpacing"/>
            </w:pPr>
            <w:r w:rsidRPr="006F101A">
              <w:t>No ADHD</w:t>
            </w:r>
          </w:p>
        </w:tc>
        <w:tc>
          <w:tcPr>
            <w:tcW w:w="989" w:type="dxa"/>
          </w:tcPr>
          <w:p w14:paraId="0DBEE7C2" w14:textId="77777777" w:rsidR="00F562C9" w:rsidRPr="006F101A" w:rsidRDefault="00F562C9" w:rsidP="00F562C9">
            <w:pPr>
              <w:pStyle w:val="NoSpacing"/>
            </w:pPr>
            <w:r w:rsidRPr="006F101A">
              <w:t>0.857</w:t>
            </w:r>
          </w:p>
        </w:tc>
        <w:tc>
          <w:tcPr>
            <w:tcW w:w="0" w:type="auto"/>
          </w:tcPr>
          <w:p w14:paraId="6FCDC52E" w14:textId="77777777" w:rsidR="00F562C9" w:rsidRPr="006F101A" w:rsidRDefault="00F562C9" w:rsidP="00F562C9">
            <w:pPr>
              <w:pStyle w:val="NoSpacing"/>
            </w:pPr>
            <w:r w:rsidRPr="006F101A">
              <w:t>0.35</w:t>
            </w:r>
          </w:p>
        </w:tc>
        <w:tc>
          <w:tcPr>
            <w:tcW w:w="0" w:type="auto"/>
          </w:tcPr>
          <w:p w14:paraId="44126F65" w14:textId="77777777" w:rsidR="00F562C9" w:rsidRPr="006F101A" w:rsidRDefault="00F562C9" w:rsidP="00F562C9">
            <w:pPr>
              <w:pStyle w:val="NoSpacing"/>
            </w:pPr>
            <w:r w:rsidRPr="006F101A">
              <w:t>0.667</w:t>
            </w:r>
          </w:p>
        </w:tc>
        <w:tc>
          <w:tcPr>
            <w:tcW w:w="0" w:type="auto"/>
          </w:tcPr>
          <w:p w14:paraId="12484EEF" w14:textId="77777777" w:rsidR="00F562C9" w:rsidRPr="006F101A" w:rsidRDefault="00F562C9" w:rsidP="00F562C9">
            <w:pPr>
              <w:pStyle w:val="NoSpacing"/>
            </w:pPr>
            <w:r w:rsidRPr="006F101A">
              <w:t>0.471</w:t>
            </w:r>
          </w:p>
        </w:tc>
        <w:tc>
          <w:tcPr>
            <w:tcW w:w="0" w:type="auto"/>
          </w:tcPr>
          <w:p w14:paraId="7B08E71C" w14:textId="77777777" w:rsidR="00F562C9" w:rsidRPr="006F101A" w:rsidRDefault="00F562C9" w:rsidP="00F562C9">
            <w:pPr>
              <w:pStyle w:val="NoSpacing"/>
            </w:pPr>
            <w:r w:rsidRPr="006F101A">
              <w:t>0.452</w:t>
            </w:r>
          </w:p>
        </w:tc>
        <w:tc>
          <w:tcPr>
            <w:tcW w:w="0" w:type="auto"/>
          </w:tcPr>
          <w:p w14:paraId="026E87B7" w14:textId="77777777" w:rsidR="00F562C9" w:rsidRPr="006F101A" w:rsidRDefault="00F562C9" w:rsidP="00F562C9">
            <w:pPr>
              <w:pStyle w:val="NoSpacing"/>
            </w:pPr>
            <w:r w:rsidRPr="006F101A">
              <w:t>0.842</w:t>
            </w:r>
          </w:p>
        </w:tc>
        <w:tc>
          <w:tcPr>
            <w:tcW w:w="0" w:type="auto"/>
          </w:tcPr>
          <w:p w14:paraId="655919A5" w14:textId="77777777" w:rsidR="00F562C9" w:rsidRPr="006F101A" w:rsidRDefault="00F562C9" w:rsidP="00F562C9">
            <w:pPr>
              <w:pStyle w:val="NoSpacing"/>
            </w:pPr>
            <w:r w:rsidRPr="006F101A">
              <w:t>0.365</w:t>
            </w:r>
          </w:p>
        </w:tc>
        <w:tc>
          <w:tcPr>
            <w:tcW w:w="0" w:type="auto"/>
          </w:tcPr>
          <w:p w14:paraId="2639C88E" w14:textId="77777777" w:rsidR="00F562C9" w:rsidRPr="006F101A" w:rsidRDefault="00F562C9" w:rsidP="00F562C9">
            <w:pPr>
              <w:pStyle w:val="NoSpacing"/>
            </w:pPr>
            <w:r w:rsidRPr="006F101A">
              <w:t>0.779</w:t>
            </w:r>
          </w:p>
        </w:tc>
        <w:tc>
          <w:tcPr>
            <w:tcW w:w="0" w:type="auto"/>
          </w:tcPr>
          <w:p w14:paraId="11CFB280" w14:textId="77777777" w:rsidR="00F562C9" w:rsidRPr="006F101A" w:rsidRDefault="00F562C9" w:rsidP="00F562C9">
            <w:pPr>
              <w:pStyle w:val="NoSpacing"/>
            </w:pPr>
            <w:r w:rsidRPr="006F101A">
              <w:t>0.415</w:t>
            </w:r>
          </w:p>
        </w:tc>
        <w:tc>
          <w:tcPr>
            <w:tcW w:w="0" w:type="auto"/>
          </w:tcPr>
          <w:p w14:paraId="67FF93D7" w14:textId="77777777" w:rsidR="00F562C9" w:rsidRPr="006F101A" w:rsidRDefault="00F562C9" w:rsidP="00F562C9">
            <w:pPr>
              <w:pStyle w:val="NoSpacing"/>
            </w:pPr>
            <w:r w:rsidRPr="006F101A">
              <w:t>0.15</w:t>
            </w:r>
          </w:p>
        </w:tc>
      </w:tr>
      <w:tr w:rsidR="00F562C9" w:rsidRPr="006F101A" w14:paraId="60D85E6A" w14:textId="77777777" w:rsidTr="00F562C9">
        <w:trPr>
          <w:trHeight w:val="230"/>
        </w:trPr>
        <w:tc>
          <w:tcPr>
            <w:tcW w:w="2425" w:type="dxa"/>
          </w:tcPr>
          <w:p w14:paraId="343874AF" w14:textId="77777777" w:rsidR="00F562C9" w:rsidRPr="006F101A" w:rsidRDefault="00F562C9" w:rsidP="00F562C9">
            <w:pPr>
              <w:pStyle w:val="NoSpacing"/>
            </w:pPr>
            <w:r w:rsidRPr="006F101A">
              <w:t>ADHD</w:t>
            </w:r>
          </w:p>
        </w:tc>
        <w:tc>
          <w:tcPr>
            <w:tcW w:w="989" w:type="dxa"/>
          </w:tcPr>
          <w:p w14:paraId="74E12CC5" w14:textId="77777777" w:rsidR="00F562C9" w:rsidRPr="006F101A" w:rsidRDefault="00F562C9" w:rsidP="00F562C9">
            <w:pPr>
              <w:pStyle w:val="NoSpacing"/>
            </w:pPr>
            <w:r w:rsidRPr="006F101A">
              <w:t>0.143</w:t>
            </w:r>
          </w:p>
        </w:tc>
        <w:tc>
          <w:tcPr>
            <w:tcW w:w="0" w:type="auto"/>
          </w:tcPr>
          <w:p w14:paraId="7D7F818A" w14:textId="77777777" w:rsidR="00F562C9" w:rsidRPr="006F101A" w:rsidRDefault="00F562C9" w:rsidP="00F562C9">
            <w:pPr>
              <w:pStyle w:val="NoSpacing"/>
            </w:pPr>
            <w:r w:rsidRPr="006F101A">
              <w:t>0.35</w:t>
            </w:r>
          </w:p>
        </w:tc>
        <w:tc>
          <w:tcPr>
            <w:tcW w:w="0" w:type="auto"/>
          </w:tcPr>
          <w:p w14:paraId="1F9994A1" w14:textId="77777777" w:rsidR="00F562C9" w:rsidRPr="006F101A" w:rsidRDefault="00F562C9" w:rsidP="00F562C9">
            <w:pPr>
              <w:pStyle w:val="NoSpacing"/>
            </w:pPr>
            <w:r w:rsidRPr="006F101A">
              <w:t>0.333</w:t>
            </w:r>
          </w:p>
        </w:tc>
        <w:tc>
          <w:tcPr>
            <w:tcW w:w="0" w:type="auto"/>
          </w:tcPr>
          <w:p w14:paraId="61E7A3F3" w14:textId="77777777" w:rsidR="00F562C9" w:rsidRPr="006F101A" w:rsidRDefault="00F562C9" w:rsidP="00F562C9">
            <w:pPr>
              <w:pStyle w:val="NoSpacing"/>
            </w:pPr>
            <w:r w:rsidRPr="006F101A">
              <w:t>0.471</w:t>
            </w:r>
          </w:p>
        </w:tc>
        <w:tc>
          <w:tcPr>
            <w:tcW w:w="0" w:type="auto"/>
          </w:tcPr>
          <w:p w14:paraId="0E899BB7" w14:textId="77777777" w:rsidR="00F562C9" w:rsidRPr="006F101A" w:rsidRDefault="00F562C9" w:rsidP="00F562C9">
            <w:pPr>
              <w:pStyle w:val="NoSpacing"/>
            </w:pPr>
            <w:r w:rsidRPr="006F101A">
              <w:t>−0.452</w:t>
            </w:r>
          </w:p>
        </w:tc>
        <w:tc>
          <w:tcPr>
            <w:tcW w:w="0" w:type="auto"/>
          </w:tcPr>
          <w:p w14:paraId="12B34BDF" w14:textId="77777777" w:rsidR="00F562C9" w:rsidRPr="006F101A" w:rsidRDefault="00F562C9" w:rsidP="00F562C9">
            <w:pPr>
              <w:pStyle w:val="NoSpacing"/>
            </w:pPr>
            <w:r w:rsidRPr="006F101A">
              <w:t>0.158</w:t>
            </w:r>
          </w:p>
        </w:tc>
        <w:tc>
          <w:tcPr>
            <w:tcW w:w="0" w:type="auto"/>
          </w:tcPr>
          <w:p w14:paraId="03725B65" w14:textId="77777777" w:rsidR="00F562C9" w:rsidRPr="006F101A" w:rsidRDefault="00F562C9" w:rsidP="00F562C9">
            <w:pPr>
              <w:pStyle w:val="NoSpacing"/>
            </w:pPr>
            <w:r w:rsidRPr="006F101A">
              <w:t>0.365</w:t>
            </w:r>
          </w:p>
        </w:tc>
        <w:tc>
          <w:tcPr>
            <w:tcW w:w="0" w:type="auto"/>
          </w:tcPr>
          <w:p w14:paraId="5528D9B4" w14:textId="77777777" w:rsidR="00F562C9" w:rsidRPr="006F101A" w:rsidRDefault="00F562C9" w:rsidP="00F562C9">
            <w:pPr>
              <w:pStyle w:val="NoSpacing"/>
            </w:pPr>
            <w:r w:rsidRPr="006F101A">
              <w:t>0.221</w:t>
            </w:r>
          </w:p>
        </w:tc>
        <w:tc>
          <w:tcPr>
            <w:tcW w:w="0" w:type="auto"/>
          </w:tcPr>
          <w:p w14:paraId="1B34A815" w14:textId="77777777" w:rsidR="00F562C9" w:rsidRPr="006F101A" w:rsidRDefault="00F562C9" w:rsidP="00F562C9">
            <w:pPr>
              <w:pStyle w:val="NoSpacing"/>
            </w:pPr>
            <w:r w:rsidRPr="006F101A">
              <w:t>0.415</w:t>
            </w:r>
          </w:p>
        </w:tc>
        <w:tc>
          <w:tcPr>
            <w:tcW w:w="0" w:type="auto"/>
          </w:tcPr>
          <w:p w14:paraId="4E20F15D" w14:textId="77777777" w:rsidR="00F562C9" w:rsidRPr="006F101A" w:rsidRDefault="00F562C9" w:rsidP="00F562C9">
            <w:pPr>
              <w:pStyle w:val="NoSpacing"/>
            </w:pPr>
            <w:r w:rsidRPr="006F101A">
              <w:t>−0.15</w:t>
            </w:r>
          </w:p>
        </w:tc>
      </w:tr>
      <w:tr w:rsidR="00F562C9" w:rsidRPr="006F101A" w14:paraId="2C61F38F" w14:textId="77777777" w:rsidTr="00F562C9">
        <w:trPr>
          <w:trHeight w:val="230"/>
        </w:trPr>
        <w:tc>
          <w:tcPr>
            <w:tcW w:w="2425" w:type="dxa"/>
          </w:tcPr>
          <w:p w14:paraId="67AAFC58" w14:textId="77777777" w:rsidR="00F562C9" w:rsidRPr="006F101A" w:rsidRDefault="00F562C9" w:rsidP="00F562C9">
            <w:pPr>
              <w:pStyle w:val="NoSpacing"/>
            </w:pPr>
            <w:r w:rsidRPr="006F101A">
              <w:t>No anxiety disorder</w:t>
            </w:r>
          </w:p>
        </w:tc>
        <w:tc>
          <w:tcPr>
            <w:tcW w:w="989" w:type="dxa"/>
          </w:tcPr>
          <w:p w14:paraId="259FB521" w14:textId="77777777" w:rsidR="00F562C9" w:rsidRPr="006F101A" w:rsidRDefault="00F562C9" w:rsidP="00F562C9">
            <w:pPr>
              <w:pStyle w:val="NoSpacing"/>
            </w:pPr>
            <w:r w:rsidRPr="006F101A">
              <w:t>#</w:t>
            </w:r>
          </w:p>
        </w:tc>
        <w:tc>
          <w:tcPr>
            <w:tcW w:w="0" w:type="auto"/>
          </w:tcPr>
          <w:p w14:paraId="7AF481CF" w14:textId="77777777" w:rsidR="00F562C9" w:rsidRPr="006F101A" w:rsidRDefault="00F562C9" w:rsidP="00F562C9">
            <w:pPr>
              <w:pStyle w:val="NoSpacing"/>
            </w:pPr>
            <w:r w:rsidRPr="006F101A">
              <w:t>#</w:t>
            </w:r>
          </w:p>
        </w:tc>
        <w:tc>
          <w:tcPr>
            <w:tcW w:w="0" w:type="auto"/>
          </w:tcPr>
          <w:p w14:paraId="1124E5B4" w14:textId="77777777" w:rsidR="00F562C9" w:rsidRPr="006F101A" w:rsidRDefault="00F562C9" w:rsidP="00F562C9">
            <w:pPr>
              <w:pStyle w:val="NoSpacing"/>
            </w:pPr>
            <w:r w:rsidRPr="006F101A">
              <w:t>0.583</w:t>
            </w:r>
          </w:p>
        </w:tc>
        <w:tc>
          <w:tcPr>
            <w:tcW w:w="0" w:type="auto"/>
          </w:tcPr>
          <w:p w14:paraId="4F8CD579" w14:textId="77777777" w:rsidR="00F562C9" w:rsidRPr="006F101A" w:rsidRDefault="00F562C9" w:rsidP="00F562C9">
            <w:pPr>
              <w:pStyle w:val="NoSpacing"/>
            </w:pPr>
            <w:r w:rsidRPr="006F101A">
              <w:t>#</w:t>
            </w:r>
          </w:p>
        </w:tc>
        <w:tc>
          <w:tcPr>
            <w:tcW w:w="0" w:type="auto"/>
          </w:tcPr>
          <w:p w14:paraId="68E66DCD" w14:textId="77777777" w:rsidR="00F562C9" w:rsidRPr="006F101A" w:rsidRDefault="00F562C9" w:rsidP="00F562C9">
            <w:pPr>
              <w:pStyle w:val="NoSpacing"/>
            </w:pPr>
            <w:r w:rsidRPr="006F101A">
              <w:t>#</w:t>
            </w:r>
          </w:p>
        </w:tc>
        <w:tc>
          <w:tcPr>
            <w:tcW w:w="0" w:type="auto"/>
          </w:tcPr>
          <w:p w14:paraId="45D9EA3A" w14:textId="77777777" w:rsidR="00F562C9" w:rsidRPr="006F101A" w:rsidRDefault="00F562C9" w:rsidP="00F562C9">
            <w:pPr>
              <w:pStyle w:val="NoSpacing"/>
            </w:pPr>
            <w:r w:rsidRPr="006F101A">
              <w:t>#</w:t>
            </w:r>
          </w:p>
        </w:tc>
        <w:tc>
          <w:tcPr>
            <w:tcW w:w="0" w:type="auto"/>
          </w:tcPr>
          <w:p w14:paraId="53FB899D" w14:textId="77777777" w:rsidR="00F562C9" w:rsidRPr="006F101A" w:rsidRDefault="00F562C9" w:rsidP="00F562C9">
            <w:pPr>
              <w:pStyle w:val="NoSpacing"/>
            </w:pPr>
            <w:r w:rsidRPr="006F101A">
              <w:t>#</w:t>
            </w:r>
          </w:p>
        </w:tc>
        <w:tc>
          <w:tcPr>
            <w:tcW w:w="0" w:type="auto"/>
          </w:tcPr>
          <w:p w14:paraId="73DB1E01" w14:textId="77777777" w:rsidR="00F562C9" w:rsidRPr="006F101A" w:rsidRDefault="00F562C9" w:rsidP="00F562C9">
            <w:pPr>
              <w:pStyle w:val="NoSpacing"/>
            </w:pPr>
            <w:r w:rsidRPr="006F101A">
              <w:t>#</w:t>
            </w:r>
          </w:p>
        </w:tc>
        <w:tc>
          <w:tcPr>
            <w:tcW w:w="0" w:type="auto"/>
          </w:tcPr>
          <w:p w14:paraId="381B01A0" w14:textId="77777777" w:rsidR="00F562C9" w:rsidRPr="006F101A" w:rsidRDefault="00F562C9" w:rsidP="00F562C9">
            <w:pPr>
              <w:pStyle w:val="NoSpacing"/>
            </w:pPr>
            <w:r w:rsidRPr="006F101A">
              <w:t>#</w:t>
            </w:r>
          </w:p>
        </w:tc>
        <w:tc>
          <w:tcPr>
            <w:tcW w:w="0" w:type="auto"/>
          </w:tcPr>
          <w:p w14:paraId="7F1A3B4D" w14:textId="77777777" w:rsidR="00F562C9" w:rsidRPr="006F101A" w:rsidRDefault="00F562C9" w:rsidP="00F562C9">
            <w:pPr>
              <w:pStyle w:val="NoSpacing"/>
            </w:pPr>
            <w:r w:rsidRPr="006F101A">
              <w:t>#</w:t>
            </w:r>
          </w:p>
        </w:tc>
      </w:tr>
      <w:tr w:rsidR="00F562C9" w:rsidRPr="006F101A" w14:paraId="1BF10EC7" w14:textId="77777777" w:rsidTr="00F562C9">
        <w:trPr>
          <w:trHeight w:val="230"/>
        </w:trPr>
        <w:tc>
          <w:tcPr>
            <w:tcW w:w="2425" w:type="dxa"/>
          </w:tcPr>
          <w:p w14:paraId="44C96EB8" w14:textId="77777777" w:rsidR="00F562C9" w:rsidRPr="006F101A" w:rsidRDefault="00F562C9" w:rsidP="00F562C9">
            <w:pPr>
              <w:pStyle w:val="NoSpacing"/>
            </w:pPr>
            <w:r w:rsidRPr="006F101A">
              <w:t>Anxiety disorder</w:t>
            </w:r>
          </w:p>
        </w:tc>
        <w:tc>
          <w:tcPr>
            <w:tcW w:w="989" w:type="dxa"/>
          </w:tcPr>
          <w:p w14:paraId="7EA96467" w14:textId="77777777" w:rsidR="00F562C9" w:rsidRPr="006F101A" w:rsidRDefault="00F562C9" w:rsidP="00F562C9">
            <w:pPr>
              <w:pStyle w:val="NoSpacing"/>
            </w:pPr>
            <w:r w:rsidRPr="006F101A">
              <w:t>#</w:t>
            </w:r>
          </w:p>
        </w:tc>
        <w:tc>
          <w:tcPr>
            <w:tcW w:w="0" w:type="auto"/>
          </w:tcPr>
          <w:p w14:paraId="437DC246" w14:textId="77777777" w:rsidR="00F562C9" w:rsidRPr="006F101A" w:rsidRDefault="00F562C9" w:rsidP="00F562C9">
            <w:pPr>
              <w:pStyle w:val="NoSpacing"/>
            </w:pPr>
            <w:r w:rsidRPr="006F101A">
              <w:t>#</w:t>
            </w:r>
          </w:p>
        </w:tc>
        <w:tc>
          <w:tcPr>
            <w:tcW w:w="0" w:type="auto"/>
          </w:tcPr>
          <w:p w14:paraId="4A92BED6" w14:textId="77777777" w:rsidR="00F562C9" w:rsidRPr="006F101A" w:rsidRDefault="00F562C9" w:rsidP="00F562C9">
            <w:pPr>
              <w:pStyle w:val="NoSpacing"/>
            </w:pPr>
            <w:r w:rsidRPr="006F101A">
              <w:t>0.416</w:t>
            </w:r>
          </w:p>
        </w:tc>
        <w:tc>
          <w:tcPr>
            <w:tcW w:w="0" w:type="auto"/>
          </w:tcPr>
          <w:p w14:paraId="7AAFF58D" w14:textId="77777777" w:rsidR="00F562C9" w:rsidRPr="006F101A" w:rsidRDefault="00F562C9" w:rsidP="00F562C9">
            <w:pPr>
              <w:pStyle w:val="NoSpacing"/>
            </w:pPr>
            <w:r w:rsidRPr="006F101A">
              <w:t>#</w:t>
            </w:r>
          </w:p>
        </w:tc>
        <w:tc>
          <w:tcPr>
            <w:tcW w:w="0" w:type="auto"/>
          </w:tcPr>
          <w:p w14:paraId="4B6C0BF2" w14:textId="77777777" w:rsidR="00F562C9" w:rsidRPr="006F101A" w:rsidRDefault="00F562C9" w:rsidP="00F562C9">
            <w:pPr>
              <w:pStyle w:val="NoSpacing"/>
            </w:pPr>
            <w:r w:rsidRPr="006F101A">
              <w:t>#</w:t>
            </w:r>
          </w:p>
        </w:tc>
        <w:tc>
          <w:tcPr>
            <w:tcW w:w="0" w:type="auto"/>
          </w:tcPr>
          <w:p w14:paraId="78F7D620" w14:textId="77777777" w:rsidR="00F562C9" w:rsidRPr="006F101A" w:rsidRDefault="00F562C9" w:rsidP="00F562C9">
            <w:pPr>
              <w:pStyle w:val="NoSpacing"/>
            </w:pPr>
            <w:r w:rsidRPr="006F101A">
              <w:t>#</w:t>
            </w:r>
          </w:p>
        </w:tc>
        <w:tc>
          <w:tcPr>
            <w:tcW w:w="0" w:type="auto"/>
          </w:tcPr>
          <w:p w14:paraId="56DE7CCA" w14:textId="77777777" w:rsidR="00F562C9" w:rsidRPr="006F101A" w:rsidRDefault="00F562C9" w:rsidP="00F562C9">
            <w:pPr>
              <w:pStyle w:val="NoSpacing"/>
            </w:pPr>
            <w:r w:rsidRPr="006F101A">
              <w:t>#</w:t>
            </w:r>
          </w:p>
        </w:tc>
        <w:tc>
          <w:tcPr>
            <w:tcW w:w="0" w:type="auto"/>
          </w:tcPr>
          <w:p w14:paraId="30663244" w14:textId="77777777" w:rsidR="00F562C9" w:rsidRPr="006F101A" w:rsidRDefault="00F562C9" w:rsidP="00F562C9">
            <w:pPr>
              <w:pStyle w:val="NoSpacing"/>
            </w:pPr>
            <w:r w:rsidRPr="006F101A">
              <w:t>#</w:t>
            </w:r>
          </w:p>
        </w:tc>
        <w:tc>
          <w:tcPr>
            <w:tcW w:w="0" w:type="auto"/>
          </w:tcPr>
          <w:p w14:paraId="5BA32F39" w14:textId="77777777" w:rsidR="00F562C9" w:rsidRPr="006F101A" w:rsidRDefault="00F562C9" w:rsidP="00F562C9">
            <w:pPr>
              <w:pStyle w:val="NoSpacing"/>
            </w:pPr>
            <w:r w:rsidRPr="006F101A">
              <w:t>#</w:t>
            </w:r>
          </w:p>
        </w:tc>
        <w:tc>
          <w:tcPr>
            <w:tcW w:w="0" w:type="auto"/>
          </w:tcPr>
          <w:p w14:paraId="1E57735A" w14:textId="77777777" w:rsidR="00F562C9" w:rsidRPr="006F101A" w:rsidRDefault="00F562C9" w:rsidP="00F562C9">
            <w:pPr>
              <w:pStyle w:val="NoSpacing"/>
            </w:pPr>
            <w:r w:rsidRPr="006F101A">
              <w:t>#</w:t>
            </w:r>
          </w:p>
        </w:tc>
      </w:tr>
      <w:tr w:rsidR="00F562C9" w:rsidRPr="006F101A" w14:paraId="7BDF5E7C" w14:textId="77777777" w:rsidTr="00F562C9">
        <w:trPr>
          <w:trHeight w:val="230"/>
        </w:trPr>
        <w:tc>
          <w:tcPr>
            <w:tcW w:w="2425" w:type="dxa"/>
          </w:tcPr>
          <w:p w14:paraId="09D09BEC" w14:textId="77777777" w:rsidR="00F562C9" w:rsidRPr="006F101A" w:rsidRDefault="00F562C9" w:rsidP="00F562C9">
            <w:pPr>
              <w:pStyle w:val="NoSpacing"/>
            </w:pPr>
            <w:r w:rsidRPr="006F101A">
              <w:t>No Autism</w:t>
            </w:r>
          </w:p>
        </w:tc>
        <w:tc>
          <w:tcPr>
            <w:tcW w:w="989" w:type="dxa"/>
          </w:tcPr>
          <w:p w14:paraId="22FA65FB" w14:textId="77777777" w:rsidR="00F562C9" w:rsidRPr="006F101A" w:rsidRDefault="00F562C9" w:rsidP="00F562C9">
            <w:pPr>
              <w:pStyle w:val="NoSpacing"/>
            </w:pPr>
            <w:r w:rsidRPr="006F101A">
              <w:t>0.714</w:t>
            </w:r>
          </w:p>
        </w:tc>
        <w:tc>
          <w:tcPr>
            <w:tcW w:w="0" w:type="auto"/>
          </w:tcPr>
          <w:p w14:paraId="7B271F54" w14:textId="77777777" w:rsidR="00F562C9" w:rsidRPr="006F101A" w:rsidRDefault="00F562C9" w:rsidP="00F562C9">
            <w:pPr>
              <w:pStyle w:val="NoSpacing"/>
            </w:pPr>
            <w:r w:rsidRPr="006F101A">
              <w:t>0.452</w:t>
            </w:r>
          </w:p>
        </w:tc>
        <w:tc>
          <w:tcPr>
            <w:tcW w:w="0" w:type="auto"/>
          </w:tcPr>
          <w:p w14:paraId="26E9CEDB" w14:textId="77777777" w:rsidR="00F562C9" w:rsidRPr="006F101A" w:rsidRDefault="00F562C9" w:rsidP="00F562C9">
            <w:pPr>
              <w:pStyle w:val="NoSpacing"/>
            </w:pPr>
            <w:r w:rsidRPr="006F101A">
              <w:t>0.833</w:t>
            </w:r>
          </w:p>
        </w:tc>
        <w:tc>
          <w:tcPr>
            <w:tcW w:w="0" w:type="auto"/>
          </w:tcPr>
          <w:p w14:paraId="72B16C6A" w14:textId="77777777" w:rsidR="00F562C9" w:rsidRPr="006F101A" w:rsidRDefault="00F562C9" w:rsidP="00F562C9">
            <w:pPr>
              <w:pStyle w:val="NoSpacing"/>
            </w:pPr>
            <w:r w:rsidRPr="006F101A">
              <w:t>0.373</w:t>
            </w:r>
          </w:p>
        </w:tc>
        <w:tc>
          <w:tcPr>
            <w:tcW w:w="0" w:type="auto"/>
          </w:tcPr>
          <w:p w14:paraId="1B991BF1" w14:textId="77777777" w:rsidR="00F562C9" w:rsidRPr="006F101A" w:rsidRDefault="00F562C9" w:rsidP="00F562C9">
            <w:pPr>
              <w:pStyle w:val="NoSpacing"/>
            </w:pPr>
            <w:r w:rsidRPr="006F101A">
              <w:t>−0.283</w:t>
            </w:r>
          </w:p>
        </w:tc>
        <w:tc>
          <w:tcPr>
            <w:tcW w:w="0" w:type="auto"/>
          </w:tcPr>
          <w:p w14:paraId="145C7990" w14:textId="77777777" w:rsidR="00F562C9" w:rsidRPr="006F101A" w:rsidRDefault="00F562C9" w:rsidP="00F562C9">
            <w:pPr>
              <w:pStyle w:val="NoSpacing"/>
            </w:pPr>
            <w:r w:rsidRPr="006F101A">
              <w:t>0.722</w:t>
            </w:r>
          </w:p>
        </w:tc>
        <w:tc>
          <w:tcPr>
            <w:tcW w:w="0" w:type="auto"/>
          </w:tcPr>
          <w:p w14:paraId="3AB0416F" w14:textId="77777777" w:rsidR="00F562C9" w:rsidRPr="006F101A" w:rsidRDefault="00F562C9" w:rsidP="00F562C9">
            <w:pPr>
              <w:pStyle w:val="NoSpacing"/>
            </w:pPr>
            <w:r w:rsidRPr="006F101A">
              <w:t>0.448</w:t>
            </w:r>
          </w:p>
        </w:tc>
        <w:tc>
          <w:tcPr>
            <w:tcW w:w="0" w:type="auto"/>
          </w:tcPr>
          <w:p w14:paraId="16CB1B0A" w14:textId="77777777" w:rsidR="00F562C9" w:rsidRPr="006F101A" w:rsidRDefault="00F562C9" w:rsidP="00F562C9">
            <w:pPr>
              <w:pStyle w:val="NoSpacing"/>
            </w:pPr>
            <w:r w:rsidRPr="006F101A">
              <w:t>0.882</w:t>
            </w:r>
          </w:p>
        </w:tc>
        <w:tc>
          <w:tcPr>
            <w:tcW w:w="0" w:type="auto"/>
          </w:tcPr>
          <w:p w14:paraId="08D90EB3" w14:textId="77777777" w:rsidR="00F562C9" w:rsidRPr="006F101A" w:rsidRDefault="00F562C9" w:rsidP="00F562C9">
            <w:pPr>
              <w:pStyle w:val="NoSpacing"/>
            </w:pPr>
            <w:r w:rsidRPr="006F101A">
              <w:t>0.323</w:t>
            </w:r>
          </w:p>
        </w:tc>
        <w:tc>
          <w:tcPr>
            <w:tcW w:w="0" w:type="auto"/>
          </w:tcPr>
          <w:p w14:paraId="0A15A81F" w14:textId="77777777" w:rsidR="00F562C9" w:rsidRPr="006F101A" w:rsidRDefault="00F562C9" w:rsidP="00F562C9">
            <w:pPr>
              <w:pStyle w:val="NoSpacing"/>
            </w:pPr>
            <w:r w:rsidRPr="006F101A">
              <w:t>−0.378</w:t>
            </w:r>
          </w:p>
        </w:tc>
      </w:tr>
      <w:tr w:rsidR="00F562C9" w:rsidRPr="006F101A" w14:paraId="3E6B010E" w14:textId="77777777" w:rsidTr="00F562C9">
        <w:trPr>
          <w:trHeight w:val="230"/>
        </w:trPr>
        <w:tc>
          <w:tcPr>
            <w:tcW w:w="2425" w:type="dxa"/>
          </w:tcPr>
          <w:p w14:paraId="4338C836" w14:textId="77777777" w:rsidR="00F562C9" w:rsidRPr="006F101A" w:rsidRDefault="00F562C9" w:rsidP="00F562C9">
            <w:pPr>
              <w:pStyle w:val="NoSpacing"/>
            </w:pPr>
            <w:r w:rsidRPr="006F101A">
              <w:t>Autism</w:t>
            </w:r>
          </w:p>
        </w:tc>
        <w:tc>
          <w:tcPr>
            <w:tcW w:w="989" w:type="dxa"/>
          </w:tcPr>
          <w:p w14:paraId="7465A18C" w14:textId="77777777" w:rsidR="00F562C9" w:rsidRPr="006F101A" w:rsidRDefault="00F562C9" w:rsidP="00F562C9">
            <w:pPr>
              <w:pStyle w:val="NoSpacing"/>
            </w:pPr>
            <w:r w:rsidRPr="006F101A">
              <w:t>0.286</w:t>
            </w:r>
          </w:p>
        </w:tc>
        <w:tc>
          <w:tcPr>
            <w:tcW w:w="0" w:type="auto"/>
          </w:tcPr>
          <w:p w14:paraId="79F36135" w14:textId="77777777" w:rsidR="00F562C9" w:rsidRPr="006F101A" w:rsidRDefault="00F562C9" w:rsidP="00F562C9">
            <w:pPr>
              <w:pStyle w:val="NoSpacing"/>
            </w:pPr>
            <w:r w:rsidRPr="006F101A">
              <w:t>0.452</w:t>
            </w:r>
          </w:p>
        </w:tc>
        <w:tc>
          <w:tcPr>
            <w:tcW w:w="0" w:type="auto"/>
          </w:tcPr>
          <w:p w14:paraId="08E51715" w14:textId="77777777" w:rsidR="00F562C9" w:rsidRPr="006F101A" w:rsidRDefault="00F562C9" w:rsidP="00F562C9">
            <w:pPr>
              <w:pStyle w:val="NoSpacing"/>
            </w:pPr>
            <w:r w:rsidRPr="006F101A">
              <w:t>0.167</w:t>
            </w:r>
          </w:p>
        </w:tc>
        <w:tc>
          <w:tcPr>
            <w:tcW w:w="0" w:type="auto"/>
          </w:tcPr>
          <w:p w14:paraId="57B33899" w14:textId="77777777" w:rsidR="00F562C9" w:rsidRPr="006F101A" w:rsidRDefault="00F562C9" w:rsidP="00F562C9">
            <w:pPr>
              <w:pStyle w:val="NoSpacing"/>
            </w:pPr>
            <w:r w:rsidRPr="006F101A">
              <w:t>0.373</w:t>
            </w:r>
          </w:p>
        </w:tc>
        <w:tc>
          <w:tcPr>
            <w:tcW w:w="0" w:type="auto"/>
          </w:tcPr>
          <w:p w14:paraId="118F39B9" w14:textId="77777777" w:rsidR="00F562C9" w:rsidRPr="006F101A" w:rsidRDefault="00F562C9" w:rsidP="00F562C9">
            <w:pPr>
              <w:pStyle w:val="NoSpacing"/>
            </w:pPr>
            <w:r w:rsidRPr="006F101A">
              <w:t>0.283</w:t>
            </w:r>
          </w:p>
        </w:tc>
        <w:tc>
          <w:tcPr>
            <w:tcW w:w="0" w:type="auto"/>
          </w:tcPr>
          <w:p w14:paraId="0986244C" w14:textId="77777777" w:rsidR="00F562C9" w:rsidRPr="006F101A" w:rsidRDefault="00F562C9" w:rsidP="00F562C9">
            <w:pPr>
              <w:pStyle w:val="NoSpacing"/>
            </w:pPr>
            <w:r w:rsidRPr="006F101A">
              <w:t>0.278</w:t>
            </w:r>
          </w:p>
        </w:tc>
        <w:tc>
          <w:tcPr>
            <w:tcW w:w="0" w:type="auto"/>
          </w:tcPr>
          <w:p w14:paraId="7A2B2FE1" w14:textId="77777777" w:rsidR="00F562C9" w:rsidRPr="006F101A" w:rsidRDefault="00F562C9" w:rsidP="00F562C9">
            <w:pPr>
              <w:pStyle w:val="NoSpacing"/>
            </w:pPr>
            <w:r w:rsidRPr="006F101A">
              <w:t>0.448</w:t>
            </w:r>
          </w:p>
        </w:tc>
        <w:tc>
          <w:tcPr>
            <w:tcW w:w="0" w:type="auto"/>
          </w:tcPr>
          <w:p w14:paraId="65D8B463" w14:textId="77777777" w:rsidR="00F562C9" w:rsidRPr="006F101A" w:rsidRDefault="00F562C9" w:rsidP="00F562C9">
            <w:pPr>
              <w:pStyle w:val="NoSpacing"/>
            </w:pPr>
            <w:r w:rsidRPr="006F101A">
              <w:t>0.118</w:t>
            </w:r>
          </w:p>
        </w:tc>
        <w:tc>
          <w:tcPr>
            <w:tcW w:w="0" w:type="auto"/>
          </w:tcPr>
          <w:p w14:paraId="458D184D" w14:textId="77777777" w:rsidR="00F562C9" w:rsidRPr="006F101A" w:rsidRDefault="00F562C9" w:rsidP="00F562C9">
            <w:pPr>
              <w:pStyle w:val="NoSpacing"/>
            </w:pPr>
            <w:r w:rsidRPr="006F101A">
              <w:t>0.323</w:t>
            </w:r>
          </w:p>
        </w:tc>
        <w:tc>
          <w:tcPr>
            <w:tcW w:w="0" w:type="auto"/>
          </w:tcPr>
          <w:p w14:paraId="50EA0FBF" w14:textId="77777777" w:rsidR="00F562C9" w:rsidRPr="006F101A" w:rsidRDefault="00F562C9" w:rsidP="00F562C9">
            <w:pPr>
              <w:pStyle w:val="NoSpacing"/>
            </w:pPr>
            <w:r w:rsidRPr="006F101A">
              <w:t>0.378</w:t>
            </w:r>
          </w:p>
        </w:tc>
      </w:tr>
      <w:tr w:rsidR="00F562C9" w:rsidRPr="006F101A" w14:paraId="611F5950" w14:textId="77777777" w:rsidTr="00F562C9">
        <w:trPr>
          <w:trHeight w:val="230"/>
        </w:trPr>
        <w:tc>
          <w:tcPr>
            <w:tcW w:w="2425" w:type="dxa"/>
          </w:tcPr>
          <w:p w14:paraId="2A145ACB" w14:textId="77777777" w:rsidR="00F562C9" w:rsidRPr="006F101A" w:rsidRDefault="00F562C9" w:rsidP="00F562C9">
            <w:pPr>
              <w:pStyle w:val="NoSpacing"/>
            </w:pPr>
            <w:r w:rsidRPr="006F101A">
              <w:t>No bipolar disorder</w:t>
            </w:r>
          </w:p>
        </w:tc>
        <w:tc>
          <w:tcPr>
            <w:tcW w:w="989" w:type="dxa"/>
          </w:tcPr>
          <w:p w14:paraId="69EBD604" w14:textId="77777777" w:rsidR="00F562C9" w:rsidRPr="006F101A" w:rsidRDefault="00F562C9" w:rsidP="00F562C9">
            <w:pPr>
              <w:pStyle w:val="NoSpacing"/>
            </w:pPr>
            <w:r w:rsidRPr="006F101A">
              <w:t>#</w:t>
            </w:r>
          </w:p>
        </w:tc>
        <w:tc>
          <w:tcPr>
            <w:tcW w:w="0" w:type="auto"/>
          </w:tcPr>
          <w:p w14:paraId="177E411B" w14:textId="77777777" w:rsidR="00F562C9" w:rsidRPr="006F101A" w:rsidRDefault="00F562C9" w:rsidP="00F562C9">
            <w:pPr>
              <w:pStyle w:val="NoSpacing"/>
            </w:pPr>
            <w:r w:rsidRPr="006F101A">
              <w:t>#</w:t>
            </w:r>
          </w:p>
        </w:tc>
        <w:tc>
          <w:tcPr>
            <w:tcW w:w="0" w:type="auto"/>
          </w:tcPr>
          <w:p w14:paraId="619460A1" w14:textId="77777777" w:rsidR="00F562C9" w:rsidRPr="006F101A" w:rsidRDefault="00F562C9" w:rsidP="00F562C9">
            <w:pPr>
              <w:pStyle w:val="NoSpacing"/>
            </w:pPr>
            <w:r w:rsidRPr="006F101A">
              <w:t>0.916</w:t>
            </w:r>
          </w:p>
        </w:tc>
        <w:tc>
          <w:tcPr>
            <w:tcW w:w="0" w:type="auto"/>
          </w:tcPr>
          <w:p w14:paraId="144BE6B2" w14:textId="77777777" w:rsidR="00F562C9" w:rsidRPr="006F101A" w:rsidRDefault="00F562C9" w:rsidP="00F562C9">
            <w:pPr>
              <w:pStyle w:val="NoSpacing"/>
            </w:pPr>
            <w:r w:rsidRPr="006F101A">
              <w:t>#</w:t>
            </w:r>
          </w:p>
        </w:tc>
        <w:tc>
          <w:tcPr>
            <w:tcW w:w="0" w:type="auto"/>
          </w:tcPr>
          <w:p w14:paraId="3EDDE4D9" w14:textId="77777777" w:rsidR="00F562C9" w:rsidRPr="006F101A" w:rsidRDefault="00F562C9" w:rsidP="00F562C9">
            <w:pPr>
              <w:pStyle w:val="NoSpacing"/>
            </w:pPr>
            <w:r w:rsidRPr="006F101A">
              <w:t>#</w:t>
            </w:r>
          </w:p>
        </w:tc>
        <w:tc>
          <w:tcPr>
            <w:tcW w:w="0" w:type="auto"/>
          </w:tcPr>
          <w:p w14:paraId="01A5D0B4" w14:textId="77777777" w:rsidR="00F562C9" w:rsidRPr="006F101A" w:rsidRDefault="00F562C9" w:rsidP="00F562C9">
            <w:pPr>
              <w:pStyle w:val="NoSpacing"/>
            </w:pPr>
            <w:r w:rsidRPr="006F101A">
              <w:t>#</w:t>
            </w:r>
          </w:p>
        </w:tc>
        <w:tc>
          <w:tcPr>
            <w:tcW w:w="0" w:type="auto"/>
          </w:tcPr>
          <w:p w14:paraId="51442929" w14:textId="77777777" w:rsidR="00F562C9" w:rsidRPr="006F101A" w:rsidRDefault="00F562C9" w:rsidP="00F562C9">
            <w:pPr>
              <w:pStyle w:val="NoSpacing"/>
            </w:pPr>
            <w:r w:rsidRPr="006F101A">
              <w:t>#</w:t>
            </w:r>
          </w:p>
        </w:tc>
        <w:tc>
          <w:tcPr>
            <w:tcW w:w="0" w:type="auto"/>
          </w:tcPr>
          <w:p w14:paraId="3EEBE456" w14:textId="77777777" w:rsidR="00F562C9" w:rsidRPr="006F101A" w:rsidRDefault="00F562C9" w:rsidP="00F562C9">
            <w:pPr>
              <w:pStyle w:val="NoSpacing"/>
            </w:pPr>
            <w:r w:rsidRPr="006F101A">
              <w:t>#</w:t>
            </w:r>
          </w:p>
        </w:tc>
        <w:tc>
          <w:tcPr>
            <w:tcW w:w="0" w:type="auto"/>
          </w:tcPr>
          <w:p w14:paraId="7AA37F65" w14:textId="77777777" w:rsidR="00F562C9" w:rsidRPr="006F101A" w:rsidRDefault="00F562C9" w:rsidP="00F562C9">
            <w:pPr>
              <w:pStyle w:val="NoSpacing"/>
            </w:pPr>
            <w:r w:rsidRPr="006F101A">
              <w:t>#</w:t>
            </w:r>
          </w:p>
        </w:tc>
        <w:tc>
          <w:tcPr>
            <w:tcW w:w="0" w:type="auto"/>
          </w:tcPr>
          <w:p w14:paraId="6D5B42D2" w14:textId="77777777" w:rsidR="00F562C9" w:rsidRPr="006F101A" w:rsidRDefault="00F562C9" w:rsidP="00F562C9">
            <w:pPr>
              <w:pStyle w:val="NoSpacing"/>
            </w:pPr>
            <w:r w:rsidRPr="006F101A">
              <w:t>#</w:t>
            </w:r>
          </w:p>
        </w:tc>
      </w:tr>
      <w:tr w:rsidR="00F562C9" w:rsidRPr="006F101A" w14:paraId="643A9C1A" w14:textId="77777777" w:rsidTr="00F562C9">
        <w:trPr>
          <w:trHeight w:val="230"/>
        </w:trPr>
        <w:tc>
          <w:tcPr>
            <w:tcW w:w="2425" w:type="dxa"/>
          </w:tcPr>
          <w:p w14:paraId="0AB248FA" w14:textId="77777777" w:rsidR="00F562C9" w:rsidRPr="006F101A" w:rsidRDefault="00F562C9" w:rsidP="00F562C9">
            <w:pPr>
              <w:pStyle w:val="NoSpacing"/>
            </w:pPr>
            <w:r w:rsidRPr="006F101A">
              <w:t>Bipolar disorder</w:t>
            </w:r>
          </w:p>
        </w:tc>
        <w:tc>
          <w:tcPr>
            <w:tcW w:w="989" w:type="dxa"/>
          </w:tcPr>
          <w:p w14:paraId="74A65C69" w14:textId="77777777" w:rsidR="00F562C9" w:rsidRPr="006F101A" w:rsidRDefault="00F562C9" w:rsidP="00F562C9">
            <w:pPr>
              <w:pStyle w:val="NoSpacing"/>
            </w:pPr>
            <w:r w:rsidRPr="006F101A">
              <w:t>#</w:t>
            </w:r>
          </w:p>
        </w:tc>
        <w:tc>
          <w:tcPr>
            <w:tcW w:w="0" w:type="auto"/>
          </w:tcPr>
          <w:p w14:paraId="2D340DD3" w14:textId="77777777" w:rsidR="00F562C9" w:rsidRPr="006F101A" w:rsidRDefault="00F562C9" w:rsidP="00F562C9">
            <w:pPr>
              <w:pStyle w:val="NoSpacing"/>
            </w:pPr>
            <w:r w:rsidRPr="006F101A">
              <w:t>#</w:t>
            </w:r>
          </w:p>
        </w:tc>
        <w:tc>
          <w:tcPr>
            <w:tcW w:w="0" w:type="auto"/>
          </w:tcPr>
          <w:p w14:paraId="41031DDC" w14:textId="77777777" w:rsidR="00F562C9" w:rsidRPr="006F101A" w:rsidRDefault="00F562C9" w:rsidP="00F562C9">
            <w:pPr>
              <w:pStyle w:val="NoSpacing"/>
            </w:pPr>
            <w:r w:rsidRPr="006F101A">
              <w:t>0.083</w:t>
            </w:r>
          </w:p>
        </w:tc>
        <w:tc>
          <w:tcPr>
            <w:tcW w:w="0" w:type="auto"/>
          </w:tcPr>
          <w:p w14:paraId="2F9D6254" w14:textId="77777777" w:rsidR="00F562C9" w:rsidRPr="006F101A" w:rsidRDefault="00F562C9" w:rsidP="00F562C9">
            <w:pPr>
              <w:pStyle w:val="NoSpacing"/>
            </w:pPr>
            <w:r w:rsidRPr="006F101A">
              <w:t>#</w:t>
            </w:r>
          </w:p>
        </w:tc>
        <w:tc>
          <w:tcPr>
            <w:tcW w:w="0" w:type="auto"/>
          </w:tcPr>
          <w:p w14:paraId="43D20F73" w14:textId="77777777" w:rsidR="00F562C9" w:rsidRPr="006F101A" w:rsidRDefault="00F562C9" w:rsidP="00F562C9">
            <w:pPr>
              <w:pStyle w:val="NoSpacing"/>
            </w:pPr>
            <w:r w:rsidRPr="006F101A">
              <w:t>#</w:t>
            </w:r>
          </w:p>
        </w:tc>
        <w:tc>
          <w:tcPr>
            <w:tcW w:w="0" w:type="auto"/>
          </w:tcPr>
          <w:p w14:paraId="72FCFDE3" w14:textId="77777777" w:rsidR="00F562C9" w:rsidRPr="006F101A" w:rsidRDefault="00F562C9" w:rsidP="00F562C9">
            <w:pPr>
              <w:pStyle w:val="NoSpacing"/>
            </w:pPr>
            <w:r w:rsidRPr="006F101A">
              <w:t>#</w:t>
            </w:r>
          </w:p>
        </w:tc>
        <w:tc>
          <w:tcPr>
            <w:tcW w:w="0" w:type="auto"/>
          </w:tcPr>
          <w:p w14:paraId="6EA4D53D" w14:textId="77777777" w:rsidR="00F562C9" w:rsidRPr="006F101A" w:rsidRDefault="00F562C9" w:rsidP="00F562C9">
            <w:pPr>
              <w:pStyle w:val="NoSpacing"/>
            </w:pPr>
            <w:r w:rsidRPr="006F101A">
              <w:t>#</w:t>
            </w:r>
          </w:p>
        </w:tc>
        <w:tc>
          <w:tcPr>
            <w:tcW w:w="0" w:type="auto"/>
          </w:tcPr>
          <w:p w14:paraId="44957507" w14:textId="77777777" w:rsidR="00F562C9" w:rsidRPr="006F101A" w:rsidRDefault="00F562C9" w:rsidP="00F562C9">
            <w:pPr>
              <w:pStyle w:val="NoSpacing"/>
            </w:pPr>
            <w:r w:rsidRPr="006F101A">
              <w:t>#</w:t>
            </w:r>
          </w:p>
        </w:tc>
        <w:tc>
          <w:tcPr>
            <w:tcW w:w="0" w:type="auto"/>
          </w:tcPr>
          <w:p w14:paraId="34B76EBA" w14:textId="77777777" w:rsidR="00F562C9" w:rsidRPr="006F101A" w:rsidRDefault="00F562C9" w:rsidP="00F562C9">
            <w:pPr>
              <w:pStyle w:val="NoSpacing"/>
            </w:pPr>
            <w:r w:rsidRPr="006F101A">
              <w:t>#</w:t>
            </w:r>
          </w:p>
        </w:tc>
        <w:tc>
          <w:tcPr>
            <w:tcW w:w="0" w:type="auto"/>
          </w:tcPr>
          <w:p w14:paraId="7C1F9F99" w14:textId="77777777" w:rsidR="00F562C9" w:rsidRPr="006F101A" w:rsidRDefault="00F562C9" w:rsidP="00F562C9">
            <w:pPr>
              <w:pStyle w:val="NoSpacing"/>
            </w:pPr>
            <w:r w:rsidRPr="006F101A">
              <w:t>#</w:t>
            </w:r>
          </w:p>
        </w:tc>
      </w:tr>
      <w:tr w:rsidR="00F562C9" w:rsidRPr="006F101A" w14:paraId="6E99AE50" w14:textId="77777777" w:rsidTr="00F562C9">
        <w:trPr>
          <w:trHeight w:val="230"/>
        </w:trPr>
        <w:tc>
          <w:tcPr>
            <w:tcW w:w="2425" w:type="dxa"/>
          </w:tcPr>
          <w:p w14:paraId="37838476" w14:textId="77777777" w:rsidR="00F562C9" w:rsidRPr="006F101A" w:rsidRDefault="00F562C9" w:rsidP="00F562C9">
            <w:pPr>
              <w:pStyle w:val="NoSpacing"/>
            </w:pPr>
            <w:r w:rsidRPr="006F101A">
              <w:t>No depression</w:t>
            </w:r>
          </w:p>
        </w:tc>
        <w:tc>
          <w:tcPr>
            <w:tcW w:w="989" w:type="dxa"/>
          </w:tcPr>
          <w:p w14:paraId="4B7D75BD" w14:textId="77777777" w:rsidR="00F562C9" w:rsidRPr="006F101A" w:rsidRDefault="00F562C9" w:rsidP="00F562C9">
            <w:pPr>
              <w:pStyle w:val="NoSpacing"/>
            </w:pPr>
            <w:r w:rsidRPr="006F101A">
              <w:t>0.929</w:t>
            </w:r>
          </w:p>
        </w:tc>
        <w:tc>
          <w:tcPr>
            <w:tcW w:w="0" w:type="auto"/>
          </w:tcPr>
          <w:p w14:paraId="271AA974" w14:textId="77777777" w:rsidR="00F562C9" w:rsidRPr="006F101A" w:rsidRDefault="00F562C9" w:rsidP="00F562C9">
            <w:pPr>
              <w:pStyle w:val="NoSpacing"/>
            </w:pPr>
            <w:r w:rsidRPr="006F101A">
              <w:t>0.258</w:t>
            </w:r>
          </w:p>
        </w:tc>
        <w:tc>
          <w:tcPr>
            <w:tcW w:w="0" w:type="auto"/>
          </w:tcPr>
          <w:p w14:paraId="44E3A028" w14:textId="77777777" w:rsidR="00F562C9" w:rsidRPr="006F101A" w:rsidRDefault="00F562C9" w:rsidP="00F562C9">
            <w:pPr>
              <w:pStyle w:val="NoSpacing"/>
            </w:pPr>
            <w:r w:rsidRPr="006F101A">
              <w:t>0.75</w:t>
            </w:r>
          </w:p>
        </w:tc>
        <w:tc>
          <w:tcPr>
            <w:tcW w:w="0" w:type="auto"/>
          </w:tcPr>
          <w:p w14:paraId="6B83F047" w14:textId="77777777" w:rsidR="00F562C9" w:rsidRPr="006F101A" w:rsidRDefault="00F562C9" w:rsidP="00F562C9">
            <w:pPr>
              <w:pStyle w:val="NoSpacing"/>
            </w:pPr>
            <w:r w:rsidRPr="006F101A">
              <w:t>0.433</w:t>
            </w:r>
          </w:p>
        </w:tc>
        <w:tc>
          <w:tcPr>
            <w:tcW w:w="0" w:type="auto"/>
          </w:tcPr>
          <w:p w14:paraId="3FA5B427" w14:textId="77777777" w:rsidR="00F562C9" w:rsidRPr="006F101A" w:rsidRDefault="00F562C9" w:rsidP="00F562C9">
            <w:pPr>
              <w:pStyle w:val="NoSpacing"/>
            </w:pPr>
            <w:r w:rsidRPr="006F101A">
              <w:t>0.495</w:t>
            </w:r>
          </w:p>
        </w:tc>
        <w:tc>
          <w:tcPr>
            <w:tcW w:w="0" w:type="auto"/>
          </w:tcPr>
          <w:p w14:paraId="4FEC374C" w14:textId="77777777" w:rsidR="00F562C9" w:rsidRPr="006F101A" w:rsidRDefault="00F562C9" w:rsidP="00F562C9">
            <w:pPr>
              <w:pStyle w:val="NoSpacing"/>
            </w:pPr>
            <w:r w:rsidRPr="006F101A">
              <w:t>0.91</w:t>
            </w:r>
          </w:p>
        </w:tc>
        <w:tc>
          <w:tcPr>
            <w:tcW w:w="0" w:type="auto"/>
          </w:tcPr>
          <w:p w14:paraId="34124530" w14:textId="77777777" w:rsidR="00F562C9" w:rsidRPr="006F101A" w:rsidRDefault="00F562C9" w:rsidP="00F562C9">
            <w:pPr>
              <w:pStyle w:val="NoSpacing"/>
            </w:pPr>
            <w:r w:rsidRPr="006F101A">
              <w:t>0.286</w:t>
            </w:r>
          </w:p>
        </w:tc>
        <w:tc>
          <w:tcPr>
            <w:tcW w:w="0" w:type="auto"/>
          </w:tcPr>
          <w:p w14:paraId="3BF50F77" w14:textId="77777777" w:rsidR="00F562C9" w:rsidRPr="006F101A" w:rsidRDefault="00F562C9" w:rsidP="00F562C9">
            <w:pPr>
              <w:pStyle w:val="NoSpacing"/>
            </w:pPr>
            <w:r w:rsidRPr="006F101A">
              <w:t>0.835</w:t>
            </w:r>
          </w:p>
        </w:tc>
        <w:tc>
          <w:tcPr>
            <w:tcW w:w="0" w:type="auto"/>
          </w:tcPr>
          <w:p w14:paraId="435F1794" w14:textId="77777777" w:rsidR="00F562C9" w:rsidRPr="006F101A" w:rsidRDefault="00F562C9" w:rsidP="00F562C9">
            <w:pPr>
              <w:pStyle w:val="NoSpacing"/>
            </w:pPr>
            <w:r w:rsidRPr="006F101A">
              <w:t>0.371</w:t>
            </w:r>
          </w:p>
        </w:tc>
        <w:tc>
          <w:tcPr>
            <w:tcW w:w="0" w:type="auto"/>
          </w:tcPr>
          <w:p w14:paraId="32187051" w14:textId="77777777" w:rsidR="00F562C9" w:rsidRPr="006F101A" w:rsidRDefault="00F562C9" w:rsidP="00F562C9">
            <w:pPr>
              <w:pStyle w:val="NoSpacing"/>
            </w:pPr>
            <w:r w:rsidRPr="006F101A">
              <w:t>0.209</w:t>
            </w:r>
          </w:p>
        </w:tc>
      </w:tr>
      <w:tr w:rsidR="00F562C9" w:rsidRPr="006F101A" w14:paraId="53C39522" w14:textId="77777777" w:rsidTr="00F562C9">
        <w:trPr>
          <w:trHeight w:val="230"/>
        </w:trPr>
        <w:tc>
          <w:tcPr>
            <w:tcW w:w="2425" w:type="dxa"/>
          </w:tcPr>
          <w:p w14:paraId="18C11991" w14:textId="77777777" w:rsidR="00F562C9" w:rsidRPr="006F101A" w:rsidRDefault="00F562C9" w:rsidP="00F562C9">
            <w:pPr>
              <w:pStyle w:val="NoSpacing"/>
            </w:pPr>
            <w:r w:rsidRPr="006F101A">
              <w:t>Depression</w:t>
            </w:r>
          </w:p>
        </w:tc>
        <w:tc>
          <w:tcPr>
            <w:tcW w:w="989" w:type="dxa"/>
          </w:tcPr>
          <w:p w14:paraId="42FE95BC" w14:textId="77777777" w:rsidR="00F562C9" w:rsidRPr="006F101A" w:rsidRDefault="00F562C9" w:rsidP="00F562C9">
            <w:pPr>
              <w:pStyle w:val="NoSpacing"/>
            </w:pPr>
            <w:r w:rsidRPr="006F101A">
              <w:t>0.071</w:t>
            </w:r>
          </w:p>
        </w:tc>
        <w:tc>
          <w:tcPr>
            <w:tcW w:w="0" w:type="auto"/>
          </w:tcPr>
          <w:p w14:paraId="3BC320C4" w14:textId="77777777" w:rsidR="00F562C9" w:rsidRPr="006F101A" w:rsidRDefault="00F562C9" w:rsidP="00F562C9">
            <w:pPr>
              <w:pStyle w:val="NoSpacing"/>
            </w:pPr>
            <w:r w:rsidRPr="006F101A">
              <w:t>0.258</w:t>
            </w:r>
          </w:p>
        </w:tc>
        <w:tc>
          <w:tcPr>
            <w:tcW w:w="0" w:type="auto"/>
          </w:tcPr>
          <w:p w14:paraId="47CCE661" w14:textId="77777777" w:rsidR="00F562C9" w:rsidRPr="006F101A" w:rsidRDefault="00F562C9" w:rsidP="00F562C9">
            <w:pPr>
              <w:pStyle w:val="NoSpacing"/>
            </w:pPr>
            <w:r w:rsidRPr="006F101A">
              <w:t>0.25</w:t>
            </w:r>
          </w:p>
        </w:tc>
        <w:tc>
          <w:tcPr>
            <w:tcW w:w="0" w:type="auto"/>
          </w:tcPr>
          <w:p w14:paraId="1AAEF5A7" w14:textId="77777777" w:rsidR="00F562C9" w:rsidRPr="006F101A" w:rsidRDefault="00F562C9" w:rsidP="00F562C9">
            <w:pPr>
              <w:pStyle w:val="NoSpacing"/>
            </w:pPr>
            <w:r w:rsidRPr="006F101A">
              <w:t>0.433</w:t>
            </w:r>
          </w:p>
        </w:tc>
        <w:tc>
          <w:tcPr>
            <w:tcW w:w="0" w:type="auto"/>
          </w:tcPr>
          <w:p w14:paraId="4512B60C" w14:textId="77777777" w:rsidR="00F562C9" w:rsidRPr="006F101A" w:rsidRDefault="00F562C9" w:rsidP="00F562C9">
            <w:pPr>
              <w:pStyle w:val="NoSpacing"/>
            </w:pPr>
            <w:r w:rsidRPr="006F101A">
              <w:t>−0.495</w:t>
            </w:r>
          </w:p>
        </w:tc>
        <w:tc>
          <w:tcPr>
            <w:tcW w:w="0" w:type="auto"/>
          </w:tcPr>
          <w:p w14:paraId="749AAD5B" w14:textId="77777777" w:rsidR="00F562C9" w:rsidRPr="006F101A" w:rsidRDefault="00F562C9" w:rsidP="00F562C9">
            <w:pPr>
              <w:pStyle w:val="NoSpacing"/>
            </w:pPr>
            <w:r w:rsidRPr="006F101A">
              <w:t>0.09</w:t>
            </w:r>
          </w:p>
        </w:tc>
        <w:tc>
          <w:tcPr>
            <w:tcW w:w="0" w:type="auto"/>
          </w:tcPr>
          <w:p w14:paraId="6CF97D9B" w14:textId="77777777" w:rsidR="00F562C9" w:rsidRPr="006F101A" w:rsidRDefault="00F562C9" w:rsidP="00F562C9">
            <w:pPr>
              <w:pStyle w:val="NoSpacing"/>
            </w:pPr>
            <w:r w:rsidRPr="006F101A">
              <w:t>0.286</w:t>
            </w:r>
          </w:p>
        </w:tc>
        <w:tc>
          <w:tcPr>
            <w:tcW w:w="0" w:type="auto"/>
          </w:tcPr>
          <w:p w14:paraId="3A54A5C2" w14:textId="77777777" w:rsidR="00F562C9" w:rsidRPr="006F101A" w:rsidRDefault="00F562C9" w:rsidP="00F562C9">
            <w:pPr>
              <w:pStyle w:val="NoSpacing"/>
            </w:pPr>
            <w:r w:rsidRPr="006F101A">
              <w:t>0.165</w:t>
            </w:r>
          </w:p>
        </w:tc>
        <w:tc>
          <w:tcPr>
            <w:tcW w:w="0" w:type="auto"/>
          </w:tcPr>
          <w:p w14:paraId="5C67E675" w14:textId="77777777" w:rsidR="00F562C9" w:rsidRPr="006F101A" w:rsidRDefault="00F562C9" w:rsidP="00F562C9">
            <w:pPr>
              <w:pStyle w:val="NoSpacing"/>
            </w:pPr>
            <w:r w:rsidRPr="006F101A">
              <w:t>0.371</w:t>
            </w:r>
          </w:p>
        </w:tc>
        <w:tc>
          <w:tcPr>
            <w:tcW w:w="0" w:type="auto"/>
          </w:tcPr>
          <w:p w14:paraId="1900EE53" w14:textId="77777777" w:rsidR="00F562C9" w:rsidRPr="006F101A" w:rsidRDefault="00F562C9" w:rsidP="00F562C9">
            <w:pPr>
              <w:pStyle w:val="NoSpacing"/>
            </w:pPr>
            <w:r w:rsidRPr="006F101A">
              <w:t>−0.209</w:t>
            </w:r>
          </w:p>
        </w:tc>
      </w:tr>
      <w:tr w:rsidR="00F562C9" w:rsidRPr="006F101A" w14:paraId="0A6699FC" w14:textId="77777777" w:rsidTr="00F562C9">
        <w:trPr>
          <w:trHeight w:val="230"/>
        </w:trPr>
        <w:tc>
          <w:tcPr>
            <w:tcW w:w="2425" w:type="dxa"/>
          </w:tcPr>
          <w:p w14:paraId="113D0EEC" w14:textId="77777777" w:rsidR="00F562C9" w:rsidRPr="006F101A" w:rsidRDefault="00F562C9" w:rsidP="00F562C9">
            <w:pPr>
              <w:pStyle w:val="NoSpacing"/>
            </w:pPr>
            <w:r w:rsidRPr="006F101A">
              <w:t>No eating disorder</w:t>
            </w:r>
          </w:p>
        </w:tc>
        <w:tc>
          <w:tcPr>
            <w:tcW w:w="989" w:type="dxa"/>
          </w:tcPr>
          <w:p w14:paraId="6E7237D7" w14:textId="77777777" w:rsidR="00F562C9" w:rsidRPr="006F101A" w:rsidRDefault="00F562C9" w:rsidP="00F562C9">
            <w:pPr>
              <w:pStyle w:val="NoSpacing"/>
            </w:pPr>
            <w:r w:rsidRPr="006F101A">
              <w:t>0.929</w:t>
            </w:r>
          </w:p>
        </w:tc>
        <w:tc>
          <w:tcPr>
            <w:tcW w:w="0" w:type="auto"/>
          </w:tcPr>
          <w:p w14:paraId="2ED53794" w14:textId="77777777" w:rsidR="00F562C9" w:rsidRPr="006F101A" w:rsidRDefault="00F562C9" w:rsidP="00F562C9">
            <w:pPr>
              <w:pStyle w:val="NoSpacing"/>
            </w:pPr>
            <w:r w:rsidRPr="006F101A">
              <w:t>0.258</w:t>
            </w:r>
          </w:p>
        </w:tc>
        <w:tc>
          <w:tcPr>
            <w:tcW w:w="0" w:type="auto"/>
          </w:tcPr>
          <w:p w14:paraId="44C20800" w14:textId="77777777" w:rsidR="00F562C9" w:rsidRPr="006F101A" w:rsidRDefault="00F562C9" w:rsidP="00F562C9">
            <w:pPr>
              <w:pStyle w:val="NoSpacing"/>
            </w:pPr>
            <w:r w:rsidRPr="006F101A">
              <w:t>0.833</w:t>
            </w:r>
          </w:p>
        </w:tc>
        <w:tc>
          <w:tcPr>
            <w:tcW w:w="0" w:type="auto"/>
          </w:tcPr>
          <w:p w14:paraId="62B9BCAB" w14:textId="77777777" w:rsidR="00F562C9" w:rsidRPr="006F101A" w:rsidRDefault="00F562C9" w:rsidP="00F562C9">
            <w:pPr>
              <w:pStyle w:val="NoSpacing"/>
            </w:pPr>
            <w:r w:rsidRPr="006F101A">
              <w:t>0.373</w:t>
            </w:r>
          </w:p>
        </w:tc>
        <w:tc>
          <w:tcPr>
            <w:tcW w:w="0" w:type="auto"/>
          </w:tcPr>
          <w:p w14:paraId="0A87CFB4" w14:textId="77777777" w:rsidR="00F562C9" w:rsidRPr="006F101A" w:rsidRDefault="00F562C9" w:rsidP="00F562C9">
            <w:pPr>
              <w:pStyle w:val="NoSpacing"/>
            </w:pPr>
            <w:r w:rsidRPr="006F101A">
              <w:t>0.298</w:t>
            </w:r>
          </w:p>
        </w:tc>
        <w:tc>
          <w:tcPr>
            <w:tcW w:w="0" w:type="auto"/>
          </w:tcPr>
          <w:p w14:paraId="57E15ECF" w14:textId="77777777" w:rsidR="00F562C9" w:rsidRPr="006F101A" w:rsidRDefault="00F562C9" w:rsidP="00F562C9">
            <w:pPr>
              <w:pStyle w:val="NoSpacing"/>
            </w:pPr>
            <w:r w:rsidRPr="006F101A">
              <w:t>0.939</w:t>
            </w:r>
          </w:p>
        </w:tc>
        <w:tc>
          <w:tcPr>
            <w:tcW w:w="0" w:type="auto"/>
          </w:tcPr>
          <w:p w14:paraId="7BFF03C3" w14:textId="77777777" w:rsidR="00F562C9" w:rsidRPr="006F101A" w:rsidRDefault="00F562C9" w:rsidP="00F562C9">
            <w:pPr>
              <w:pStyle w:val="NoSpacing"/>
            </w:pPr>
            <w:r w:rsidRPr="006F101A">
              <w:t>0.238</w:t>
            </w:r>
          </w:p>
        </w:tc>
        <w:tc>
          <w:tcPr>
            <w:tcW w:w="0" w:type="auto"/>
          </w:tcPr>
          <w:p w14:paraId="01404482" w14:textId="77777777" w:rsidR="00F562C9" w:rsidRPr="006F101A" w:rsidRDefault="00F562C9" w:rsidP="00F562C9">
            <w:pPr>
              <w:pStyle w:val="NoSpacing"/>
            </w:pPr>
            <w:r w:rsidRPr="006F101A">
              <w:t>0.762</w:t>
            </w:r>
          </w:p>
        </w:tc>
        <w:tc>
          <w:tcPr>
            <w:tcW w:w="0" w:type="auto"/>
          </w:tcPr>
          <w:p w14:paraId="1990DBA9" w14:textId="77777777" w:rsidR="00F562C9" w:rsidRPr="006F101A" w:rsidRDefault="00F562C9" w:rsidP="00F562C9">
            <w:pPr>
              <w:pStyle w:val="NoSpacing"/>
            </w:pPr>
            <w:r w:rsidRPr="006F101A">
              <w:t>0.426</w:t>
            </w:r>
          </w:p>
        </w:tc>
        <w:tc>
          <w:tcPr>
            <w:tcW w:w="0" w:type="auto"/>
          </w:tcPr>
          <w:p w14:paraId="6547B138" w14:textId="77777777" w:rsidR="00F562C9" w:rsidRPr="006F101A" w:rsidRDefault="00F562C9" w:rsidP="00F562C9">
            <w:pPr>
              <w:pStyle w:val="NoSpacing"/>
            </w:pPr>
            <w:r w:rsidRPr="006F101A">
              <w:t>0.556</w:t>
            </w:r>
          </w:p>
        </w:tc>
      </w:tr>
      <w:tr w:rsidR="00F562C9" w:rsidRPr="006F101A" w14:paraId="792FCB79" w14:textId="77777777" w:rsidTr="00F562C9">
        <w:trPr>
          <w:trHeight w:val="230"/>
        </w:trPr>
        <w:tc>
          <w:tcPr>
            <w:tcW w:w="2425" w:type="dxa"/>
          </w:tcPr>
          <w:p w14:paraId="1D2E123E" w14:textId="77777777" w:rsidR="00F562C9" w:rsidRPr="006F101A" w:rsidRDefault="00F562C9" w:rsidP="00F562C9">
            <w:pPr>
              <w:pStyle w:val="NoSpacing"/>
            </w:pPr>
            <w:r w:rsidRPr="006F101A">
              <w:t>Eating disorder</w:t>
            </w:r>
          </w:p>
        </w:tc>
        <w:tc>
          <w:tcPr>
            <w:tcW w:w="989" w:type="dxa"/>
          </w:tcPr>
          <w:p w14:paraId="0B7EA91F" w14:textId="77777777" w:rsidR="00F562C9" w:rsidRPr="006F101A" w:rsidRDefault="00F562C9" w:rsidP="00F562C9">
            <w:pPr>
              <w:pStyle w:val="NoSpacing"/>
            </w:pPr>
            <w:r w:rsidRPr="006F101A">
              <w:t>0.071</w:t>
            </w:r>
          </w:p>
        </w:tc>
        <w:tc>
          <w:tcPr>
            <w:tcW w:w="0" w:type="auto"/>
          </w:tcPr>
          <w:p w14:paraId="152AC083" w14:textId="77777777" w:rsidR="00F562C9" w:rsidRPr="006F101A" w:rsidRDefault="00F562C9" w:rsidP="00F562C9">
            <w:pPr>
              <w:pStyle w:val="NoSpacing"/>
            </w:pPr>
            <w:r w:rsidRPr="006F101A">
              <w:t>0.258</w:t>
            </w:r>
          </w:p>
        </w:tc>
        <w:tc>
          <w:tcPr>
            <w:tcW w:w="0" w:type="auto"/>
          </w:tcPr>
          <w:p w14:paraId="2428288D" w14:textId="77777777" w:rsidR="00F562C9" w:rsidRPr="006F101A" w:rsidRDefault="00F562C9" w:rsidP="00F562C9">
            <w:pPr>
              <w:pStyle w:val="NoSpacing"/>
            </w:pPr>
            <w:r w:rsidRPr="006F101A">
              <w:t>0.167</w:t>
            </w:r>
          </w:p>
        </w:tc>
        <w:tc>
          <w:tcPr>
            <w:tcW w:w="0" w:type="auto"/>
          </w:tcPr>
          <w:p w14:paraId="33A85D39" w14:textId="77777777" w:rsidR="00F562C9" w:rsidRPr="006F101A" w:rsidRDefault="00F562C9" w:rsidP="00F562C9">
            <w:pPr>
              <w:pStyle w:val="NoSpacing"/>
            </w:pPr>
            <w:r w:rsidRPr="006F101A">
              <w:t>0.373</w:t>
            </w:r>
          </w:p>
        </w:tc>
        <w:tc>
          <w:tcPr>
            <w:tcW w:w="0" w:type="auto"/>
          </w:tcPr>
          <w:p w14:paraId="5D0D2FCB" w14:textId="77777777" w:rsidR="00F562C9" w:rsidRPr="006F101A" w:rsidRDefault="00F562C9" w:rsidP="00F562C9">
            <w:pPr>
              <w:pStyle w:val="NoSpacing"/>
            </w:pPr>
            <w:r w:rsidRPr="006F101A">
              <w:t>−0.298</w:t>
            </w:r>
          </w:p>
        </w:tc>
        <w:tc>
          <w:tcPr>
            <w:tcW w:w="0" w:type="auto"/>
          </w:tcPr>
          <w:p w14:paraId="43821484" w14:textId="77777777" w:rsidR="00F562C9" w:rsidRPr="006F101A" w:rsidRDefault="00F562C9" w:rsidP="00F562C9">
            <w:pPr>
              <w:pStyle w:val="NoSpacing"/>
            </w:pPr>
            <w:r w:rsidRPr="006F101A">
              <w:t>0.061</w:t>
            </w:r>
          </w:p>
        </w:tc>
        <w:tc>
          <w:tcPr>
            <w:tcW w:w="0" w:type="auto"/>
          </w:tcPr>
          <w:p w14:paraId="7059E56A" w14:textId="77777777" w:rsidR="00F562C9" w:rsidRPr="006F101A" w:rsidRDefault="00F562C9" w:rsidP="00F562C9">
            <w:pPr>
              <w:pStyle w:val="NoSpacing"/>
            </w:pPr>
            <w:r w:rsidRPr="006F101A">
              <w:t>0.238</w:t>
            </w:r>
          </w:p>
        </w:tc>
        <w:tc>
          <w:tcPr>
            <w:tcW w:w="0" w:type="auto"/>
          </w:tcPr>
          <w:p w14:paraId="43C30F11" w14:textId="77777777" w:rsidR="00F562C9" w:rsidRPr="006F101A" w:rsidRDefault="00F562C9" w:rsidP="00F562C9">
            <w:pPr>
              <w:pStyle w:val="NoSpacing"/>
            </w:pPr>
            <w:r w:rsidRPr="006F101A">
              <w:t>0.238</w:t>
            </w:r>
          </w:p>
        </w:tc>
        <w:tc>
          <w:tcPr>
            <w:tcW w:w="0" w:type="auto"/>
          </w:tcPr>
          <w:p w14:paraId="2D25C6E2" w14:textId="77777777" w:rsidR="00F562C9" w:rsidRPr="006F101A" w:rsidRDefault="00F562C9" w:rsidP="00F562C9">
            <w:pPr>
              <w:pStyle w:val="NoSpacing"/>
            </w:pPr>
            <w:r w:rsidRPr="006F101A">
              <w:t>0.426</w:t>
            </w:r>
          </w:p>
        </w:tc>
        <w:tc>
          <w:tcPr>
            <w:tcW w:w="0" w:type="auto"/>
          </w:tcPr>
          <w:p w14:paraId="1D4B9F6D" w14:textId="77777777" w:rsidR="00F562C9" w:rsidRPr="006F101A" w:rsidRDefault="00F562C9" w:rsidP="00F562C9">
            <w:pPr>
              <w:pStyle w:val="NoSpacing"/>
            </w:pPr>
            <w:r w:rsidRPr="006F101A">
              <w:t>−0.556</w:t>
            </w:r>
          </w:p>
        </w:tc>
      </w:tr>
      <w:tr w:rsidR="00F562C9" w:rsidRPr="006F101A" w14:paraId="22612D7B" w14:textId="77777777" w:rsidTr="00F562C9">
        <w:trPr>
          <w:trHeight w:val="230"/>
        </w:trPr>
        <w:tc>
          <w:tcPr>
            <w:tcW w:w="2425" w:type="dxa"/>
          </w:tcPr>
          <w:p w14:paraId="399DC79C" w14:textId="77777777" w:rsidR="00F562C9" w:rsidRPr="006F101A" w:rsidRDefault="00F562C9" w:rsidP="00F562C9">
            <w:pPr>
              <w:pStyle w:val="NoSpacing"/>
            </w:pPr>
            <w:r w:rsidRPr="006F101A">
              <w:t>No language disorder</w:t>
            </w:r>
          </w:p>
        </w:tc>
        <w:tc>
          <w:tcPr>
            <w:tcW w:w="989" w:type="dxa"/>
          </w:tcPr>
          <w:p w14:paraId="74FF7FD0" w14:textId="77777777" w:rsidR="00F562C9" w:rsidRPr="006F101A" w:rsidRDefault="00F562C9" w:rsidP="00F562C9">
            <w:pPr>
              <w:pStyle w:val="NoSpacing"/>
            </w:pPr>
            <w:r w:rsidRPr="006F101A">
              <w:t>0.785</w:t>
            </w:r>
          </w:p>
        </w:tc>
        <w:tc>
          <w:tcPr>
            <w:tcW w:w="0" w:type="auto"/>
          </w:tcPr>
          <w:p w14:paraId="08D74E18" w14:textId="77777777" w:rsidR="00F562C9" w:rsidRPr="006F101A" w:rsidRDefault="00F562C9" w:rsidP="00F562C9">
            <w:pPr>
              <w:pStyle w:val="NoSpacing"/>
            </w:pPr>
            <w:r w:rsidRPr="006F101A">
              <w:t>#</w:t>
            </w:r>
          </w:p>
        </w:tc>
        <w:tc>
          <w:tcPr>
            <w:tcW w:w="0" w:type="auto"/>
          </w:tcPr>
          <w:p w14:paraId="46DBA830" w14:textId="77777777" w:rsidR="00F562C9" w:rsidRPr="006F101A" w:rsidRDefault="00F562C9" w:rsidP="00F562C9">
            <w:pPr>
              <w:pStyle w:val="NoSpacing"/>
            </w:pPr>
            <w:r w:rsidRPr="006F101A">
              <w:t>#</w:t>
            </w:r>
          </w:p>
        </w:tc>
        <w:tc>
          <w:tcPr>
            <w:tcW w:w="0" w:type="auto"/>
          </w:tcPr>
          <w:p w14:paraId="73D01F7D" w14:textId="77777777" w:rsidR="00F562C9" w:rsidRPr="006F101A" w:rsidRDefault="00F562C9" w:rsidP="00F562C9">
            <w:pPr>
              <w:pStyle w:val="NoSpacing"/>
            </w:pPr>
            <w:r w:rsidRPr="006F101A">
              <w:t>#</w:t>
            </w:r>
          </w:p>
        </w:tc>
        <w:tc>
          <w:tcPr>
            <w:tcW w:w="0" w:type="auto"/>
          </w:tcPr>
          <w:p w14:paraId="1254E763" w14:textId="77777777" w:rsidR="00F562C9" w:rsidRPr="006F101A" w:rsidRDefault="00F562C9" w:rsidP="00F562C9">
            <w:pPr>
              <w:pStyle w:val="NoSpacing"/>
            </w:pPr>
            <w:r w:rsidRPr="006F101A">
              <w:t>#</w:t>
            </w:r>
          </w:p>
        </w:tc>
        <w:tc>
          <w:tcPr>
            <w:tcW w:w="0" w:type="auto"/>
          </w:tcPr>
          <w:p w14:paraId="796C04E8" w14:textId="77777777" w:rsidR="00F562C9" w:rsidRPr="006F101A" w:rsidRDefault="00F562C9" w:rsidP="00F562C9">
            <w:pPr>
              <w:pStyle w:val="NoSpacing"/>
            </w:pPr>
            <w:r w:rsidRPr="006F101A">
              <w:t>#</w:t>
            </w:r>
          </w:p>
        </w:tc>
        <w:tc>
          <w:tcPr>
            <w:tcW w:w="0" w:type="auto"/>
          </w:tcPr>
          <w:p w14:paraId="400527B3" w14:textId="77777777" w:rsidR="00F562C9" w:rsidRPr="006F101A" w:rsidRDefault="00F562C9" w:rsidP="00F562C9">
            <w:pPr>
              <w:pStyle w:val="NoSpacing"/>
            </w:pPr>
            <w:r w:rsidRPr="006F101A">
              <w:t>#</w:t>
            </w:r>
          </w:p>
        </w:tc>
        <w:tc>
          <w:tcPr>
            <w:tcW w:w="0" w:type="auto"/>
          </w:tcPr>
          <w:p w14:paraId="20D0DBC4" w14:textId="77777777" w:rsidR="00F562C9" w:rsidRPr="006F101A" w:rsidRDefault="00F562C9" w:rsidP="00F562C9">
            <w:pPr>
              <w:pStyle w:val="NoSpacing"/>
            </w:pPr>
            <w:r w:rsidRPr="006F101A">
              <w:t>#</w:t>
            </w:r>
          </w:p>
        </w:tc>
        <w:tc>
          <w:tcPr>
            <w:tcW w:w="0" w:type="auto"/>
          </w:tcPr>
          <w:p w14:paraId="078BAA99" w14:textId="77777777" w:rsidR="00F562C9" w:rsidRPr="006F101A" w:rsidRDefault="00F562C9" w:rsidP="00F562C9">
            <w:pPr>
              <w:pStyle w:val="NoSpacing"/>
            </w:pPr>
            <w:r w:rsidRPr="006F101A">
              <w:t>#</w:t>
            </w:r>
          </w:p>
        </w:tc>
        <w:tc>
          <w:tcPr>
            <w:tcW w:w="0" w:type="auto"/>
          </w:tcPr>
          <w:p w14:paraId="141C727F" w14:textId="77777777" w:rsidR="00F562C9" w:rsidRPr="006F101A" w:rsidRDefault="00F562C9" w:rsidP="00F562C9">
            <w:pPr>
              <w:pStyle w:val="NoSpacing"/>
            </w:pPr>
            <w:r w:rsidRPr="006F101A">
              <w:t>#</w:t>
            </w:r>
          </w:p>
        </w:tc>
      </w:tr>
      <w:tr w:rsidR="00F562C9" w:rsidRPr="006F101A" w14:paraId="125A0CB9" w14:textId="77777777" w:rsidTr="00F562C9">
        <w:trPr>
          <w:trHeight w:val="230"/>
        </w:trPr>
        <w:tc>
          <w:tcPr>
            <w:tcW w:w="2425" w:type="dxa"/>
          </w:tcPr>
          <w:p w14:paraId="051A9C22" w14:textId="77777777" w:rsidR="00F562C9" w:rsidRPr="006F101A" w:rsidRDefault="00F562C9" w:rsidP="00F562C9">
            <w:pPr>
              <w:pStyle w:val="NoSpacing"/>
            </w:pPr>
            <w:r w:rsidRPr="006F101A">
              <w:t>Language disorder</w:t>
            </w:r>
          </w:p>
        </w:tc>
        <w:tc>
          <w:tcPr>
            <w:tcW w:w="989" w:type="dxa"/>
          </w:tcPr>
          <w:p w14:paraId="68E46CA9" w14:textId="77777777" w:rsidR="00F562C9" w:rsidRPr="006F101A" w:rsidRDefault="00F562C9" w:rsidP="00F562C9">
            <w:pPr>
              <w:pStyle w:val="NoSpacing"/>
            </w:pPr>
            <w:r w:rsidRPr="006F101A">
              <w:t>0.214</w:t>
            </w:r>
          </w:p>
        </w:tc>
        <w:tc>
          <w:tcPr>
            <w:tcW w:w="0" w:type="auto"/>
          </w:tcPr>
          <w:p w14:paraId="1E2984F6" w14:textId="77777777" w:rsidR="00F562C9" w:rsidRPr="006F101A" w:rsidRDefault="00F562C9" w:rsidP="00F562C9">
            <w:pPr>
              <w:pStyle w:val="NoSpacing"/>
            </w:pPr>
            <w:r w:rsidRPr="006F101A">
              <w:t>#</w:t>
            </w:r>
          </w:p>
        </w:tc>
        <w:tc>
          <w:tcPr>
            <w:tcW w:w="0" w:type="auto"/>
          </w:tcPr>
          <w:p w14:paraId="39DE849E" w14:textId="77777777" w:rsidR="00F562C9" w:rsidRPr="006F101A" w:rsidRDefault="00F562C9" w:rsidP="00F562C9">
            <w:pPr>
              <w:pStyle w:val="NoSpacing"/>
            </w:pPr>
            <w:r w:rsidRPr="006F101A">
              <w:t>#</w:t>
            </w:r>
          </w:p>
        </w:tc>
        <w:tc>
          <w:tcPr>
            <w:tcW w:w="0" w:type="auto"/>
          </w:tcPr>
          <w:p w14:paraId="28928488" w14:textId="77777777" w:rsidR="00F562C9" w:rsidRPr="006F101A" w:rsidRDefault="00F562C9" w:rsidP="00F562C9">
            <w:pPr>
              <w:pStyle w:val="NoSpacing"/>
            </w:pPr>
            <w:r w:rsidRPr="006F101A">
              <w:t>#</w:t>
            </w:r>
          </w:p>
        </w:tc>
        <w:tc>
          <w:tcPr>
            <w:tcW w:w="0" w:type="auto"/>
          </w:tcPr>
          <w:p w14:paraId="17F314CC" w14:textId="77777777" w:rsidR="00F562C9" w:rsidRPr="006F101A" w:rsidRDefault="00F562C9" w:rsidP="00F562C9">
            <w:pPr>
              <w:pStyle w:val="NoSpacing"/>
            </w:pPr>
            <w:r w:rsidRPr="006F101A">
              <w:t>#</w:t>
            </w:r>
          </w:p>
        </w:tc>
        <w:tc>
          <w:tcPr>
            <w:tcW w:w="0" w:type="auto"/>
          </w:tcPr>
          <w:p w14:paraId="198F24F0" w14:textId="77777777" w:rsidR="00F562C9" w:rsidRPr="006F101A" w:rsidRDefault="00F562C9" w:rsidP="00F562C9">
            <w:pPr>
              <w:pStyle w:val="NoSpacing"/>
            </w:pPr>
            <w:r w:rsidRPr="006F101A">
              <w:t>#</w:t>
            </w:r>
          </w:p>
        </w:tc>
        <w:tc>
          <w:tcPr>
            <w:tcW w:w="0" w:type="auto"/>
          </w:tcPr>
          <w:p w14:paraId="2388C842" w14:textId="77777777" w:rsidR="00F562C9" w:rsidRPr="006F101A" w:rsidRDefault="00F562C9" w:rsidP="00F562C9">
            <w:pPr>
              <w:pStyle w:val="NoSpacing"/>
            </w:pPr>
            <w:r w:rsidRPr="006F101A">
              <w:t>#</w:t>
            </w:r>
          </w:p>
        </w:tc>
        <w:tc>
          <w:tcPr>
            <w:tcW w:w="0" w:type="auto"/>
          </w:tcPr>
          <w:p w14:paraId="517740E0" w14:textId="77777777" w:rsidR="00F562C9" w:rsidRPr="006F101A" w:rsidRDefault="00F562C9" w:rsidP="00F562C9">
            <w:pPr>
              <w:pStyle w:val="NoSpacing"/>
            </w:pPr>
            <w:r w:rsidRPr="006F101A">
              <w:t>#</w:t>
            </w:r>
          </w:p>
        </w:tc>
        <w:tc>
          <w:tcPr>
            <w:tcW w:w="0" w:type="auto"/>
          </w:tcPr>
          <w:p w14:paraId="6700B45A" w14:textId="77777777" w:rsidR="00F562C9" w:rsidRPr="006F101A" w:rsidRDefault="00F562C9" w:rsidP="00F562C9">
            <w:pPr>
              <w:pStyle w:val="NoSpacing"/>
            </w:pPr>
            <w:r w:rsidRPr="006F101A">
              <w:t>#</w:t>
            </w:r>
          </w:p>
        </w:tc>
        <w:tc>
          <w:tcPr>
            <w:tcW w:w="0" w:type="auto"/>
          </w:tcPr>
          <w:p w14:paraId="2113DEE0" w14:textId="77777777" w:rsidR="00F562C9" w:rsidRPr="006F101A" w:rsidRDefault="00F562C9" w:rsidP="00F562C9">
            <w:pPr>
              <w:pStyle w:val="NoSpacing"/>
            </w:pPr>
            <w:r w:rsidRPr="006F101A">
              <w:t>#</w:t>
            </w:r>
          </w:p>
        </w:tc>
      </w:tr>
      <w:tr w:rsidR="00F562C9" w:rsidRPr="006F101A" w14:paraId="4CFFD493" w14:textId="77777777" w:rsidTr="00F562C9">
        <w:trPr>
          <w:trHeight w:val="230"/>
        </w:trPr>
        <w:tc>
          <w:tcPr>
            <w:tcW w:w="2425" w:type="dxa"/>
          </w:tcPr>
          <w:p w14:paraId="23A6C46A" w14:textId="77777777" w:rsidR="00F562C9" w:rsidRPr="006F101A" w:rsidRDefault="00F562C9" w:rsidP="00F562C9">
            <w:pPr>
              <w:pStyle w:val="NoSpacing"/>
            </w:pPr>
            <w:r w:rsidRPr="006F101A">
              <w:t>No sleep disorder</w:t>
            </w:r>
          </w:p>
        </w:tc>
        <w:tc>
          <w:tcPr>
            <w:tcW w:w="989" w:type="dxa"/>
          </w:tcPr>
          <w:p w14:paraId="4FC9DA9E" w14:textId="77777777" w:rsidR="00F562C9" w:rsidRPr="006F101A" w:rsidRDefault="00F562C9" w:rsidP="00F562C9">
            <w:pPr>
              <w:pStyle w:val="NoSpacing"/>
            </w:pPr>
            <w:r w:rsidRPr="006F101A">
              <w:t>0.929</w:t>
            </w:r>
          </w:p>
        </w:tc>
        <w:tc>
          <w:tcPr>
            <w:tcW w:w="0" w:type="auto"/>
          </w:tcPr>
          <w:p w14:paraId="0DD4BD83" w14:textId="77777777" w:rsidR="00F562C9" w:rsidRPr="006F101A" w:rsidRDefault="00F562C9" w:rsidP="00F562C9">
            <w:pPr>
              <w:pStyle w:val="NoSpacing"/>
            </w:pPr>
            <w:r w:rsidRPr="006F101A">
              <w:t>0.258</w:t>
            </w:r>
          </w:p>
        </w:tc>
        <w:tc>
          <w:tcPr>
            <w:tcW w:w="0" w:type="auto"/>
          </w:tcPr>
          <w:p w14:paraId="35770376" w14:textId="77777777" w:rsidR="00F562C9" w:rsidRPr="006F101A" w:rsidRDefault="00F562C9" w:rsidP="00F562C9">
            <w:pPr>
              <w:pStyle w:val="NoSpacing"/>
            </w:pPr>
            <w:r w:rsidRPr="006F101A">
              <w:t>0.917</w:t>
            </w:r>
          </w:p>
        </w:tc>
        <w:tc>
          <w:tcPr>
            <w:tcW w:w="0" w:type="auto"/>
          </w:tcPr>
          <w:p w14:paraId="31CC9A8A" w14:textId="77777777" w:rsidR="00F562C9" w:rsidRPr="006F101A" w:rsidRDefault="00F562C9" w:rsidP="00F562C9">
            <w:pPr>
              <w:pStyle w:val="NoSpacing"/>
            </w:pPr>
            <w:r w:rsidRPr="006F101A">
              <w:t>0.276</w:t>
            </w:r>
          </w:p>
        </w:tc>
        <w:tc>
          <w:tcPr>
            <w:tcW w:w="0" w:type="auto"/>
          </w:tcPr>
          <w:p w14:paraId="11515D5A" w14:textId="77777777" w:rsidR="00F562C9" w:rsidRPr="006F101A" w:rsidRDefault="00F562C9" w:rsidP="00F562C9">
            <w:pPr>
              <w:pStyle w:val="NoSpacing"/>
            </w:pPr>
            <w:r w:rsidRPr="006F101A">
              <w:t>0.045</w:t>
            </w:r>
          </w:p>
        </w:tc>
        <w:tc>
          <w:tcPr>
            <w:tcW w:w="0" w:type="auto"/>
          </w:tcPr>
          <w:p w14:paraId="668F2424" w14:textId="77777777" w:rsidR="00F562C9" w:rsidRPr="006F101A" w:rsidRDefault="00F562C9" w:rsidP="00F562C9">
            <w:pPr>
              <w:pStyle w:val="NoSpacing"/>
            </w:pPr>
            <w:r w:rsidRPr="006F101A">
              <w:t>0.945</w:t>
            </w:r>
          </w:p>
        </w:tc>
        <w:tc>
          <w:tcPr>
            <w:tcW w:w="0" w:type="auto"/>
          </w:tcPr>
          <w:p w14:paraId="1C6A7816" w14:textId="77777777" w:rsidR="00F562C9" w:rsidRPr="006F101A" w:rsidRDefault="00F562C9" w:rsidP="00F562C9">
            <w:pPr>
              <w:pStyle w:val="NoSpacing"/>
            </w:pPr>
            <w:r w:rsidRPr="006F101A">
              <w:t>0.228</w:t>
            </w:r>
          </w:p>
        </w:tc>
        <w:tc>
          <w:tcPr>
            <w:tcW w:w="0" w:type="auto"/>
          </w:tcPr>
          <w:p w14:paraId="3B8D92E6" w14:textId="77777777" w:rsidR="00F562C9" w:rsidRPr="006F101A" w:rsidRDefault="00F562C9" w:rsidP="00F562C9">
            <w:pPr>
              <w:pStyle w:val="NoSpacing"/>
            </w:pPr>
            <w:r w:rsidRPr="006F101A">
              <w:t>0.944</w:t>
            </w:r>
          </w:p>
        </w:tc>
        <w:tc>
          <w:tcPr>
            <w:tcW w:w="0" w:type="auto"/>
          </w:tcPr>
          <w:p w14:paraId="41495028" w14:textId="77777777" w:rsidR="00F562C9" w:rsidRPr="006F101A" w:rsidRDefault="00F562C9" w:rsidP="00F562C9">
            <w:pPr>
              <w:pStyle w:val="NoSpacing"/>
            </w:pPr>
            <w:r w:rsidRPr="006F101A">
              <w:t>0.23</w:t>
            </w:r>
          </w:p>
        </w:tc>
        <w:tc>
          <w:tcPr>
            <w:tcW w:w="0" w:type="auto"/>
          </w:tcPr>
          <w:p w14:paraId="3494D6C3" w14:textId="77777777" w:rsidR="00F562C9" w:rsidRPr="006F101A" w:rsidRDefault="00F562C9" w:rsidP="00F562C9">
            <w:pPr>
              <w:pStyle w:val="NoSpacing"/>
            </w:pPr>
            <w:r w:rsidRPr="006F101A">
              <w:t>0.005</w:t>
            </w:r>
          </w:p>
        </w:tc>
      </w:tr>
      <w:tr w:rsidR="00F562C9" w:rsidRPr="006F101A" w14:paraId="3F248D5C" w14:textId="77777777" w:rsidTr="00F562C9">
        <w:trPr>
          <w:trHeight w:val="219"/>
        </w:trPr>
        <w:tc>
          <w:tcPr>
            <w:tcW w:w="2425" w:type="dxa"/>
          </w:tcPr>
          <w:p w14:paraId="0D8AEE29" w14:textId="77777777" w:rsidR="00F562C9" w:rsidRPr="006F101A" w:rsidRDefault="00F562C9" w:rsidP="00F562C9">
            <w:pPr>
              <w:pStyle w:val="NoSpacing"/>
            </w:pPr>
            <w:r w:rsidRPr="006F101A">
              <w:t>Sleep disorder</w:t>
            </w:r>
          </w:p>
        </w:tc>
        <w:tc>
          <w:tcPr>
            <w:tcW w:w="989" w:type="dxa"/>
          </w:tcPr>
          <w:p w14:paraId="25DF5DCF" w14:textId="77777777" w:rsidR="00F562C9" w:rsidRPr="006F101A" w:rsidRDefault="00F562C9" w:rsidP="00F562C9">
            <w:pPr>
              <w:pStyle w:val="NoSpacing"/>
            </w:pPr>
            <w:r w:rsidRPr="006F101A">
              <w:t>0.071</w:t>
            </w:r>
          </w:p>
        </w:tc>
        <w:tc>
          <w:tcPr>
            <w:tcW w:w="0" w:type="auto"/>
          </w:tcPr>
          <w:p w14:paraId="051E898C" w14:textId="77777777" w:rsidR="00F562C9" w:rsidRPr="006F101A" w:rsidRDefault="00F562C9" w:rsidP="00F562C9">
            <w:pPr>
              <w:pStyle w:val="NoSpacing"/>
            </w:pPr>
            <w:r w:rsidRPr="006F101A">
              <w:t>0.258</w:t>
            </w:r>
          </w:p>
        </w:tc>
        <w:tc>
          <w:tcPr>
            <w:tcW w:w="0" w:type="auto"/>
          </w:tcPr>
          <w:p w14:paraId="7F8F6DF0" w14:textId="77777777" w:rsidR="00F562C9" w:rsidRPr="006F101A" w:rsidRDefault="00F562C9" w:rsidP="00F562C9">
            <w:pPr>
              <w:pStyle w:val="NoSpacing"/>
            </w:pPr>
            <w:r w:rsidRPr="006F101A">
              <w:t>0.083</w:t>
            </w:r>
          </w:p>
        </w:tc>
        <w:tc>
          <w:tcPr>
            <w:tcW w:w="0" w:type="auto"/>
          </w:tcPr>
          <w:p w14:paraId="3C79853A" w14:textId="77777777" w:rsidR="00F562C9" w:rsidRPr="006F101A" w:rsidRDefault="00F562C9" w:rsidP="00F562C9">
            <w:pPr>
              <w:pStyle w:val="NoSpacing"/>
            </w:pPr>
            <w:r w:rsidRPr="006F101A">
              <w:t>0.276</w:t>
            </w:r>
          </w:p>
        </w:tc>
        <w:tc>
          <w:tcPr>
            <w:tcW w:w="0" w:type="auto"/>
          </w:tcPr>
          <w:p w14:paraId="1CF8D16C" w14:textId="77777777" w:rsidR="00F562C9" w:rsidRPr="006F101A" w:rsidRDefault="00F562C9" w:rsidP="00F562C9">
            <w:pPr>
              <w:pStyle w:val="NoSpacing"/>
            </w:pPr>
            <w:r w:rsidRPr="006F101A">
              <w:t>−0.045</w:t>
            </w:r>
          </w:p>
        </w:tc>
        <w:tc>
          <w:tcPr>
            <w:tcW w:w="0" w:type="auto"/>
          </w:tcPr>
          <w:p w14:paraId="20E95320" w14:textId="77777777" w:rsidR="00F562C9" w:rsidRPr="006F101A" w:rsidRDefault="00F562C9" w:rsidP="00F562C9">
            <w:pPr>
              <w:pStyle w:val="NoSpacing"/>
            </w:pPr>
            <w:r w:rsidRPr="006F101A">
              <w:t>0.055</w:t>
            </w:r>
          </w:p>
        </w:tc>
        <w:tc>
          <w:tcPr>
            <w:tcW w:w="0" w:type="auto"/>
          </w:tcPr>
          <w:p w14:paraId="3226B2C4" w14:textId="77777777" w:rsidR="00F562C9" w:rsidRPr="006F101A" w:rsidRDefault="00F562C9" w:rsidP="00F562C9">
            <w:pPr>
              <w:pStyle w:val="NoSpacing"/>
            </w:pPr>
            <w:r w:rsidRPr="006F101A">
              <w:t>0.228</w:t>
            </w:r>
          </w:p>
        </w:tc>
        <w:tc>
          <w:tcPr>
            <w:tcW w:w="0" w:type="auto"/>
          </w:tcPr>
          <w:p w14:paraId="11A4CF44" w14:textId="77777777" w:rsidR="00F562C9" w:rsidRPr="006F101A" w:rsidRDefault="00F562C9" w:rsidP="00F562C9">
            <w:pPr>
              <w:pStyle w:val="NoSpacing"/>
            </w:pPr>
            <w:r w:rsidRPr="006F101A">
              <w:t>0.056</w:t>
            </w:r>
          </w:p>
        </w:tc>
        <w:tc>
          <w:tcPr>
            <w:tcW w:w="0" w:type="auto"/>
          </w:tcPr>
          <w:p w14:paraId="7AB010CF" w14:textId="77777777" w:rsidR="00F562C9" w:rsidRPr="006F101A" w:rsidRDefault="00F562C9" w:rsidP="00F562C9">
            <w:pPr>
              <w:pStyle w:val="NoSpacing"/>
            </w:pPr>
            <w:r w:rsidRPr="006F101A">
              <w:t>0.23</w:t>
            </w:r>
          </w:p>
        </w:tc>
        <w:tc>
          <w:tcPr>
            <w:tcW w:w="0" w:type="auto"/>
          </w:tcPr>
          <w:p w14:paraId="4F81BC60" w14:textId="77777777" w:rsidR="00F562C9" w:rsidRPr="006F101A" w:rsidRDefault="00F562C9" w:rsidP="00F562C9">
            <w:pPr>
              <w:pStyle w:val="NoSpacing"/>
            </w:pPr>
            <w:r w:rsidRPr="006F101A">
              <w:t>−0.005</w:t>
            </w:r>
          </w:p>
        </w:tc>
      </w:tr>
    </w:tbl>
    <w:p w14:paraId="28A9CD71" w14:textId="6EF6D4F9" w:rsidR="005463AB" w:rsidRDefault="000809CB" w:rsidP="000809CB">
      <w:pPr>
        <w:pStyle w:val="NoSpacing"/>
      </w:pPr>
      <w:r>
        <w:t xml:space="preserve"># = indicates no variability, </w:t>
      </w:r>
      <w:r>
        <w:rPr>
          <w:rFonts w:ascii="GillSansMTPro-MediumItalic" w:hAnsi="GillSansMTPro-MediumItalic" w:cs="GillSansMTPro-MediumItalic"/>
          <w:i/>
          <w:iCs/>
        </w:rPr>
        <w:t xml:space="preserve">SD </w:t>
      </w:r>
      <w:r>
        <w:t>= standard deviation.</w:t>
      </w:r>
    </w:p>
    <w:p w14:paraId="0C23C2D6" w14:textId="77777777" w:rsidR="000809CB" w:rsidRPr="005463AB" w:rsidRDefault="000809CB" w:rsidP="000809CB">
      <w:pPr>
        <w:pStyle w:val="NoSpacing"/>
        <w:rPr>
          <w:b/>
          <w:bCs/>
        </w:rPr>
      </w:pPr>
    </w:p>
    <w:p w14:paraId="4B228A9D" w14:textId="77777777" w:rsidR="00933605" w:rsidRDefault="00933605" w:rsidP="005463AB">
      <w:pPr>
        <w:sectPr w:rsidR="00933605" w:rsidSect="00B4365D">
          <w:pgSz w:w="15840" w:h="12240" w:orient="landscape"/>
          <w:pgMar w:top="1080" w:right="1080" w:bottom="1080" w:left="1080" w:header="720" w:footer="720" w:gutter="0"/>
          <w:cols w:space="720"/>
          <w:docGrid w:linePitch="360"/>
        </w:sectPr>
      </w:pPr>
    </w:p>
    <w:p w14:paraId="153B2053" w14:textId="65FCC635" w:rsidR="005463AB" w:rsidRPr="005463AB" w:rsidRDefault="005463AB" w:rsidP="005463AB">
      <w:r w:rsidRPr="00933605">
        <w:t>Table 4</w:t>
      </w:r>
      <w:r>
        <w:t> presents the results of the two regression models (weighted; doubly robust weighed) for each of the outcome measures. The models indicate non-significant but generally lower scores on both QTDS and CTM for the </w:t>
      </w:r>
      <w:proofErr w:type="spellStart"/>
      <w:r w:rsidRPr="4623802F">
        <w:rPr>
          <w:i/>
          <w:iCs/>
        </w:rPr>
        <w:t>e</w:t>
      </w:r>
      <w:r>
        <w:t>PED</w:t>
      </w:r>
      <w:proofErr w:type="spellEnd"/>
      <w:r>
        <w:t xml:space="preserve"> group, reason for hospitalization (medical or surgical), and condition 6—eating disorder. The adjusted standardized mean difference of 0.554–0.775 is considered moderate to even large effects (</w:t>
      </w:r>
      <w:r w:rsidRPr="00933605">
        <w:t>Kelley &amp; Preacher, 2012</w:t>
      </w:r>
      <w:r>
        <w:t>). The results indicate that exposure to the </w:t>
      </w:r>
      <w:proofErr w:type="spellStart"/>
      <w:r w:rsidRPr="4623802F">
        <w:rPr>
          <w:i/>
          <w:iCs/>
        </w:rPr>
        <w:t>e</w:t>
      </w:r>
      <w:r>
        <w:t>PED</w:t>
      </w:r>
      <w:proofErr w:type="spellEnd"/>
      <w:r>
        <w:t xml:space="preserve"> has the potential to negatively influence QDTS and CTM scores compared to the usual care/comparison group.</w:t>
      </w:r>
    </w:p>
    <w:p w14:paraId="6E0CDA7C" w14:textId="27B9175E" w:rsidR="004638F9" w:rsidRPr="004638F9" w:rsidRDefault="005463AB" w:rsidP="008F781A">
      <w:pPr>
        <w:spacing w:after="0"/>
      </w:pPr>
      <w:r w:rsidRPr="005463AB">
        <w:rPr>
          <w:b/>
          <w:bCs/>
        </w:rPr>
        <w:t>Table 4.</w:t>
      </w:r>
      <w:r w:rsidRPr="005463AB">
        <w:t> Group Effect Using Propensity Weighting.</w:t>
      </w:r>
    </w:p>
    <w:tbl>
      <w:tblPr>
        <w:tblStyle w:val="TableGrid"/>
        <w:tblW w:w="0" w:type="auto"/>
        <w:tblLook w:val="0000" w:firstRow="0" w:lastRow="0" w:firstColumn="0" w:lastColumn="0" w:noHBand="0" w:noVBand="0"/>
      </w:tblPr>
      <w:tblGrid>
        <w:gridCol w:w="1746"/>
        <w:gridCol w:w="2075"/>
        <w:gridCol w:w="2476"/>
        <w:gridCol w:w="2019"/>
        <w:gridCol w:w="1754"/>
      </w:tblGrid>
      <w:tr w:rsidR="004638F9" w:rsidRPr="004638F9" w14:paraId="2EA7DDA2" w14:textId="77777777" w:rsidTr="00703CC0">
        <w:trPr>
          <w:trHeight w:val="288"/>
        </w:trPr>
        <w:tc>
          <w:tcPr>
            <w:tcW w:w="0" w:type="auto"/>
          </w:tcPr>
          <w:p w14:paraId="2CC8A143" w14:textId="77777777" w:rsidR="004638F9" w:rsidRPr="004638F9" w:rsidRDefault="004638F9" w:rsidP="004638F9">
            <w:pPr>
              <w:spacing w:line="259" w:lineRule="auto"/>
            </w:pPr>
            <w:r w:rsidRPr="004638F9">
              <w:t>Variable</w:t>
            </w:r>
          </w:p>
        </w:tc>
        <w:tc>
          <w:tcPr>
            <w:tcW w:w="0" w:type="auto"/>
          </w:tcPr>
          <w:p w14:paraId="27DF5857" w14:textId="77777777" w:rsidR="004638F9" w:rsidRPr="004638F9" w:rsidRDefault="004638F9" w:rsidP="004638F9">
            <w:pPr>
              <w:spacing w:line="259" w:lineRule="auto"/>
            </w:pPr>
            <w:r w:rsidRPr="004638F9">
              <w:t>Model 1: QDTS Weighted</w:t>
            </w:r>
          </w:p>
        </w:tc>
        <w:tc>
          <w:tcPr>
            <w:tcW w:w="0" w:type="auto"/>
          </w:tcPr>
          <w:p w14:paraId="3E4CC2A5" w14:textId="77777777" w:rsidR="004638F9" w:rsidRPr="004638F9" w:rsidRDefault="004638F9" w:rsidP="004638F9">
            <w:pPr>
              <w:spacing w:line="259" w:lineRule="auto"/>
            </w:pPr>
            <w:r w:rsidRPr="004638F9">
              <w:t>Model 2a: QDTS Doubly Robust</w:t>
            </w:r>
          </w:p>
        </w:tc>
        <w:tc>
          <w:tcPr>
            <w:tcW w:w="0" w:type="auto"/>
          </w:tcPr>
          <w:p w14:paraId="21D400E5" w14:textId="77777777" w:rsidR="004638F9" w:rsidRPr="004638F9" w:rsidRDefault="004638F9" w:rsidP="004638F9">
            <w:pPr>
              <w:spacing w:line="259" w:lineRule="auto"/>
            </w:pPr>
            <w:r w:rsidRPr="004638F9">
              <w:t>Model 3 CTM: Weighted</w:t>
            </w:r>
          </w:p>
        </w:tc>
        <w:tc>
          <w:tcPr>
            <w:tcW w:w="0" w:type="auto"/>
          </w:tcPr>
          <w:p w14:paraId="5D331992" w14:textId="77777777" w:rsidR="004638F9" w:rsidRPr="004638F9" w:rsidRDefault="004638F9" w:rsidP="004638F9">
            <w:pPr>
              <w:spacing w:line="259" w:lineRule="auto"/>
            </w:pPr>
            <w:r w:rsidRPr="004638F9">
              <w:t>Model 4a</w:t>
            </w:r>
          </w:p>
          <w:p w14:paraId="0C68E1B7" w14:textId="77777777" w:rsidR="004638F9" w:rsidRPr="004638F9" w:rsidRDefault="004638F9" w:rsidP="004638F9">
            <w:pPr>
              <w:spacing w:line="259" w:lineRule="auto"/>
            </w:pPr>
            <w:r w:rsidRPr="004638F9">
              <w:t>CTM: Doubly Robust</w:t>
            </w:r>
          </w:p>
        </w:tc>
      </w:tr>
      <w:tr w:rsidR="004638F9" w:rsidRPr="004638F9" w14:paraId="7F5B0DF7" w14:textId="77777777" w:rsidTr="004638F9">
        <w:trPr>
          <w:trHeight w:val="282"/>
        </w:trPr>
        <w:tc>
          <w:tcPr>
            <w:tcW w:w="0" w:type="auto"/>
          </w:tcPr>
          <w:p w14:paraId="78EE5382" w14:textId="77777777" w:rsidR="004638F9" w:rsidRPr="004638F9" w:rsidRDefault="004638F9" w:rsidP="004638F9">
            <w:pPr>
              <w:spacing w:line="259" w:lineRule="auto"/>
            </w:pPr>
          </w:p>
        </w:tc>
        <w:tc>
          <w:tcPr>
            <w:tcW w:w="0" w:type="auto"/>
          </w:tcPr>
          <w:p w14:paraId="6A06A340" w14:textId="77777777" w:rsidR="004638F9" w:rsidRPr="004638F9" w:rsidRDefault="004638F9" w:rsidP="004638F9">
            <w:pPr>
              <w:spacing w:line="259" w:lineRule="auto"/>
            </w:pPr>
            <w:r w:rsidRPr="004638F9">
              <w:t>b/se</w:t>
            </w:r>
          </w:p>
        </w:tc>
        <w:tc>
          <w:tcPr>
            <w:tcW w:w="0" w:type="auto"/>
          </w:tcPr>
          <w:p w14:paraId="1BB1C65D" w14:textId="77777777" w:rsidR="004638F9" w:rsidRPr="004638F9" w:rsidRDefault="004638F9" w:rsidP="004638F9">
            <w:pPr>
              <w:spacing w:line="259" w:lineRule="auto"/>
            </w:pPr>
            <w:r w:rsidRPr="004638F9">
              <w:t>b/se</w:t>
            </w:r>
          </w:p>
        </w:tc>
        <w:tc>
          <w:tcPr>
            <w:tcW w:w="0" w:type="auto"/>
          </w:tcPr>
          <w:p w14:paraId="0E1397C8" w14:textId="77777777" w:rsidR="004638F9" w:rsidRPr="004638F9" w:rsidRDefault="004638F9" w:rsidP="004638F9">
            <w:pPr>
              <w:spacing w:line="259" w:lineRule="auto"/>
            </w:pPr>
            <w:r w:rsidRPr="004638F9">
              <w:t>b/se</w:t>
            </w:r>
          </w:p>
        </w:tc>
        <w:tc>
          <w:tcPr>
            <w:tcW w:w="0" w:type="auto"/>
          </w:tcPr>
          <w:p w14:paraId="20B29DC3" w14:textId="77777777" w:rsidR="004638F9" w:rsidRPr="004638F9" w:rsidRDefault="004638F9" w:rsidP="004638F9">
            <w:pPr>
              <w:spacing w:line="259" w:lineRule="auto"/>
            </w:pPr>
            <w:r w:rsidRPr="004638F9">
              <w:t>b/se</w:t>
            </w:r>
          </w:p>
        </w:tc>
      </w:tr>
      <w:tr w:rsidR="004638F9" w:rsidRPr="004638F9" w14:paraId="7B8C6514" w14:textId="77777777" w:rsidTr="00703CC0">
        <w:trPr>
          <w:trHeight w:val="288"/>
        </w:trPr>
        <w:tc>
          <w:tcPr>
            <w:tcW w:w="0" w:type="auto"/>
          </w:tcPr>
          <w:p w14:paraId="6333AB8C" w14:textId="77777777" w:rsidR="004638F9" w:rsidRPr="004638F9" w:rsidRDefault="004638F9" w:rsidP="004638F9">
            <w:pPr>
              <w:spacing w:line="259" w:lineRule="auto"/>
            </w:pPr>
            <w:proofErr w:type="spellStart"/>
            <w:r w:rsidRPr="004638F9">
              <w:rPr>
                <w:i/>
                <w:iCs/>
              </w:rPr>
              <w:t>e</w:t>
            </w:r>
            <w:r w:rsidRPr="004638F9">
              <w:t>PED</w:t>
            </w:r>
            <w:proofErr w:type="spellEnd"/>
          </w:p>
        </w:tc>
        <w:tc>
          <w:tcPr>
            <w:tcW w:w="0" w:type="auto"/>
          </w:tcPr>
          <w:p w14:paraId="1D7440C4" w14:textId="4E168E03" w:rsidR="004638F9" w:rsidRPr="004638F9" w:rsidRDefault="004638F9" w:rsidP="00703CC0">
            <w:pPr>
              <w:spacing w:line="259" w:lineRule="auto"/>
            </w:pPr>
            <w:r w:rsidRPr="004638F9">
              <w:t>−1.515</w:t>
            </w:r>
            <w:r w:rsidR="00703CC0">
              <w:t xml:space="preserve"> </w:t>
            </w:r>
            <w:r w:rsidRPr="004638F9">
              <w:t>(0.93)</w:t>
            </w:r>
          </w:p>
        </w:tc>
        <w:tc>
          <w:tcPr>
            <w:tcW w:w="0" w:type="auto"/>
          </w:tcPr>
          <w:p w14:paraId="6D7ED96A" w14:textId="31E63F7C" w:rsidR="004638F9" w:rsidRPr="004638F9" w:rsidRDefault="004638F9" w:rsidP="00703CC0">
            <w:pPr>
              <w:spacing w:line="259" w:lineRule="auto"/>
            </w:pPr>
            <w:r w:rsidRPr="004638F9">
              <w:t>−1.67</w:t>
            </w:r>
            <w:r w:rsidR="00703CC0">
              <w:t xml:space="preserve"> </w:t>
            </w:r>
            <w:r w:rsidRPr="004638F9">
              <w:t>(1.20)</w:t>
            </w:r>
          </w:p>
        </w:tc>
        <w:tc>
          <w:tcPr>
            <w:tcW w:w="0" w:type="auto"/>
          </w:tcPr>
          <w:p w14:paraId="3F25CABC" w14:textId="0FAF1315" w:rsidR="004638F9" w:rsidRPr="004638F9" w:rsidRDefault="004638F9" w:rsidP="00703CC0">
            <w:pPr>
              <w:spacing w:line="259" w:lineRule="auto"/>
            </w:pPr>
            <w:r w:rsidRPr="004638F9">
              <w:t>−0.480</w:t>
            </w:r>
            <w:r w:rsidR="00703CC0">
              <w:t xml:space="preserve"> </w:t>
            </w:r>
            <w:r w:rsidRPr="004638F9">
              <w:t>(0.34)</w:t>
            </w:r>
          </w:p>
        </w:tc>
        <w:tc>
          <w:tcPr>
            <w:tcW w:w="0" w:type="auto"/>
          </w:tcPr>
          <w:p w14:paraId="3E3B1473" w14:textId="195B7BDF" w:rsidR="004638F9" w:rsidRPr="004638F9" w:rsidRDefault="004638F9" w:rsidP="00703CC0">
            <w:pPr>
              <w:spacing w:line="259" w:lineRule="auto"/>
            </w:pPr>
            <w:r w:rsidRPr="004638F9">
              <w:t>−0.499</w:t>
            </w:r>
            <w:r w:rsidR="00703CC0">
              <w:t xml:space="preserve"> </w:t>
            </w:r>
            <w:r w:rsidRPr="004638F9">
              <w:t>(0.43)</w:t>
            </w:r>
          </w:p>
        </w:tc>
      </w:tr>
      <w:tr w:rsidR="004638F9" w:rsidRPr="004638F9" w14:paraId="5275D7AD" w14:textId="77777777" w:rsidTr="00703CC0">
        <w:trPr>
          <w:trHeight w:val="288"/>
        </w:trPr>
        <w:tc>
          <w:tcPr>
            <w:tcW w:w="0" w:type="auto"/>
          </w:tcPr>
          <w:p w14:paraId="540EA048" w14:textId="77777777" w:rsidR="004638F9" w:rsidRPr="004638F9" w:rsidRDefault="004638F9" w:rsidP="004638F9">
            <w:pPr>
              <w:spacing w:line="259" w:lineRule="auto"/>
            </w:pPr>
            <w:r w:rsidRPr="004638F9">
              <w:t>Surgical vs. medical</w:t>
            </w:r>
          </w:p>
        </w:tc>
        <w:tc>
          <w:tcPr>
            <w:tcW w:w="0" w:type="auto"/>
          </w:tcPr>
          <w:p w14:paraId="5027D946" w14:textId="77777777" w:rsidR="004638F9" w:rsidRPr="004638F9" w:rsidRDefault="004638F9" w:rsidP="004638F9">
            <w:pPr>
              <w:spacing w:line="259" w:lineRule="auto"/>
            </w:pPr>
          </w:p>
        </w:tc>
        <w:tc>
          <w:tcPr>
            <w:tcW w:w="0" w:type="auto"/>
          </w:tcPr>
          <w:p w14:paraId="23C73A95" w14:textId="77777777" w:rsidR="004638F9" w:rsidRPr="004638F9" w:rsidRDefault="004638F9" w:rsidP="004638F9">
            <w:pPr>
              <w:spacing w:line="259" w:lineRule="auto"/>
            </w:pPr>
            <w:r w:rsidRPr="004638F9">
              <w:t>0.656</w:t>
            </w:r>
          </w:p>
        </w:tc>
        <w:tc>
          <w:tcPr>
            <w:tcW w:w="0" w:type="auto"/>
          </w:tcPr>
          <w:p w14:paraId="2D1F2C0A" w14:textId="77777777" w:rsidR="004638F9" w:rsidRPr="004638F9" w:rsidRDefault="004638F9" w:rsidP="004638F9">
            <w:pPr>
              <w:spacing w:line="259" w:lineRule="auto"/>
            </w:pPr>
          </w:p>
        </w:tc>
        <w:tc>
          <w:tcPr>
            <w:tcW w:w="0" w:type="auto"/>
          </w:tcPr>
          <w:p w14:paraId="1FE9412B" w14:textId="77777777" w:rsidR="004638F9" w:rsidRPr="004638F9" w:rsidRDefault="004638F9" w:rsidP="004638F9">
            <w:pPr>
              <w:spacing w:line="259" w:lineRule="auto"/>
            </w:pPr>
            <w:r w:rsidRPr="004638F9">
              <w:t>0.103</w:t>
            </w:r>
          </w:p>
        </w:tc>
      </w:tr>
      <w:tr w:rsidR="004638F9" w:rsidRPr="004638F9" w14:paraId="215C7953" w14:textId="77777777" w:rsidTr="00703CC0">
        <w:trPr>
          <w:trHeight w:val="288"/>
        </w:trPr>
        <w:tc>
          <w:tcPr>
            <w:tcW w:w="0" w:type="auto"/>
          </w:tcPr>
          <w:p w14:paraId="0DDFE583" w14:textId="77777777" w:rsidR="004638F9" w:rsidRPr="004638F9" w:rsidRDefault="004638F9" w:rsidP="004638F9">
            <w:pPr>
              <w:spacing w:line="259" w:lineRule="auto"/>
            </w:pPr>
          </w:p>
        </w:tc>
        <w:tc>
          <w:tcPr>
            <w:tcW w:w="0" w:type="auto"/>
          </w:tcPr>
          <w:p w14:paraId="61748803" w14:textId="77777777" w:rsidR="004638F9" w:rsidRPr="004638F9" w:rsidRDefault="004638F9" w:rsidP="004638F9">
            <w:pPr>
              <w:spacing w:line="259" w:lineRule="auto"/>
            </w:pPr>
          </w:p>
        </w:tc>
        <w:tc>
          <w:tcPr>
            <w:tcW w:w="0" w:type="auto"/>
          </w:tcPr>
          <w:p w14:paraId="4E92C87C" w14:textId="77777777" w:rsidR="004638F9" w:rsidRPr="004638F9" w:rsidRDefault="004638F9" w:rsidP="004638F9">
            <w:pPr>
              <w:spacing w:line="259" w:lineRule="auto"/>
            </w:pPr>
            <w:r w:rsidRPr="004638F9">
              <w:t>(1.24)</w:t>
            </w:r>
          </w:p>
        </w:tc>
        <w:tc>
          <w:tcPr>
            <w:tcW w:w="0" w:type="auto"/>
          </w:tcPr>
          <w:p w14:paraId="70221E60" w14:textId="77777777" w:rsidR="004638F9" w:rsidRPr="004638F9" w:rsidRDefault="004638F9" w:rsidP="004638F9">
            <w:pPr>
              <w:spacing w:line="259" w:lineRule="auto"/>
            </w:pPr>
          </w:p>
        </w:tc>
        <w:tc>
          <w:tcPr>
            <w:tcW w:w="0" w:type="auto"/>
          </w:tcPr>
          <w:p w14:paraId="67F44734" w14:textId="77777777" w:rsidR="004638F9" w:rsidRPr="004638F9" w:rsidRDefault="004638F9" w:rsidP="004638F9">
            <w:pPr>
              <w:spacing w:line="259" w:lineRule="auto"/>
            </w:pPr>
            <w:r w:rsidRPr="004638F9">
              <w:t>(0.44)</w:t>
            </w:r>
          </w:p>
        </w:tc>
      </w:tr>
      <w:tr w:rsidR="004638F9" w:rsidRPr="004638F9" w14:paraId="14BBAF60" w14:textId="77777777" w:rsidTr="00703CC0">
        <w:trPr>
          <w:trHeight w:val="288"/>
        </w:trPr>
        <w:tc>
          <w:tcPr>
            <w:tcW w:w="0" w:type="auto"/>
          </w:tcPr>
          <w:p w14:paraId="73A71A0D" w14:textId="77777777" w:rsidR="004638F9" w:rsidRPr="004638F9" w:rsidRDefault="004638F9" w:rsidP="004638F9">
            <w:pPr>
              <w:spacing w:line="259" w:lineRule="auto"/>
            </w:pPr>
            <w:r w:rsidRPr="004638F9">
              <w:t>Eating disorder</w:t>
            </w:r>
          </w:p>
        </w:tc>
        <w:tc>
          <w:tcPr>
            <w:tcW w:w="0" w:type="auto"/>
          </w:tcPr>
          <w:p w14:paraId="6C9F47B3" w14:textId="77777777" w:rsidR="004638F9" w:rsidRPr="004638F9" w:rsidRDefault="004638F9" w:rsidP="004638F9">
            <w:pPr>
              <w:spacing w:line="259" w:lineRule="auto"/>
            </w:pPr>
          </w:p>
        </w:tc>
        <w:tc>
          <w:tcPr>
            <w:tcW w:w="0" w:type="auto"/>
          </w:tcPr>
          <w:p w14:paraId="358E9C48" w14:textId="77777777" w:rsidR="004638F9" w:rsidRPr="004638F9" w:rsidRDefault="004638F9" w:rsidP="004638F9">
            <w:pPr>
              <w:spacing w:line="259" w:lineRule="auto"/>
            </w:pPr>
            <w:r w:rsidRPr="004638F9">
              <w:t>−0.085</w:t>
            </w:r>
          </w:p>
        </w:tc>
        <w:tc>
          <w:tcPr>
            <w:tcW w:w="0" w:type="auto"/>
          </w:tcPr>
          <w:p w14:paraId="3B0E528B" w14:textId="77777777" w:rsidR="004638F9" w:rsidRPr="004638F9" w:rsidRDefault="004638F9" w:rsidP="004638F9">
            <w:pPr>
              <w:spacing w:line="259" w:lineRule="auto"/>
            </w:pPr>
          </w:p>
        </w:tc>
        <w:tc>
          <w:tcPr>
            <w:tcW w:w="0" w:type="auto"/>
          </w:tcPr>
          <w:p w14:paraId="2F8176EA" w14:textId="77777777" w:rsidR="004638F9" w:rsidRPr="004638F9" w:rsidRDefault="004638F9" w:rsidP="004638F9">
            <w:pPr>
              <w:spacing w:line="259" w:lineRule="auto"/>
            </w:pPr>
            <w:r w:rsidRPr="004638F9">
              <w:t>0.025</w:t>
            </w:r>
          </w:p>
        </w:tc>
      </w:tr>
      <w:tr w:rsidR="004638F9" w:rsidRPr="004638F9" w14:paraId="15D41121" w14:textId="77777777" w:rsidTr="00703CC0">
        <w:trPr>
          <w:trHeight w:val="288"/>
        </w:trPr>
        <w:tc>
          <w:tcPr>
            <w:tcW w:w="0" w:type="auto"/>
          </w:tcPr>
          <w:p w14:paraId="7F43AA79" w14:textId="77777777" w:rsidR="004638F9" w:rsidRPr="004638F9" w:rsidRDefault="004638F9" w:rsidP="004638F9">
            <w:pPr>
              <w:spacing w:line="259" w:lineRule="auto"/>
            </w:pPr>
          </w:p>
        </w:tc>
        <w:tc>
          <w:tcPr>
            <w:tcW w:w="0" w:type="auto"/>
          </w:tcPr>
          <w:p w14:paraId="61EFD16D" w14:textId="77777777" w:rsidR="004638F9" w:rsidRPr="004638F9" w:rsidRDefault="004638F9" w:rsidP="004638F9">
            <w:pPr>
              <w:spacing w:line="259" w:lineRule="auto"/>
            </w:pPr>
          </w:p>
        </w:tc>
        <w:tc>
          <w:tcPr>
            <w:tcW w:w="0" w:type="auto"/>
          </w:tcPr>
          <w:p w14:paraId="48422AF9" w14:textId="77777777" w:rsidR="004638F9" w:rsidRPr="004638F9" w:rsidRDefault="004638F9" w:rsidP="004638F9">
            <w:pPr>
              <w:spacing w:line="259" w:lineRule="auto"/>
            </w:pPr>
            <w:r w:rsidRPr="004638F9">
              <w:t>(0.83)</w:t>
            </w:r>
          </w:p>
        </w:tc>
        <w:tc>
          <w:tcPr>
            <w:tcW w:w="0" w:type="auto"/>
          </w:tcPr>
          <w:p w14:paraId="2D776D46" w14:textId="77777777" w:rsidR="004638F9" w:rsidRPr="004638F9" w:rsidRDefault="004638F9" w:rsidP="004638F9">
            <w:pPr>
              <w:spacing w:line="259" w:lineRule="auto"/>
            </w:pPr>
          </w:p>
        </w:tc>
        <w:tc>
          <w:tcPr>
            <w:tcW w:w="0" w:type="auto"/>
          </w:tcPr>
          <w:p w14:paraId="59A7CF99" w14:textId="77777777" w:rsidR="004638F9" w:rsidRPr="004638F9" w:rsidRDefault="004638F9" w:rsidP="004638F9">
            <w:pPr>
              <w:spacing w:line="259" w:lineRule="auto"/>
            </w:pPr>
            <w:r w:rsidRPr="004638F9">
              <w:t>(0.27)</w:t>
            </w:r>
          </w:p>
        </w:tc>
      </w:tr>
      <w:tr w:rsidR="004638F9" w:rsidRPr="004638F9" w14:paraId="4EF0157C" w14:textId="77777777" w:rsidTr="00703CC0">
        <w:trPr>
          <w:trHeight w:val="288"/>
        </w:trPr>
        <w:tc>
          <w:tcPr>
            <w:tcW w:w="0" w:type="auto"/>
          </w:tcPr>
          <w:p w14:paraId="03A1CBB9" w14:textId="77777777" w:rsidR="004638F9" w:rsidRPr="004638F9" w:rsidRDefault="004638F9" w:rsidP="004638F9">
            <w:pPr>
              <w:spacing w:line="259" w:lineRule="auto"/>
            </w:pPr>
            <w:r w:rsidRPr="004638F9">
              <w:t>Constant</w:t>
            </w:r>
          </w:p>
        </w:tc>
        <w:tc>
          <w:tcPr>
            <w:tcW w:w="0" w:type="auto"/>
          </w:tcPr>
          <w:p w14:paraId="71113C8A" w14:textId="77777777" w:rsidR="004638F9" w:rsidRPr="004638F9" w:rsidRDefault="004638F9" w:rsidP="004638F9">
            <w:pPr>
              <w:spacing w:line="259" w:lineRule="auto"/>
            </w:pPr>
            <w:r w:rsidRPr="004638F9">
              <w:t>9.655*** (0.14)</w:t>
            </w:r>
          </w:p>
        </w:tc>
        <w:tc>
          <w:tcPr>
            <w:tcW w:w="0" w:type="auto"/>
          </w:tcPr>
          <w:p w14:paraId="3D4C6D26" w14:textId="77777777" w:rsidR="004638F9" w:rsidRPr="004638F9" w:rsidRDefault="004638F9" w:rsidP="004638F9">
            <w:pPr>
              <w:spacing w:line="259" w:lineRule="auto"/>
            </w:pPr>
            <w:r w:rsidRPr="004638F9">
              <w:t>9.422**** (0.42)</w:t>
            </w:r>
          </w:p>
        </w:tc>
        <w:tc>
          <w:tcPr>
            <w:tcW w:w="0" w:type="auto"/>
          </w:tcPr>
          <w:p w14:paraId="38041DC0" w14:textId="77777777" w:rsidR="004638F9" w:rsidRPr="004638F9" w:rsidRDefault="004638F9" w:rsidP="004638F9">
            <w:pPr>
              <w:spacing w:line="259" w:lineRule="auto"/>
            </w:pPr>
            <w:r w:rsidRPr="004638F9">
              <w:t>2.951*** (0.10)</w:t>
            </w:r>
          </w:p>
        </w:tc>
        <w:tc>
          <w:tcPr>
            <w:tcW w:w="0" w:type="auto"/>
          </w:tcPr>
          <w:p w14:paraId="10F62B84" w14:textId="77777777" w:rsidR="004638F9" w:rsidRPr="004638F9" w:rsidRDefault="004638F9" w:rsidP="004638F9">
            <w:pPr>
              <w:spacing w:line="259" w:lineRule="auto"/>
            </w:pPr>
            <w:r w:rsidRPr="004638F9">
              <w:t>2.905*** (0.19)</w:t>
            </w:r>
          </w:p>
        </w:tc>
      </w:tr>
      <w:tr w:rsidR="004638F9" w:rsidRPr="004638F9" w14:paraId="21D7C300" w14:textId="77777777" w:rsidTr="00703CC0">
        <w:trPr>
          <w:trHeight w:val="288"/>
        </w:trPr>
        <w:tc>
          <w:tcPr>
            <w:tcW w:w="0" w:type="auto"/>
          </w:tcPr>
          <w:p w14:paraId="6B75082A" w14:textId="77777777" w:rsidR="004638F9" w:rsidRPr="004638F9" w:rsidRDefault="004638F9" w:rsidP="004638F9">
            <w:pPr>
              <w:spacing w:line="259" w:lineRule="auto"/>
            </w:pPr>
            <w:r w:rsidRPr="004638F9">
              <w:t>R-square</w:t>
            </w:r>
          </w:p>
        </w:tc>
        <w:tc>
          <w:tcPr>
            <w:tcW w:w="0" w:type="auto"/>
          </w:tcPr>
          <w:p w14:paraId="03C73676" w14:textId="77777777" w:rsidR="004638F9" w:rsidRPr="004638F9" w:rsidRDefault="004638F9" w:rsidP="004638F9">
            <w:pPr>
              <w:spacing w:line="259" w:lineRule="auto"/>
            </w:pPr>
            <w:r w:rsidRPr="004638F9">
              <w:t>0.103</w:t>
            </w:r>
          </w:p>
        </w:tc>
        <w:tc>
          <w:tcPr>
            <w:tcW w:w="0" w:type="auto"/>
          </w:tcPr>
          <w:p w14:paraId="0C810272" w14:textId="77777777" w:rsidR="004638F9" w:rsidRPr="004638F9" w:rsidRDefault="004638F9" w:rsidP="004638F9">
            <w:pPr>
              <w:spacing w:line="259" w:lineRule="auto"/>
            </w:pPr>
            <w:r w:rsidRPr="004638F9">
              <w:t>0.120</w:t>
            </w:r>
          </w:p>
        </w:tc>
        <w:tc>
          <w:tcPr>
            <w:tcW w:w="0" w:type="auto"/>
          </w:tcPr>
          <w:p w14:paraId="4C477E05" w14:textId="77777777" w:rsidR="004638F9" w:rsidRPr="004638F9" w:rsidRDefault="004638F9" w:rsidP="004638F9">
            <w:pPr>
              <w:spacing w:line="259" w:lineRule="auto"/>
            </w:pPr>
            <w:r w:rsidRPr="004638F9">
              <w:t>0.081</w:t>
            </w:r>
          </w:p>
        </w:tc>
        <w:tc>
          <w:tcPr>
            <w:tcW w:w="0" w:type="auto"/>
          </w:tcPr>
          <w:p w14:paraId="6DBA5EE7" w14:textId="77777777" w:rsidR="004638F9" w:rsidRPr="004638F9" w:rsidRDefault="004638F9" w:rsidP="004638F9">
            <w:pPr>
              <w:spacing w:line="259" w:lineRule="auto"/>
            </w:pPr>
            <w:r w:rsidRPr="004638F9">
              <w:t>0.083</w:t>
            </w:r>
          </w:p>
        </w:tc>
      </w:tr>
      <w:tr w:rsidR="004638F9" w:rsidRPr="004638F9" w14:paraId="31C07D1B" w14:textId="77777777" w:rsidTr="00703CC0">
        <w:trPr>
          <w:trHeight w:val="288"/>
        </w:trPr>
        <w:tc>
          <w:tcPr>
            <w:tcW w:w="0" w:type="auto"/>
          </w:tcPr>
          <w:p w14:paraId="6D608CDF" w14:textId="77777777" w:rsidR="004638F9" w:rsidRPr="004638F9" w:rsidRDefault="004638F9" w:rsidP="004638F9">
            <w:pPr>
              <w:spacing w:line="259" w:lineRule="auto"/>
            </w:pPr>
            <w:r w:rsidRPr="004638F9">
              <w:t>Degrees of freedom</w:t>
            </w:r>
          </w:p>
        </w:tc>
        <w:tc>
          <w:tcPr>
            <w:tcW w:w="0" w:type="auto"/>
          </w:tcPr>
          <w:p w14:paraId="2C0937DB" w14:textId="77777777" w:rsidR="004638F9" w:rsidRPr="004638F9" w:rsidRDefault="004638F9" w:rsidP="004638F9">
            <w:pPr>
              <w:spacing w:line="259" w:lineRule="auto"/>
            </w:pPr>
            <w:r w:rsidRPr="004638F9">
              <w:t>23</w:t>
            </w:r>
          </w:p>
        </w:tc>
        <w:tc>
          <w:tcPr>
            <w:tcW w:w="0" w:type="auto"/>
          </w:tcPr>
          <w:p w14:paraId="78B09550" w14:textId="77777777" w:rsidR="004638F9" w:rsidRPr="004638F9" w:rsidRDefault="004638F9" w:rsidP="004638F9">
            <w:pPr>
              <w:spacing w:line="259" w:lineRule="auto"/>
            </w:pPr>
            <w:r w:rsidRPr="004638F9">
              <w:t>21</w:t>
            </w:r>
          </w:p>
        </w:tc>
        <w:tc>
          <w:tcPr>
            <w:tcW w:w="0" w:type="auto"/>
          </w:tcPr>
          <w:p w14:paraId="295D0637" w14:textId="77777777" w:rsidR="004638F9" w:rsidRPr="004638F9" w:rsidRDefault="004638F9" w:rsidP="004638F9">
            <w:pPr>
              <w:spacing w:line="259" w:lineRule="auto"/>
            </w:pPr>
            <w:r w:rsidRPr="004638F9">
              <w:t>23</w:t>
            </w:r>
          </w:p>
        </w:tc>
        <w:tc>
          <w:tcPr>
            <w:tcW w:w="0" w:type="auto"/>
          </w:tcPr>
          <w:p w14:paraId="70C43209" w14:textId="77777777" w:rsidR="004638F9" w:rsidRPr="004638F9" w:rsidRDefault="004638F9" w:rsidP="004638F9">
            <w:pPr>
              <w:spacing w:line="259" w:lineRule="auto"/>
            </w:pPr>
            <w:r w:rsidRPr="004638F9">
              <w:t>21</w:t>
            </w:r>
          </w:p>
        </w:tc>
      </w:tr>
      <w:tr w:rsidR="004638F9" w:rsidRPr="004638F9" w14:paraId="5F37FEBD" w14:textId="77777777" w:rsidTr="00703CC0">
        <w:trPr>
          <w:trHeight w:val="288"/>
        </w:trPr>
        <w:tc>
          <w:tcPr>
            <w:tcW w:w="0" w:type="auto"/>
          </w:tcPr>
          <w:p w14:paraId="408C35C6" w14:textId="77777777" w:rsidR="004638F9" w:rsidRPr="004638F9" w:rsidRDefault="004638F9" w:rsidP="004638F9">
            <w:pPr>
              <w:spacing w:line="259" w:lineRule="auto"/>
            </w:pPr>
            <w:r w:rsidRPr="004638F9">
              <w:t>BIC</w:t>
            </w:r>
          </w:p>
        </w:tc>
        <w:tc>
          <w:tcPr>
            <w:tcW w:w="0" w:type="auto"/>
          </w:tcPr>
          <w:p w14:paraId="5DF7B2E9" w14:textId="77777777" w:rsidR="004638F9" w:rsidRPr="004638F9" w:rsidRDefault="004638F9" w:rsidP="004638F9">
            <w:pPr>
              <w:spacing w:line="259" w:lineRule="auto"/>
            </w:pPr>
            <w:r w:rsidRPr="004638F9">
              <w:t>117.7</w:t>
            </w:r>
          </w:p>
        </w:tc>
        <w:tc>
          <w:tcPr>
            <w:tcW w:w="0" w:type="auto"/>
          </w:tcPr>
          <w:p w14:paraId="02978784" w14:textId="77777777" w:rsidR="004638F9" w:rsidRPr="004638F9" w:rsidRDefault="004638F9" w:rsidP="004638F9">
            <w:pPr>
              <w:spacing w:line="259" w:lineRule="auto"/>
            </w:pPr>
            <w:r w:rsidRPr="004638F9">
              <w:t>123.6</w:t>
            </w:r>
          </w:p>
        </w:tc>
        <w:tc>
          <w:tcPr>
            <w:tcW w:w="0" w:type="auto"/>
          </w:tcPr>
          <w:p w14:paraId="0A367187" w14:textId="77777777" w:rsidR="004638F9" w:rsidRPr="004638F9" w:rsidRDefault="004638F9" w:rsidP="004638F9">
            <w:pPr>
              <w:spacing w:line="259" w:lineRule="auto"/>
            </w:pPr>
            <w:r w:rsidRPr="004638F9">
              <w:t>66.8</w:t>
            </w:r>
          </w:p>
        </w:tc>
        <w:tc>
          <w:tcPr>
            <w:tcW w:w="0" w:type="auto"/>
          </w:tcPr>
          <w:p w14:paraId="65ADFFB7" w14:textId="77777777" w:rsidR="004638F9" w:rsidRPr="004638F9" w:rsidRDefault="004638F9" w:rsidP="004638F9">
            <w:pPr>
              <w:spacing w:line="259" w:lineRule="auto"/>
            </w:pPr>
            <w:r w:rsidRPr="004638F9">
              <w:t>73.1</w:t>
            </w:r>
          </w:p>
        </w:tc>
      </w:tr>
      <w:tr w:rsidR="004638F9" w:rsidRPr="004638F9" w14:paraId="6A8C28D3" w14:textId="77777777" w:rsidTr="00703CC0">
        <w:trPr>
          <w:trHeight w:val="288"/>
        </w:trPr>
        <w:tc>
          <w:tcPr>
            <w:tcW w:w="0" w:type="auto"/>
          </w:tcPr>
          <w:p w14:paraId="02347F77" w14:textId="77777777" w:rsidR="004638F9" w:rsidRPr="004638F9" w:rsidRDefault="004638F9" w:rsidP="004638F9">
            <w:pPr>
              <w:spacing w:line="259" w:lineRule="auto"/>
            </w:pPr>
            <w:r w:rsidRPr="004638F9">
              <w:t xml:space="preserve">Cohen’s </w:t>
            </w:r>
            <w:r w:rsidRPr="004638F9">
              <w:rPr>
                <w:i/>
                <w:iCs/>
              </w:rPr>
              <w:t xml:space="preserve">d </w:t>
            </w:r>
            <w:r w:rsidRPr="004638F9">
              <w:t>effect size</w:t>
            </w:r>
          </w:p>
        </w:tc>
        <w:tc>
          <w:tcPr>
            <w:tcW w:w="0" w:type="auto"/>
          </w:tcPr>
          <w:p w14:paraId="330AB3CD" w14:textId="77777777" w:rsidR="004638F9" w:rsidRPr="004638F9" w:rsidRDefault="004638F9" w:rsidP="004638F9">
            <w:pPr>
              <w:spacing w:line="259" w:lineRule="auto"/>
            </w:pPr>
            <w:r w:rsidRPr="004638F9">
              <w:t>0.775</w:t>
            </w:r>
          </w:p>
        </w:tc>
        <w:tc>
          <w:tcPr>
            <w:tcW w:w="0" w:type="auto"/>
          </w:tcPr>
          <w:p w14:paraId="3CA08276" w14:textId="77777777" w:rsidR="004638F9" w:rsidRPr="004638F9" w:rsidRDefault="004638F9" w:rsidP="004638F9">
            <w:pPr>
              <w:spacing w:line="259" w:lineRule="auto"/>
            </w:pPr>
            <w:r w:rsidRPr="004638F9">
              <w:t>0.691</w:t>
            </w:r>
          </w:p>
        </w:tc>
        <w:tc>
          <w:tcPr>
            <w:tcW w:w="0" w:type="auto"/>
          </w:tcPr>
          <w:p w14:paraId="74B9C22E" w14:textId="77777777" w:rsidR="004638F9" w:rsidRPr="004638F9" w:rsidRDefault="004638F9" w:rsidP="004638F9">
            <w:pPr>
              <w:spacing w:line="259" w:lineRule="auto"/>
            </w:pPr>
            <w:r w:rsidRPr="004638F9">
              <w:t>0.626</w:t>
            </w:r>
          </w:p>
        </w:tc>
        <w:tc>
          <w:tcPr>
            <w:tcW w:w="0" w:type="auto"/>
          </w:tcPr>
          <w:p w14:paraId="155B4C55" w14:textId="77777777" w:rsidR="004638F9" w:rsidRPr="004638F9" w:rsidRDefault="004638F9" w:rsidP="004638F9">
            <w:pPr>
              <w:spacing w:line="259" w:lineRule="auto"/>
            </w:pPr>
            <w:r w:rsidRPr="004638F9">
              <w:t>0.554</w:t>
            </w:r>
          </w:p>
        </w:tc>
      </w:tr>
    </w:tbl>
    <w:p w14:paraId="54CDEF5C" w14:textId="77777777" w:rsidR="00162E13" w:rsidRDefault="00162E13" w:rsidP="00162E13">
      <w:pPr>
        <w:pStyle w:val="NoSpacing"/>
      </w:pPr>
      <w:r>
        <w:rPr>
          <w:rFonts w:ascii="GillSansMTPro-MediumItalic" w:hAnsi="GillSansMTPro-MediumItalic" w:cs="GillSansMTPro-MediumItalic"/>
          <w:i/>
          <w:iCs/>
        </w:rPr>
        <w:t xml:space="preserve">p </w:t>
      </w:r>
      <w:r>
        <w:rPr>
          <w:rFonts w:ascii="MathematicalPiLTStd" w:hAnsi="MathematicalPiLTStd" w:cs="MathematicalPiLTStd"/>
        </w:rPr>
        <w:t xml:space="preserve">&lt; </w:t>
      </w:r>
      <w:r>
        <w:t>.05, **</w:t>
      </w:r>
      <w:r>
        <w:rPr>
          <w:rFonts w:ascii="GillSansMTPro-MediumItalic" w:hAnsi="GillSansMTPro-MediumItalic" w:cs="GillSansMTPro-MediumItalic"/>
          <w:i/>
          <w:iCs/>
        </w:rPr>
        <w:t xml:space="preserve">p </w:t>
      </w:r>
      <w:r>
        <w:rPr>
          <w:rFonts w:ascii="MathematicalPiLTStd" w:hAnsi="MathematicalPiLTStd" w:cs="MathematicalPiLTStd"/>
        </w:rPr>
        <w:t xml:space="preserve">&lt; </w:t>
      </w:r>
      <w:r>
        <w:t>.01 ***</w:t>
      </w:r>
      <w:r>
        <w:rPr>
          <w:rFonts w:ascii="GillSansMTPro-MediumItalic" w:hAnsi="GillSansMTPro-MediumItalic" w:cs="GillSansMTPro-MediumItalic"/>
          <w:i/>
          <w:iCs/>
        </w:rPr>
        <w:t xml:space="preserve">p </w:t>
      </w:r>
      <w:r>
        <w:rPr>
          <w:rFonts w:ascii="MathematicalPiLTStd" w:hAnsi="MathematicalPiLTStd" w:cs="MathematicalPiLTStd"/>
        </w:rPr>
        <w:t xml:space="preserve">&lt; </w:t>
      </w:r>
      <w:r>
        <w:t xml:space="preserve">.001; a </w:t>
      </w:r>
      <w:r>
        <w:rPr>
          <w:rFonts w:ascii="MathematicalPiLTStd" w:hAnsi="MathematicalPiLTStd" w:cs="MathematicalPiLTStd"/>
        </w:rPr>
        <w:t xml:space="preserve">= </w:t>
      </w:r>
      <w:r>
        <w:t>group effect with doubly robust propensity.</w:t>
      </w:r>
    </w:p>
    <w:p w14:paraId="7BB3538E" w14:textId="7B646E77" w:rsidR="005463AB" w:rsidRPr="005463AB" w:rsidRDefault="00162E13" w:rsidP="00162E13">
      <w:pPr>
        <w:pStyle w:val="NoSpacing"/>
      </w:pPr>
      <w:r>
        <w:t>BIC = Bayesian Information criterion.</w:t>
      </w:r>
    </w:p>
    <w:p w14:paraId="7E530C17" w14:textId="77777777" w:rsidR="005463AB" w:rsidRPr="005463AB" w:rsidRDefault="005463AB" w:rsidP="4623802F">
      <w:pPr>
        <w:pStyle w:val="Heading1"/>
        <w:rPr>
          <w:rFonts w:ascii="Calibri" w:eastAsia="Meiryo" w:hAnsi="Calibri" w:cs="Arial"/>
        </w:rPr>
      </w:pPr>
      <w:bookmarkStart w:id="6" w:name="_i18"/>
      <w:bookmarkEnd w:id="6"/>
      <w:r>
        <w:t>Discussion</w:t>
      </w:r>
    </w:p>
    <w:p w14:paraId="5303DA78" w14:textId="68FE361A" w:rsidR="005463AB" w:rsidRPr="005463AB" w:rsidRDefault="005463AB" w:rsidP="005463AB">
      <w:r w:rsidRPr="005463AB">
        <w:t>The purpose of this secondary analysis of a subset of the participants (parents of children with challenging behaviors) from a larger project was to compare parent perception of the quality of discharge teaching and care coordination when the nurse used the </w:t>
      </w:r>
      <w:proofErr w:type="spellStart"/>
      <w:r w:rsidRPr="005463AB">
        <w:rPr>
          <w:i/>
          <w:iCs/>
        </w:rPr>
        <w:t>e</w:t>
      </w:r>
      <w:r w:rsidRPr="005463AB">
        <w:t>PED</w:t>
      </w:r>
      <w:proofErr w:type="spellEnd"/>
      <w:r w:rsidRPr="005463AB">
        <w:t xml:space="preserve"> app compared to the usual discharge without the app. In the study, the </w:t>
      </w:r>
      <w:proofErr w:type="spellStart"/>
      <w:r w:rsidRPr="005463AB">
        <w:rPr>
          <w:i/>
          <w:iCs/>
        </w:rPr>
        <w:t>e</w:t>
      </w:r>
      <w:r w:rsidRPr="005463AB">
        <w:t>PED</w:t>
      </w:r>
      <w:proofErr w:type="spellEnd"/>
      <w:r w:rsidRPr="005463AB">
        <w:t xml:space="preserve"> app guided the nurse delivery of discharge teaching by structuring the discharge conversation. The questions on the </w:t>
      </w:r>
      <w:proofErr w:type="spellStart"/>
      <w:r w:rsidRPr="005463AB">
        <w:rPr>
          <w:i/>
          <w:iCs/>
        </w:rPr>
        <w:t>e</w:t>
      </w:r>
      <w:r w:rsidRPr="005463AB">
        <w:t>PED</w:t>
      </w:r>
      <w:proofErr w:type="spellEnd"/>
      <w:r w:rsidRPr="005463AB">
        <w:t xml:space="preserve"> were designed to encourage parent engagement to plan for the safe care after discharge (</w:t>
      </w:r>
      <w:proofErr w:type="spellStart"/>
      <w:r w:rsidRPr="00933605">
        <w:t>Lerret</w:t>
      </w:r>
      <w:proofErr w:type="spellEnd"/>
      <w:r w:rsidRPr="00933605">
        <w:t xml:space="preserve"> et al., 2020</w:t>
      </w:r>
      <w:r w:rsidRPr="005463AB">
        <w:t>; </w:t>
      </w:r>
      <w:r w:rsidRPr="00933605">
        <w:t>Weiss et al., 2017</w:t>
      </w:r>
      <w:r w:rsidRPr="005463AB">
        <w:t>). In the larger study, parents who received teaching from nurses who used the </w:t>
      </w:r>
      <w:proofErr w:type="spellStart"/>
      <w:r w:rsidRPr="005463AB">
        <w:rPr>
          <w:i/>
          <w:iCs/>
        </w:rPr>
        <w:t>e</w:t>
      </w:r>
      <w:r w:rsidRPr="005463AB">
        <w:t>PED</w:t>
      </w:r>
      <w:proofErr w:type="spellEnd"/>
      <w:r w:rsidRPr="005463AB">
        <w:t xml:space="preserve"> app reported higher quality of discharge teaching and care coordination than the usual care group (</w:t>
      </w:r>
      <w:proofErr w:type="spellStart"/>
      <w:r w:rsidRPr="00933605">
        <w:t>Lerret</w:t>
      </w:r>
      <w:proofErr w:type="spellEnd"/>
      <w:r w:rsidRPr="00933605">
        <w:t xml:space="preserve"> et al., 2020</w:t>
      </w:r>
      <w:r w:rsidRPr="005463AB">
        <w:t>).</w:t>
      </w:r>
    </w:p>
    <w:p w14:paraId="55E12135" w14:textId="77777777" w:rsidR="005463AB" w:rsidRPr="005463AB" w:rsidRDefault="005463AB" w:rsidP="005463AB">
      <w:r w:rsidRPr="005463AB">
        <w:t>The results of this study were unexpected. While there were no statistical differences in mean scores on the outcome measure between </w:t>
      </w:r>
      <w:proofErr w:type="spellStart"/>
      <w:r w:rsidRPr="005463AB">
        <w:rPr>
          <w:i/>
          <w:iCs/>
        </w:rPr>
        <w:t>e</w:t>
      </w:r>
      <w:r w:rsidRPr="005463AB">
        <w:t>PED</w:t>
      </w:r>
      <w:proofErr w:type="spellEnd"/>
      <w:r w:rsidRPr="005463AB">
        <w:t xml:space="preserve"> and control group parents, the effect size suggests the possibility that this approach to discharge teaching is not appropriate and does not produce the best results for this parent population of children with challenging behaviors. The preliminary evidence from the small sample of parents used for this analysis suggests that the use of the </w:t>
      </w:r>
      <w:proofErr w:type="spellStart"/>
      <w:r w:rsidRPr="005463AB">
        <w:rPr>
          <w:i/>
          <w:iCs/>
        </w:rPr>
        <w:t>e</w:t>
      </w:r>
      <w:r w:rsidRPr="005463AB">
        <w:t>PED</w:t>
      </w:r>
      <w:proofErr w:type="spellEnd"/>
      <w:r w:rsidRPr="005463AB">
        <w:t xml:space="preserve"> app on the day of discharge may be associated with poorer parent perception of quality discharge teaching and care coordination. It appears that the </w:t>
      </w:r>
      <w:proofErr w:type="spellStart"/>
      <w:r w:rsidRPr="005463AB">
        <w:rPr>
          <w:i/>
          <w:iCs/>
        </w:rPr>
        <w:t>e</w:t>
      </w:r>
      <w:r w:rsidRPr="005463AB">
        <w:t>PED</w:t>
      </w:r>
      <w:proofErr w:type="spellEnd"/>
      <w:r w:rsidRPr="005463AB">
        <w:t xml:space="preserve"> may not be a one size fits all discharge teaching intervention.</w:t>
      </w:r>
    </w:p>
    <w:p w14:paraId="38C3D282" w14:textId="77777777" w:rsidR="005463AB" w:rsidRPr="005463AB" w:rsidRDefault="005463AB" w:rsidP="005463AB">
      <w:r w:rsidRPr="005463AB">
        <w:t xml:space="preserve">The findings </w:t>
      </w:r>
      <w:proofErr w:type="gramStart"/>
      <w:r w:rsidRPr="005463AB">
        <w:t>are in contrast to</w:t>
      </w:r>
      <w:proofErr w:type="gramEnd"/>
      <w:r w:rsidRPr="005463AB">
        <w:t xml:space="preserve"> the findings in the larger study. When parents do not perceive high-quality teaching and care </w:t>
      </w:r>
      <w:proofErr w:type="gramStart"/>
      <w:r w:rsidRPr="005463AB">
        <w:t>transition</w:t>
      </w:r>
      <w:proofErr w:type="gramEnd"/>
      <w:r w:rsidRPr="005463AB">
        <w:t xml:space="preserve"> they are not always able to provide the care needed for the child to recover. While these findings are specific to QDTS-D and CTM for this subset of parents, they may be indicative of broader issues not assessed but relevant to the hospital experience for parents of children with challenging behaviors. It may be that parents are either overwhelmed or have other stresses and as a result, their need to return to consistency or normalcy may outweigh the proposed benefits of using a structured app to enhance the discharge process.</w:t>
      </w:r>
    </w:p>
    <w:p w14:paraId="4B6FA06A" w14:textId="0A1FC4C6" w:rsidR="005463AB" w:rsidRPr="005463AB" w:rsidRDefault="005463AB" w:rsidP="005463AB">
      <w:r w:rsidRPr="005463AB">
        <w:t>There are many other reasons that parents of children with challenging behaviors may have perceived decreased quality of the delivery of the teaching and the care transition itself as compared to the usual care parents. While usual care involves the telling of information and provision of written instructions, nurses of parents who received teaching using the </w:t>
      </w:r>
      <w:proofErr w:type="spellStart"/>
      <w:r w:rsidRPr="005463AB">
        <w:rPr>
          <w:i/>
          <w:iCs/>
        </w:rPr>
        <w:t>e</w:t>
      </w:r>
      <w:r w:rsidRPr="005463AB">
        <w:t>PED</w:t>
      </w:r>
      <w:proofErr w:type="spellEnd"/>
      <w:r w:rsidRPr="005463AB">
        <w:t xml:space="preserve"> app also needed to engage with them in planning additional supports at home. This teaching required thinking about who would help care for the child and who could they rely on for emotional support. In the larger project, it was this section of questions that the nurses had the most difficulty asking as it had not been part of typical information sharing in usual discharges (</w:t>
      </w:r>
      <w:proofErr w:type="spellStart"/>
      <w:r w:rsidRPr="00933605">
        <w:t>Lerret</w:t>
      </w:r>
      <w:proofErr w:type="spellEnd"/>
      <w:r w:rsidRPr="00933605">
        <w:t xml:space="preserve"> et al., 2020</w:t>
      </w:r>
      <w:r w:rsidRPr="005463AB">
        <w:t>). Parents of children with challenging behaviors may already have caregiver strain and stress which could be further exacerbated by the hospitalization (missed work, other children at home, socioeconomic issues) and may have fewer resources available to them emotionally and physically (</w:t>
      </w:r>
      <w:r w:rsidRPr="00933605">
        <w:t>Vaughan et al., 2013</w:t>
      </w:r>
      <w:r w:rsidRPr="005463AB">
        <w:t>). It may be that the probing questions on the </w:t>
      </w:r>
      <w:proofErr w:type="spellStart"/>
      <w:r w:rsidRPr="005463AB">
        <w:rPr>
          <w:i/>
          <w:iCs/>
        </w:rPr>
        <w:t>e</w:t>
      </w:r>
      <w:r w:rsidRPr="005463AB">
        <w:t>PED</w:t>
      </w:r>
      <w:proofErr w:type="spellEnd"/>
      <w:r w:rsidRPr="005463AB">
        <w:t xml:space="preserve"> app increased the parent’s frustration or that nurses are not equipped with the answers or resources needed for these complex situations (</w:t>
      </w:r>
      <w:r w:rsidRPr="00933605">
        <w:t>Mitchell et al., 2018</w:t>
      </w:r>
      <w:r w:rsidRPr="005463AB">
        <w:t>). There could also be a build-up of past experiences with hospital systems perceived as unhelpful that influence the current perception of quality of discharge teaching and transition (</w:t>
      </w:r>
      <w:r w:rsidRPr="00933605">
        <w:t>Vaughan et al., 2013</w:t>
      </w:r>
      <w:r w:rsidRPr="005463AB">
        <w:t>).</w:t>
      </w:r>
    </w:p>
    <w:p w14:paraId="1469DE86" w14:textId="506F5658" w:rsidR="005463AB" w:rsidRPr="005463AB" w:rsidRDefault="005463AB" w:rsidP="005463AB">
      <w:r w:rsidRPr="005463AB">
        <w:t>In this study, the parents who received the usual care were able to leave the hospital faster since that </w:t>
      </w:r>
      <w:proofErr w:type="spellStart"/>
      <w:r w:rsidRPr="005463AB">
        <w:rPr>
          <w:i/>
          <w:iCs/>
        </w:rPr>
        <w:t>e</w:t>
      </w:r>
      <w:r w:rsidRPr="005463AB">
        <w:t>PED</w:t>
      </w:r>
      <w:proofErr w:type="spellEnd"/>
      <w:r w:rsidRPr="005463AB">
        <w:t xml:space="preserve"> app required additional time to complete. The usual care parents of children with challenging behaviors may have felt less stigmatized by their child’s behaviors during the </w:t>
      </w:r>
      <w:proofErr w:type="spellStart"/>
      <w:r w:rsidRPr="005463AB">
        <w:t>ePED</w:t>
      </w:r>
      <w:proofErr w:type="spellEnd"/>
      <w:r w:rsidRPr="005463AB">
        <w:t>-guided discharge, since it was a short discharge not involving questions about the home environment. In past studies, parents of children with challenging behaviors have reported feeling non-accepted and stigmatized by their inability to control their child’s behavior in public, which may lead parents to want to remove themselves from the hospital as soon as possible (</w:t>
      </w:r>
      <w:r w:rsidRPr="00933605">
        <w:t xml:space="preserve">Johnson, </w:t>
      </w:r>
      <w:proofErr w:type="spellStart"/>
      <w:r w:rsidRPr="00933605">
        <w:t>Sangasy</w:t>
      </w:r>
      <w:proofErr w:type="spellEnd"/>
      <w:r w:rsidRPr="00933605">
        <w:t>, et al., 2020</w:t>
      </w:r>
      <w:r w:rsidRPr="005463AB">
        <w:t>). It is also possible that the parents wanted to return to the home environment so that they could get back into their normal routine. Their children may have fewer challenging behaviors when back in their familiar home environment (</w:t>
      </w:r>
      <w:proofErr w:type="spellStart"/>
      <w:r w:rsidRPr="00933605">
        <w:t>Bultas</w:t>
      </w:r>
      <w:proofErr w:type="spellEnd"/>
      <w:r w:rsidRPr="00933605">
        <w:t xml:space="preserve"> et al., 2016</w:t>
      </w:r>
      <w:r w:rsidRPr="005463AB">
        <w:t>; </w:t>
      </w:r>
      <w:r w:rsidRPr="00933605">
        <w:t>Johnson &amp; Rodriguez, 2013</w:t>
      </w:r>
      <w:r w:rsidRPr="005463AB">
        <w:t>; </w:t>
      </w:r>
      <w:r w:rsidRPr="00933605">
        <w:t>Johnson et al., 2013</w:t>
      </w:r>
      <w:r w:rsidRPr="005463AB">
        <w:t>). The implementation of strategies in the hospital to limit the child’s frustration during transitions could positively support the discharge teaching experience between the parent and the nurse.</w:t>
      </w:r>
    </w:p>
    <w:p w14:paraId="3C8A7041" w14:textId="4BFEE741" w:rsidR="005463AB" w:rsidRPr="005463AB" w:rsidRDefault="005463AB" w:rsidP="005463AB">
      <w:r w:rsidRPr="005463AB">
        <w:t>Parents of children with challenging behaviors may be more experienced with interacting with the health care system and may face additional challenges which can lower frustration threshold or modify what is needed at the time of discharge as compared to other parents. The differences are important given the AHRQ’s IDEAL discharge model (</w:t>
      </w:r>
      <w:r w:rsidRPr="00933605">
        <w:t>AHRQ, 2013</w:t>
      </w:r>
      <w:r w:rsidRPr="005463AB">
        <w:t>) recommendation to include the patient and family, and listen to and honor goals, preferences, observations, and concerns of the family [IDEAL (</w:t>
      </w:r>
      <w:r w:rsidRPr="00933605">
        <w:t>AHRQ, 2013</w:t>
      </w:r>
      <w:r w:rsidRPr="005463AB">
        <w:t>)].</w:t>
      </w:r>
    </w:p>
    <w:p w14:paraId="26014295" w14:textId="77777777" w:rsidR="005463AB" w:rsidRPr="005463AB" w:rsidRDefault="005463AB" w:rsidP="005463AB">
      <w:r w:rsidRPr="005463AB">
        <w:t>This study has limitations. First, the study was not designed with randomization of children with challenging behaviors to the </w:t>
      </w:r>
      <w:proofErr w:type="spellStart"/>
      <w:r w:rsidRPr="005463AB">
        <w:rPr>
          <w:i/>
          <w:iCs/>
        </w:rPr>
        <w:t>e</w:t>
      </w:r>
      <w:r w:rsidRPr="005463AB">
        <w:t>PED</w:t>
      </w:r>
      <w:proofErr w:type="spellEnd"/>
      <w:r w:rsidRPr="005463AB">
        <w:t xml:space="preserve"> implementation. Instead, data were collected about the child conditions and the analyses in this study were post hoc. The second limitation is small sample size and the number of covariates. However, the statistical modeling with the propensity scores and the double robust model allowed for analysis of differences between groups even with the small sample size. This method is a strength in the study. Interpretations in this study are made with caution due to small sample </w:t>
      </w:r>
      <w:proofErr w:type="gramStart"/>
      <w:r w:rsidRPr="005463AB">
        <w:t>size, but</w:t>
      </w:r>
      <w:proofErr w:type="gramEnd"/>
      <w:r w:rsidRPr="005463AB">
        <w:t xml:space="preserve"> may reflect unique differences for this patient population that prioritize further study.</w:t>
      </w:r>
    </w:p>
    <w:p w14:paraId="19642739" w14:textId="77777777" w:rsidR="005463AB" w:rsidRPr="005463AB" w:rsidRDefault="005463AB" w:rsidP="005463AB">
      <w:r w:rsidRPr="005463AB">
        <w:t>Future studies are needed that implement enhanced training for nurses in the use of a modification of the </w:t>
      </w:r>
      <w:proofErr w:type="spellStart"/>
      <w:r w:rsidRPr="005463AB">
        <w:rPr>
          <w:i/>
          <w:iCs/>
        </w:rPr>
        <w:t>e</w:t>
      </w:r>
      <w:r w:rsidRPr="005463AB">
        <w:t>PED</w:t>
      </w:r>
      <w:proofErr w:type="spellEnd"/>
      <w:r w:rsidRPr="005463AB">
        <w:t xml:space="preserve"> app with families of children with challenging behaviors or use of another intervention in place of the </w:t>
      </w:r>
      <w:proofErr w:type="spellStart"/>
      <w:r w:rsidRPr="005463AB">
        <w:rPr>
          <w:i/>
          <w:iCs/>
        </w:rPr>
        <w:t>e</w:t>
      </w:r>
      <w:r w:rsidRPr="005463AB">
        <w:t>PED</w:t>
      </w:r>
      <w:proofErr w:type="spellEnd"/>
      <w:r w:rsidRPr="005463AB">
        <w:t>. Given parent’s possible frustration from the probing questions, it will be important in future research to gauge the parent’s desire for the detailed discharge with the app, before utilizing this approach to discharge. Supplementing the </w:t>
      </w:r>
      <w:proofErr w:type="spellStart"/>
      <w:r w:rsidRPr="005463AB">
        <w:rPr>
          <w:i/>
          <w:iCs/>
        </w:rPr>
        <w:t>e</w:t>
      </w:r>
      <w:r w:rsidRPr="005463AB">
        <w:t>PED</w:t>
      </w:r>
      <w:proofErr w:type="spellEnd"/>
      <w:r w:rsidRPr="005463AB">
        <w:t xml:space="preserve"> app with resources for the nurses on challenging behaviors to better equip them to answer parent questions for these complex situations could be a valuable enhancement to the </w:t>
      </w:r>
      <w:proofErr w:type="spellStart"/>
      <w:r w:rsidRPr="005463AB">
        <w:rPr>
          <w:i/>
          <w:iCs/>
        </w:rPr>
        <w:t>e</w:t>
      </w:r>
      <w:r w:rsidRPr="005463AB">
        <w:t>PED</w:t>
      </w:r>
      <w:proofErr w:type="spellEnd"/>
      <w:r w:rsidRPr="005463AB">
        <w:t xml:space="preserve"> tool.</w:t>
      </w:r>
    </w:p>
    <w:p w14:paraId="3241680F" w14:textId="77777777" w:rsidR="005463AB" w:rsidRPr="005463AB" w:rsidRDefault="005463AB" w:rsidP="005463AB">
      <w:r w:rsidRPr="005463AB">
        <w:t>Another suggestion for future research is adding in focus groups with the implementation of the </w:t>
      </w:r>
      <w:proofErr w:type="spellStart"/>
      <w:r w:rsidRPr="005463AB">
        <w:rPr>
          <w:i/>
          <w:iCs/>
        </w:rPr>
        <w:t>e</w:t>
      </w:r>
      <w:r w:rsidRPr="005463AB">
        <w:t>PED</w:t>
      </w:r>
      <w:proofErr w:type="spellEnd"/>
      <w:r w:rsidRPr="005463AB">
        <w:t xml:space="preserve"> in a larger sample of children with challenging behaviors would improve understanding about what parents need at the time of discharge. Randomized controlled trial design rather than post hoc analyses would also advance the state of the science. Given the gap in the literature on discharge for parents of children with challenging behaviors, a future mixed-method study with nurse role playing to prepare them for skilled discharge teaching is suggested. Furthermore, these parents may need preparation for discharge at a time other than the “last minute.” A focus group or individual interviews with parents clearly using qualitative methods to listen to the “unfiltered voices” of these parents is critical to creating appropriate discharge teaching and delivering it in a way that is most useful for the family. Other possible recommendations include connecting the </w:t>
      </w:r>
      <w:proofErr w:type="spellStart"/>
      <w:r w:rsidRPr="005463AB">
        <w:rPr>
          <w:i/>
          <w:iCs/>
        </w:rPr>
        <w:t>e</w:t>
      </w:r>
      <w:r w:rsidRPr="005463AB">
        <w:t>PED</w:t>
      </w:r>
      <w:proofErr w:type="spellEnd"/>
      <w:r w:rsidRPr="005463AB">
        <w:t xml:space="preserve"> app to the electronic health record and hospital </w:t>
      </w:r>
      <w:proofErr w:type="gramStart"/>
      <w:r w:rsidRPr="005463AB">
        <w:t>resources, and</w:t>
      </w:r>
      <w:proofErr w:type="gramEnd"/>
      <w:r w:rsidRPr="005463AB">
        <w:t xml:space="preserve"> creating a module for complex needs of families of children with challenging behaviors.</w:t>
      </w:r>
    </w:p>
    <w:p w14:paraId="1241E3B0" w14:textId="7294B4EE" w:rsidR="005463AB" w:rsidRPr="005463AB" w:rsidRDefault="005463AB" w:rsidP="005463AB">
      <w:r w:rsidRPr="005463AB">
        <w:t>Nurses are in a unique position of having the most interaction with the family during hospitalization. This time could incorporate the assessment for potential problems and connecting with appropriate resources (e.g., social work, respite care, and behavioral training programs) (</w:t>
      </w:r>
      <w:r w:rsidRPr="00933605">
        <w:t>Centers for Disease Control and Prevention, 2020</w:t>
      </w:r>
      <w:r w:rsidRPr="005463AB">
        <w:t>). Development of an intervention that incorporates assessment of the unique needs that may exist for families of children with challenging behaviors would be beneficial. The information gained could also be used in the training of nurses (i.e., role playing with parents of children with challenging behaviors) and the provision of disease-specific resources that are unique to this population.</w:t>
      </w:r>
    </w:p>
    <w:p w14:paraId="04C8A16C" w14:textId="20000121" w:rsidR="005463AB" w:rsidRPr="005463AB" w:rsidRDefault="005463AB" w:rsidP="005463AB">
      <w:r w:rsidRPr="005463AB">
        <w:t>Timing of the discharge teaching must also be taken into consideration. While it is understood that discharge teaching should begin early in the hospitalization (</w:t>
      </w:r>
      <w:r w:rsidRPr="00933605">
        <w:t>Berry et al., 2014</w:t>
      </w:r>
      <w:r w:rsidRPr="005463AB">
        <w:t>), prioritizing this or setting the expectation that there will be a day of discharge conversation using the </w:t>
      </w:r>
      <w:proofErr w:type="spellStart"/>
      <w:r w:rsidRPr="005463AB">
        <w:rPr>
          <w:i/>
          <w:iCs/>
        </w:rPr>
        <w:t>e</w:t>
      </w:r>
      <w:r w:rsidRPr="005463AB">
        <w:t>PED</w:t>
      </w:r>
      <w:proofErr w:type="spellEnd"/>
      <w:r w:rsidRPr="005463AB">
        <w:t xml:space="preserve"> app may be useful.</w:t>
      </w:r>
    </w:p>
    <w:p w14:paraId="1FE54E7B" w14:textId="77777777" w:rsidR="005463AB" w:rsidRPr="005463AB" w:rsidRDefault="005463AB" w:rsidP="005463AB">
      <w:r w:rsidRPr="005463AB">
        <w:t xml:space="preserve">The results of this study showed use of the </w:t>
      </w:r>
      <w:proofErr w:type="spellStart"/>
      <w:r w:rsidRPr="005463AB">
        <w:t>ePED</w:t>
      </w:r>
      <w:proofErr w:type="spellEnd"/>
      <w:r w:rsidRPr="005463AB">
        <w:t xml:space="preserve"> app to guide discharge teaching for the subset of parents of children with challenging behaviors was not perceived to be as helpful as usual care and that one size does not fit all for discharge teaching. Findings of this study are an important step in the understanding of the challenges and opportunities for nurses to engage parents of children with challenging behaviors at the stressful time of discharge.</w:t>
      </w:r>
    </w:p>
    <w:p w14:paraId="3B007889" w14:textId="77777777" w:rsidR="005463AB" w:rsidRPr="005463AB" w:rsidRDefault="005463AB" w:rsidP="005463AB">
      <w:r w:rsidRPr="4623802F">
        <w:rPr>
          <w:rStyle w:val="Heading1Char"/>
        </w:rPr>
        <w:t>Declaration of Conflicting Interests</w:t>
      </w:r>
      <w:r>
        <w:br/>
        <w:t>The author(s) declared no potential conflicts of interest with respect to the research, authorship, and/or publication of this article.</w:t>
      </w:r>
    </w:p>
    <w:p w14:paraId="1C1CEDEC" w14:textId="77777777" w:rsidR="005463AB" w:rsidRPr="005463AB" w:rsidRDefault="005463AB" w:rsidP="005463AB">
      <w:r w:rsidRPr="4623802F">
        <w:rPr>
          <w:rStyle w:val="Heading1Char"/>
        </w:rPr>
        <w:t>Funding</w:t>
      </w:r>
      <w:r>
        <w:br/>
        <w:t xml:space="preserve">The author(s) disclosed receipt of the following financial support for the research, authorship, and/or publication of this article: This work was supported by the CTSI Pilot Collaborative Clinical and Translational Research Grants Program of the National Center for Advancing Translational Sciences (NCATS), National Institute of Health, Award Number UL1TR001436. Additional Funds were provided by The Pediatric Nursing Research Consortium of Milwaukee, a joint project of Marquette University College of Nursing, Children’s </w:t>
      </w:r>
      <w:proofErr w:type="gramStart"/>
      <w:r>
        <w:t>Wisconsin</w:t>
      </w:r>
      <w:proofErr w:type="gramEnd"/>
      <w:r>
        <w:t xml:space="preserve"> and the University of Wisconsin Milwaukee College of Nursing.</w:t>
      </w:r>
    </w:p>
    <w:p w14:paraId="0ED31C05" w14:textId="77777777" w:rsidR="005463AB" w:rsidRPr="005463AB" w:rsidRDefault="005463AB" w:rsidP="4623802F">
      <w:pPr>
        <w:pStyle w:val="Heading1"/>
        <w:rPr>
          <w:rFonts w:ascii="Calibri" w:eastAsia="Meiryo" w:hAnsi="Calibri" w:cs="Arial"/>
        </w:rPr>
      </w:pPr>
      <w:bookmarkStart w:id="7" w:name="_i19"/>
      <w:bookmarkEnd w:id="7"/>
      <w:r>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
        <w:gridCol w:w="9860"/>
      </w:tblGrid>
      <w:tr w:rsidR="005463AB" w:rsidRPr="005463AB" w14:paraId="25CA6B33" w14:textId="77777777" w:rsidTr="00162E13">
        <w:tc>
          <w:tcPr>
            <w:tcW w:w="0" w:type="auto"/>
            <w:hideMark/>
          </w:tcPr>
          <w:p w14:paraId="53E69D7E" w14:textId="77777777" w:rsidR="005463AB" w:rsidRPr="005463AB" w:rsidRDefault="005463AB" w:rsidP="005463AB">
            <w:pPr>
              <w:rPr>
                <w:b/>
                <w:bCs/>
              </w:rPr>
            </w:pPr>
          </w:p>
        </w:tc>
        <w:tc>
          <w:tcPr>
            <w:tcW w:w="0" w:type="auto"/>
            <w:hideMark/>
          </w:tcPr>
          <w:p w14:paraId="72DD1062" w14:textId="3D83977D" w:rsidR="005463AB" w:rsidRPr="005463AB" w:rsidRDefault="005463AB" w:rsidP="00162E13">
            <w:pPr>
              <w:ind w:left="477" w:hanging="477"/>
            </w:pPr>
            <w:r>
              <w:t xml:space="preserve">Agency for Healthcare Research and </w:t>
            </w:r>
            <w:proofErr w:type="gramStart"/>
            <w:r>
              <w:t>Quality .</w:t>
            </w:r>
            <w:proofErr w:type="gramEnd"/>
            <w:r>
              <w:t xml:space="preserve"> (2017). The teach back method. Retrieved August 10, 2019, from </w:t>
            </w:r>
            <w:r w:rsidRPr="00162E13">
              <w:t>https://www.ahrq.gov/professionals/quality-patient-safety/patient-family-engagement/pfeprimarycare/interventions/teach-back.html</w:t>
            </w:r>
            <w:r>
              <w:br/>
            </w:r>
          </w:p>
        </w:tc>
      </w:tr>
      <w:tr w:rsidR="005463AB" w:rsidRPr="005463AB" w14:paraId="060B2D7C" w14:textId="77777777" w:rsidTr="00162E13">
        <w:tc>
          <w:tcPr>
            <w:tcW w:w="0" w:type="auto"/>
            <w:hideMark/>
          </w:tcPr>
          <w:p w14:paraId="617F5712" w14:textId="77777777" w:rsidR="005463AB" w:rsidRPr="005463AB" w:rsidRDefault="005463AB" w:rsidP="005463AB"/>
        </w:tc>
        <w:tc>
          <w:tcPr>
            <w:tcW w:w="0" w:type="auto"/>
            <w:hideMark/>
          </w:tcPr>
          <w:p w14:paraId="3ACA82DD" w14:textId="7B136F04" w:rsidR="005463AB" w:rsidRPr="005463AB" w:rsidRDefault="005463AB" w:rsidP="00162E13">
            <w:pPr>
              <w:ind w:left="477" w:hanging="477"/>
            </w:pPr>
            <w:r>
              <w:t xml:space="preserve">Agency for Healthcare Research and </w:t>
            </w:r>
            <w:proofErr w:type="gramStart"/>
            <w:r>
              <w:t>Quality .</w:t>
            </w:r>
            <w:proofErr w:type="gramEnd"/>
            <w:r>
              <w:t xml:space="preserve"> (2013). Strategy 4: IDEAL discharge planning (Implementation handbook): Care transitions from hospital to home: IDEAL discharge planning implementation handbook (guide to patient family engagement in hospital and quality safety). </w:t>
            </w:r>
            <w:r w:rsidRPr="00162E13">
              <w:t>https://www.ahrq.gov/sites/default/files/wysiwyg/professionals/systems/hospital/engagingfamilies/strategy4/Strat4_Implement_Hndbook_508_v2.pdf</w:t>
            </w:r>
            <w:r>
              <w:br/>
            </w:r>
          </w:p>
        </w:tc>
      </w:tr>
      <w:tr w:rsidR="005463AB" w:rsidRPr="005463AB" w14:paraId="49B1D1D1" w14:textId="77777777" w:rsidTr="00162E13">
        <w:tc>
          <w:tcPr>
            <w:tcW w:w="0" w:type="auto"/>
            <w:hideMark/>
          </w:tcPr>
          <w:p w14:paraId="75DC8F50" w14:textId="77777777" w:rsidR="005463AB" w:rsidRPr="005463AB" w:rsidRDefault="005463AB" w:rsidP="005463AB"/>
        </w:tc>
        <w:tc>
          <w:tcPr>
            <w:tcW w:w="0" w:type="auto"/>
            <w:hideMark/>
          </w:tcPr>
          <w:p w14:paraId="3772C9BB" w14:textId="67D5FAB7" w:rsidR="005463AB" w:rsidRPr="005463AB" w:rsidRDefault="005463AB" w:rsidP="00162E13">
            <w:pPr>
              <w:ind w:left="477" w:hanging="477"/>
            </w:pPr>
            <w:r>
              <w:t>Avni, E., Ben-</w:t>
            </w:r>
            <w:proofErr w:type="spellStart"/>
            <w:r>
              <w:t>Itzchak</w:t>
            </w:r>
            <w:proofErr w:type="spellEnd"/>
            <w:r>
              <w:t xml:space="preserve">, E., </w:t>
            </w:r>
            <w:proofErr w:type="spellStart"/>
            <w:r>
              <w:t>Zachor</w:t>
            </w:r>
            <w:proofErr w:type="spellEnd"/>
            <w:r>
              <w:t>, D. A. (2018). The presence of comorbid ADHD and anxiety symptoms in autism spectrum disorder: Clinical presentation and predictors. Frontiers in Psychiatry, 9, 717. </w:t>
            </w:r>
            <w:r w:rsidRPr="00162E13">
              <w:t>https://doi.org/10.3389/fpsyt.2018.00717</w:t>
            </w:r>
            <w:r>
              <w:br/>
            </w:r>
          </w:p>
        </w:tc>
      </w:tr>
      <w:tr w:rsidR="005463AB" w:rsidRPr="005463AB" w14:paraId="5C66E5FD" w14:textId="77777777" w:rsidTr="00162E13">
        <w:tc>
          <w:tcPr>
            <w:tcW w:w="0" w:type="auto"/>
            <w:hideMark/>
          </w:tcPr>
          <w:p w14:paraId="45CB1252" w14:textId="77777777" w:rsidR="005463AB" w:rsidRPr="005463AB" w:rsidRDefault="005463AB" w:rsidP="005463AB"/>
        </w:tc>
        <w:tc>
          <w:tcPr>
            <w:tcW w:w="0" w:type="auto"/>
            <w:hideMark/>
          </w:tcPr>
          <w:p w14:paraId="5628202B" w14:textId="18E0BD05" w:rsidR="005463AB" w:rsidRPr="005463AB" w:rsidRDefault="005463AB" w:rsidP="00162E13">
            <w:pPr>
              <w:ind w:left="477" w:hanging="477"/>
            </w:pPr>
            <w:proofErr w:type="spellStart"/>
            <w:r>
              <w:t>Bajorek</w:t>
            </w:r>
            <w:proofErr w:type="spellEnd"/>
            <w:r>
              <w:t xml:space="preserve">, S. A., McElroy, V. (2020). Discharge planning and transitions of care. AHRQ. Retrieved </w:t>
            </w:r>
            <w:proofErr w:type="spellStart"/>
            <w:r>
              <w:t>Decemebr</w:t>
            </w:r>
            <w:proofErr w:type="spellEnd"/>
            <w:r>
              <w:t xml:space="preserve"> 30, 2020 from </w:t>
            </w:r>
            <w:r w:rsidRPr="00162E13">
              <w:t>https://psnet.ahrq.gov/primer/discharge-planning-and-transitions-care</w:t>
            </w:r>
            <w:r>
              <w:br/>
            </w:r>
          </w:p>
        </w:tc>
      </w:tr>
      <w:tr w:rsidR="005463AB" w:rsidRPr="005463AB" w14:paraId="4EF99A19" w14:textId="77777777" w:rsidTr="00162E13">
        <w:tc>
          <w:tcPr>
            <w:tcW w:w="0" w:type="auto"/>
            <w:hideMark/>
          </w:tcPr>
          <w:p w14:paraId="729208FA" w14:textId="77777777" w:rsidR="005463AB" w:rsidRPr="005463AB" w:rsidRDefault="005463AB" w:rsidP="005463AB"/>
        </w:tc>
        <w:tc>
          <w:tcPr>
            <w:tcW w:w="0" w:type="auto"/>
            <w:hideMark/>
          </w:tcPr>
          <w:p w14:paraId="35A3261B" w14:textId="49E72F9B" w:rsidR="005463AB" w:rsidRPr="005463AB" w:rsidRDefault="005463AB" w:rsidP="00162E13">
            <w:pPr>
              <w:ind w:left="477" w:hanging="477"/>
            </w:pPr>
            <w:r>
              <w:t xml:space="preserve">Berger, Z., Flickinger, T. E., </w:t>
            </w:r>
            <w:proofErr w:type="spellStart"/>
            <w:r>
              <w:t>Pfoh</w:t>
            </w:r>
            <w:proofErr w:type="spellEnd"/>
            <w:r>
              <w:t>, E., Martinez, K. A., Dy, S. M. (2014). Promoting engagement by patients and families to reduce adverse events in acute care settings: A systematic review. BMJ Quality and Safety, 23(7), 548–555. </w:t>
            </w:r>
            <w:r w:rsidRPr="00162E13">
              <w:t>https://doi.org/10.1136/bmjqs-2012-001769</w:t>
            </w:r>
            <w:r>
              <w:br/>
            </w:r>
          </w:p>
        </w:tc>
      </w:tr>
      <w:tr w:rsidR="005463AB" w:rsidRPr="005463AB" w14:paraId="14F8E266" w14:textId="77777777" w:rsidTr="00162E13">
        <w:tc>
          <w:tcPr>
            <w:tcW w:w="0" w:type="auto"/>
            <w:hideMark/>
          </w:tcPr>
          <w:p w14:paraId="58998513" w14:textId="77777777" w:rsidR="005463AB" w:rsidRPr="005463AB" w:rsidRDefault="005463AB" w:rsidP="005463AB"/>
        </w:tc>
        <w:tc>
          <w:tcPr>
            <w:tcW w:w="0" w:type="auto"/>
            <w:hideMark/>
          </w:tcPr>
          <w:p w14:paraId="6A9298B2" w14:textId="6C6D9D64" w:rsidR="005463AB" w:rsidRPr="005463AB" w:rsidRDefault="005463AB" w:rsidP="00162E13">
            <w:pPr>
              <w:ind w:left="477" w:hanging="477"/>
            </w:pPr>
            <w:r>
              <w:t xml:space="preserve">Berry, J. G., Blaine, K., Rogers, J., McBride, S., Schor, E., </w:t>
            </w:r>
            <w:proofErr w:type="spellStart"/>
            <w:r>
              <w:t>Brimingham</w:t>
            </w:r>
            <w:proofErr w:type="spellEnd"/>
            <w:r>
              <w:t xml:space="preserve">, J., Schuster, M. A., </w:t>
            </w:r>
            <w:proofErr w:type="spellStart"/>
            <w:r>
              <w:t>Feudtner</w:t>
            </w:r>
            <w:proofErr w:type="spellEnd"/>
            <w:r>
              <w:t xml:space="preserve">, C. (2014). A framework of pediatric hospital discharge care informed by legislation, </w:t>
            </w:r>
            <w:proofErr w:type="gramStart"/>
            <w:r>
              <w:t>research</w:t>
            </w:r>
            <w:proofErr w:type="gramEnd"/>
            <w:r>
              <w:t xml:space="preserve"> and practice. JAMA Pediatrics, 168(10), 955–996. </w:t>
            </w:r>
            <w:r w:rsidRPr="00162E13">
              <w:t>https://doi.org/10.1001/jamapediatrics.2014.891</w:t>
            </w:r>
            <w:r>
              <w:br/>
            </w:r>
          </w:p>
        </w:tc>
      </w:tr>
      <w:tr w:rsidR="005463AB" w:rsidRPr="005463AB" w14:paraId="63A0B6D6" w14:textId="77777777" w:rsidTr="00162E13">
        <w:tc>
          <w:tcPr>
            <w:tcW w:w="0" w:type="auto"/>
            <w:hideMark/>
          </w:tcPr>
          <w:p w14:paraId="2B120E97" w14:textId="77777777" w:rsidR="005463AB" w:rsidRPr="005463AB" w:rsidRDefault="005463AB" w:rsidP="005463AB"/>
        </w:tc>
        <w:tc>
          <w:tcPr>
            <w:tcW w:w="0" w:type="auto"/>
            <w:hideMark/>
          </w:tcPr>
          <w:p w14:paraId="4FFACD3F" w14:textId="1BB26645" w:rsidR="005463AB" w:rsidRPr="005463AB" w:rsidRDefault="005463AB" w:rsidP="00162E13">
            <w:pPr>
              <w:ind w:left="477" w:hanging="477"/>
            </w:pPr>
            <w:proofErr w:type="spellStart"/>
            <w:r>
              <w:t>Bultas</w:t>
            </w:r>
            <w:proofErr w:type="spellEnd"/>
            <w:r>
              <w:t>, M. W., Johnson, N. L., Burkett, K., Reinhold, J. (2016). Translating research to practice for children with autism spectrum disorder: Part 2: Behavior management in home and health care settings. Journal of Pediatric Health Care, 30(1), P27–P37. </w:t>
            </w:r>
            <w:r w:rsidRPr="00162E13">
              <w:t>https://doi.org/10.1016/j.pedhc.2015.09.009</w:t>
            </w:r>
            <w:r>
              <w:br/>
            </w:r>
          </w:p>
        </w:tc>
      </w:tr>
      <w:tr w:rsidR="005463AB" w:rsidRPr="005463AB" w14:paraId="75833C14" w14:textId="77777777" w:rsidTr="00162E13">
        <w:tc>
          <w:tcPr>
            <w:tcW w:w="0" w:type="auto"/>
            <w:hideMark/>
          </w:tcPr>
          <w:p w14:paraId="27931E7D" w14:textId="77777777" w:rsidR="005463AB" w:rsidRPr="005463AB" w:rsidRDefault="005463AB" w:rsidP="005463AB"/>
        </w:tc>
        <w:tc>
          <w:tcPr>
            <w:tcW w:w="0" w:type="auto"/>
            <w:hideMark/>
          </w:tcPr>
          <w:p w14:paraId="34427B5C" w14:textId="3107E7A0" w:rsidR="005463AB" w:rsidRPr="005463AB" w:rsidRDefault="005463AB" w:rsidP="00162E13">
            <w:pPr>
              <w:ind w:left="477" w:hanging="477"/>
            </w:pPr>
            <w:proofErr w:type="spellStart"/>
            <w:r>
              <w:t>Cene</w:t>
            </w:r>
            <w:proofErr w:type="spellEnd"/>
            <w:r>
              <w:t xml:space="preserve">, C. W., Johnson, B. H., Wells, N., Baker, B., Davis, R., </w:t>
            </w:r>
            <w:proofErr w:type="spellStart"/>
            <w:r>
              <w:t>Turchi</w:t>
            </w:r>
            <w:proofErr w:type="spellEnd"/>
            <w:r>
              <w:t>, R. (2016). A narrative review of patient and family engagement: The “foundation” of the medical “home”. Medical Care, 54(7), 697–705. </w:t>
            </w:r>
            <w:r w:rsidRPr="00162E13">
              <w:t>https://doi.org/10.1097/MLR.0000000000000548</w:t>
            </w:r>
            <w:r>
              <w:br/>
            </w:r>
          </w:p>
        </w:tc>
      </w:tr>
      <w:tr w:rsidR="005463AB" w:rsidRPr="005463AB" w14:paraId="4B173AF5" w14:textId="77777777" w:rsidTr="00162E13">
        <w:tc>
          <w:tcPr>
            <w:tcW w:w="0" w:type="auto"/>
            <w:hideMark/>
          </w:tcPr>
          <w:p w14:paraId="46A4CC4B" w14:textId="77777777" w:rsidR="005463AB" w:rsidRPr="005463AB" w:rsidRDefault="005463AB" w:rsidP="005463AB"/>
        </w:tc>
        <w:tc>
          <w:tcPr>
            <w:tcW w:w="0" w:type="auto"/>
            <w:hideMark/>
          </w:tcPr>
          <w:p w14:paraId="5B0432A1" w14:textId="2E0B208B" w:rsidR="005463AB" w:rsidRPr="005463AB" w:rsidRDefault="005463AB" w:rsidP="00162E13">
            <w:pPr>
              <w:ind w:left="477" w:hanging="477"/>
            </w:pPr>
            <w:r>
              <w:t xml:space="preserve">Centers for Disease Control and </w:t>
            </w:r>
            <w:proofErr w:type="spellStart"/>
            <w:proofErr w:type="gramStart"/>
            <w:r>
              <w:t>Pevention</w:t>
            </w:r>
            <w:proofErr w:type="spellEnd"/>
            <w:r>
              <w:t xml:space="preserve"> .</w:t>
            </w:r>
            <w:proofErr w:type="gramEnd"/>
            <w:r>
              <w:t xml:space="preserve"> (2020). Children’s mental health: Behavior or conduct problems in children. </w:t>
            </w:r>
            <w:r w:rsidRPr="00162E13">
              <w:t>https://www.cdc.gov/childrensmentalhealth/behavior.html</w:t>
            </w:r>
            <w:r>
              <w:br/>
            </w:r>
          </w:p>
        </w:tc>
      </w:tr>
      <w:tr w:rsidR="005463AB" w:rsidRPr="005463AB" w14:paraId="2414D4B7" w14:textId="77777777" w:rsidTr="00162E13">
        <w:tc>
          <w:tcPr>
            <w:tcW w:w="0" w:type="auto"/>
            <w:hideMark/>
          </w:tcPr>
          <w:p w14:paraId="553D9521" w14:textId="77777777" w:rsidR="005463AB" w:rsidRPr="005463AB" w:rsidRDefault="005463AB" w:rsidP="005463AB"/>
        </w:tc>
        <w:tc>
          <w:tcPr>
            <w:tcW w:w="0" w:type="auto"/>
            <w:hideMark/>
          </w:tcPr>
          <w:p w14:paraId="79CCA6DD" w14:textId="35F4922C" w:rsidR="005463AB" w:rsidRDefault="005463AB" w:rsidP="00162E13">
            <w:pPr>
              <w:ind w:left="477" w:hanging="477"/>
            </w:pPr>
            <w:r>
              <w:t>Coleman, E. A., Mahoney, E., Parry, C. (2005). Assessing the quality of preparation for post-hospital care from the patient’s perspective: The care transitions measure. Medical Care, 43(3), 246–255.</w:t>
            </w:r>
          </w:p>
          <w:p w14:paraId="27452E7A" w14:textId="67E5E69B" w:rsidR="00162E13" w:rsidRPr="005463AB" w:rsidRDefault="00162E13" w:rsidP="00162E13">
            <w:pPr>
              <w:ind w:left="477" w:hanging="477"/>
            </w:pPr>
          </w:p>
        </w:tc>
      </w:tr>
      <w:tr w:rsidR="005463AB" w:rsidRPr="005463AB" w14:paraId="390A9433" w14:textId="77777777" w:rsidTr="00162E13">
        <w:tc>
          <w:tcPr>
            <w:tcW w:w="0" w:type="auto"/>
            <w:hideMark/>
          </w:tcPr>
          <w:p w14:paraId="4E313484" w14:textId="77777777" w:rsidR="005463AB" w:rsidRPr="005463AB" w:rsidRDefault="005463AB" w:rsidP="005463AB"/>
        </w:tc>
        <w:tc>
          <w:tcPr>
            <w:tcW w:w="0" w:type="auto"/>
            <w:hideMark/>
          </w:tcPr>
          <w:p w14:paraId="518A1313" w14:textId="23B41BBE" w:rsidR="005463AB" w:rsidRPr="005463AB" w:rsidRDefault="005463AB" w:rsidP="00162E13">
            <w:pPr>
              <w:ind w:left="477" w:hanging="477"/>
            </w:pPr>
            <w:r>
              <w:t xml:space="preserve">Coleman, E. A., Smith, J. D., Frank, J. C., </w:t>
            </w:r>
            <w:proofErr w:type="spellStart"/>
            <w:r>
              <w:t>Eilertsen</w:t>
            </w:r>
            <w:proofErr w:type="spellEnd"/>
            <w:r>
              <w:t xml:space="preserve">, T. B., </w:t>
            </w:r>
            <w:proofErr w:type="spellStart"/>
            <w:r>
              <w:t>Thiare</w:t>
            </w:r>
            <w:proofErr w:type="spellEnd"/>
            <w:r>
              <w:t xml:space="preserve">, J. N., Kramer, A. M. (2002). Development and testing of a measure designed to assess the </w:t>
            </w:r>
            <w:proofErr w:type="gramStart"/>
            <w:r>
              <w:t>quality of care</w:t>
            </w:r>
            <w:proofErr w:type="gramEnd"/>
            <w:r>
              <w:t xml:space="preserve"> transitions. International Journal of Integrated Care, 2(1), 1–9.</w:t>
            </w:r>
            <w:r>
              <w:br/>
            </w:r>
          </w:p>
        </w:tc>
      </w:tr>
      <w:tr w:rsidR="005463AB" w:rsidRPr="005463AB" w14:paraId="721903A8" w14:textId="77777777" w:rsidTr="00162E13">
        <w:tc>
          <w:tcPr>
            <w:tcW w:w="0" w:type="auto"/>
            <w:hideMark/>
          </w:tcPr>
          <w:p w14:paraId="65E42943" w14:textId="77777777" w:rsidR="005463AB" w:rsidRPr="005463AB" w:rsidRDefault="005463AB" w:rsidP="005463AB"/>
        </w:tc>
        <w:tc>
          <w:tcPr>
            <w:tcW w:w="0" w:type="auto"/>
            <w:hideMark/>
          </w:tcPr>
          <w:p w14:paraId="67097D4E" w14:textId="78317CAB" w:rsidR="005463AB" w:rsidRPr="005463AB" w:rsidRDefault="005463AB" w:rsidP="00162E13">
            <w:pPr>
              <w:ind w:left="477" w:hanging="477"/>
            </w:pPr>
            <w:r>
              <w:t xml:space="preserve">Glasgow, R. E., </w:t>
            </w:r>
            <w:proofErr w:type="spellStart"/>
            <w:r>
              <w:t>Klesges</w:t>
            </w:r>
            <w:proofErr w:type="spellEnd"/>
            <w:r>
              <w:t xml:space="preserve">, L. M., </w:t>
            </w:r>
            <w:proofErr w:type="spellStart"/>
            <w:r>
              <w:t>Dzewaltowski</w:t>
            </w:r>
            <w:proofErr w:type="spellEnd"/>
            <w:r>
              <w:t xml:space="preserve">, P., </w:t>
            </w:r>
            <w:proofErr w:type="spellStart"/>
            <w:r>
              <w:t>Estabrooks</w:t>
            </w:r>
            <w:proofErr w:type="spellEnd"/>
            <w:r>
              <w:t>, P. A., Vogt, T. M. (2006). Evaluating the impact of health promotion programs: Using the RE-AIM framework to form summary measures for decision making involving complex issues. Health Education Research, 21(5), 688–694.</w:t>
            </w:r>
            <w:r>
              <w:br/>
            </w:r>
          </w:p>
        </w:tc>
      </w:tr>
      <w:tr w:rsidR="005463AB" w:rsidRPr="005463AB" w14:paraId="136FDA8D" w14:textId="77777777" w:rsidTr="00162E13">
        <w:tc>
          <w:tcPr>
            <w:tcW w:w="0" w:type="auto"/>
            <w:hideMark/>
          </w:tcPr>
          <w:p w14:paraId="44AE3A91" w14:textId="77777777" w:rsidR="005463AB" w:rsidRPr="005463AB" w:rsidRDefault="005463AB" w:rsidP="005463AB"/>
        </w:tc>
        <w:tc>
          <w:tcPr>
            <w:tcW w:w="0" w:type="auto"/>
            <w:hideMark/>
          </w:tcPr>
          <w:p w14:paraId="6E56CFD4" w14:textId="6691AA0D" w:rsidR="005463AB" w:rsidRPr="005463AB" w:rsidRDefault="005463AB" w:rsidP="00162E13">
            <w:pPr>
              <w:ind w:left="477" w:hanging="477"/>
            </w:pPr>
            <w:r>
              <w:t>Holmes, W., Olsen, L. (2010). Using propensity scores with small samples. Presented at the Meeting of the American Evaluation Association, San Antonio, TX. </w:t>
            </w:r>
            <w:r w:rsidRPr="00162E13">
              <w:t>https://doi.org/10.13140/2.1.2255.0724</w:t>
            </w:r>
            <w:r>
              <w:br/>
            </w:r>
          </w:p>
        </w:tc>
      </w:tr>
      <w:tr w:rsidR="005463AB" w:rsidRPr="005463AB" w14:paraId="311BA693" w14:textId="77777777" w:rsidTr="00162E13">
        <w:tc>
          <w:tcPr>
            <w:tcW w:w="0" w:type="auto"/>
            <w:hideMark/>
          </w:tcPr>
          <w:p w14:paraId="4520014E" w14:textId="77777777" w:rsidR="005463AB" w:rsidRPr="005463AB" w:rsidRDefault="005463AB" w:rsidP="005463AB"/>
        </w:tc>
        <w:tc>
          <w:tcPr>
            <w:tcW w:w="0" w:type="auto"/>
            <w:hideMark/>
          </w:tcPr>
          <w:p w14:paraId="3BAB2E4A" w14:textId="6E20062F" w:rsidR="005463AB" w:rsidRPr="005463AB" w:rsidRDefault="005463AB" w:rsidP="00162E13">
            <w:pPr>
              <w:ind w:left="477" w:hanging="477"/>
            </w:pPr>
            <w:r>
              <w:t>Johnson, N. L., Rodriguez, D. (2013). Children with autism spectrum disorder at a pediatric hospital: A systematic review of the literature. Pediatric Nursing, 39(3), 131–141.</w:t>
            </w:r>
            <w:r>
              <w:br/>
            </w:r>
          </w:p>
        </w:tc>
      </w:tr>
      <w:tr w:rsidR="005463AB" w:rsidRPr="005463AB" w14:paraId="565A2C25" w14:textId="77777777" w:rsidTr="00162E13">
        <w:tc>
          <w:tcPr>
            <w:tcW w:w="0" w:type="auto"/>
            <w:hideMark/>
          </w:tcPr>
          <w:p w14:paraId="0CD21924" w14:textId="77777777" w:rsidR="005463AB" w:rsidRPr="005463AB" w:rsidRDefault="005463AB" w:rsidP="005463AB"/>
        </w:tc>
        <w:tc>
          <w:tcPr>
            <w:tcW w:w="0" w:type="auto"/>
            <w:hideMark/>
          </w:tcPr>
          <w:p w14:paraId="75DA64CE" w14:textId="342EBC0F" w:rsidR="005463AB" w:rsidRPr="005463AB" w:rsidRDefault="005463AB" w:rsidP="00162E13">
            <w:pPr>
              <w:ind w:left="477" w:hanging="477"/>
            </w:pPr>
            <w:r>
              <w:t>Johnson, N. L., Bekhet, A., Robinson, K., Rodriguez, D. (2013). Attributed meanings and strategies to prevent challenging behaviors of hospitalized children with autism: Two perspectives. Journal of Pediatric Health Care, 28(5), 386–393. </w:t>
            </w:r>
            <w:r w:rsidRPr="00162E13">
              <w:t>https://doi.org/10.1016/j.pedhc.2013.10.001</w:t>
            </w:r>
            <w:r>
              <w:br/>
            </w:r>
          </w:p>
        </w:tc>
      </w:tr>
      <w:tr w:rsidR="005463AB" w:rsidRPr="005463AB" w14:paraId="623FEA1E" w14:textId="77777777" w:rsidTr="00162E13">
        <w:tc>
          <w:tcPr>
            <w:tcW w:w="0" w:type="auto"/>
            <w:hideMark/>
          </w:tcPr>
          <w:p w14:paraId="5C5C6447" w14:textId="77777777" w:rsidR="005463AB" w:rsidRPr="005463AB" w:rsidRDefault="005463AB" w:rsidP="005463AB"/>
        </w:tc>
        <w:tc>
          <w:tcPr>
            <w:tcW w:w="0" w:type="auto"/>
            <w:hideMark/>
          </w:tcPr>
          <w:p w14:paraId="45E7A208" w14:textId="1A580F9B" w:rsidR="005463AB" w:rsidRPr="005463AB" w:rsidRDefault="005463AB" w:rsidP="00162E13">
            <w:pPr>
              <w:ind w:left="477" w:hanging="477"/>
            </w:pPr>
            <w:r>
              <w:t xml:space="preserve">Johnson, N. L., Bree, O., </w:t>
            </w:r>
            <w:proofErr w:type="spellStart"/>
            <w:r>
              <w:t>Lalley</w:t>
            </w:r>
            <w:proofErr w:type="spellEnd"/>
            <w:r>
              <w:t xml:space="preserve">, E. E., </w:t>
            </w:r>
            <w:proofErr w:type="spellStart"/>
            <w:r>
              <w:t>Rettler</w:t>
            </w:r>
            <w:proofErr w:type="spellEnd"/>
            <w:r>
              <w:t xml:space="preserve">, K., Grande, P., </w:t>
            </w:r>
            <w:proofErr w:type="spellStart"/>
            <w:r>
              <w:t>Gani</w:t>
            </w:r>
            <w:proofErr w:type="spellEnd"/>
            <w:r>
              <w:t>, M. O., Ahamed, S. I. (2014). Effect of a social script iPad application for children with autism going to imaging. Journal of Pediatric Nursing, 29(6), 651–659. </w:t>
            </w:r>
            <w:r w:rsidRPr="00162E13">
              <w:t>https://doi.org/10.1016/j.pedn.2014.04.007</w:t>
            </w:r>
            <w:r>
              <w:br/>
            </w:r>
          </w:p>
        </w:tc>
      </w:tr>
      <w:tr w:rsidR="005463AB" w:rsidRPr="005463AB" w14:paraId="55FC654F" w14:textId="77777777" w:rsidTr="00162E13">
        <w:tc>
          <w:tcPr>
            <w:tcW w:w="0" w:type="auto"/>
            <w:hideMark/>
          </w:tcPr>
          <w:p w14:paraId="4905593D" w14:textId="77777777" w:rsidR="005463AB" w:rsidRPr="005463AB" w:rsidRDefault="005463AB" w:rsidP="005463AB"/>
        </w:tc>
        <w:tc>
          <w:tcPr>
            <w:tcW w:w="0" w:type="auto"/>
            <w:hideMark/>
          </w:tcPr>
          <w:p w14:paraId="65890E74" w14:textId="061CCF7C" w:rsidR="005463AB" w:rsidRPr="005463AB" w:rsidRDefault="005463AB" w:rsidP="00162E13">
            <w:pPr>
              <w:ind w:left="477" w:hanging="477"/>
            </w:pPr>
            <w:r>
              <w:t xml:space="preserve">Johnson, N. L., </w:t>
            </w:r>
            <w:proofErr w:type="spellStart"/>
            <w:r>
              <w:t>Lerret</w:t>
            </w:r>
            <w:proofErr w:type="spellEnd"/>
            <w:r>
              <w:t xml:space="preserve">, S., </w:t>
            </w:r>
            <w:proofErr w:type="spellStart"/>
            <w:r>
              <w:t>Klingbeil</w:t>
            </w:r>
            <w:proofErr w:type="spellEnd"/>
            <w:r>
              <w:t xml:space="preserve">, C. G., </w:t>
            </w:r>
            <w:proofErr w:type="spellStart"/>
            <w:r>
              <w:t>Polfuss</w:t>
            </w:r>
            <w:proofErr w:type="spellEnd"/>
            <w:r>
              <w:t xml:space="preserve">, M., Gibson, C., </w:t>
            </w:r>
            <w:proofErr w:type="spellStart"/>
            <w:r>
              <w:t>Gralton</w:t>
            </w:r>
            <w:proofErr w:type="spellEnd"/>
            <w:r>
              <w:t xml:space="preserve">, K., Garnier-Villarreal, M., Ahamed, S. I., </w:t>
            </w:r>
            <w:proofErr w:type="spellStart"/>
            <w:r>
              <w:t>Riddhiman</w:t>
            </w:r>
            <w:proofErr w:type="spellEnd"/>
            <w:r>
              <w:t xml:space="preserve">, A., </w:t>
            </w:r>
            <w:proofErr w:type="spellStart"/>
            <w:r>
              <w:t>Unteutsch</w:t>
            </w:r>
            <w:proofErr w:type="spellEnd"/>
            <w:r>
              <w:t xml:space="preserve">, R., </w:t>
            </w:r>
            <w:proofErr w:type="spellStart"/>
            <w:r>
              <w:t>Pawela</w:t>
            </w:r>
            <w:proofErr w:type="spellEnd"/>
            <w:r>
              <w:t>, L., White-</w:t>
            </w:r>
            <w:proofErr w:type="spellStart"/>
            <w:r>
              <w:t>Traut</w:t>
            </w:r>
            <w:proofErr w:type="spellEnd"/>
            <w:r>
              <w:t xml:space="preserve">, R., </w:t>
            </w:r>
            <w:proofErr w:type="spellStart"/>
            <w:r>
              <w:t>Sawin</w:t>
            </w:r>
            <w:proofErr w:type="spellEnd"/>
            <w:r>
              <w:t>, K., Weiss, M. (2020). Engaging parents in education for discharge (</w:t>
            </w:r>
            <w:proofErr w:type="spellStart"/>
            <w:r>
              <w:t>ePED</w:t>
            </w:r>
            <w:proofErr w:type="spellEnd"/>
            <w:r>
              <w:t>): Evaluating the reach, adoption &amp; implementation of an innovative discharge teaching method. Journal of Pediatric Nursing, 54, 42–49. </w:t>
            </w:r>
            <w:r w:rsidRPr="00162E13">
              <w:t>https://doi.org/10.1016/j.pedn.2020.05.022</w:t>
            </w:r>
            <w:r>
              <w:br/>
            </w:r>
          </w:p>
        </w:tc>
      </w:tr>
      <w:tr w:rsidR="005463AB" w:rsidRPr="005463AB" w14:paraId="4B4846D1" w14:textId="77777777" w:rsidTr="00162E13">
        <w:tc>
          <w:tcPr>
            <w:tcW w:w="0" w:type="auto"/>
            <w:hideMark/>
          </w:tcPr>
          <w:p w14:paraId="4EC77A7D" w14:textId="77777777" w:rsidR="005463AB" w:rsidRPr="005463AB" w:rsidRDefault="005463AB" w:rsidP="005463AB"/>
        </w:tc>
        <w:tc>
          <w:tcPr>
            <w:tcW w:w="0" w:type="auto"/>
            <w:hideMark/>
          </w:tcPr>
          <w:p w14:paraId="4CF0C1D1" w14:textId="7A77E828" w:rsidR="005463AB" w:rsidRPr="005463AB" w:rsidRDefault="005463AB" w:rsidP="00162E13">
            <w:pPr>
              <w:ind w:left="477" w:hanging="477"/>
            </w:pPr>
            <w:r>
              <w:t xml:space="preserve">Johnson, N., </w:t>
            </w:r>
            <w:proofErr w:type="spellStart"/>
            <w:r>
              <w:t>Sangasy</w:t>
            </w:r>
            <w:proofErr w:type="spellEnd"/>
            <w:r>
              <w:t>, P., Robinson, K. (2020). “No one could calm him down”: Mothers’ experience of autism diagnosis and obtainment of resources in an urban public school district. Families, Systems, and Health, 38(3), 255–264 </w:t>
            </w:r>
            <w:r w:rsidRPr="00162E13">
              <w:t>https://doi.org/10.1037/fsh0000527</w:t>
            </w:r>
            <w:r>
              <w:br/>
            </w:r>
          </w:p>
        </w:tc>
      </w:tr>
      <w:tr w:rsidR="005463AB" w:rsidRPr="005463AB" w14:paraId="59C8B31E" w14:textId="77777777" w:rsidTr="00162E13">
        <w:tc>
          <w:tcPr>
            <w:tcW w:w="0" w:type="auto"/>
            <w:hideMark/>
          </w:tcPr>
          <w:p w14:paraId="2ED19C3D" w14:textId="77777777" w:rsidR="005463AB" w:rsidRPr="005463AB" w:rsidRDefault="005463AB" w:rsidP="005463AB"/>
        </w:tc>
        <w:tc>
          <w:tcPr>
            <w:tcW w:w="0" w:type="auto"/>
            <w:hideMark/>
          </w:tcPr>
          <w:p w14:paraId="1B3BA229" w14:textId="1780AF8B" w:rsidR="005463AB" w:rsidRPr="005463AB" w:rsidRDefault="005463AB" w:rsidP="00162E13">
            <w:pPr>
              <w:ind w:left="477" w:hanging="477"/>
            </w:pPr>
            <w:r>
              <w:t>Kelley, K., Preacher, K. J. (2012). On effect size. Psychological Methods, 17(2), 137–152. </w:t>
            </w:r>
            <w:r w:rsidRPr="00162E13">
              <w:t>https://doi.org/10.1037/a0028086</w:t>
            </w:r>
            <w:r>
              <w:br/>
            </w:r>
          </w:p>
        </w:tc>
      </w:tr>
      <w:tr w:rsidR="005463AB" w:rsidRPr="005463AB" w14:paraId="529A90F2" w14:textId="77777777" w:rsidTr="00162E13">
        <w:tc>
          <w:tcPr>
            <w:tcW w:w="0" w:type="auto"/>
            <w:hideMark/>
          </w:tcPr>
          <w:p w14:paraId="038C76E5" w14:textId="77777777" w:rsidR="005463AB" w:rsidRPr="005463AB" w:rsidRDefault="005463AB" w:rsidP="005463AB"/>
        </w:tc>
        <w:tc>
          <w:tcPr>
            <w:tcW w:w="0" w:type="auto"/>
            <w:hideMark/>
          </w:tcPr>
          <w:p w14:paraId="7BBB117B" w14:textId="0E13A1FA" w:rsidR="005463AB" w:rsidRPr="005463AB" w:rsidRDefault="005463AB" w:rsidP="00162E13">
            <w:pPr>
              <w:ind w:left="477" w:hanging="477"/>
            </w:pPr>
            <w:r>
              <w:t xml:space="preserve">Koski, S., </w:t>
            </w:r>
            <w:proofErr w:type="spellStart"/>
            <w:r>
              <w:t>Gabriels</w:t>
            </w:r>
            <w:proofErr w:type="spellEnd"/>
            <w:r>
              <w:t xml:space="preserve">, R. L., Beresford, C. (2016). Interventions for </w:t>
            </w:r>
            <w:proofErr w:type="spellStart"/>
            <w:r>
              <w:t>paediatric</w:t>
            </w:r>
            <w:proofErr w:type="spellEnd"/>
            <w:r>
              <w:t xml:space="preserve"> surgery patients with comorbid autism spectrum disorder: A systematic literature review. Archives of Diseases in Childhood, 101(12), 1090–1094. </w:t>
            </w:r>
            <w:r w:rsidRPr="00162E13">
              <w:t>https://doi.org/10.1136/archdischild-2016-310814</w:t>
            </w:r>
            <w:r>
              <w:br/>
            </w:r>
          </w:p>
        </w:tc>
      </w:tr>
      <w:tr w:rsidR="005463AB" w:rsidRPr="005463AB" w14:paraId="36B7645A" w14:textId="77777777" w:rsidTr="00162E13">
        <w:tc>
          <w:tcPr>
            <w:tcW w:w="0" w:type="auto"/>
            <w:hideMark/>
          </w:tcPr>
          <w:p w14:paraId="0EB77819" w14:textId="77777777" w:rsidR="005463AB" w:rsidRPr="005463AB" w:rsidRDefault="005463AB" w:rsidP="005463AB"/>
        </w:tc>
        <w:tc>
          <w:tcPr>
            <w:tcW w:w="0" w:type="auto"/>
            <w:hideMark/>
          </w:tcPr>
          <w:p w14:paraId="69D54B51" w14:textId="573176E7" w:rsidR="005463AB" w:rsidRPr="005463AB" w:rsidRDefault="005463AB" w:rsidP="00162E13">
            <w:pPr>
              <w:ind w:left="477" w:hanging="477"/>
            </w:pPr>
            <w:proofErr w:type="spellStart"/>
            <w:r>
              <w:t>Lerret</w:t>
            </w:r>
            <w:proofErr w:type="spellEnd"/>
            <w:r>
              <w:t>, S. M., Weiss, M. E. (2011). How ready are they? Parents of pediatric solid organ transplant recipients and the transition from hospital to home following transplant. Pediatric Transplant, 15(6), 606–616. </w:t>
            </w:r>
            <w:r w:rsidRPr="00162E13">
              <w:t>https://doi.org/10.1111/j.1399-3046.2011.01536.x</w:t>
            </w:r>
            <w:r>
              <w:br/>
            </w:r>
          </w:p>
        </w:tc>
      </w:tr>
      <w:tr w:rsidR="005463AB" w:rsidRPr="005463AB" w14:paraId="69CDF4A0" w14:textId="77777777" w:rsidTr="00162E13">
        <w:tc>
          <w:tcPr>
            <w:tcW w:w="0" w:type="auto"/>
            <w:hideMark/>
          </w:tcPr>
          <w:p w14:paraId="3491A930" w14:textId="77777777" w:rsidR="005463AB" w:rsidRPr="005463AB" w:rsidRDefault="005463AB" w:rsidP="005463AB"/>
        </w:tc>
        <w:tc>
          <w:tcPr>
            <w:tcW w:w="0" w:type="auto"/>
            <w:hideMark/>
          </w:tcPr>
          <w:p w14:paraId="4F5E2568" w14:textId="306C0586" w:rsidR="005463AB" w:rsidRPr="005463AB" w:rsidRDefault="005463AB" w:rsidP="00162E13">
            <w:pPr>
              <w:ind w:left="477" w:hanging="477"/>
            </w:pPr>
            <w:proofErr w:type="spellStart"/>
            <w:r>
              <w:t>Lerret</w:t>
            </w:r>
            <w:proofErr w:type="spellEnd"/>
            <w:r>
              <w:t xml:space="preserve">, S. M., Johnson, N. L., </w:t>
            </w:r>
            <w:proofErr w:type="spellStart"/>
            <w:r>
              <w:t>Polfuss</w:t>
            </w:r>
            <w:proofErr w:type="spellEnd"/>
            <w:r>
              <w:t xml:space="preserve">, M., Weiss, M., </w:t>
            </w:r>
            <w:proofErr w:type="spellStart"/>
            <w:r>
              <w:t>Gralton</w:t>
            </w:r>
            <w:proofErr w:type="spellEnd"/>
            <w:r>
              <w:t xml:space="preserve">, K., </w:t>
            </w:r>
            <w:proofErr w:type="spellStart"/>
            <w:r>
              <w:t>Klingbeil</w:t>
            </w:r>
            <w:proofErr w:type="spellEnd"/>
            <w:r>
              <w:t xml:space="preserve">, C. G., Gibson, C., Garnier-Villarreal, M., Ahamed, S. I., </w:t>
            </w:r>
            <w:proofErr w:type="spellStart"/>
            <w:r>
              <w:t>Adib</w:t>
            </w:r>
            <w:proofErr w:type="spellEnd"/>
            <w:r>
              <w:t xml:space="preserve">, R., </w:t>
            </w:r>
            <w:proofErr w:type="spellStart"/>
            <w:r>
              <w:t>Unteutsch</w:t>
            </w:r>
            <w:proofErr w:type="spellEnd"/>
            <w:r>
              <w:t xml:space="preserve">, R., </w:t>
            </w:r>
            <w:proofErr w:type="spellStart"/>
            <w:r>
              <w:t>Pawela</w:t>
            </w:r>
            <w:proofErr w:type="spellEnd"/>
            <w:r>
              <w:t>, L., White-</w:t>
            </w:r>
            <w:proofErr w:type="spellStart"/>
            <w:r>
              <w:t>Traut</w:t>
            </w:r>
            <w:proofErr w:type="spellEnd"/>
            <w:r>
              <w:t xml:space="preserve">, R., </w:t>
            </w:r>
            <w:proofErr w:type="spellStart"/>
            <w:r>
              <w:t>Sawin</w:t>
            </w:r>
            <w:proofErr w:type="spellEnd"/>
            <w:r>
              <w:t>, K. (2020). Using the engaging parents in education for discharge (</w:t>
            </w:r>
            <w:proofErr w:type="spellStart"/>
            <w:r>
              <w:t>ePED</w:t>
            </w:r>
            <w:proofErr w:type="spellEnd"/>
            <w:r>
              <w:t>) iPad application to improve parent discharge experience. Journal of Pediatric Nursing, 52, 41–48. </w:t>
            </w:r>
            <w:r w:rsidRPr="00162E13">
              <w:t>https://doi.org/10.1016/j.pedn.2020.02.041</w:t>
            </w:r>
            <w:r>
              <w:br/>
            </w:r>
          </w:p>
        </w:tc>
      </w:tr>
      <w:tr w:rsidR="005463AB" w:rsidRPr="005463AB" w14:paraId="0BE94908" w14:textId="77777777" w:rsidTr="00162E13">
        <w:tc>
          <w:tcPr>
            <w:tcW w:w="0" w:type="auto"/>
            <w:hideMark/>
          </w:tcPr>
          <w:p w14:paraId="1D2E82E8" w14:textId="77777777" w:rsidR="005463AB" w:rsidRPr="005463AB" w:rsidRDefault="005463AB" w:rsidP="005463AB"/>
        </w:tc>
        <w:tc>
          <w:tcPr>
            <w:tcW w:w="0" w:type="auto"/>
            <w:hideMark/>
          </w:tcPr>
          <w:p w14:paraId="46537CD8" w14:textId="3FAD0E76" w:rsidR="005463AB" w:rsidRPr="005463AB" w:rsidRDefault="005463AB" w:rsidP="00162E13">
            <w:pPr>
              <w:ind w:left="477" w:hanging="477"/>
            </w:pPr>
            <w:proofErr w:type="spellStart"/>
            <w:r>
              <w:t>Lerret</w:t>
            </w:r>
            <w:proofErr w:type="spellEnd"/>
            <w:r>
              <w:t xml:space="preserve">, S. M., Weiss, M. E., </w:t>
            </w:r>
            <w:proofErr w:type="spellStart"/>
            <w:r>
              <w:t>Stendahl</w:t>
            </w:r>
            <w:proofErr w:type="spellEnd"/>
            <w:r>
              <w:t xml:space="preserve">, G. L., Chapman, S., Menendez, J., Williams, L., Nadler, M. L., Neighbors, K., </w:t>
            </w:r>
            <w:proofErr w:type="spellStart"/>
            <w:r>
              <w:t>Amsden</w:t>
            </w:r>
            <w:proofErr w:type="spellEnd"/>
            <w:r>
              <w:t>, K., Cao, Y., Nugent, M., Alonso, E. M., Simpson, P. (2015). Pediatric solid organ transplant recipients: Transition to home and chronic illness care. Pediatric Transplant, 19(1), 118–129. </w:t>
            </w:r>
            <w:r w:rsidRPr="00162E13">
              <w:t>https://doi.org/10.1111/petr.12397</w:t>
            </w:r>
            <w:r>
              <w:br/>
            </w:r>
          </w:p>
        </w:tc>
      </w:tr>
      <w:tr w:rsidR="005463AB" w:rsidRPr="005463AB" w14:paraId="6F35DC70" w14:textId="77777777" w:rsidTr="00162E13">
        <w:tc>
          <w:tcPr>
            <w:tcW w:w="0" w:type="auto"/>
            <w:hideMark/>
          </w:tcPr>
          <w:p w14:paraId="0FA3743A" w14:textId="77777777" w:rsidR="005463AB" w:rsidRPr="005463AB" w:rsidRDefault="005463AB" w:rsidP="005463AB"/>
        </w:tc>
        <w:tc>
          <w:tcPr>
            <w:tcW w:w="0" w:type="auto"/>
            <w:hideMark/>
          </w:tcPr>
          <w:p w14:paraId="1FFE05EB" w14:textId="43EAF325" w:rsidR="005463AB" w:rsidRPr="005463AB" w:rsidRDefault="005463AB" w:rsidP="00162E13">
            <w:pPr>
              <w:ind w:left="477" w:hanging="477"/>
            </w:pPr>
            <w:proofErr w:type="spellStart"/>
            <w:r>
              <w:t>Lerret</w:t>
            </w:r>
            <w:proofErr w:type="spellEnd"/>
            <w:r>
              <w:t xml:space="preserve">, S. M., Weiss, M. E., </w:t>
            </w:r>
            <w:proofErr w:type="spellStart"/>
            <w:r>
              <w:t>Stendahl</w:t>
            </w:r>
            <w:proofErr w:type="spellEnd"/>
            <w:r>
              <w:t xml:space="preserve">, G., Chapman, S., Neighbors, K., </w:t>
            </w:r>
            <w:proofErr w:type="spellStart"/>
            <w:r>
              <w:t>Amsden</w:t>
            </w:r>
            <w:proofErr w:type="spellEnd"/>
            <w:r>
              <w:t xml:space="preserve">, K., </w:t>
            </w:r>
            <w:proofErr w:type="spellStart"/>
            <w:r>
              <w:t>Lokar</w:t>
            </w:r>
            <w:proofErr w:type="spellEnd"/>
            <w:r>
              <w:t xml:space="preserve">, J., </w:t>
            </w:r>
            <w:proofErr w:type="spellStart"/>
            <w:r>
              <w:t>Voit</w:t>
            </w:r>
            <w:proofErr w:type="spellEnd"/>
            <w:r>
              <w:t>, A., Menendez, J., Alonso, E. M. (2014). Transition from hospital to home following pediatric solid organ transplant: Qualitative findings of parent experience. Pediatric Transplant, 18(5), 527–537. </w:t>
            </w:r>
            <w:r w:rsidRPr="00162E13">
              <w:t>https://doi.org/10.1111/petr.12269</w:t>
            </w:r>
            <w:r>
              <w:br/>
            </w:r>
          </w:p>
        </w:tc>
      </w:tr>
      <w:tr w:rsidR="005463AB" w:rsidRPr="005463AB" w14:paraId="7AFB67A0" w14:textId="77777777" w:rsidTr="00162E13">
        <w:tc>
          <w:tcPr>
            <w:tcW w:w="0" w:type="auto"/>
            <w:hideMark/>
          </w:tcPr>
          <w:p w14:paraId="0056AD40" w14:textId="77777777" w:rsidR="005463AB" w:rsidRPr="005463AB" w:rsidRDefault="005463AB" w:rsidP="005463AB"/>
        </w:tc>
        <w:tc>
          <w:tcPr>
            <w:tcW w:w="0" w:type="auto"/>
            <w:hideMark/>
          </w:tcPr>
          <w:p w14:paraId="178596EB" w14:textId="04535BF4" w:rsidR="005463AB" w:rsidRPr="005463AB" w:rsidRDefault="005463AB" w:rsidP="00162E13">
            <w:pPr>
              <w:ind w:left="477" w:hanging="477"/>
            </w:pPr>
            <w:r>
              <w:t xml:space="preserve">Levy, S. E., </w:t>
            </w:r>
            <w:proofErr w:type="spellStart"/>
            <w:r>
              <w:t>Giarelli</w:t>
            </w:r>
            <w:proofErr w:type="spellEnd"/>
            <w:r>
              <w:t xml:space="preserve">, E., Lee, L. C., </w:t>
            </w:r>
            <w:proofErr w:type="spellStart"/>
            <w:r>
              <w:t>Schieve</w:t>
            </w:r>
            <w:proofErr w:type="spellEnd"/>
            <w:r>
              <w:t xml:space="preserve">, L. A., Kirby, R. S., </w:t>
            </w:r>
            <w:proofErr w:type="spellStart"/>
            <w:r>
              <w:t>Cunniff</w:t>
            </w:r>
            <w:proofErr w:type="spellEnd"/>
            <w:r>
              <w:t xml:space="preserve">, C., Nicholas, J., </w:t>
            </w:r>
            <w:proofErr w:type="spellStart"/>
            <w:r>
              <w:t>Reaven</w:t>
            </w:r>
            <w:proofErr w:type="spellEnd"/>
            <w:r>
              <w:t xml:space="preserve">, J., Rice, C. E. (2010). Autism spectrum disorder and co-occurring developmental, psychiatric, and medical conditions among children in multiple populations of the United States. Journal of Developmental </w:t>
            </w:r>
            <w:proofErr w:type="spellStart"/>
            <w:r>
              <w:t>Behavavioral</w:t>
            </w:r>
            <w:proofErr w:type="spellEnd"/>
            <w:r>
              <w:t xml:space="preserve"> Pediatrics, 4, 267–275.</w:t>
            </w:r>
            <w:r>
              <w:br/>
            </w:r>
          </w:p>
        </w:tc>
      </w:tr>
      <w:tr w:rsidR="005463AB" w:rsidRPr="005463AB" w14:paraId="7E4025BB" w14:textId="77777777" w:rsidTr="00162E13">
        <w:tc>
          <w:tcPr>
            <w:tcW w:w="0" w:type="auto"/>
            <w:hideMark/>
          </w:tcPr>
          <w:p w14:paraId="19C3689C" w14:textId="77777777" w:rsidR="005463AB" w:rsidRPr="005463AB" w:rsidRDefault="005463AB" w:rsidP="005463AB"/>
        </w:tc>
        <w:tc>
          <w:tcPr>
            <w:tcW w:w="0" w:type="auto"/>
            <w:hideMark/>
          </w:tcPr>
          <w:p w14:paraId="68437082" w14:textId="4D18E560" w:rsidR="005463AB" w:rsidRPr="005463AB" w:rsidRDefault="005463AB" w:rsidP="00162E13">
            <w:pPr>
              <w:ind w:left="477" w:hanging="477"/>
            </w:pPr>
            <w:r>
              <w:t xml:space="preserve">McCaffrey, D. F., Griffin, B. A., </w:t>
            </w:r>
            <w:proofErr w:type="spellStart"/>
            <w:r>
              <w:t>Almirall</w:t>
            </w:r>
            <w:proofErr w:type="spellEnd"/>
            <w:r>
              <w:t xml:space="preserve">, D., Slaughter, M. E., </w:t>
            </w:r>
            <w:proofErr w:type="spellStart"/>
            <w:r>
              <w:t>Ramchand</w:t>
            </w:r>
            <w:proofErr w:type="spellEnd"/>
            <w:r>
              <w:t xml:space="preserve">, R., </w:t>
            </w:r>
            <w:proofErr w:type="spellStart"/>
            <w:r>
              <w:t>Burgette</w:t>
            </w:r>
            <w:proofErr w:type="spellEnd"/>
            <w:r>
              <w:t>, L. F. (2013). A tutorial on propensity score estimation for multiple treatments using generalized boosted models. Statistics in Medicine, 32(19), 3388–3414. </w:t>
            </w:r>
            <w:r w:rsidRPr="00162E13">
              <w:t>https://doi.org/10.1002/sim.5753</w:t>
            </w:r>
            <w:r>
              <w:br/>
            </w:r>
          </w:p>
        </w:tc>
      </w:tr>
      <w:tr w:rsidR="005463AB" w:rsidRPr="005463AB" w14:paraId="5DC0C91C" w14:textId="77777777" w:rsidTr="00162E13">
        <w:tc>
          <w:tcPr>
            <w:tcW w:w="0" w:type="auto"/>
            <w:hideMark/>
          </w:tcPr>
          <w:p w14:paraId="7DF47675" w14:textId="77777777" w:rsidR="005463AB" w:rsidRPr="005463AB" w:rsidRDefault="005463AB" w:rsidP="005463AB"/>
        </w:tc>
        <w:tc>
          <w:tcPr>
            <w:tcW w:w="0" w:type="auto"/>
            <w:hideMark/>
          </w:tcPr>
          <w:p w14:paraId="6863F527" w14:textId="730EAB78" w:rsidR="005463AB" w:rsidRPr="005463AB" w:rsidRDefault="005463AB" w:rsidP="00162E13">
            <w:pPr>
              <w:ind w:left="477" w:hanging="477"/>
            </w:pPr>
            <w:r>
              <w:t xml:space="preserve">McCaffrey, D. F., Ridgeway, G., </w:t>
            </w:r>
            <w:proofErr w:type="spellStart"/>
            <w:r>
              <w:t>Morral</w:t>
            </w:r>
            <w:proofErr w:type="spellEnd"/>
            <w:r>
              <w:t>, A. R. (2004). Propensity score estimation with boosted regression for evaluating causal effects in observational studies. Psychological Methods, 9(4), 403–425. </w:t>
            </w:r>
            <w:r w:rsidRPr="00162E13">
              <w:t>https://doi.org/10.1037/1082-989X.9.4.403</w:t>
            </w:r>
            <w:r>
              <w:br/>
            </w:r>
          </w:p>
        </w:tc>
      </w:tr>
      <w:tr w:rsidR="005463AB" w:rsidRPr="005463AB" w14:paraId="67446F2F" w14:textId="77777777" w:rsidTr="00162E13">
        <w:tc>
          <w:tcPr>
            <w:tcW w:w="0" w:type="auto"/>
            <w:hideMark/>
          </w:tcPr>
          <w:p w14:paraId="47F01F3F" w14:textId="77777777" w:rsidR="005463AB" w:rsidRPr="005463AB" w:rsidRDefault="005463AB" w:rsidP="005463AB"/>
        </w:tc>
        <w:tc>
          <w:tcPr>
            <w:tcW w:w="0" w:type="auto"/>
            <w:hideMark/>
          </w:tcPr>
          <w:p w14:paraId="2660B675" w14:textId="44D3D97B" w:rsidR="005463AB" w:rsidRPr="005463AB" w:rsidRDefault="005463AB" w:rsidP="00162E13">
            <w:pPr>
              <w:ind w:left="477" w:hanging="477"/>
            </w:pPr>
            <w:r>
              <w:t xml:space="preserve">Mitchell, S. E., Laurens, V., Weigel, G. M., Hirschman, K. B., Scott, A. M., Nguyen, H. Q., Howard, J. M., Laird, L., Levine, C., Davis, T. C., </w:t>
            </w:r>
            <w:proofErr w:type="spellStart"/>
            <w:r>
              <w:t>Gass</w:t>
            </w:r>
            <w:proofErr w:type="spellEnd"/>
            <w:r>
              <w:t xml:space="preserve">, B., </w:t>
            </w:r>
            <w:proofErr w:type="spellStart"/>
            <w:r>
              <w:t>Shaid</w:t>
            </w:r>
            <w:proofErr w:type="spellEnd"/>
            <w:r>
              <w:t>, E., Li, J., Williams, M. V., Jack, B. W. (2018). Care transitions from patient and caregiver perspectives. Annals of Family Medicine, 16(3), 225–231. </w:t>
            </w:r>
            <w:r w:rsidRPr="00162E13">
              <w:t>https://doi.org/10.1370/afm.2222</w:t>
            </w:r>
            <w:r>
              <w:br/>
            </w:r>
          </w:p>
        </w:tc>
      </w:tr>
      <w:tr w:rsidR="005463AB" w:rsidRPr="005463AB" w14:paraId="0803D70C" w14:textId="77777777" w:rsidTr="00162E13">
        <w:tc>
          <w:tcPr>
            <w:tcW w:w="0" w:type="auto"/>
            <w:hideMark/>
          </w:tcPr>
          <w:p w14:paraId="476A3F42" w14:textId="77777777" w:rsidR="005463AB" w:rsidRPr="005463AB" w:rsidRDefault="005463AB" w:rsidP="005463AB"/>
        </w:tc>
        <w:tc>
          <w:tcPr>
            <w:tcW w:w="0" w:type="auto"/>
            <w:hideMark/>
          </w:tcPr>
          <w:p w14:paraId="540CBEE2" w14:textId="35F953B5" w:rsidR="005463AB" w:rsidRPr="005463AB" w:rsidRDefault="005463AB" w:rsidP="00162E13">
            <w:pPr>
              <w:ind w:left="477" w:hanging="477"/>
            </w:pPr>
            <w:proofErr w:type="spellStart"/>
            <w:r>
              <w:t>Perou</w:t>
            </w:r>
            <w:proofErr w:type="spellEnd"/>
            <w:r>
              <w:t xml:space="preserve">, R. H., </w:t>
            </w:r>
            <w:proofErr w:type="spellStart"/>
            <w:r>
              <w:t>Bitsko</w:t>
            </w:r>
            <w:proofErr w:type="spellEnd"/>
            <w:r>
              <w:t xml:space="preserve">, S. J., Blumberg, P., Pastor, R. M., </w:t>
            </w:r>
            <w:proofErr w:type="spellStart"/>
            <w:r>
              <w:t>Ghandour</w:t>
            </w:r>
            <w:proofErr w:type="spellEnd"/>
            <w:r>
              <w:t xml:space="preserve">, J. C., </w:t>
            </w:r>
            <w:proofErr w:type="spellStart"/>
            <w:r>
              <w:t>Gfoerer</w:t>
            </w:r>
            <w:proofErr w:type="spellEnd"/>
            <w:r>
              <w:t>, S. L. (2013). Mental Health surveillance among children - United States 2005–2011. Morbidity and Mortality Weekly Report. </w:t>
            </w:r>
            <w:r w:rsidRPr="00162E13">
              <w:t>https://www.cdc.gov/mmwr/pdf/other/su6202.pdf</w:t>
            </w:r>
            <w:r>
              <w:br/>
            </w:r>
          </w:p>
        </w:tc>
      </w:tr>
      <w:tr w:rsidR="005463AB" w:rsidRPr="005463AB" w14:paraId="27E82C11" w14:textId="77777777" w:rsidTr="00162E13">
        <w:tc>
          <w:tcPr>
            <w:tcW w:w="0" w:type="auto"/>
            <w:hideMark/>
          </w:tcPr>
          <w:p w14:paraId="165D8CE7" w14:textId="77777777" w:rsidR="005463AB" w:rsidRPr="005463AB" w:rsidRDefault="005463AB" w:rsidP="005463AB"/>
        </w:tc>
        <w:tc>
          <w:tcPr>
            <w:tcW w:w="0" w:type="auto"/>
            <w:hideMark/>
          </w:tcPr>
          <w:p w14:paraId="15242D3D" w14:textId="5F97BCDF" w:rsidR="005463AB" w:rsidRPr="005463AB" w:rsidRDefault="005463AB" w:rsidP="00162E13">
            <w:pPr>
              <w:ind w:left="477" w:hanging="477"/>
            </w:pPr>
            <w:r>
              <w:t xml:space="preserve">Ryan, P., </w:t>
            </w:r>
            <w:proofErr w:type="spellStart"/>
            <w:r>
              <w:t>Sawin</w:t>
            </w:r>
            <w:proofErr w:type="spellEnd"/>
            <w:r>
              <w:t>, K. J. (2009). The Individual and Family Self-Management Theory: Background and perspectives on context, process, and outcomes. Nursing Outlook, 57(4), 217–225 e216. </w:t>
            </w:r>
            <w:r w:rsidRPr="00162E13">
              <w:t>https://doi.org/10.1016/j.outlook.2008.10.004</w:t>
            </w:r>
            <w:r>
              <w:br/>
            </w:r>
          </w:p>
        </w:tc>
      </w:tr>
      <w:tr w:rsidR="005463AB" w:rsidRPr="005463AB" w14:paraId="3A024744" w14:textId="77777777" w:rsidTr="00162E13">
        <w:tc>
          <w:tcPr>
            <w:tcW w:w="0" w:type="auto"/>
            <w:hideMark/>
          </w:tcPr>
          <w:p w14:paraId="10EF56C7" w14:textId="77777777" w:rsidR="005463AB" w:rsidRPr="005463AB" w:rsidRDefault="005463AB" w:rsidP="005463AB"/>
        </w:tc>
        <w:tc>
          <w:tcPr>
            <w:tcW w:w="0" w:type="auto"/>
            <w:hideMark/>
          </w:tcPr>
          <w:p w14:paraId="74DF6A69" w14:textId="068FA843" w:rsidR="005463AB" w:rsidRPr="005463AB" w:rsidRDefault="005463AB" w:rsidP="00162E13">
            <w:pPr>
              <w:ind w:left="477" w:hanging="477"/>
            </w:pPr>
            <w:proofErr w:type="spellStart"/>
            <w:r>
              <w:t>Sawin</w:t>
            </w:r>
            <w:proofErr w:type="spellEnd"/>
            <w:r>
              <w:t xml:space="preserve">, K. J., Weiss, M. E., Johnson, N., </w:t>
            </w:r>
            <w:proofErr w:type="spellStart"/>
            <w:r>
              <w:t>Gralton</w:t>
            </w:r>
            <w:proofErr w:type="spellEnd"/>
            <w:r>
              <w:t xml:space="preserve">, K., Malin, S., </w:t>
            </w:r>
            <w:proofErr w:type="spellStart"/>
            <w:r>
              <w:t>Klingbeil</w:t>
            </w:r>
            <w:proofErr w:type="spellEnd"/>
            <w:r>
              <w:t xml:space="preserve">, C., </w:t>
            </w:r>
            <w:proofErr w:type="spellStart"/>
            <w:r>
              <w:t>Lerret</w:t>
            </w:r>
            <w:proofErr w:type="spellEnd"/>
            <w:r>
              <w:t xml:space="preserve">, S. M., Thompson, J. J., </w:t>
            </w:r>
            <w:proofErr w:type="spellStart"/>
            <w:r>
              <w:t>Zimmanck</w:t>
            </w:r>
            <w:proofErr w:type="spellEnd"/>
            <w:r>
              <w:t>, K., Kaul, M., Schiffman, R. F. (2017). Development of a self-management theory-guided discharge intervention for parents of hospitalized children. Journal of Nursing Scholarship, 49(2), 202–213. </w:t>
            </w:r>
            <w:r w:rsidRPr="00162E13">
              <w:t>https://doi.org/10.1111/jnu.12284</w:t>
            </w:r>
            <w:r>
              <w:br/>
            </w:r>
          </w:p>
        </w:tc>
      </w:tr>
      <w:tr w:rsidR="005463AB" w:rsidRPr="005463AB" w14:paraId="4E3BC1AC" w14:textId="77777777" w:rsidTr="00162E13">
        <w:tc>
          <w:tcPr>
            <w:tcW w:w="0" w:type="auto"/>
            <w:hideMark/>
          </w:tcPr>
          <w:p w14:paraId="0474BEC5" w14:textId="77777777" w:rsidR="005463AB" w:rsidRPr="005463AB" w:rsidRDefault="005463AB" w:rsidP="005463AB"/>
        </w:tc>
        <w:tc>
          <w:tcPr>
            <w:tcW w:w="0" w:type="auto"/>
            <w:hideMark/>
          </w:tcPr>
          <w:p w14:paraId="2D4F1740" w14:textId="43AD5778" w:rsidR="005463AB" w:rsidRPr="005463AB" w:rsidRDefault="005463AB" w:rsidP="00162E13">
            <w:pPr>
              <w:ind w:left="477" w:hanging="477"/>
            </w:pPr>
            <w:proofErr w:type="spellStart"/>
            <w:proofErr w:type="gramStart"/>
            <w:r>
              <w:t>StataCorp</w:t>
            </w:r>
            <w:proofErr w:type="spellEnd"/>
            <w:r>
              <w:t xml:space="preserve"> .</w:t>
            </w:r>
            <w:proofErr w:type="gramEnd"/>
            <w:r>
              <w:t xml:space="preserve"> (2019). Stata Statistical Software [Computer software]. </w:t>
            </w:r>
            <w:proofErr w:type="spellStart"/>
            <w:r>
              <w:t>StataCorp</w:t>
            </w:r>
            <w:proofErr w:type="spellEnd"/>
            <w:r>
              <w:t xml:space="preserve"> LLC.</w:t>
            </w:r>
            <w:r>
              <w:br/>
            </w:r>
          </w:p>
        </w:tc>
      </w:tr>
      <w:tr w:rsidR="005463AB" w:rsidRPr="005463AB" w14:paraId="2B4E3E30" w14:textId="77777777" w:rsidTr="00162E13">
        <w:tc>
          <w:tcPr>
            <w:tcW w:w="0" w:type="auto"/>
            <w:hideMark/>
          </w:tcPr>
          <w:p w14:paraId="6581D200" w14:textId="77777777" w:rsidR="005463AB" w:rsidRPr="005463AB" w:rsidRDefault="005463AB" w:rsidP="005463AB"/>
        </w:tc>
        <w:tc>
          <w:tcPr>
            <w:tcW w:w="0" w:type="auto"/>
            <w:hideMark/>
          </w:tcPr>
          <w:p w14:paraId="154FA3DE" w14:textId="0EA204E4" w:rsidR="005463AB" w:rsidRPr="005463AB" w:rsidRDefault="005463AB" w:rsidP="00162E13">
            <w:pPr>
              <w:ind w:left="477" w:hanging="477"/>
            </w:pPr>
            <w:r>
              <w:t xml:space="preserve">Straus, J., Coburn, S., Maskell, S., </w:t>
            </w:r>
            <w:proofErr w:type="spellStart"/>
            <w:r>
              <w:t>Pappagianopoulos</w:t>
            </w:r>
            <w:proofErr w:type="spellEnd"/>
            <w:r>
              <w:t>, J., Cantrell, K. (2019). Medical encounters for youth with autism spectrum disorder: A Comprehensive review of environmental considerations and interventions. Clinical Medicine Insights Pediatrics, 13, 1179556519842816. </w:t>
            </w:r>
            <w:r w:rsidRPr="00162E13">
              <w:t>https://doi.org/10.1177/1179556519842816</w:t>
            </w:r>
            <w:r>
              <w:br/>
            </w:r>
          </w:p>
        </w:tc>
      </w:tr>
      <w:tr w:rsidR="005463AB" w:rsidRPr="005463AB" w14:paraId="186D80CF" w14:textId="77777777" w:rsidTr="00162E13">
        <w:tc>
          <w:tcPr>
            <w:tcW w:w="0" w:type="auto"/>
            <w:hideMark/>
          </w:tcPr>
          <w:p w14:paraId="73B4764D" w14:textId="77777777" w:rsidR="005463AB" w:rsidRPr="005463AB" w:rsidRDefault="005463AB" w:rsidP="005463AB"/>
        </w:tc>
        <w:tc>
          <w:tcPr>
            <w:tcW w:w="0" w:type="auto"/>
            <w:hideMark/>
          </w:tcPr>
          <w:p w14:paraId="31D02022" w14:textId="509C2A66" w:rsidR="005463AB" w:rsidRPr="005463AB" w:rsidRDefault="005463AB" w:rsidP="00162E13">
            <w:pPr>
              <w:ind w:left="477" w:hanging="477"/>
            </w:pPr>
            <w:r>
              <w:t xml:space="preserve">Sullivan, B., Ming, D., </w:t>
            </w:r>
            <w:proofErr w:type="spellStart"/>
            <w:r>
              <w:t>Boggan</w:t>
            </w:r>
            <w:proofErr w:type="spellEnd"/>
            <w:r>
              <w:t xml:space="preserve">, J. C., </w:t>
            </w:r>
            <w:proofErr w:type="spellStart"/>
            <w:r>
              <w:t>Schulteis</w:t>
            </w:r>
            <w:proofErr w:type="spellEnd"/>
            <w:r>
              <w:t>, R. D., Thomas, S., Choi, J., Bae, J. (2015). An evaluation of physician predictions of discharge on a general medicine service. Journal of Hospital Medicine, 10(12), 808–810. </w:t>
            </w:r>
            <w:r w:rsidRPr="00162E13">
              <w:t>https://doi.org/10.1002/jhm.2439</w:t>
            </w:r>
            <w:r>
              <w:br/>
            </w:r>
          </w:p>
        </w:tc>
      </w:tr>
      <w:tr w:rsidR="005463AB" w:rsidRPr="005463AB" w14:paraId="1C773219" w14:textId="77777777" w:rsidTr="00162E13">
        <w:tc>
          <w:tcPr>
            <w:tcW w:w="0" w:type="auto"/>
            <w:hideMark/>
          </w:tcPr>
          <w:p w14:paraId="3BF3517A" w14:textId="77777777" w:rsidR="005463AB" w:rsidRPr="005463AB" w:rsidRDefault="005463AB" w:rsidP="005463AB"/>
        </w:tc>
        <w:tc>
          <w:tcPr>
            <w:tcW w:w="0" w:type="auto"/>
            <w:hideMark/>
          </w:tcPr>
          <w:p w14:paraId="37C1AF84" w14:textId="1487ABEA" w:rsidR="005463AB" w:rsidRPr="005463AB" w:rsidRDefault="005463AB" w:rsidP="00162E13">
            <w:pPr>
              <w:ind w:left="477" w:hanging="477"/>
            </w:pPr>
            <w:r>
              <w:t>Tanner, C. A. (2006). Thinking like a nurse: A research-based model of clinical judgment in nursing. Journal of Nursing Education, 45(6), 204–211.</w:t>
            </w:r>
            <w:r>
              <w:br/>
            </w:r>
          </w:p>
        </w:tc>
      </w:tr>
      <w:tr w:rsidR="005463AB" w:rsidRPr="005463AB" w14:paraId="64C1BB2A" w14:textId="77777777" w:rsidTr="00162E13">
        <w:tc>
          <w:tcPr>
            <w:tcW w:w="0" w:type="auto"/>
            <w:hideMark/>
          </w:tcPr>
          <w:p w14:paraId="23C9B18A" w14:textId="77777777" w:rsidR="005463AB" w:rsidRPr="005463AB" w:rsidRDefault="005463AB" w:rsidP="005463AB"/>
        </w:tc>
        <w:tc>
          <w:tcPr>
            <w:tcW w:w="0" w:type="auto"/>
            <w:hideMark/>
          </w:tcPr>
          <w:p w14:paraId="7E6ADD89" w14:textId="732D9041" w:rsidR="005463AB" w:rsidRPr="005463AB" w:rsidRDefault="005463AB" w:rsidP="00162E13">
            <w:pPr>
              <w:ind w:left="477" w:hanging="477"/>
            </w:pPr>
            <w:proofErr w:type="spellStart"/>
            <w:r>
              <w:t>Tsiatis</w:t>
            </w:r>
            <w:proofErr w:type="spellEnd"/>
            <w:r>
              <w:t>, A. A., Davidian, M. (2007). Comment: Demystifying double robustness: A comparison of alternative strategies for estimating a population mean from incomplete data. Statistical Science, 22(4), 569–573. </w:t>
            </w:r>
            <w:r w:rsidRPr="00162E13">
              <w:t>https://doi.org/10.1214/07-STS227</w:t>
            </w:r>
            <w:r>
              <w:br/>
            </w:r>
          </w:p>
        </w:tc>
      </w:tr>
      <w:tr w:rsidR="005463AB" w:rsidRPr="005463AB" w14:paraId="4875086C" w14:textId="77777777" w:rsidTr="00162E13">
        <w:tc>
          <w:tcPr>
            <w:tcW w:w="0" w:type="auto"/>
            <w:hideMark/>
          </w:tcPr>
          <w:p w14:paraId="773637C2" w14:textId="77777777" w:rsidR="005463AB" w:rsidRPr="005463AB" w:rsidRDefault="005463AB" w:rsidP="005463AB"/>
        </w:tc>
        <w:tc>
          <w:tcPr>
            <w:tcW w:w="0" w:type="auto"/>
            <w:hideMark/>
          </w:tcPr>
          <w:p w14:paraId="62B4AD9B" w14:textId="73FB96EF" w:rsidR="005463AB" w:rsidRPr="005463AB" w:rsidRDefault="005463AB" w:rsidP="00162E13">
            <w:pPr>
              <w:ind w:left="477" w:hanging="477"/>
            </w:pPr>
            <w:r>
              <w:t xml:space="preserve">Vaughan, E. L., </w:t>
            </w:r>
            <w:proofErr w:type="spellStart"/>
            <w:r>
              <w:t>Feinn</w:t>
            </w:r>
            <w:proofErr w:type="spellEnd"/>
            <w:r>
              <w:t>, R., Bernard, S., Brereton, M., Kaufman, J. S. (2013). Relationships between child emotional and behavioral symptoms and caregiver strain and parenting stress. Journal of Family Issues, 34(4), 534–556. </w:t>
            </w:r>
            <w:r w:rsidRPr="00162E13">
              <w:t>https://doi.org/10.1177/0192513X12440949</w:t>
            </w:r>
            <w:r>
              <w:br/>
            </w:r>
          </w:p>
        </w:tc>
      </w:tr>
      <w:tr w:rsidR="005463AB" w:rsidRPr="005463AB" w14:paraId="07A66F0A" w14:textId="77777777" w:rsidTr="00162E13">
        <w:tc>
          <w:tcPr>
            <w:tcW w:w="0" w:type="auto"/>
            <w:hideMark/>
          </w:tcPr>
          <w:p w14:paraId="4CD0ED67" w14:textId="77777777" w:rsidR="005463AB" w:rsidRPr="005463AB" w:rsidRDefault="005463AB" w:rsidP="005463AB"/>
        </w:tc>
        <w:tc>
          <w:tcPr>
            <w:tcW w:w="0" w:type="auto"/>
            <w:hideMark/>
          </w:tcPr>
          <w:p w14:paraId="088F9727" w14:textId="225A0663" w:rsidR="005463AB" w:rsidRPr="005463AB" w:rsidRDefault="005463AB" w:rsidP="00162E13">
            <w:pPr>
              <w:ind w:left="477" w:hanging="477"/>
            </w:pPr>
            <w:r>
              <w:t xml:space="preserve">Weiss, M., Johnson, N. L., Malin, S., </w:t>
            </w:r>
            <w:proofErr w:type="spellStart"/>
            <w:r>
              <w:t>Jerofke</w:t>
            </w:r>
            <w:proofErr w:type="spellEnd"/>
            <w:r>
              <w:t>, T., Lang, C., Sherburne, E. (2008). Readiness for discharge in parents of hospitalized children. Journal of Pediatric Nursing, 23(4), 282–295. </w:t>
            </w:r>
            <w:r w:rsidRPr="00162E13">
              <w:t>https://doi.org/10.1016/j.pedn.2007.10.005</w:t>
            </w:r>
            <w:r>
              <w:br/>
            </w:r>
          </w:p>
        </w:tc>
      </w:tr>
      <w:tr w:rsidR="005463AB" w:rsidRPr="005463AB" w14:paraId="44003B88" w14:textId="77777777" w:rsidTr="00162E13">
        <w:tc>
          <w:tcPr>
            <w:tcW w:w="0" w:type="auto"/>
            <w:hideMark/>
          </w:tcPr>
          <w:p w14:paraId="16FE8B22" w14:textId="77777777" w:rsidR="005463AB" w:rsidRPr="005463AB" w:rsidRDefault="005463AB" w:rsidP="005463AB"/>
        </w:tc>
        <w:tc>
          <w:tcPr>
            <w:tcW w:w="0" w:type="auto"/>
            <w:hideMark/>
          </w:tcPr>
          <w:p w14:paraId="3E2C492E" w14:textId="66F85F1F" w:rsidR="005463AB" w:rsidRPr="005463AB" w:rsidRDefault="005463AB" w:rsidP="00162E13">
            <w:pPr>
              <w:ind w:left="477" w:hanging="477"/>
            </w:pPr>
            <w:r>
              <w:t xml:space="preserve">Weiss, M., </w:t>
            </w:r>
            <w:proofErr w:type="spellStart"/>
            <w:r>
              <w:t>Sawin</w:t>
            </w:r>
            <w:proofErr w:type="spellEnd"/>
            <w:r>
              <w:t xml:space="preserve">, K. J., </w:t>
            </w:r>
            <w:proofErr w:type="spellStart"/>
            <w:r>
              <w:t>Gralton</w:t>
            </w:r>
            <w:proofErr w:type="spellEnd"/>
            <w:r>
              <w:t xml:space="preserve">, K., Johnson, N., </w:t>
            </w:r>
            <w:proofErr w:type="spellStart"/>
            <w:r>
              <w:t>Klingbeil</w:t>
            </w:r>
            <w:proofErr w:type="spellEnd"/>
            <w:r>
              <w:t xml:space="preserve">, C., </w:t>
            </w:r>
            <w:proofErr w:type="spellStart"/>
            <w:r>
              <w:t>Lerret</w:t>
            </w:r>
            <w:proofErr w:type="spellEnd"/>
            <w:r>
              <w:t xml:space="preserve">, S., Malin, S., </w:t>
            </w:r>
            <w:proofErr w:type="spellStart"/>
            <w:r>
              <w:t>Yakusheva</w:t>
            </w:r>
            <w:proofErr w:type="spellEnd"/>
            <w:r>
              <w:t>, O., Schiffman, R. (2017). Discharge teaching, readiness for discharge, and post-discharge outcomes in parents of hospitalized children. Journal of Pediatric Nursing, 34, 58–64. </w:t>
            </w:r>
            <w:r w:rsidRPr="00162E13">
              <w:t>https://doi.org/10.1016/j.pedn.2016.12.021</w:t>
            </w:r>
            <w:r>
              <w:br/>
            </w:r>
          </w:p>
        </w:tc>
      </w:tr>
    </w:tbl>
    <w:p w14:paraId="57F8B7BB" w14:textId="2BF6A9F7" w:rsidR="005463AB" w:rsidRPr="005463AB" w:rsidRDefault="005463AB" w:rsidP="005463AB"/>
    <w:p w14:paraId="7E3D8F78" w14:textId="77777777" w:rsidR="005463AB" w:rsidRPr="005463AB" w:rsidRDefault="005463AB" w:rsidP="005463AB"/>
    <w:sectPr w:rsidR="005463AB" w:rsidRPr="005463AB" w:rsidSect="0093360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MathematicalPiLTStd">
    <w:altName w:val="Calibri"/>
    <w:panose1 w:val="00000000000000000000"/>
    <w:charset w:val="00"/>
    <w:family w:val="auto"/>
    <w:notTrueType/>
    <w:pitch w:val="default"/>
    <w:sig w:usb0="00000003" w:usb1="00000000" w:usb2="00000000" w:usb3="00000000" w:csb0="00000001" w:csb1="00000000"/>
  </w:font>
  <w:font w:name="GillSansMTPro-MediumItalic">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4"/>
  </w:num>
  <w:num w:numId="4">
    <w:abstractNumId w:val="4"/>
  </w:num>
  <w:num w:numId="5">
    <w:abstractNumId w:val="11"/>
  </w:num>
  <w:num w:numId="6">
    <w:abstractNumId w:val="15"/>
  </w:num>
  <w:num w:numId="7">
    <w:abstractNumId w:val="1"/>
  </w:num>
  <w:num w:numId="8">
    <w:abstractNumId w:val="10"/>
  </w:num>
  <w:num w:numId="9">
    <w:abstractNumId w:val="8"/>
  </w:num>
  <w:num w:numId="10">
    <w:abstractNumId w:val="3"/>
  </w:num>
  <w:num w:numId="11">
    <w:abstractNumId w:val="12"/>
  </w:num>
  <w:num w:numId="12">
    <w:abstractNumId w:val="16"/>
  </w:num>
  <w:num w:numId="13">
    <w:abstractNumId w:val="9"/>
  </w:num>
  <w:num w:numId="14">
    <w:abstractNumId w:val="6"/>
  </w:num>
  <w:num w:numId="15">
    <w:abstractNumId w:val="1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8x8FLAvpOwaioOjV/rzhHY3ksGheUGUWXjZ/rWSMVfmZu1w2juz/55GSwv4JoC2lbUl06Tz7q/uCfivD2OGJpw==" w:salt="h64drg6vFYgaUfNjoHJg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09CB"/>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F91"/>
    <w:rsid w:val="000C6BA7"/>
    <w:rsid w:val="000D3573"/>
    <w:rsid w:val="000D4F0B"/>
    <w:rsid w:val="000D6BF2"/>
    <w:rsid w:val="000E69EF"/>
    <w:rsid w:val="000E7C46"/>
    <w:rsid w:val="000F0449"/>
    <w:rsid w:val="000F08DA"/>
    <w:rsid w:val="000F14F0"/>
    <w:rsid w:val="000F1D5E"/>
    <w:rsid w:val="000F33D0"/>
    <w:rsid w:val="000F7FB1"/>
    <w:rsid w:val="00101A98"/>
    <w:rsid w:val="001033E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2E13"/>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099"/>
    <w:rsid w:val="0033243D"/>
    <w:rsid w:val="0033652E"/>
    <w:rsid w:val="00340617"/>
    <w:rsid w:val="00340B13"/>
    <w:rsid w:val="00340CDB"/>
    <w:rsid w:val="003427C6"/>
    <w:rsid w:val="00343472"/>
    <w:rsid w:val="003449DC"/>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8F9"/>
    <w:rsid w:val="00463F96"/>
    <w:rsid w:val="004660BE"/>
    <w:rsid w:val="0046696C"/>
    <w:rsid w:val="00466DD7"/>
    <w:rsid w:val="0046AA99"/>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3AB"/>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0390"/>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101A"/>
    <w:rsid w:val="006F24E3"/>
    <w:rsid w:val="00703CC0"/>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188F"/>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8F781A"/>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60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35D33"/>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65D"/>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5A1"/>
    <w:rsid w:val="00BD439F"/>
    <w:rsid w:val="00BD4F14"/>
    <w:rsid w:val="00BE2644"/>
    <w:rsid w:val="00BE42F3"/>
    <w:rsid w:val="00BE551C"/>
    <w:rsid w:val="00BF6ECD"/>
    <w:rsid w:val="00BF790B"/>
    <w:rsid w:val="00C01E67"/>
    <w:rsid w:val="00C05302"/>
    <w:rsid w:val="00C06B6B"/>
    <w:rsid w:val="00C06F37"/>
    <w:rsid w:val="00C0784A"/>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0B5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3AF"/>
    <w:rsid w:val="00D101DD"/>
    <w:rsid w:val="00D14423"/>
    <w:rsid w:val="00D14BEC"/>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3ABC"/>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EEDCB"/>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2C9"/>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0E4D"/>
    <w:rsid w:val="00FE2208"/>
    <w:rsid w:val="00FE2769"/>
    <w:rsid w:val="00FE2ED0"/>
    <w:rsid w:val="00FE3C8C"/>
    <w:rsid w:val="00FE430B"/>
    <w:rsid w:val="00FE46AF"/>
    <w:rsid w:val="00FE73C3"/>
    <w:rsid w:val="00FF1F94"/>
    <w:rsid w:val="00FF2B49"/>
    <w:rsid w:val="00FF3001"/>
    <w:rsid w:val="00FF5582"/>
    <w:rsid w:val="014A0C2C"/>
    <w:rsid w:val="03A78292"/>
    <w:rsid w:val="066144FA"/>
    <w:rsid w:val="07ED63A8"/>
    <w:rsid w:val="0C6D7053"/>
    <w:rsid w:val="131582C3"/>
    <w:rsid w:val="15B7950E"/>
    <w:rsid w:val="178B6FFC"/>
    <w:rsid w:val="1877A80E"/>
    <w:rsid w:val="188D00CC"/>
    <w:rsid w:val="1B3B0125"/>
    <w:rsid w:val="1C64D182"/>
    <w:rsid w:val="23C27924"/>
    <w:rsid w:val="2923A163"/>
    <w:rsid w:val="2BDEDC0B"/>
    <w:rsid w:val="2C5B4225"/>
    <w:rsid w:val="2C7434DF"/>
    <w:rsid w:val="2DC06E0E"/>
    <w:rsid w:val="374C7A99"/>
    <w:rsid w:val="381551A5"/>
    <w:rsid w:val="384DEFC0"/>
    <w:rsid w:val="3B73C20C"/>
    <w:rsid w:val="3E688EB2"/>
    <w:rsid w:val="3ECBA994"/>
    <w:rsid w:val="4051D6A6"/>
    <w:rsid w:val="44204A9F"/>
    <w:rsid w:val="4623802F"/>
    <w:rsid w:val="474DF408"/>
    <w:rsid w:val="4A4A6C30"/>
    <w:rsid w:val="4D2AFADA"/>
    <w:rsid w:val="4D2CD4A0"/>
    <w:rsid w:val="4F6EF79A"/>
    <w:rsid w:val="5A9EDBD3"/>
    <w:rsid w:val="5B3501C2"/>
    <w:rsid w:val="5CB7124E"/>
    <w:rsid w:val="5D6703F4"/>
    <w:rsid w:val="5D9C404B"/>
    <w:rsid w:val="6010F6E8"/>
    <w:rsid w:val="60F01D13"/>
    <w:rsid w:val="62976EC1"/>
    <w:rsid w:val="639DE29B"/>
    <w:rsid w:val="63AE9173"/>
    <w:rsid w:val="67359035"/>
    <w:rsid w:val="676ADFE4"/>
    <w:rsid w:val="6CB371D8"/>
    <w:rsid w:val="6D312D70"/>
    <w:rsid w:val="6E4CAE5B"/>
    <w:rsid w:val="71D79386"/>
    <w:rsid w:val="71F1221D"/>
    <w:rsid w:val="738CF27E"/>
    <w:rsid w:val="74A13D79"/>
    <w:rsid w:val="767C05E4"/>
    <w:rsid w:val="77E5F3D7"/>
    <w:rsid w:val="78812A0D"/>
    <w:rsid w:val="79DB4753"/>
    <w:rsid w:val="7B6B81B3"/>
    <w:rsid w:val="7DB8A336"/>
    <w:rsid w:val="7E8488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kwd">
    <w:name w:val="kwd"/>
    <w:basedOn w:val="DefaultParagraphFont"/>
    <w:rsid w:val="005463AB"/>
  </w:style>
  <w:style w:type="character" w:customStyle="1" w:styleId="captionlabel">
    <w:name w:val="captionlabel"/>
    <w:basedOn w:val="DefaultParagraphFont"/>
    <w:rsid w:val="005463AB"/>
  </w:style>
  <w:style w:type="character" w:customStyle="1" w:styleId="nlmfn">
    <w:name w:val="nlm_fn"/>
    <w:basedOn w:val="DefaultParagraphFont"/>
    <w:rsid w:val="005463AB"/>
  </w:style>
  <w:style w:type="character" w:customStyle="1" w:styleId="fn-label">
    <w:name w:val="fn-label"/>
    <w:basedOn w:val="DefaultParagraphFont"/>
    <w:rsid w:val="005463AB"/>
  </w:style>
  <w:style w:type="character" w:customStyle="1" w:styleId="nlminline-graphic">
    <w:name w:val="nlm_inline-graphic"/>
    <w:basedOn w:val="DefaultParagraphFont"/>
    <w:rsid w:val="005463AB"/>
  </w:style>
  <w:style w:type="character" w:customStyle="1" w:styleId="nlmyear">
    <w:name w:val="nlm_year"/>
    <w:basedOn w:val="DefaultParagraphFont"/>
    <w:rsid w:val="005463AB"/>
  </w:style>
  <w:style w:type="character" w:customStyle="1" w:styleId="ref-google">
    <w:name w:val="ref-google"/>
    <w:basedOn w:val="DefaultParagraphFont"/>
    <w:rsid w:val="005463AB"/>
  </w:style>
  <w:style w:type="character" w:customStyle="1" w:styleId="ref-xlink">
    <w:name w:val="ref-xlink"/>
    <w:basedOn w:val="DefaultParagraphFont"/>
    <w:rsid w:val="005463AB"/>
  </w:style>
  <w:style w:type="character" w:customStyle="1" w:styleId="ref-sfxlink">
    <w:name w:val="ref-sfxlink"/>
    <w:basedOn w:val="DefaultParagraphFont"/>
    <w:rsid w:val="005463AB"/>
  </w:style>
  <w:style w:type="character" w:customStyle="1" w:styleId="nlmarticle-title">
    <w:name w:val="nlm_article-title"/>
    <w:basedOn w:val="DefaultParagraphFont"/>
    <w:rsid w:val="005463AB"/>
  </w:style>
  <w:style w:type="character" w:customStyle="1" w:styleId="nlmfpage">
    <w:name w:val="nlm_fpage"/>
    <w:basedOn w:val="DefaultParagraphFont"/>
    <w:rsid w:val="005463AB"/>
  </w:style>
  <w:style w:type="character" w:customStyle="1" w:styleId="nlmlpage">
    <w:name w:val="nlm_lpage"/>
    <w:basedOn w:val="DefaultParagraphFont"/>
    <w:rsid w:val="005463AB"/>
  </w:style>
  <w:style w:type="character" w:customStyle="1" w:styleId="nlmconf-name">
    <w:name w:val="nlm_conf-name"/>
    <w:basedOn w:val="DefaultParagraphFont"/>
    <w:rsid w:val="005463AB"/>
  </w:style>
  <w:style w:type="character" w:customStyle="1" w:styleId="nlmconf-loc">
    <w:name w:val="nlm_conf-loc"/>
    <w:basedOn w:val="DefaultParagraphFont"/>
    <w:rsid w:val="005463AB"/>
  </w:style>
  <w:style w:type="character" w:customStyle="1" w:styleId="nlmpublisher-name">
    <w:name w:val="nlm_publisher-name"/>
    <w:basedOn w:val="DefaultParagraphFont"/>
    <w:rsid w:val="00546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02668">
      <w:bodyDiv w:val="1"/>
      <w:marLeft w:val="0"/>
      <w:marRight w:val="0"/>
      <w:marTop w:val="0"/>
      <w:marBottom w:val="0"/>
      <w:divBdr>
        <w:top w:val="none" w:sz="0" w:space="0" w:color="auto"/>
        <w:left w:val="none" w:sz="0" w:space="0" w:color="auto"/>
        <w:bottom w:val="none" w:sz="0" w:space="0" w:color="auto"/>
        <w:right w:val="none" w:sz="0" w:space="0" w:color="auto"/>
      </w:divBdr>
      <w:divsChild>
        <w:div w:id="1091509123">
          <w:marLeft w:val="0"/>
          <w:marRight w:val="0"/>
          <w:marTop w:val="0"/>
          <w:marBottom w:val="0"/>
          <w:divBdr>
            <w:top w:val="none" w:sz="0" w:space="0" w:color="auto"/>
            <w:left w:val="none" w:sz="0" w:space="0" w:color="auto"/>
            <w:bottom w:val="none" w:sz="0" w:space="0" w:color="auto"/>
            <w:right w:val="none" w:sz="0" w:space="0" w:color="auto"/>
          </w:divBdr>
          <w:divsChild>
            <w:div w:id="223684692">
              <w:marLeft w:val="0"/>
              <w:marRight w:val="0"/>
              <w:marTop w:val="0"/>
              <w:marBottom w:val="0"/>
              <w:divBdr>
                <w:top w:val="none" w:sz="0" w:space="0" w:color="auto"/>
                <w:left w:val="none" w:sz="0" w:space="0" w:color="auto"/>
                <w:bottom w:val="none" w:sz="0" w:space="0" w:color="auto"/>
                <w:right w:val="none" w:sz="0" w:space="0" w:color="auto"/>
              </w:divBdr>
              <w:divsChild>
                <w:div w:id="1280065377">
                  <w:marLeft w:val="0"/>
                  <w:marRight w:val="0"/>
                  <w:marTop w:val="0"/>
                  <w:marBottom w:val="0"/>
                  <w:divBdr>
                    <w:top w:val="none" w:sz="0" w:space="0" w:color="auto"/>
                    <w:left w:val="none" w:sz="0" w:space="0" w:color="auto"/>
                    <w:bottom w:val="none" w:sz="0" w:space="0" w:color="auto"/>
                    <w:right w:val="none" w:sz="0" w:space="0" w:color="auto"/>
                  </w:divBdr>
                  <w:divsChild>
                    <w:div w:id="32461725">
                      <w:marLeft w:val="0"/>
                      <w:marRight w:val="0"/>
                      <w:marTop w:val="0"/>
                      <w:marBottom w:val="0"/>
                      <w:divBdr>
                        <w:top w:val="none" w:sz="0" w:space="0" w:color="auto"/>
                        <w:left w:val="none" w:sz="0" w:space="0" w:color="auto"/>
                        <w:bottom w:val="none" w:sz="0" w:space="0" w:color="auto"/>
                        <w:right w:val="none" w:sz="0" w:space="0" w:color="auto"/>
                      </w:divBdr>
                      <w:divsChild>
                        <w:div w:id="539825620">
                          <w:marLeft w:val="0"/>
                          <w:marRight w:val="0"/>
                          <w:marTop w:val="0"/>
                          <w:marBottom w:val="0"/>
                          <w:divBdr>
                            <w:top w:val="none" w:sz="0" w:space="0" w:color="auto"/>
                            <w:left w:val="none" w:sz="0" w:space="0" w:color="auto"/>
                            <w:bottom w:val="none" w:sz="0" w:space="0" w:color="auto"/>
                            <w:right w:val="none" w:sz="0" w:space="0" w:color="auto"/>
                          </w:divBdr>
                          <w:divsChild>
                            <w:div w:id="1291084564">
                              <w:marLeft w:val="0"/>
                              <w:marRight w:val="0"/>
                              <w:marTop w:val="0"/>
                              <w:marBottom w:val="0"/>
                              <w:divBdr>
                                <w:top w:val="none" w:sz="0" w:space="0" w:color="auto"/>
                                <w:left w:val="none" w:sz="0" w:space="0" w:color="auto"/>
                                <w:bottom w:val="none" w:sz="0" w:space="0" w:color="auto"/>
                                <w:right w:val="none" w:sz="0" w:space="0" w:color="auto"/>
                              </w:divBdr>
                              <w:divsChild>
                                <w:div w:id="624896338">
                                  <w:marLeft w:val="0"/>
                                  <w:marRight w:val="0"/>
                                  <w:marTop w:val="0"/>
                                  <w:marBottom w:val="0"/>
                                  <w:divBdr>
                                    <w:top w:val="none" w:sz="0" w:space="0" w:color="auto"/>
                                    <w:left w:val="none" w:sz="0" w:space="0" w:color="auto"/>
                                    <w:bottom w:val="none" w:sz="0" w:space="0" w:color="auto"/>
                                    <w:right w:val="none" w:sz="0" w:space="0" w:color="auto"/>
                                  </w:divBdr>
                                  <w:divsChild>
                                    <w:div w:id="301473058">
                                      <w:marLeft w:val="0"/>
                                      <w:marRight w:val="0"/>
                                      <w:marTop w:val="75"/>
                                      <w:marBottom w:val="0"/>
                                      <w:divBdr>
                                        <w:top w:val="none" w:sz="0" w:space="0" w:color="auto"/>
                                        <w:left w:val="none" w:sz="0" w:space="0" w:color="auto"/>
                                        <w:bottom w:val="none" w:sz="0" w:space="0" w:color="auto"/>
                                        <w:right w:val="none" w:sz="0" w:space="0" w:color="auto"/>
                                      </w:divBdr>
                                      <w:divsChild>
                                        <w:div w:id="991251748">
                                          <w:marLeft w:val="0"/>
                                          <w:marRight w:val="0"/>
                                          <w:marTop w:val="0"/>
                                          <w:marBottom w:val="0"/>
                                          <w:divBdr>
                                            <w:top w:val="none" w:sz="0" w:space="0" w:color="auto"/>
                                            <w:left w:val="none" w:sz="0" w:space="0" w:color="auto"/>
                                            <w:bottom w:val="none" w:sz="0" w:space="0" w:color="auto"/>
                                            <w:right w:val="none" w:sz="0" w:space="0" w:color="auto"/>
                                          </w:divBdr>
                                        </w:div>
                                        <w:div w:id="46078408">
                                          <w:marLeft w:val="0"/>
                                          <w:marRight w:val="0"/>
                                          <w:marTop w:val="0"/>
                                          <w:marBottom w:val="0"/>
                                          <w:divBdr>
                                            <w:top w:val="none" w:sz="0" w:space="0" w:color="auto"/>
                                            <w:left w:val="none" w:sz="0" w:space="0" w:color="auto"/>
                                            <w:bottom w:val="none" w:sz="0" w:space="0" w:color="auto"/>
                                            <w:right w:val="none" w:sz="0" w:space="0" w:color="auto"/>
                                          </w:divBdr>
                                        </w:div>
                                      </w:divsChild>
                                    </w:div>
                                    <w:div w:id="158158896">
                                      <w:marLeft w:val="0"/>
                                      <w:marRight w:val="0"/>
                                      <w:marTop w:val="0"/>
                                      <w:marBottom w:val="150"/>
                                      <w:divBdr>
                                        <w:top w:val="none" w:sz="0" w:space="0" w:color="auto"/>
                                        <w:left w:val="none" w:sz="0" w:space="0" w:color="auto"/>
                                        <w:bottom w:val="single" w:sz="6" w:space="0" w:color="CCCCCC"/>
                                        <w:right w:val="none" w:sz="0" w:space="0" w:color="auto"/>
                                      </w:divBdr>
                                      <w:divsChild>
                                        <w:div w:id="1764956766">
                                          <w:marLeft w:val="300"/>
                                          <w:marRight w:val="0"/>
                                          <w:marTop w:val="0"/>
                                          <w:marBottom w:val="450"/>
                                          <w:divBdr>
                                            <w:top w:val="none" w:sz="0" w:space="0" w:color="auto"/>
                                            <w:left w:val="none" w:sz="0" w:space="0" w:color="auto"/>
                                            <w:bottom w:val="none" w:sz="0" w:space="0" w:color="auto"/>
                                            <w:right w:val="none" w:sz="0" w:space="0" w:color="auto"/>
                                          </w:divBdr>
                                          <w:divsChild>
                                            <w:div w:id="63525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32932">
                                      <w:marLeft w:val="0"/>
                                      <w:marRight w:val="0"/>
                                      <w:marTop w:val="0"/>
                                      <w:marBottom w:val="0"/>
                                      <w:divBdr>
                                        <w:top w:val="none" w:sz="0" w:space="0" w:color="auto"/>
                                        <w:left w:val="none" w:sz="0" w:space="0" w:color="auto"/>
                                        <w:bottom w:val="none" w:sz="0" w:space="0" w:color="auto"/>
                                        <w:right w:val="none" w:sz="0" w:space="0" w:color="auto"/>
                                      </w:divBdr>
                                      <w:divsChild>
                                        <w:div w:id="1993218938">
                                          <w:marLeft w:val="0"/>
                                          <w:marRight w:val="0"/>
                                          <w:marTop w:val="0"/>
                                          <w:marBottom w:val="0"/>
                                          <w:divBdr>
                                            <w:top w:val="none" w:sz="0" w:space="0" w:color="auto"/>
                                            <w:left w:val="none" w:sz="0" w:space="0" w:color="auto"/>
                                            <w:bottom w:val="none" w:sz="0" w:space="0" w:color="auto"/>
                                            <w:right w:val="none" w:sz="0" w:space="0" w:color="auto"/>
                                          </w:divBdr>
                                          <w:divsChild>
                                            <w:div w:id="1896575130">
                                              <w:marLeft w:val="0"/>
                                              <w:marRight w:val="0"/>
                                              <w:marTop w:val="0"/>
                                              <w:marBottom w:val="0"/>
                                              <w:divBdr>
                                                <w:top w:val="none" w:sz="0" w:space="0" w:color="auto"/>
                                                <w:left w:val="none" w:sz="0" w:space="0" w:color="auto"/>
                                                <w:bottom w:val="none" w:sz="0" w:space="0" w:color="auto"/>
                                                <w:right w:val="none" w:sz="0" w:space="0" w:color="auto"/>
                                              </w:divBdr>
                                            </w:div>
                                          </w:divsChild>
                                        </w:div>
                                        <w:div w:id="1339044315">
                                          <w:marLeft w:val="0"/>
                                          <w:marRight w:val="0"/>
                                          <w:marTop w:val="0"/>
                                          <w:marBottom w:val="0"/>
                                          <w:divBdr>
                                            <w:top w:val="none" w:sz="0" w:space="0" w:color="auto"/>
                                            <w:left w:val="none" w:sz="0" w:space="0" w:color="auto"/>
                                            <w:bottom w:val="none" w:sz="0" w:space="0" w:color="auto"/>
                                            <w:right w:val="none" w:sz="0" w:space="0" w:color="auto"/>
                                          </w:divBdr>
                                          <w:divsChild>
                                            <w:div w:id="929267413">
                                              <w:marLeft w:val="0"/>
                                              <w:marRight w:val="0"/>
                                              <w:marTop w:val="0"/>
                                              <w:marBottom w:val="0"/>
                                              <w:divBdr>
                                                <w:top w:val="none" w:sz="0" w:space="0" w:color="auto"/>
                                                <w:left w:val="none" w:sz="0" w:space="0" w:color="auto"/>
                                                <w:bottom w:val="none" w:sz="0" w:space="0" w:color="auto"/>
                                                <w:right w:val="none" w:sz="0" w:space="0" w:color="auto"/>
                                              </w:divBdr>
                                            </w:div>
                                          </w:divsChild>
                                        </w:div>
                                        <w:div w:id="436102496">
                                          <w:marLeft w:val="0"/>
                                          <w:marRight w:val="0"/>
                                          <w:marTop w:val="0"/>
                                          <w:marBottom w:val="0"/>
                                          <w:divBdr>
                                            <w:top w:val="none" w:sz="0" w:space="0" w:color="auto"/>
                                            <w:left w:val="none" w:sz="0" w:space="0" w:color="auto"/>
                                            <w:bottom w:val="none" w:sz="0" w:space="0" w:color="auto"/>
                                            <w:right w:val="none" w:sz="0" w:space="0" w:color="auto"/>
                                          </w:divBdr>
                                          <w:divsChild>
                                            <w:div w:id="722488184">
                                              <w:marLeft w:val="0"/>
                                              <w:marRight w:val="0"/>
                                              <w:marTop w:val="0"/>
                                              <w:marBottom w:val="0"/>
                                              <w:divBdr>
                                                <w:top w:val="none" w:sz="0" w:space="0" w:color="auto"/>
                                                <w:left w:val="none" w:sz="0" w:space="0" w:color="auto"/>
                                                <w:bottom w:val="none" w:sz="0" w:space="0" w:color="auto"/>
                                                <w:right w:val="none" w:sz="0" w:space="0" w:color="auto"/>
                                              </w:divBdr>
                                            </w:div>
                                            <w:div w:id="1670210415">
                                              <w:marLeft w:val="0"/>
                                              <w:marRight w:val="0"/>
                                              <w:marTop w:val="0"/>
                                              <w:marBottom w:val="0"/>
                                              <w:divBdr>
                                                <w:top w:val="none" w:sz="0" w:space="0" w:color="auto"/>
                                                <w:left w:val="none" w:sz="0" w:space="0" w:color="auto"/>
                                                <w:bottom w:val="none" w:sz="0" w:space="0" w:color="auto"/>
                                                <w:right w:val="none" w:sz="0" w:space="0" w:color="auto"/>
                                              </w:divBdr>
                                              <w:divsChild>
                                                <w:div w:id="1200363768">
                                                  <w:marLeft w:val="300"/>
                                                  <w:marRight w:val="0"/>
                                                  <w:marTop w:val="0"/>
                                                  <w:marBottom w:val="0"/>
                                                  <w:divBdr>
                                                    <w:top w:val="none" w:sz="0" w:space="0" w:color="auto"/>
                                                    <w:left w:val="none" w:sz="0" w:space="0" w:color="auto"/>
                                                    <w:bottom w:val="none" w:sz="0" w:space="0" w:color="auto"/>
                                                    <w:right w:val="none" w:sz="0" w:space="0" w:color="auto"/>
                                                  </w:divBdr>
                                                </w:div>
                                              </w:divsChild>
                                            </w:div>
                                            <w:div w:id="1523588597">
                                              <w:marLeft w:val="0"/>
                                              <w:marRight w:val="0"/>
                                              <w:marTop w:val="0"/>
                                              <w:marBottom w:val="0"/>
                                              <w:divBdr>
                                                <w:top w:val="none" w:sz="0" w:space="0" w:color="auto"/>
                                                <w:left w:val="none" w:sz="0" w:space="0" w:color="auto"/>
                                                <w:bottom w:val="none" w:sz="0" w:space="0" w:color="auto"/>
                                                <w:right w:val="none" w:sz="0" w:space="0" w:color="auto"/>
                                              </w:divBdr>
                                              <w:divsChild>
                                                <w:div w:id="905991570">
                                                  <w:marLeft w:val="300"/>
                                                  <w:marRight w:val="0"/>
                                                  <w:marTop w:val="0"/>
                                                  <w:marBottom w:val="0"/>
                                                  <w:divBdr>
                                                    <w:top w:val="none" w:sz="0" w:space="0" w:color="auto"/>
                                                    <w:left w:val="none" w:sz="0" w:space="0" w:color="auto"/>
                                                    <w:bottom w:val="none" w:sz="0" w:space="0" w:color="auto"/>
                                                    <w:right w:val="none" w:sz="0" w:space="0" w:color="auto"/>
                                                  </w:divBdr>
                                                </w:div>
                                              </w:divsChild>
                                            </w:div>
                                            <w:div w:id="971130400">
                                              <w:marLeft w:val="0"/>
                                              <w:marRight w:val="0"/>
                                              <w:marTop w:val="0"/>
                                              <w:marBottom w:val="0"/>
                                              <w:divBdr>
                                                <w:top w:val="none" w:sz="0" w:space="0" w:color="auto"/>
                                                <w:left w:val="none" w:sz="0" w:space="0" w:color="auto"/>
                                                <w:bottom w:val="none" w:sz="0" w:space="0" w:color="auto"/>
                                                <w:right w:val="none" w:sz="0" w:space="0" w:color="auto"/>
                                              </w:divBdr>
                                              <w:divsChild>
                                                <w:div w:id="1246382026">
                                                  <w:marLeft w:val="300"/>
                                                  <w:marRight w:val="0"/>
                                                  <w:marTop w:val="0"/>
                                                  <w:marBottom w:val="0"/>
                                                  <w:divBdr>
                                                    <w:top w:val="none" w:sz="0" w:space="0" w:color="auto"/>
                                                    <w:left w:val="none" w:sz="0" w:space="0" w:color="auto"/>
                                                    <w:bottom w:val="none" w:sz="0" w:space="0" w:color="auto"/>
                                                    <w:right w:val="none" w:sz="0" w:space="0" w:color="auto"/>
                                                  </w:divBdr>
                                                </w:div>
                                              </w:divsChild>
                                            </w:div>
                                            <w:div w:id="1680696885">
                                              <w:marLeft w:val="0"/>
                                              <w:marRight w:val="0"/>
                                              <w:marTop w:val="0"/>
                                              <w:marBottom w:val="0"/>
                                              <w:divBdr>
                                                <w:top w:val="none" w:sz="0" w:space="0" w:color="auto"/>
                                                <w:left w:val="none" w:sz="0" w:space="0" w:color="auto"/>
                                                <w:bottom w:val="none" w:sz="0" w:space="0" w:color="auto"/>
                                                <w:right w:val="none" w:sz="0" w:space="0" w:color="auto"/>
                                              </w:divBdr>
                                              <w:divsChild>
                                                <w:div w:id="1390110463">
                                                  <w:marLeft w:val="300"/>
                                                  <w:marRight w:val="0"/>
                                                  <w:marTop w:val="0"/>
                                                  <w:marBottom w:val="0"/>
                                                  <w:divBdr>
                                                    <w:top w:val="none" w:sz="0" w:space="0" w:color="auto"/>
                                                    <w:left w:val="none" w:sz="0" w:space="0" w:color="auto"/>
                                                    <w:bottom w:val="none" w:sz="0" w:space="0" w:color="auto"/>
                                                    <w:right w:val="none" w:sz="0" w:space="0" w:color="auto"/>
                                                  </w:divBdr>
                                                </w:div>
                                                <w:div w:id="872226144">
                                                  <w:marLeft w:val="0"/>
                                                  <w:marRight w:val="0"/>
                                                  <w:marTop w:val="0"/>
                                                  <w:marBottom w:val="0"/>
                                                  <w:divBdr>
                                                    <w:top w:val="none" w:sz="0" w:space="0" w:color="auto"/>
                                                    <w:left w:val="none" w:sz="0" w:space="0" w:color="auto"/>
                                                    <w:bottom w:val="none" w:sz="0" w:space="0" w:color="auto"/>
                                                    <w:right w:val="none" w:sz="0" w:space="0" w:color="auto"/>
                                                  </w:divBdr>
                                                  <w:divsChild>
                                                    <w:div w:id="1846439848">
                                                      <w:marLeft w:val="300"/>
                                                      <w:marRight w:val="0"/>
                                                      <w:marTop w:val="0"/>
                                                      <w:marBottom w:val="0"/>
                                                      <w:divBdr>
                                                        <w:top w:val="none" w:sz="0" w:space="0" w:color="auto"/>
                                                        <w:left w:val="none" w:sz="0" w:space="0" w:color="auto"/>
                                                        <w:bottom w:val="none" w:sz="0" w:space="0" w:color="auto"/>
                                                        <w:right w:val="none" w:sz="0" w:space="0" w:color="auto"/>
                                                      </w:divBdr>
                                                    </w:div>
                                                  </w:divsChild>
                                                </w:div>
                                                <w:div w:id="1431924680">
                                                  <w:marLeft w:val="0"/>
                                                  <w:marRight w:val="0"/>
                                                  <w:marTop w:val="0"/>
                                                  <w:marBottom w:val="0"/>
                                                  <w:divBdr>
                                                    <w:top w:val="none" w:sz="0" w:space="0" w:color="auto"/>
                                                    <w:left w:val="none" w:sz="0" w:space="0" w:color="auto"/>
                                                    <w:bottom w:val="none" w:sz="0" w:space="0" w:color="auto"/>
                                                    <w:right w:val="none" w:sz="0" w:space="0" w:color="auto"/>
                                                  </w:divBdr>
                                                  <w:divsChild>
                                                    <w:div w:id="41254212">
                                                      <w:marLeft w:val="300"/>
                                                      <w:marRight w:val="0"/>
                                                      <w:marTop w:val="0"/>
                                                      <w:marBottom w:val="0"/>
                                                      <w:divBdr>
                                                        <w:top w:val="none" w:sz="0" w:space="0" w:color="auto"/>
                                                        <w:left w:val="none" w:sz="0" w:space="0" w:color="auto"/>
                                                        <w:bottom w:val="none" w:sz="0" w:space="0" w:color="auto"/>
                                                        <w:right w:val="none" w:sz="0" w:space="0" w:color="auto"/>
                                                      </w:divBdr>
                                                    </w:div>
                                                  </w:divsChild>
                                                </w:div>
                                                <w:div w:id="1256478749">
                                                  <w:marLeft w:val="0"/>
                                                  <w:marRight w:val="0"/>
                                                  <w:marTop w:val="0"/>
                                                  <w:marBottom w:val="0"/>
                                                  <w:divBdr>
                                                    <w:top w:val="none" w:sz="0" w:space="0" w:color="auto"/>
                                                    <w:left w:val="none" w:sz="0" w:space="0" w:color="auto"/>
                                                    <w:bottom w:val="none" w:sz="0" w:space="0" w:color="auto"/>
                                                    <w:right w:val="none" w:sz="0" w:space="0" w:color="auto"/>
                                                  </w:divBdr>
                                                  <w:divsChild>
                                                    <w:div w:id="207731473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0323219">
                                              <w:marLeft w:val="0"/>
                                              <w:marRight w:val="0"/>
                                              <w:marTop w:val="0"/>
                                              <w:marBottom w:val="0"/>
                                              <w:divBdr>
                                                <w:top w:val="none" w:sz="0" w:space="0" w:color="auto"/>
                                                <w:left w:val="none" w:sz="0" w:space="0" w:color="auto"/>
                                                <w:bottom w:val="none" w:sz="0" w:space="0" w:color="auto"/>
                                                <w:right w:val="none" w:sz="0" w:space="0" w:color="auto"/>
                                              </w:divBdr>
                                              <w:divsChild>
                                                <w:div w:id="776019855">
                                                  <w:marLeft w:val="300"/>
                                                  <w:marRight w:val="0"/>
                                                  <w:marTop w:val="0"/>
                                                  <w:marBottom w:val="0"/>
                                                  <w:divBdr>
                                                    <w:top w:val="none" w:sz="0" w:space="0" w:color="auto"/>
                                                    <w:left w:val="none" w:sz="0" w:space="0" w:color="auto"/>
                                                    <w:bottom w:val="none" w:sz="0" w:space="0" w:color="auto"/>
                                                    <w:right w:val="none" w:sz="0" w:space="0" w:color="auto"/>
                                                  </w:divBdr>
                                                </w:div>
                                              </w:divsChild>
                                            </w:div>
                                            <w:div w:id="2089189319">
                                              <w:marLeft w:val="0"/>
                                              <w:marRight w:val="0"/>
                                              <w:marTop w:val="0"/>
                                              <w:marBottom w:val="0"/>
                                              <w:divBdr>
                                                <w:top w:val="none" w:sz="0" w:space="0" w:color="auto"/>
                                                <w:left w:val="none" w:sz="0" w:space="0" w:color="auto"/>
                                                <w:bottom w:val="none" w:sz="0" w:space="0" w:color="auto"/>
                                                <w:right w:val="none" w:sz="0" w:space="0" w:color="auto"/>
                                              </w:divBdr>
                                              <w:divsChild>
                                                <w:div w:id="2051222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06658836">
                                          <w:marLeft w:val="0"/>
                                          <w:marRight w:val="0"/>
                                          <w:marTop w:val="0"/>
                                          <w:marBottom w:val="0"/>
                                          <w:divBdr>
                                            <w:top w:val="none" w:sz="0" w:space="0" w:color="auto"/>
                                            <w:left w:val="none" w:sz="0" w:space="0" w:color="auto"/>
                                            <w:bottom w:val="none" w:sz="0" w:space="0" w:color="auto"/>
                                            <w:right w:val="none" w:sz="0" w:space="0" w:color="auto"/>
                                          </w:divBdr>
                                          <w:divsChild>
                                            <w:div w:id="940262570">
                                              <w:marLeft w:val="0"/>
                                              <w:marRight w:val="0"/>
                                              <w:marTop w:val="0"/>
                                              <w:marBottom w:val="0"/>
                                              <w:divBdr>
                                                <w:top w:val="none" w:sz="0" w:space="0" w:color="auto"/>
                                                <w:left w:val="none" w:sz="0" w:space="0" w:color="auto"/>
                                                <w:bottom w:val="none" w:sz="0" w:space="0" w:color="auto"/>
                                                <w:right w:val="none" w:sz="0" w:space="0" w:color="auto"/>
                                              </w:divBdr>
                                            </w:div>
                                            <w:div w:id="1094326450">
                                              <w:marLeft w:val="0"/>
                                              <w:marRight w:val="0"/>
                                              <w:marTop w:val="0"/>
                                              <w:marBottom w:val="0"/>
                                              <w:divBdr>
                                                <w:top w:val="none" w:sz="0" w:space="0" w:color="auto"/>
                                                <w:left w:val="none" w:sz="0" w:space="0" w:color="auto"/>
                                                <w:bottom w:val="none" w:sz="0" w:space="0" w:color="auto"/>
                                                <w:right w:val="none" w:sz="0" w:space="0" w:color="auto"/>
                                              </w:divBdr>
                                            </w:div>
                                            <w:div w:id="2145461285">
                                              <w:marLeft w:val="0"/>
                                              <w:marRight w:val="0"/>
                                              <w:marTop w:val="0"/>
                                              <w:marBottom w:val="0"/>
                                              <w:divBdr>
                                                <w:top w:val="none" w:sz="0" w:space="0" w:color="auto"/>
                                                <w:left w:val="none" w:sz="0" w:space="0" w:color="auto"/>
                                                <w:bottom w:val="none" w:sz="0" w:space="0" w:color="auto"/>
                                                <w:right w:val="none" w:sz="0" w:space="0" w:color="auto"/>
                                              </w:divBdr>
                                            </w:div>
                                            <w:div w:id="1796942680">
                                              <w:marLeft w:val="375"/>
                                              <w:marRight w:val="375"/>
                                              <w:marTop w:val="0"/>
                                              <w:marBottom w:val="0"/>
                                              <w:divBdr>
                                                <w:top w:val="none" w:sz="0" w:space="0" w:color="auto"/>
                                                <w:left w:val="none" w:sz="0" w:space="0" w:color="auto"/>
                                                <w:bottom w:val="none" w:sz="0" w:space="0" w:color="auto"/>
                                                <w:right w:val="none" w:sz="0" w:space="0" w:color="auto"/>
                                              </w:divBdr>
                                              <w:divsChild>
                                                <w:div w:id="739715538">
                                                  <w:marLeft w:val="0"/>
                                                  <w:marRight w:val="0"/>
                                                  <w:marTop w:val="0"/>
                                                  <w:marBottom w:val="0"/>
                                                  <w:divBdr>
                                                    <w:top w:val="none" w:sz="0" w:space="0" w:color="auto"/>
                                                    <w:left w:val="none" w:sz="0" w:space="0" w:color="auto"/>
                                                    <w:bottom w:val="none" w:sz="0" w:space="0" w:color="auto"/>
                                                    <w:right w:val="none" w:sz="0" w:space="0" w:color="auto"/>
                                                  </w:divBdr>
                                                </w:div>
                                                <w:div w:id="1633828791">
                                                  <w:marLeft w:val="0"/>
                                                  <w:marRight w:val="0"/>
                                                  <w:marTop w:val="150"/>
                                                  <w:marBottom w:val="0"/>
                                                  <w:divBdr>
                                                    <w:top w:val="none" w:sz="0" w:space="0" w:color="auto"/>
                                                    <w:left w:val="none" w:sz="0" w:space="0" w:color="auto"/>
                                                    <w:bottom w:val="none" w:sz="0" w:space="0" w:color="auto"/>
                                                    <w:right w:val="none" w:sz="0" w:space="0" w:color="auto"/>
                                                  </w:divBdr>
                                                </w:div>
                                              </w:divsChild>
                                            </w:div>
                                            <w:div w:id="1910650233">
                                              <w:marLeft w:val="0"/>
                                              <w:marRight w:val="0"/>
                                              <w:marTop w:val="0"/>
                                              <w:marBottom w:val="0"/>
                                              <w:divBdr>
                                                <w:top w:val="none" w:sz="0" w:space="0" w:color="auto"/>
                                                <w:left w:val="none" w:sz="0" w:space="0" w:color="auto"/>
                                                <w:bottom w:val="none" w:sz="0" w:space="0" w:color="auto"/>
                                                <w:right w:val="none" w:sz="0" w:space="0" w:color="auto"/>
                                              </w:divBdr>
                                            </w:div>
                                            <w:div w:id="1827823606">
                                              <w:marLeft w:val="0"/>
                                              <w:marRight w:val="0"/>
                                              <w:marTop w:val="0"/>
                                              <w:marBottom w:val="0"/>
                                              <w:divBdr>
                                                <w:top w:val="none" w:sz="0" w:space="0" w:color="auto"/>
                                                <w:left w:val="none" w:sz="0" w:space="0" w:color="auto"/>
                                                <w:bottom w:val="none" w:sz="0" w:space="0" w:color="auto"/>
                                                <w:right w:val="none" w:sz="0" w:space="0" w:color="auto"/>
                                              </w:divBdr>
                                            </w:div>
                                            <w:div w:id="2021656176">
                                              <w:marLeft w:val="375"/>
                                              <w:marRight w:val="375"/>
                                              <w:marTop w:val="0"/>
                                              <w:marBottom w:val="0"/>
                                              <w:divBdr>
                                                <w:top w:val="none" w:sz="0" w:space="0" w:color="auto"/>
                                                <w:left w:val="none" w:sz="0" w:space="0" w:color="auto"/>
                                                <w:bottom w:val="none" w:sz="0" w:space="0" w:color="auto"/>
                                                <w:right w:val="none" w:sz="0" w:space="0" w:color="auto"/>
                                              </w:divBdr>
                                              <w:divsChild>
                                                <w:div w:id="1408186186">
                                                  <w:marLeft w:val="0"/>
                                                  <w:marRight w:val="0"/>
                                                  <w:marTop w:val="0"/>
                                                  <w:marBottom w:val="0"/>
                                                  <w:divBdr>
                                                    <w:top w:val="none" w:sz="0" w:space="0" w:color="auto"/>
                                                    <w:left w:val="none" w:sz="0" w:space="0" w:color="auto"/>
                                                    <w:bottom w:val="none" w:sz="0" w:space="0" w:color="auto"/>
                                                    <w:right w:val="none" w:sz="0" w:space="0" w:color="auto"/>
                                                  </w:divBdr>
                                                </w:div>
                                                <w:div w:id="478109065">
                                                  <w:marLeft w:val="0"/>
                                                  <w:marRight w:val="0"/>
                                                  <w:marTop w:val="150"/>
                                                  <w:marBottom w:val="0"/>
                                                  <w:divBdr>
                                                    <w:top w:val="none" w:sz="0" w:space="0" w:color="auto"/>
                                                    <w:left w:val="none" w:sz="0" w:space="0" w:color="auto"/>
                                                    <w:bottom w:val="none" w:sz="0" w:space="0" w:color="auto"/>
                                                    <w:right w:val="none" w:sz="0" w:space="0" w:color="auto"/>
                                                  </w:divBdr>
                                                </w:div>
                                              </w:divsChild>
                                            </w:div>
                                            <w:div w:id="2121677897">
                                              <w:marLeft w:val="0"/>
                                              <w:marRight w:val="0"/>
                                              <w:marTop w:val="0"/>
                                              <w:marBottom w:val="0"/>
                                              <w:divBdr>
                                                <w:top w:val="none" w:sz="0" w:space="0" w:color="auto"/>
                                                <w:left w:val="none" w:sz="0" w:space="0" w:color="auto"/>
                                                <w:bottom w:val="none" w:sz="0" w:space="0" w:color="auto"/>
                                                <w:right w:val="none" w:sz="0" w:space="0" w:color="auto"/>
                                              </w:divBdr>
                                            </w:div>
                                            <w:div w:id="1568027703">
                                              <w:marLeft w:val="0"/>
                                              <w:marRight w:val="0"/>
                                              <w:marTop w:val="0"/>
                                              <w:marBottom w:val="0"/>
                                              <w:divBdr>
                                                <w:top w:val="none" w:sz="0" w:space="0" w:color="auto"/>
                                                <w:left w:val="none" w:sz="0" w:space="0" w:color="auto"/>
                                                <w:bottom w:val="none" w:sz="0" w:space="0" w:color="auto"/>
                                                <w:right w:val="none" w:sz="0" w:space="0" w:color="auto"/>
                                              </w:divBdr>
                                            </w:div>
                                            <w:div w:id="873271698">
                                              <w:marLeft w:val="375"/>
                                              <w:marRight w:val="375"/>
                                              <w:marTop w:val="0"/>
                                              <w:marBottom w:val="0"/>
                                              <w:divBdr>
                                                <w:top w:val="none" w:sz="0" w:space="0" w:color="auto"/>
                                                <w:left w:val="none" w:sz="0" w:space="0" w:color="auto"/>
                                                <w:bottom w:val="none" w:sz="0" w:space="0" w:color="auto"/>
                                                <w:right w:val="none" w:sz="0" w:space="0" w:color="auto"/>
                                              </w:divBdr>
                                              <w:divsChild>
                                                <w:div w:id="1610118507">
                                                  <w:marLeft w:val="0"/>
                                                  <w:marRight w:val="0"/>
                                                  <w:marTop w:val="0"/>
                                                  <w:marBottom w:val="0"/>
                                                  <w:divBdr>
                                                    <w:top w:val="none" w:sz="0" w:space="0" w:color="auto"/>
                                                    <w:left w:val="none" w:sz="0" w:space="0" w:color="auto"/>
                                                    <w:bottom w:val="none" w:sz="0" w:space="0" w:color="auto"/>
                                                    <w:right w:val="none" w:sz="0" w:space="0" w:color="auto"/>
                                                  </w:divBdr>
                                                </w:div>
                                                <w:div w:id="1094085050">
                                                  <w:marLeft w:val="0"/>
                                                  <w:marRight w:val="0"/>
                                                  <w:marTop w:val="150"/>
                                                  <w:marBottom w:val="0"/>
                                                  <w:divBdr>
                                                    <w:top w:val="none" w:sz="0" w:space="0" w:color="auto"/>
                                                    <w:left w:val="none" w:sz="0" w:space="0" w:color="auto"/>
                                                    <w:bottom w:val="none" w:sz="0" w:space="0" w:color="auto"/>
                                                    <w:right w:val="none" w:sz="0" w:space="0" w:color="auto"/>
                                                  </w:divBdr>
                                                </w:div>
                                              </w:divsChild>
                                            </w:div>
                                            <w:div w:id="754861918">
                                              <w:marLeft w:val="0"/>
                                              <w:marRight w:val="0"/>
                                              <w:marTop w:val="0"/>
                                              <w:marBottom w:val="0"/>
                                              <w:divBdr>
                                                <w:top w:val="none" w:sz="0" w:space="0" w:color="auto"/>
                                                <w:left w:val="none" w:sz="0" w:space="0" w:color="auto"/>
                                                <w:bottom w:val="none" w:sz="0" w:space="0" w:color="auto"/>
                                                <w:right w:val="none" w:sz="0" w:space="0" w:color="auto"/>
                                              </w:divBdr>
                                            </w:div>
                                            <w:div w:id="275262354">
                                              <w:marLeft w:val="0"/>
                                              <w:marRight w:val="0"/>
                                              <w:marTop w:val="0"/>
                                              <w:marBottom w:val="0"/>
                                              <w:divBdr>
                                                <w:top w:val="none" w:sz="0" w:space="0" w:color="auto"/>
                                                <w:left w:val="none" w:sz="0" w:space="0" w:color="auto"/>
                                                <w:bottom w:val="none" w:sz="0" w:space="0" w:color="auto"/>
                                                <w:right w:val="none" w:sz="0" w:space="0" w:color="auto"/>
                                              </w:divBdr>
                                            </w:div>
                                            <w:div w:id="1707295367">
                                              <w:marLeft w:val="375"/>
                                              <w:marRight w:val="375"/>
                                              <w:marTop w:val="0"/>
                                              <w:marBottom w:val="0"/>
                                              <w:divBdr>
                                                <w:top w:val="none" w:sz="0" w:space="0" w:color="auto"/>
                                                <w:left w:val="none" w:sz="0" w:space="0" w:color="auto"/>
                                                <w:bottom w:val="none" w:sz="0" w:space="0" w:color="auto"/>
                                                <w:right w:val="none" w:sz="0" w:space="0" w:color="auto"/>
                                              </w:divBdr>
                                              <w:divsChild>
                                                <w:div w:id="418600122">
                                                  <w:marLeft w:val="0"/>
                                                  <w:marRight w:val="0"/>
                                                  <w:marTop w:val="0"/>
                                                  <w:marBottom w:val="0"/>
                                                  <w:divBdr>
                                                    <w:top w:val="none" w:sz="0" w:space="0" w:color="auto"/>
                                                    <w:left w:val="none" w:sz="0" w:space="0" w:color="auto"/>
                                                    <w:bottom w:val="none" w:sz="0" w:space="0" w:color="auto"/>
                                                    <w:right w:val="none" w:sz="0" w:space="0" w:color="auto"/>
                                                  </w:divBdr>
                                                </w:div>
                                                <w:div w:id="32617832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34691545">
                                          <w:marLeft w:val="0"/>
                                          <w:marRight w:val="0"/>
                                          <w:marTop w:val="0"/>
                                          <w:marBottom w:val="0"/>
                                          <w:divBdr>
                                            <w:top w:val="none" w:sz="0" w:space="0" w:color="auto"/>
                                            <w:left w:val="none" w:sz="0" w:space="0" w:color="auto"/>
                                            <w:bottom w:val="none" w:sz="0" w:space="0" w:color="auto"/>
                                            <w:right w:val="none" w:sz="0" w:space="0" w:color="auto"/>
                                          </w:divBdr>
                                          <w:divsChild>
                                            <w:div w:id="268008702">
                                              <w:marLeft w:val="0"/>
                                              <w:marRight w:val="0"/>
                                              <w:marTop w:val="0"/>
                                              <w:marBottom w:val="0"/>
                                              <w:divBdr>
                                                <w:top w:val="none" w:sz="0" w:space="0" w:color="auto"/>
                                                <w:left w:val="none" w:sz="0" w:space="0" w:color="auto"/>
                                                <w:bottom w:val="none" w:sz="0" w:space="0" w:color="auto"/>
                                                <w:right w:val="none" w:sz="0" w:space="0" w:color="auto"/>
                                              </w:divBdr>
                                            </w:div>
                                          </w:divsChild>
                                        </w:div>
                                        <w:div w:id="1044017089">
                                          <w:marLeft w:val="0"/>
                                          <w:marRight w:val="0"/>
                                          <w:marTop w:val="0"/>
                                          <w:marBottom w:val="0"/>
                                          <w:divBdr>
                                            <w:top w:val="none" w:sz="0" w:space="0" w:color="auto"/>
                                            <w:left w:val="none" w:sz="0" w:space="0" w:color="auto"/>
                                            <w:bottom w:val="none" w:sz="0" w:space="0" w:color="auto"/>
                                            <w:right w:val="none" w:sz="0" w:space="0" w:color="auto"/>
                                          </w:divBdr>
                                        </w:div>
                                        <w:div w:id="143995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3522331">
          <w:marLeft w:val="105"/>
          <w:marRight w:val="105"/>
          <w:marTop w:val="105"/>
          <w:marBottom w:val="105"/>
          <w:divBdr>
            <w:top w:val="none" w:sz="0" w:space="0" w:color="auto"/>
            <w:left w:val="none" w:sz="0" w:space="0" w:color="auto"/>
            <w:bottom w:val="none" w:sz="0" w:space="0" w:color="auto"/>
            <w:right w:val="none" w:sz="0" w:space="0" w:color="auto"/>
          </w:divBdr>
          <w:divsChild>
            <w:div w:id="224419559">
              <w:marLeft w:val="0"/>
              <w:marRight w:val="0"/>
              <w:marTop w:val="0"/>
              <w:marBottom w:val="0"/>
              <w:divBdr>
                <w:top w:val="none" w:sz="0" w:space="0" w:color="auto"/>
                <w:left w:val="none" w:sz="0" w:space="0" w:color="auto"/>
                <w:bottom w:val="none" w:sz="0" w:space="0" w:color="auto"/>
                <w:right w:val="none" w:sz="0" w:space="0" w:color="auto"/>
              </w:divBdr>
              <w:divsChild>
                <w:div w:id="21693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77/0193945921101882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7237</Words>
  <Characters>41253</Characters>
  <Application>Microsoft Office Word</Application>
  <DocSecurity>8</DocSecurity>
  <Lines>343</Lines>
  <Paragraphs>96</Paragraphs>
  <ScaleCrop>false</ScaleCrop>
  <Company/>
  <LinksUpToDate>false</LinksUpToDate>
  <CharactersWithSpaces>48394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2021-10-27T18:26:00Z</dcterms:created>
  <dcterms:modified xsi:type="dcterms:W3CDTF">2022-02-09T14:26:00Z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