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36A28ED" w:rsidR="000A7622" w:rsidRPr="00C04F25" w:rsidRDefault="00FE3E6D"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BC19B9B" w:rsidR="000A7622" w:rsidRDefault="00271F27" w:rsidP="00D14423">
      <w:pPr>
        <w:rPr>
          <w:rFonts w:cstheme="minorHAnsi"/>
          <w:sz w:val="24"/>
          <w:szCs w:val="24"/>
        </w:rPr>
      </w:pPr>
      <w:r>
        <w:rPr>
          <w:rFonts w:cstheme="minorHAnsi"/>
          <w:i/>
          <w:sz w:val="24"/>
          <w:szCs w:val="24"/>
          <w:lang w:val="fr-FR"/>
        </w:rPr>
        <w:t xml:space="preserve">International Journal of Nursing </w:t>
      </w:r>
      <w:proofErr w:type="spellStart"/>
      <w:r>
        <w:rPr>
          <w:rFonts w:cstheme="minorHAnsi"/>
          <w:i/>
          <w:sz w:val="24"/>
          <w:szCs w:val="24"/>
          <w:lang w:val="fr-FR"/>
        </w:rPr>
        <w:t>Studies</w:t>
      </w:r>
      <w:proofErr w:type="spellEnd"/>
      <w:r w:rsidR="000A7622" w:rsidRPr="00C04F25">
        <w:rPr>
          <w:rFonts w:cstheme="minorHAnsi"/>
          <w:sz w:val="24"/>
          <w:szCs w:val="24"/>
          <w:lang w:val="fr-FR"/>
        </w:rPr>
        <w:t xml:space="preserve">, Vol. </w:t>
      </w:r>
      <w:r>
        <w:rPr>
          <w:rFonts w:cstheme="minorHAnsi"/>
          <w:sz w:val="24"/>
          <w:szCs w:val="24"/>
          <w:lang w:val="fr-FR"/>
        </w:rPr>
        <w:t>119</w:t>
      </w:r>
      <w:r w:rsidR="000A7622" w:rsidRPr="00C04F25">
        <w:rPr>
          <w:rFonts w:cstheme="minorHAnsi"/>
          <w:sz w:val="24"/>
          <w:szCs w:val="24"/>
          <w:lang w:val="fr-FR"/>
        </w:rPr>
        <w:t xml:space="preserve"> (</w:t>
      </w:r>
      <w:r>
        <w:rPr>
          <w:rFonts w:cstheme="minorHAnsi"/>
          <w:sz w:val="24"/>
          <w:szCs w:val="24"/>
          <w:lang w:val="fr-FR"/>
        </w:rPr>
        <w:t>July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103946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64E4A">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64E4A">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464E4A">
        <w:rPr>
          <w:rFonts w:cstheme="minorHAnsi"/>
          <w:sz w:val="24"/>
          <w:szCs w:val="24"/>
        </w:rPr>
        <w:t>Elsevier</w:t>
      </w:r>
      <w:r w:rsidR="000A7622" w:rsidRPr="00C04F25">
        <w:rPr>
          <w:rFonts w:cstheme="minorHAnsi"/>
          <w:sz w:val="24"/>
          <w:szCs w:val="24"/>
        </w:rPr>
        <w:t xml:space="preserve">. </w:t>
      </w:r>
      <w:bookmarkEnd w:id="1"/>
    </w:p>
    <w:p w14:paraId="36D66B89" w14:textId="2535629A" w:rsidR="000976FB" w:rsidRDefault="000976FB" w:rsidP="000976FB"/>
    <w:p w14:paraId="0C1465EC" w14:textId="1E20212B" w:rsidR="00FF4640" w:rsidRDefault="00FF4640" w:rsidP="00FF4640">
      <w:pPr>
        <w:pStyle w:val="Title"/>
      </w:pPr>
      <w:r w:rsidRPr="00FF4640">
        <w:t>Effectiveness of Home Health Care in Reducing Return to Hospital: Evidence from a Multi-hospital Study in the US</w:t>
      </w:r>
    </w:p>
    <w:p w14:paraId="70DF096F" w14:textId="77777777" w:rsidR="00FE3E6D" w:rsidRDefault="00FE3E6D" w:rsidP="00FF4640"/>
    <w:p w14:paraId="0A11CAF5" w14:textId="5B150421" w:rsidR="0056716A" w:rsidRPr="00E63552" w:rsidRDefault="0056716A" w:rsidP="00E63552">
      <w:pPr>
        <w:pStyle w:val="NoSpacing"/>
        <w:rPr>
          <w:sz w:val="32"/>
          <w:szCs w:val="32"/>
        </w:rPr>
      </w:pPr>
      <w:r w:rsidRPr="00E63552">
        <w:rPr>
          <w:sz w:val="32"/>
          <w:szCs w:val="32"/>
        </w:rPr>
        <w:t>Danielle M.</w:t>
      </w:r>
      <w:r w:rsidRPr="00E63552">
        <w:rPr>
          <w:sz w:val="32"/>
          <w:szCs w:val="32"/>
        </w:rPr>
        <w:t xml:space="preserve"> </w:t>
      </w:r>
      <w:proofErr w:type="spellStart"/>
      <w:r w:rsidRPr="00E63552">
        <w:rPr>
          <w:sz w:val="32"/>
          <w:szCs w:val="32"/>
        </w:rPr>
        <w:t>Siclovan</w:t>
      </w:r>
      <w:proofErr w:type="spellEnd"/>
    </w:p>
    <w:p w14:paraId="10980B7D" w14:textId="749904A3" w:rsidR="0056716A" w:rsidRPr="00E63552" w:rsidRDefault="00B34EF6" w:rsidP="00E63552">
      <w:pPr>
        <w:pStyle w:val="NoSpacing"/>
        <w:rPr>
          <w:sz w:val="24"/>
          <w:szCs w:val="24"/>
        </w:rPr>
      </w:pPr>
      <w:r w:rsidRPr="00E63552">
        <w:rPr>
          <w:sz w:val="24"/>
          <w:szCs w:val="24"/>
        </w:rPr>
        <w:t>Froedtert Hospital, 9200 W. Wisconsin Ave., Milwaukee, WI</w:t>
      </w:r>
    </w:p>
    <w:p w14:paraId="3A0802D3" w14:textId="33F50D89" w:rsidR="0056716A" w:rsidRPr="00E63552" w:rsidRDefault="0056716A" w:rsidP="00E63552">
      <w:pPr>
        <w:pStyle w:val="NoSpacing"/>
        <w:rPr>
          <w:sz w:val="32"/>
          <w:szCs w:val="32"/>
        </w:rPr>
      </w:pPr>
      <w:r w:rsidRPr="00E63552">
        <w:rPr>
          <w:sz w:val="32"/>
          <w:szCs w:val="32"/>
        </w:rPr>
        <w:t>James T.</w:t>
      </w:r>
      <w:r w:rsidRPr="00E63552">
        <w:rPr>
          <w:sz w:val="32"/>
          <w:szCs w:val="32"/>
        </w:rPr>
        <w:t xml:space="preserve"> </w:t>
      </w:r>
      <w:r w:rsidRPr="00E63552">
        <w:rPr>
          <w:sz w:val="32"/>
          <w:szCs w:val="32"/>
        </w:rPr>
        <w:t>Bang</w:t>
      </w:r>
    </w:p>
    <w:p w14:paraId="08D2C05E" w14:textId="62F860FC" w:rsidR="0056716A" w:rsidRPr="00E63552" w:rsidRDefault="00F17C6D" w:rsidP="00E63552">
      <w:pPr>
        <w:pStyle w:val="NoSpacing"/>
        <w:rPr>
          <w:sz w:val="24"/>
          <w:szCs w:val="24"/>
        </w:rPr>
      </w:pPr>
      <w:r w:rsidRPr="00E63552">
        <w:rPr>
          <w:sz w:val="24"/>
          <w:szCs w:val="24"/>
        </w:rPr>
        <w:t>Department of Economics, St. Ambrose University, McMullen Hall 124A 518 W. Locust St.</w:t>
      </w:r>
      <w:r w:rsidRPr="00E63552">
        <w:rPr>
          <w:sz w:val="24"/>
          <w:szCs w:val="24"/>
        </w:rPr>
        <w:t xml:space="preserve">, </w:t>
      </w:r>
      <w:r w:rsidRPr="00E63552">
        <w:rPr>
          <w:sz w:val="24"/>
          <w:szCs w:val="24"/>
        </w:rPr>
        <w:t>Davenport, IA</w:t>
      </w:r>
    </w:p>
    <w:p w14:paraId="4C1C13F0" w14:textId="16C5EBDA" w:rsidR="0056716A" w:rsidRPr="00E63552" w:rsidRDefault="0056716A" w:rsidP="00E63552">
      <w:pPr>
        <w:pStyle w:val="NoSpacing"/>
        <w:rPr>
          <w:sz w:val="32"/>
          <w:szCs w:val="32"/>
        </w:rPr>
      </w:pPr>
      <w:r w:rsidRPr="00E63552">
        <w:rPr>
          <w:sz w:val="32"/>
          <w:szCs w:val="32"/>
        </w:rPr>
        <w:t>Olga</w:t>
      </w:r>
      <w:r w:rsidRPr="00E63552">
        <w:rPr>
          <w:sz w:val="32"/>
          <w:szCs w:val="32"/>
        </w:rPr>
        <w:t xml:space="preserve"> </w:t>
      </w:r>
      <w:proofErr w:type="spellStart"/>
      <w:r w:rsidRPr="00E63552">
        <w:rPr>
          <w:sz w:val="32"/>
          <w:szCs w:val="32"/>
        </w:rPr>
        <w:t>Yakusheva</w:t>
      </w:r>
      <w:proofErr w:type="spellEnd"/>
    </w:p>
    <w:p w14:paraId="61EAACD8" w14:textId="7B0A8AAD" w:rsidR="0056716A" w:rsidRPr="00E63552" w:rsidRDefault="004609A1" w:rsidP="00E63552">
      <w:pPr>
        <w:pStyle w:val="NoSpacing"/>
        <w:rPr>
          <w:sz w:val="24"/>
          <w:szCs w:val="24"/>
        </w:rPr>
      </w:pPr>
      <w:r w:rsidRPr="00E63552">
        <w:rPr>
          <w:sz w:val="24"/>
          <w:szCs w:val="24"/>
        </w:rPr>
        <w:t>University of Michigan School of Nursing, 400 North Ingalls Building, Ann Arbor, MI</w:t>
      </w:r>
    </w:p>
    <w:p w14:paraId="27ED8DBC" w14:textId="4FA877E1" w:rsidR="0056716A" w:rsidRPr="00E63552" w:rsidRDefault="0056716A" w:rsidP="00E63552">
      <w:pPr>
        <w:pStyle w:val="NoSpacing"/>
        <w:rPr>
          <w:sz w:val="32"/>
          <w:szCs w:val="32"/>
        </w:rPr>
      </w:pPr>
      <w:r w:rsidRPr="00E63552">
        <w:rPr>
          <w:sz w:val="32"/>
          <w:szCs w:val="32"/>
        </w:rPr>
        <w:t>Morris</w:t>
      </w:r>
      <w:r w:rsidRPr="00E63552">
        <w:rPr>
          <w:sz w:val="32"/>
          <w:szCs w:val="32"/>
        </w:rPr>
        <w:t xml:space="preserve"> </w:t>
      </w:r>
      <w:r w:rsidRPr="00E63552">
        <w:rPr>
          <w:sz w:val="32"/>
          <w:szCs w:val="32"/>
        </w:rPr>
        <w:t>Hamilton</w:t>
      </w:r>
    </w:p>
    <w:p w14:paraId="791EA590" w14:textId="1D4C7190" w:rsidR="0056716A" w:rsidRPr="00E63552" w:rsidRDefault="004609A1" w:rsidP="00E63552">
      <w:pPr>
        <w:pStyle w:val="NoSpacing"/>
        <w:rPr>
          <w:sz w:val="24"/>
          <w:szCs w:val="24"/>
        </w:rPr>
      </w:pPr>
      <w:proofErr w:type="spellStart"/>
      <w:r w:rsidRPr="00E63552">
        <w:rPr>
          <w:sz w:val="24"/>
          <w:szCs w:val="24"/>
        </w:rPr>
        <w:t>Abt</w:t>
      </w:r>
      <w:proofErr w:type="spellEnd"/>
      <w:r w:rsidRPr="00E63552">
        <w:rPr>
          <w:sz w:val="24"/>
          <w:szCs w:val="24"/>
        </w:rPr>
        <w:t xml:space="preserve"> Associates, 5001 S Miami Blvd #210, Durham, NC</w:t>
      </w:r>
    </w:p>
    <w:p w14:paraId="20DE63FA" w14:textId="01DF9376" w:rsidR="0056716A" w:rsidRPr="00E63552" w:rsidRDefault="0056716A" w:rsidP="00E63552">
      <w:pPr>
        <w:pStyle w:val="NoSpacing"/>
        <w:rPr>
          <w:sz w:val="32"/>
          <w:szCs w:val="32"/>
        </w:rPr>
      </w:pPr>
      <w:r w:rsidRPr="00E63552">
        <w:rPr>
          <w:sz w:val="32"/>
          <w:szCs w:val="32"/>
        </w:rPr>
        <w:t>Kathleen L.</w:t>
      </w:r>
      <w:r w:rsidRPr="00E63552">
        <w:rPr>
          <w:sz w:val="32"/>
          <w:szCs w:val="32"/>
        </w:rPr>
        <w:t xml:space="preserve"> </w:t>
      </w:r>
      <w:r w:rsidRPr="00E63552">
        <w:rPr>
          <w:sz w:val="32"/>
          <w:szCs w:val="32"/>
        </w:rPr>
        <w:t>Bobay</w:t>
      </w:r>
    </w:p>
    <w:p w14:paraId="48D8B6F0" w14:textId="025C7687" w:rsidR="0056716A" w:rsidRPr="00E63552" w:rsidRDefault="000A34A2" w:rsidP="00E63552">
      <w:pPr>
        <w:pStyle w:val="NoSpacing"/>
        <w:rPr>
          <w:sz w:val="24"/>
          <w:szCs w:val="24"/>
        </w:rPr>
      </w:pPr>
      <w:r w:rsidRPr="00E63552">
        <w:rPr>
          <w:sz w:val="24"/>
          <w:szCs w:val="24"/>
        </w:rPr>
        <w:t xml:space="preserve">Marcella </w:t>
      </w:r>
      <w:proofErr w:type="spellStart"/>
      <w:r w:rsidRPr="00E63552">
        <w:rPr>
          <w:sz w:val="24"/>
          <w:szCs w:val="24"/>
        </w:rPr>
        <w:t>Niehoff</w:t>
      </w:r>
      <w:proofErr w:type="spellEnd"/>
      <w:r w:rsidRPr="00E63552">
        <w:rPr>
          <w:sz w:val="24"/>
          <w:szCs w:val="24"/>
        </w:rPr>
        <w:t xml:space="preserve"> School of Nursing, Loyola University Chicago, 2160 S. 1st Ave., Maywood, Illinois</w:t>
      </w:r>
    </w:p>
    <w:p w14:paraId="2CC4C876" w14:textId="19E3F17E" w:rsidR="0056716A" w:rsidRPr="00E63552" w:rsidRDefault="0056716A" w:rsidP="00E63552">
      <w:pPr>
        <w:pStyle w:val="NoSpacing"/>
        <w:rPr>
          <w:sz w:val="32"/>
          <w:szCs w:val="32"/>
        </w:rPr>
      </w:pPr>
      <w:r w:rsidRPr="00E63552">
        <w:rPr>
          <w:sz w:val="32"/>
          <w:szCs w:val="32"/>
        </w:rPr>
        <w:t>Linda L.</w:t>
      </w:r>
      <w:r w:rsidRPr="00E63552">
        <w:rPr>
          <w:sz w:val="32"/>
          <w:szCs w:val="32"/>
        </w:rPr>
        <w:t xml:space="preserve"> </w:t>
      </w:r>
      <w:r w:rsidRPr="00E63552">
        <w:rPr>
          <w:sz w:val="32"/>
          <w:szCs w:val="32"/>
        </w:rPr>
        <w:t>Costa</w:t>
      </w:r>
    </w:p>
    <w:p w14:paraId="2373031C" w14:textId="56CE4204" w:rsidR="0056716A" w:rsidRPr="00E63552" w:rsidRDefault="000A34A2" w:rsidP="00E63552">
      <w:pPr>
        <w:pStyle w:val="NoSpacing"/>
        <w:rPr>
          <w:sz w:val="24"/>
          <w:szCs w:val="24"/>
        </w:rPr>
      </w:pPr>
      <w:r w:rsidRPr="00E63552">
        <w:rPr>
          <w:sz w:val="24"/>
          <w:szCs w:val="24"/>
        </w:rPr>
        <w:t>University of Maryland School of Nursing, 655 W. Lombard St., Baltimore, MD</w:t>
      </w:r>
    </w:p>
    <w:p w14:paraId="0544F5AD" w14:textId="6D62B803" w:rsidR="0056716A" w:rsidRPr="00E63552" w:rsidRDefault="0056716A" w:rsidP="00E63552">
      <w:pPr>
        <w:pStyle w:val="NoSpacing"/>
        <w:rPr>
          <w:sz w:val="32"/>
          <w:szCs w:val="32"/>
        </w:rPr>
      </w:pPr>
      <w:r w:rsidRPr="00E63552">
        <w:rPr>
          <w:sz w:val="32"/>
          <w:szCs w:val="32"/>
        </w:rPr>
        <w:t>Ronda G.</w:t>
      </w:r>
      <w:r w:rsidRPr="00E63552">
        <w:rPr>
          <w:sz w:val="32"/>
          <w:szCs w:val="32"/>
        </w:rPr>
        <w:t xml:space="preserve"> </w:t>
      </w:r>
      <w:r w:rsidRPr="00E63552">
        <w:rPr>
          <w:sz w:val="32"/>
          <w:szCs w:val="32"/>
        </w:rPr>
        <w:t>Hughes</w:t>
      </w:r>
    </w:p>
    <w:p w14:paraId="08BED7A9" w14:textId="3549D5C1" w:rsidR="0056716A" w:rsidRPr="00E63552" w:rsidRDefault="00E63552" w:rsidP="00E63552">
      <w:pPr>
        <w:pStyle w:val="NoSpacing"/>
        <w:rPr>
          <w:sz w:val="24"/>
          <w:szCs w:val="24"/>
        </w:rPr>
      </w:pPr>
      <w:r w:rsidRPr="00E63552">
        <w:rPr>
          <w:sz w:val="24"/>
          <w:szCs w:val="24"/>
        </w:rPr>
        <w:t>University of South Carolina College of Nursing, 1601 Greene Street, Room 405, Columbia, SC</w:t>
      </w:r>
    </w:p>
    <w:p w14:paraId="635FE19C" w14:textId="0E40051D" w:rsidR="0056716A" w:rsidRPr="00E63552" w:rsidRDefault="0056716A" w:rsidP="00E63552">
      <w:pPr>
        <w:pStyle w:val="NoSpacing"/>
        <w:rPr>
          <w:sz w:val="32"/>
          <w:szCs w:val="32"/>
        </w:rPr>
      </w:pPr>
      <w:r w:rsidRPr="00E63552">
        <w:rPr>
          <w:sz w:val="32"/>
          <w:szCs w:val="32"/>
        </w:rPr>
        <w:t>Jane</w:t>
      </w:r>
      <w:r w:rsidRPr="00E63552">
        <w:rPr>
          <w:sz w:val="32"/>
          <w:szCs w:val="32"/>
        </w:rPr>
        <w:t xml:space="preserve"> </w:t>
      </w:r>
      <w:r w:rsidRPr="00E63552">
        <w:rPr>
          <w:sz w:val="32"/>
          <w:szCs w:val="32"/>
        </w:rPr>
        <w:t>Miles</w:t>
      </w:r>
    </w:p>
    <w:p w14:paraId="0AAE1BB3" w14:textId="755AAB17" w:rsidR="0056716A" w:rsidRPr="00E63552" w:rsidRDefault="00E63552" w:rsidP="00E63552">
      <w:pPr>
        <w:pStyle w:val="NoSpacing"/>
        <w:rPr>
          <w:sz w:val="24"/>
          <w:szCs w:val="24"/>
        </w:rPr>
      </w:pPr>
      <w:r w:rsidRPr="00E63552">
        <w:rPr>
          <w:sz w:val="24"/>
          <w:szCs w:val="24"/>
        </w:rPr>
        <w:t>Marquette University College of Nursing, PO Box 1881, Milwaukee, WI</w:t>
      </w:r>
    </w:p>
    <w:p w14:paraId="1B4170D1" w14:textId="2763091C" w:rsidR="0056716A" w:rsidRPr="00E63552" w:rsidRDefault="0056716A" w:rsidP="00E63552">
      <w:pPr>
        <w:pStyle w:val="NoSpacing"/>
        <w:rPr>
          <w:sz w:val="32"/>
          <w:szCs w:val="32"/>
        </w:rPr>
      </w:pPr>
      <w:r w:rsidRPr="00E63552">
        <w:rPr>
          <w:sz w:val="32"/>
          <w:szCs w:val="32"/>
        </w:rPr>
        <w:t>Sarah J.</w:t>
      </w:r>
      <w:r w:rsidRPr="00E63552">
        <w:rPr>
          <w:sz w:val="32"/>
          <w:szCs w:val="32"/>
        </w:rPr>
        <w:t xml:space="preserve"> </w:t>
      </w:r>
      <w:r w:rsidRPr="00E63552">
        <w:rPr>
          <w:sz w:val="32"/>
          <w:szCs w:val="32"/>
        </w:rPr>
        <w:t>Bahr</w:t>
      </w:r>
    </w:p>
    <w:p w14:paraId="4C94F7CD" w14:textId="1838133C" w:rsidR="0056716A" w:rsidRPr="00E63552" w:rsidRDefault="00E63552" w:rsidP="00E63552">
      <w:pPr>
        <w:pStyle w:val="NoSpacing"/>
        <w:rPr>
          <w:sz w:val="24"/>
          <w:szCs w:val="24"/>
        </w:rPr>
      </w:pPr>
      <w:r w:rsidRPr="00E63552">
        <w:rPr>
          <w:sz w:val="24"/>
          <w:szCs w:val="24"/>
        </w:rPr>
        <w:t>Marquette University College of Nursing, PO Box 1881, Milwaukee, WI</w:t>
      </w:r>
    </w:p>
    <w:p w14:paraId="5F344DE8" w14:textId="34602BF6" w:rsidR="00FF4640" w:rsidRPr="00E63552" w:rsidRDefault="0056716A" w:rsidP="00E63552">
      <w:pPr>
        <w:pStyle w:val="NoSpacing"/>
        <w:rPr>
          <w:sz w:val="32"/>
          <w:szCs w:val="32"/>
        </w:rPr>
      </w:pPr>
      <w:r w:rsidRPr="00E63552">
        <w:rPr>
          <w:sz w:val="32"/>
          <w:szCs w:val="32"/>
        </w:rPr>
        <w:t>Marianne E.</w:t>
      </w:r>
      <w:r w:rsidRPr="00E63552">
        <w:rPr>
          <w:sz w:val="32"/>
          <w:szCs w:val="32"/>
        </w:rPr>
        <w:t xml:space="preserve"> </w:t>
      </w:r>
      <w:r w:rsidRPr="00E63552">
        <w:rPr>
          <w:sz w:val="32"/>
          <w:szCs w:val="32"/>
        </w:rPr>
        <w:t>Weiss</w:t>
      </w:r>
    </w:p>
    <w:p w14:paraId="6F18F272" w14:textId="4A01AF93" w:rsidR="0056716A" w:rsidRPr="00E63552" w:rsidRDefault="00E63552" w:rsidP="00E63552">
      <w:pPr>
        <w:pStyle w:val="NoSpacing"/>
        <w:rPr>
          <w:sz w:val="24"/>
          <w:szCs w:val="24"/>
        </w:rPr>
      </w:pPr>
      <w:r w:rsidRPr="00E63552">
        <w:rPr>
          <w:sz w:val="24"/>
          <w:szCs w:val="24"/>
        </w:rPr>
        <w:t>Marquette University College of Nursing, PO Box 1881, Milwaukee, WI</w:t>
      </w:r>
    </w:p>
    <w:p w14:paraId="1F75E1E4" w14:textId="77777777" w:rsidR="0056716A" w:rsidRDefault="0056716A" w:rsidP="00FF4640"/>
    <w:p w14:paraId="13C7BDFF" w14:textId="77777777" w:rsidR="00FF4640" w:rsidRPr="00FF4640" w:rsidRDefault="00FF4640" w:rsidP="00E63552">
      <w:pPr>
        <w:pStyle w:val="Heading1"/>
      </w:pPr>
      <w:r w:rsidRPr="00FF4640">
        <w:t>Abstract</w:t>
      </w:r>
    </w:p>
    <w:p w14:paraId="70D08F37" w14:textId="77777777" w:rsidR="00FF4640" w:rsidRPr="00FF4640" w:rsidRDefault="00FF4640" w:rsidP="00E63552">
      <w:pPr>
        <w:pStyle w:val="Heading2"/>
      </w:pPr>
      <w:r w:rsidRPr="00FF4640">
        <w:t>Background</w:t>
      </w:r>
    </w:p>
    <w:p w14:paraId="0C1317EF" w14:textId="44454464" w:rsidR="00FF4640" w:rsidRPr="00FF4640" w:rsidRDefault="00FF4640" w:rsidP="00FF4640">
      <w:r w:rsidRPr="00FF4640">
        <w:t>Home health care, a commonly used bridge strategy for transitioning from hospital to home-based care, is expected to contribute to </w:t>
      </w:r>
      <w:r w:rsidRPr="00FE3F0D">
        <w:t>readmission</w:t>
      </w:r>
      <w:r w:rsidRPr="00FF4640">
        <w:t> avoidance efforts. However, in studies using disease-specific samples, evidence about the effectiveness of home health care in reducing readmissions is mixed.</w:t>
      </w:r>
    </w:p>
    <w:p w14:paraId="5389F57A" w14:textId="77777777" w:rsidR="00FF4640" w:rsidRPr="00FF4640" w:rsidRDefault="00FF4640" w:rsidP="00E63552">
      <w:pPr>
        <w:pStyle w:val="Heading2"/>
      </w:pPr>
      <w:r w:rsidRPr="00FF4640">
        <w:t>Objective</w:t>
      </w:r>
    </w:p>
    <w:p w14:paraId="6E9B385D" w14:textId="77777777" w:rsidR="00FF4640" w:rsidRPr="00FF4640" w:rsidRDefault="00FF4640" w:rsidP="00FF4640">
      <w:r w:rsidRPr="00FF4640">
        <w:t>To examine the effectiveness of home health care in reducing return to hospital across a diverse sample of patients discharged home following acute care hospitalization.</w:t>
      </w:r>
    </w:p>
    <w:p w14:paraId="53CE28F7" w14:textId="77777777" w:rsidR="00FF4640" w:rsidRPr="00FF4640" w:rsidRDefault="00FF4640" w:rsidP="00E63552">
      <w:pPr>
        <w:pStyle w:val="Heading2"/>
      </w:pPr>
      <w:r w:rsidRPr="00FF4640">
        <w:t>Research design</w:t>
      </w:r>
    </w:p>
    <w:p w14:paraId="27067C33" w14:textId="3DEA7356" w:rsidR="00FF4640" w:rsidRPr="00FF4640" w:rsidRDefault="00FF4640" w:rsidP="00FF4640">
      <w:r w:rsidRPr="00FF4640">
        <w:t>Secondary analysis of a multi-site dataset from a study of discharge readiness assessment and post-discharge return to hospital, comparing matched samples of patients referred and not referred for home health care at the time of </w:t>
      </w:r>
      <w:r w:rsidRPr="00FE3F0D">
        <w:t>hospital discharge</w:t>
      </w:r>
      <w:r w:rsidRPr="00FF4640">
        <w:t>.</w:t>
      </w:r>
    </w:p>
    <w:p w14:paraId="3ED77CA8" w14:textId="77777777" w:rsidR="00FF4640" w:rsidRPr="00FF4640" w:rsidRDefault="00FF4640" w:rsidP="00E63552">
      <w:pPr>
        <w:pStyle w:val="Heading2"/>
      </w:pPr>
      <w:r w:rsidRPr="00FF4640">
        <w:lastRenderedPageBreak/>
        <w:t>Setting</w:t>
      </w:r>
    </w:p>
    <w:p w14:paraId="6BD6017C" w14:textId="77777777" w:rsidR="00FF4640" w:rsidRPr="00FF4640" w:rsidRDefault="00FF4640" w:rsidP="00FF4640">
      <w:r w:rsidRPr="00FF4640">
        <w:t>Acute care, Magnet-designated hospitals in the United States</w:t>
      </w:r>
    </w:p>
    <w:p w14:paraId="0C03E4B1" w14:textId="77777777" w:rsidR="00FF4640" w:rsidRPr="00FF4640" w:rsidRDefault="00FF4640" w:rsidP="00E63552">
      <w:pPr>
        <w:pStyle w:val="Heading2"/>
      </w:pPr>
      <w:r w:rsidRPr="00FF4640">
        <w:t>Participants</w:t>
      </w:r>
    </w:p>
    <w:p w14:paraId="0C690A7C" w14:textId="77777777" w:rsidR="00FF4640" w:rsidRPr="00FF4640" w:rsidRDefault="00FF4640" w:rsidP="00FF4640">
      <w:r w:rsidRPr="00FF4640">
        <w:t>The available sample (</w:t>
      </w:r>
      <w:r w:rsidRPr="00FF4640">
        <w:rPr>
          <w:i/>
          <w:iCs/>
        </w:rPr>
        <w:t>n</w:t>
      </w:r>
      <w:r w:rsidRPr="00FF4640">
        <w:t> = 18,555) included hospitalized patients discharged from medical-surgical units who were referred (</w:t>
      </w:r>
      <w:r w:rsidRPr="00FF4640">
        <w:rPr>
          <w:i/>
          <w:iCs/>
        </w:rPr>
        <w:t>n</w:t>
      </w:r>
      <w:r w:rsidRPr="00FF4640">
        <w:t> = 3,579) and not referred (</w:t>
      </w:r>
      <w:r w:rsidRPr="00FF4640">
        <w:rPr>
          <w:i/>
          <w:iCs/>
        </w:rPr>
        <w:t>n</w:t>
      </w:r>
      <w:r w:rsidRPr="00FF4640">
        <w:t xml:space="preserve"> = 14,976) to home health care. The matched sample included 2767 pairs of home health care and non- home health care patients matched on patient and hospitalization characteristics using exact and </w:t>
      </w:r>
      <w:proofErr w:type="spellStart"/>
      <w:r w:rsidRPr="00FF4640">
        <w:t>Mahalanobis</w:t>
      </w:r>
      <w:proofErr w:type="spellEnd"/>
      <w:r w:rsidRPr="00FF4640">
        <w:t xml:space="preserve"> distance matching.</w:t>
      </w:r>
    </w:p>
    <w:p w14:paraId="34C3E2A8" w14:textId="77777777" w:rsidR="00FF4640" w:rsidRPr="00FF4640" w:rsidRDefault="00FF4640" w:rsidP="00E63552">
      <w:pPr>
        <w:pStyle w:val="Heading2"/>
      </w:pPr>
      <w:r w:rsidRPr="00FF4640">
        <w:t>Methods</w:t>
      </w:r>
    </w:p>
    <w:p w14:paraId="59DB15EE" w14:textId="77777777" w:rsidR="00FF4640" w:rsidRPr="00FF4640" w:rsidRDefault="00FF4640" w:rsidP="00FF4640">
      <w:r w:rsidRPr="00FF4640">
        <w:t>Unadjusted t-tests and adjusted multinomial logit regression analyses to compare the occurrence of readmissions and Emergency Department/Observation visits within 30 and 60-days post-discharge.</w:t>
      </w:r>
    </w:p>
    <w:p w14:paraId="44E52F91" w14:textId="77777777" w:rsidR="00FF4640" w:rsidRPr="00FF4640" w:rsidRDefault="00FF4640" w:rsidP="00E63552">
      <w:pPr>
        <w:pStyle w:val="Heading2"/>
      </w:pPr>
      <w:r w:rsidRPr="00FF4640">
        <w:t>Results</w:t>
      </w:r>
    </w:p>
    <w:p w14:paraId="275E9AEE" w14:textId="77777777" w:rsidR="00FF4640" w:rsidRPr="00FF4640" w:rsidRDefault="00FF4640" w:rsidP="00FF4640">
      <w:r w:rsidRPr="00FF4640">
        <w:t>No statistically significant differences in readmissions or Emergency Department /Observation visits between home health care and non-home health care patients were observed.</w:t>
      </w:r>
    </w:p>
    <w:p w14:paraId="736A5A59" w14:textId="77777777" w:rsidR="00FF4640" w:rsidRPr="00FF4640" w:rsidRDefault="00FF4640" w:rsidP="00E63552">
      <w:pPr>
        <w:pStyle w:val="Heading2"/>
      </w:pPr>
      <w:r w:rsidRPr="00FF4640">
        <w:t>Conclusions</w:t>
      </w:r>
    </w:p>
    <w:p w14:paraId="521909E2" w14:textId="77777777" w:rsidR="00FF4640" w:rsidRPr="00FF4640" w:rsidRDefault="00FF4640" w:rsidP="00FF4640">
      <w:r w:rsidRPr="00FF4640">
        <w:t>Home health care referral was not associated with lower rates of return to hospital within 30 and 60 days in this US sample matched on patient and clinical condition characteristics. This result raises the question of why home health care services did not produce evidence of lower post-discharge return to hospital rates. Focused attention by home health care programs on strategies to reduce readmissions is needed.</w:t>
      </w:r>
    </w:p>
    <w:p w14:paraId="1DE47BD2" w14:textId="77777777" w:rsidR="00FF4640" w:rsidRPr="00FF4640" w:rsidRDefault="00FF4640" w:rsidP="00E63552">
      <w:pPr>
        <w:pStyle w:val="Heading1"/>
      </w:pPr>
      <w:r w:rsidRPr="00FF4640">
        <w:t>Keywords</w:t>
      </w:r>
    </w:p>
    <w:p w14:paraId="3F358FDE" w14:textId="69E827E7" w:rsidR="00FF4640" w:rsidRPr="00FF4640" w:rsidRDefault="00FF4640" w:rsidP="00FF4640">
      <w:r w:rsidRPr="00FF4640">
        <w:t>Effectiveness</w:t>
      </w:r>
      <w:r w:rsidR="00E63552">
        <w:t xml:space="preserve">, </w:t>
      </w:r>
      <w:r w:rsidRPr="00FF4640">
        <w:t>Home health care</w:t>
      </w:r>
      <w:r w:rsidR="00E63552">
        <w:t xml:space="preserve">, </w:t>
      </w:r>
      <w:r w:rsidRPr="00FF4640">
        <w:t>Readmission</w:t>
      </w:r>
      <w:r w:rsidR="00E63552">
        <w:t xml:space="preserve">, </w:t>
      </w:r>
      <w:r w:rsidRPr="00FF4640">
        <w:t>Emergency Department visits</w:t>
      </w:r>
      <w:r w:rsidR="00E63552">
        <w:t xml:space="preserve">, </w:t>
      </w:r>
      <w:r w:rsidRPr="00FF4640">
        <w:t>Utilization</w:t>
      </w:r>
    </w:p>
    <w:p w14:paraId="04DD1DEE" w14:textId="77777777" w:rsidR="00FF4640" w:rsidRPr="00FF4640" w:rsidRDefault="00FF4640" w:rsidP="00E63552">
      <w:pPr>
        <w:pStyle w:val="Heading1"/>
      </w:pPr>
      <w:r w:rsidRPr="00FF4640">
        <w:t>What is already known</w:t>
      </w:r>
    </w:p>
    <w:p w14:paraId="5C3C3ADE" w14:textId="214E51D1" w:rsidR="00FF4640" w:rsidRPr="00FF4640" w:rsidRDefault="00FF4640" w:rsidP="00E63552">
      <w:pPr>
        <w:spacing w:after="0"/>
        <w:ind w:left="720"/>
      </w:pPr>
      <w:r w:rsidRPr="00FF4640">
        <w:t>•</w:t>
      </w:r>
      <w:r w:rsidR="00E63552">
        <w:t xml:space="preserve"> </w:t>
      </w:r>
      <w:r w:rsidRPr="00FF4640">
        <w:t>Home health care services provide a bridge from hospital care to home-based recovery.</w:t>
      </w:r>
    </w:p>
    <w:p w14:paraId="7D448800" w14:textId="393B44B8" w:rsidR="00FF4640" w:rsidRPr="00FF4640" w:rsidRDefault="00FF4640" w:rsidP="00E63552">
      <w:pPr>
        <w:spacing w:after="0"/>
        <w:ind w:left="720"/>
      </w:pPr>
      <w:r w:rsidRPr="00FF4640">
        <w:t>•</w:t>
      </w:r>
      <w:r w:rsidR="00E63552">
        <w:t xml:space="preserve"> </w:t>
      </w:r>
      <w:r w:rsidRPr="00FF4640">
        <w:t>Results of observational studies and home health program implementation have produced mixed results concerning effectiveness in reducing post-discharge return to the hospital.</w:t>
      </w:r>
    </w:p>
    <w:p w14:paraId="4504E718" w14:textId="353C9B4D" w:rsidR="00FF4640" w:rsidRPr="00FF4640" w:rsidRDefault="00FF4640" w:rsidP="00E63552">
      <w:pPr>
        <w:spacing w:after="0"/>
        <w:ind w:left="720"/>
      </w:pPr>
      <w:r w:rsidRPr="00FF4640">
        <w:t>•</w:t>
      </w:r>
      <w:r w:rsidR="00E63552">
        <w:t xml:space="preserve"> </w:t>
      </w:r>
      <w:r w:rsidRPr="00FF4640">
        <w:t>Studies of home </w:t>
      </w:r>
      <w:r w:rsidRPr="00FE3F0D">
        <w:t>health care outcomes</w:t>
      </w:r>
      <w:r w:rsidRPr="00FF4640">
        <w:t> are often confounded by selection of patients with specific disease conditions and at high risk for </w:t>
      </w:r>
      <w:r w:rsidRPr="00FE3F0D">
        <w:t>readmission</w:t>
      </w:r>
      <w:r w:rsidRPr="00FF4640">
        <w:t>.</w:t>
      </w:r>
    </w:p>
    <w:p w14:paraId="682250E5" w14:textId="77777777" w:rsidR="00FF4640" w:rsidRPr="00FF4640" w:rsidRDefault="00FF4640" w:rsidP="00E63552">
      <w:pPr>
        <w:pStyle w:val="Heading1"/>
      </w:pPr>
      <w:r w:rsidRPr="00FF4640">
        <w:t>What this paper adds</w:t>
      </w:r>
    </w:p>
    <w:p w14:paraId="4417ADA1" w14:textId="5DA0F13C" w:rsidR="00FF4640" w:rsidRPr="00FF4640" w:rsidRDefault="00FF4640" w:rsidP="00E63552">
      <w:pPr>
        <w:spacing w:after="0"/>
        <w:ind w:left="720"/>
      </w:pPr>
      <w:r w:rsidRPr="00FF4640">
        <w:t>•</w:t>
      </w:r>
      <w:r w:rsidR="00E63552">
        <w:t xml:space="preserve"> </w:t>
      </w:r>
      <w:r w:rsidRPr="00FF4640">
        <w:t>In a matched sample analysis, patients referred for post-discharge home health care services had similar rates of return to the hospital for </w:t>
      </w:r>
      <w:r w:rsidRPr="00FE3F0D">
        <w:t>readmission</w:t>
      </w:r>
      <w:r w:rsidRPr="00FF4640">
        <w:t> or ED visits as patients not referred for home health care.</w:t>
      </w:r>
    </w:p>
    <w:p w14:paraId="79390C15" w14:textId="094D374C" w:rsidR="00FF4640" w:rsidRDefault="00FF4640" w:rsidP="00E63552">
      <w:pPr>
        <w:spacing w:after="0"/>
        <w:ind w:left="720"/>
      </w:pPr>
      <w:r w:rsidRPr="00FF4640">
        <w:t>•</w:t>
      </w:r>
      <w:r w:rsidR="00E63552">
        <w:t xml:space="preserve"> </w:t>
      </w:r>
      <w:r w:rsidRPr="00FF4640">
        <w:t>As </w:t>
      </w:r>
      <w:r w:rsidRPr="00FE3F0D">
        <w:t>health care policies</w:t>
      </w:r>
      <w:r w:rsidRPr="00FF4640">
        <w:t> and funding priorities evolve toward value-based care services within integrated care models, strategies to leverage the potential of home health services to reduce readmissions are urgently needed.</w:t>
      </w:r>
    </w:p>
    <w:p w14:paraId="55EE6D1B" w14:textId="77777777" w:rsidR="00E63552" w:rsidRPr="00FF4640" w:rsidRDefault="00E63552" w:rsidP="00FF4640"/>
    <w:p w14:paraId="1C916B35" w14:textId="77777777" w:rsidR="00FF4640" w:rsidRPr="00FF4640" w:rsidRDefault="00FF4640" w:rsidP="00E63552">
      <w:pPr>
        <w:pStyle w:val="Heading1"/>
      </w:pPr>
      <w:r w:rsidRPr="00FF4640">
        <w:t>Introduction</w:t>
      </w:r>
    </w:p>
    <w:p w14:paraId="11CA812F" w14:textId="2C1D6586" w:rsidR="00FF4640" w:rsidRPr="00FF4640" w:rsidRDefault="00FF4640" w:rsidP="00FF4640">
      <w:r w:rsidRPr="00FF4640">
        <w:t>With costs of healthcare rising globally, hospitals are faced with competing pressures to manage inpatient care costs while at the same time reducing </w:t>
      </w:r>
      <w:r w:rsidRPr="00FE3F0D">
        <w:t>readmissions</w:t>
      </w:r>
      <w:r w:rsidRPr="00FF4640">
        <w:t> (</w:t>
      </w:r>
      <w:bookmarkStart w:id="2" w:name="bbib49"/>
      <w:r w:rsidRPr="00FE3F0D">
        <w:t>Kristensen et al., 2015</w:t>
      </w:r>
      <w:bookmarkEnd w:id="2"/>
      <w:r w:rsidRPr="00FF4640">
        <w:t>). In response to these policy pressures, and to meet the increased demand for care of an aging and chronically ill population (</w:t>
      </w:r>
      <w:bookmarkStart w:id="3" w:name="bbib47"/>
      <w:r w:rsidRPr="00FE3F0D">
        <w:t>World Health Organization, 2015</w:t>
      </w:r>
      <w:bookmarkEnd w:id="3"/>
      <w:r w:rsidRPr="00FF4640">
        <w:t>), home health care (HHC) services have emerged in many international healthcare markets as a prominent component of the hospital to home care continuum and the most common bridge strategy to reduce length of stay and cost of hospital care while also minimizing readmissions (</w:t>
      </w:r>
      <w:bookmarkStart w:id="4" w:name="bbib0001"/>
      <w:r w:rsidRPr="00FE3F0D">
        <w:t>Alliance for Home Health Quality and Innovation, n.d.</w:t>
      </w:r>
      <w:bookmarkEnd w:id="4"/>
      <w:r w:rsidRPr="00FF4640">
        <w:t>; </w:t>
      </w:r>
      <w:bookmarkStart w:id="5" w:name="bbib0038"/>
      <w:r w:rsidRPr="00FE3F0D">
        <w:t>Tao, </w:t>
      </w:r>
      <w:proofErr w:type="spellStart"/>
      <w:r w:rsidRPr="00FE3F0D">
        <w:t>Ellenbecker</w:t>
      </w:r>
      <w:proofErr w:type="spellEnd"/>
      <w:r w:rsidRPr="00FE3F0D">
        <w:t>, Chen, Zhan, and Dalton, 2012</w:t>
      </w:r>
      <w:bookmarkEnd w:id="5"/>
      <w:r w:rsidRPr="00FF4640">
        <w:t>). This paper examines the effectiveness of HHC in reducing readmissions in a large multi-site sample from the United States (US).</w:t>
      </w:r>
    </w:p>
    <w:p w14:paraId="20CAB301" w14:textId="2F4E26AF" w:rsidR="00FF4640" w:rsidRPr="00FF4640" w:rsidRDefault="00FF4640" w:rsidP="00FF4640">
      <w:r w:rsidRPr="00FF4640">
        <w:t>In the US, one in every 7 (</w:t>
      </w:r>
      <w:bookmarkStart w:id="6" w:name="bbib0020"/>
      <w:r w:rsidRPr="00FE3F0D">
        <w:t>Henry J Kaiser Family Foundation, 2019</w:t>
      </w:r>
      <w:bookmarkEnd w:id="6"/>
      <w:r w:rsidRPr="00FF4640">
        <w:t>; </w:t>
      </w:r>
      <w:bookmarkStart w:id="7" w:name="bbib0040"/>
      <w:r w:rsidRPr="00FE3F0D">
        <w:t>United Health Foundation et al., n.d.</w:t>
      </w:r>
      <w:bookmarkEnd w:id="7"/>
      <w:r w:rsidRPr="00FF4640">
        <w:t xml:space="preserve">) hospital patients </w:t>
      </w:r>
      <w:proofErr w:type="gramStart"/>
      <w:r w:rsidRPr="00FF4640">
        <w:t>is</w:t>
      </w:r>
      <w:proofErr w:type="gramEnd"/>
      <w:r w:rsidRPr="00FF4640">
        <w:t xml:space="preserve"> readmitted within 30 days </w:t>
      </w:r>
      <w:r w:rsidRPr="00FE3F0D">
        <w:t>after discharge</w:t>
      </w:r>
      <w:r w:rsidRPr="00FF4640">
        <w:t>, making repeat hospital admissions one of the most frequent and costly </w:t>
      </w:r>
      <w:r w:rsidRPr="00FE3F0D">
        <w:t>adverse outcomes</w:t>
      </w:r>
      <w:r w:rsidRPr="00FF4640">
        <w:t> of hospitalization. Readmission reduction is incentivized on the national level through federal programs like </w:t>
      </w:r>
      <w:r w:rsidRPr="00FE3F0D">
        <w:t>Accountable Care Organizations</w:t>
      </w:r>
      <w:r w:rsidRPr="00FF4640">
        <w:t> and Bundled Payments for Care Improvement, both designed to improve efficiency, quality, and coordination of care during the post-discharge transition and across the care continuum (</w:t>
      </w:r>
      <w:bookmarkStart w:id="8" w:name="bbib0006"/>
      <w:r w:rsidRPr="00FE3F0D">
        <w:t>CMS, 2018a</w:t>
      </w:r>
      <w:bookmarkEnd w:id="8"/>
      <w:r w:rsidRPr="00FF4640">
        <w:t>, </w:t>
      </w:r>
      <w:bookmarkStart w:id="9" w:name="bbib0007"/>
      <w:r w:rsidRPr="00FE3F0D">
        <w:t>2018b</w:t>
      </w:r>
      <w:bookmarkEnd w:id="9"/>
      <w:r w:rsidRPr="00FF4640">
        <w:t>, </w:t>
      </w:r>
      <w:bookmarkStart w:id="10" w:name="bbib0010"/>
      <w:r w:rsidRPr="00FE3F0D">
        <w:t>2018e</w:t>
      </w:r>
      <w:r w:rsidRPr="00FF4640">
        <w:t>). Integrated health systems participating in these programs frequently employ HHC for both cost and readmission reductions (C. D. </w:t>
      </w:r>
      <w:bookmarkStart w:id="11" w:name="bbib0022"/>
      <w:r w:rsidRPr="00FE3F0D">
        <w:t xml:space="preserve">Jones, Bowles, Richard, Boxer, and </w:t>
      </w:r>
      <w:proofErr w:type="spellStart"/>
      <w:r w:rsidRPr="00FE3F0D">
        <w:t>Masoudi</w:t>
      </w:r>
      <w:proofErr w:type="spellEnd"/>
      <w:r w:rsidRPr="00FE3F0D">
        <w:t>, 2017</w:t>
      </w:r>
      <w:r w:rsidRPr="00FF4640">
        <w:t>).</w:t>
      </w:r>
    </w:p>
    <w:p w14:paraId="1B41F96B" w14:textId="7238DB78" w:rsidR="00FF4640" w:rsidRPr="00FF4640" w:rsidRDefault="00FF4640" w:rsidP="00FF4640">
      <w:r w:rsidRPr="00FF4640">
        <w:t>Models for HHC delivery and funding comprise public and private care delivery entities and funding sources with varying levels of integration of home care and social services (</w:t>
      </w:r>
      <w:bookmarkStart w:id="12" w:name="bbib50"/>
      <w:r w:rsidRPr="00FE3F0D">
        <w:t xml:space="preserve">Genet et al., </w:t>
      </w:r>
      <w:proofErr w:type="gramStart"/>
      <w:r w:rsidRPr="00FE3F0D">
        <w:t>2011</w:t>
      </w:r>
      <w:bookmarkEnd w:id="12"/>
      <w:r w:rsidRPr="00FF4640">
        <w:t>;</w:t>
      </w:r>
      <w:bookmarkStart w:id="13" w:name="bbib48"/>
      <w:r w:rsidRPr="00FE3F0D">
        <w:t>Van</w:t>
      </w:r>
      <w:proofErr w:type="gramEnd"/>
      <w:r w:rsidRPr="00FE3F0D">
        <w:t> </w:t>
      </w:r>
      <w:proofErr w:type="spellStart"/>
      <w:r w:rsidRPr="00FE3F0D">
        <w:t>Eenoo</w:t>
      </w:r>
      <w:proofErr w:type="spellEnd"/>
      <w:r w:rsidRPr="00FE3F0D">
        <w:t xml:space="preserve"> et al., 2018</w:t>
      </w:r>
      <w:bookmarkEnd w:id="13"/>
      <w:r w:rsidRPr="00FF4640">
        <w:t>). In the US, HHC services are provided by either free-standing agencies or are part of </w:t>
      </w:r>
      <w:r w:rsidRPr="00FE3F0D">
        <w:t>integrated health care systems</w:t>
      </w:r>
      <w:r w:rsidRPr="00FF4640">
        <w:t>, consist of one or more visits conducted in the home to support the transition from hospital to home-based care, and may include skilled </w:t>
      </w:r>
      <w:r w:rsidRPr="00FE3F0D">
        <w:t>nursing care</w:t>
      </w:r>
      <w:r w:rsidRPr="00FF4640">
        <w:t>, physical and occupational therapy, social work, or case management/care coordination services (</w:t>
      </w:r>
      <w:bookmarkStart w:id="14" w:name="bbib0025"/>
      <w:r w:rsidRPr="00FE3F0D">
        <w:t>Landers et al., 2016</w:t>
      </w:r>
      <w:r w:rsidRPr="00FF4640">
        <w:t>). HHC professionals, primarily nurses, provide patients and families with surveillance of post-discharge progress, coordination and communication with follow-up care providers, education regarding disease condition, and symptom management, recovery expectations, and home management skills (</w:t>
      </w:r>
      <w:bookmarkStart w:id="15" w:name="bbib0009"/>
      <w:r w:rsidRPr="00FE3F0D">
        <w:t>CMS, 2018d</w:t>
      </w:r>
      <w:bookmarkEnd w:id="15"/>
      <w:r w:rsidRPr="00FF4640">
        <w:t>, </w:t>
      </w:r>
      <w:bookmarkStart w:id="16" w:name="bbib0011"/>
      <w:r w:rsidRPr="00FE3F0D">
        <w:t>2019a</w:t>
      </w:r>
      <w:bookmarkEnd w:id="16"/>
      <w:r w:rsidRPr="00FF4640">
        <w:t>; </w:t>
      </w:r>
      <w:bookmarkStart w:id="17" w:name="bbib0031"/>
      <w:r w:rsidRPr="00FE3F0D">
        <w:t>Nelson and Pulley, 2015</w:t>
      </w:r>
      <w:bookmarkEnd w:id="17"/>
      <w:r w:rsidRPr="00FF4640">
        <w:t>). HHC services are often bundled with other readmission-reduction interventions such as telephone contacts, and early </w:t>
      </w:r>
      <w:r w:rsidRPr="00FE3F0D">
        <w:t>ambulatory care</w:t>
      </w:r>
      <w:r w:rsidRPr="00FF4640">
        <w:t> visits (</w:t>
      </w:r>
      <w:bookmarkStart w:id="18" w:name="bbib0003"/>
      <w:proofErr w:type="spellStart"/>
      <w:r w:rsidRPr="00FE3F0D">
        <w:t>Braet</w:t>
      </w:r>
      <w:proofErr w:type="spellEnd"/>
      <w:r w:rsidRPr="00FE3F0D">
        <w:t>, </w:t>
      </w:r>
      <w:proofErr w:type="spellStart"/>
      <w:r w:rsidRPr="00FE3F0D">
        <w:t>Weltens</w:t>
      </w:r>
      <w:proofErr w:type="spellEnd"/>
      <w:r w:rsidRPr="00FE3F0D">
        <w:t xml:space="preserve">, and </w:t>
      </w:r>
      <w:proofErr w:type="spellStart"/>
      <w:r w:rsidRPr="00FE3F0D">
        <w:t>Sermeus</w:t>
      </w:r>
      <w:proofErr w:type="spellEnd"/>
      <w:r w:rsidRPr="00FE3F0D">
        <w:t>, 2016</w:t>
      </w:r>
      <w:bookmarkEnd w:id="18"/>
      <w:r w:rsidRPr="00FF4640">
        <w:t>; </w:t>
      </w:r>
      <w:bookmarkStart w:id="19" w:name="bbib0019"/>
      <w:r w:rsidRPr="00FE3F0D">
        <w:t>Hansen, Young, Hinami, Leung, and Williams, 2011</w:t>
      </w:r>
      <w:bookmarkEnd w:id="19"/>
      <w:r w:rsidRPr="00FF4640">
        <w:t>; </w:t>
      </w:r>
      <w:bookmarkStart w:id="20" w:name="bbib0026"/>
      <w:proofErr w:type="spellStart"/>
      <w:r w:rsidRPr="00FE3F0D">
        <w:t>Leppin</w:t>
      </w:r>
      <w:proofErr w:type="spellEnd"/>
      <w:r w:rsidRPr="00FE3F0D">
        <w:t> et al., 2014</w:t>
      </w:r>
      <w:bookmarkEnd w:id="20"/>
      <w:r w:rsidRPr="00FF4640">
        <w:t>).</w:t>
      </w:r>
    </w:p>
    <w:p w14:paraId="4D0A3F5C" w14:textId="01C588E7" w:rsidR="00FF4640" w:rsidRPr="00FF4640" w:rsidRDefault="00FF4640" w:rsidP="00FF4640">
      <w:r w:rsidRPr="00FF4640">
        <w:t>Like hospitals, US HHC service providers are incentivized to minimize readmissions. Federal initiatives driving health care improvements have instituted public reporting requirements and payment penalties for excessive readmissions under several programs including CMS’ Hospital Readmission Reduction Program (HRRP) and the Improving Medicare Post-Acute Care Transformation (IMPACT) Act (2014), which applied standardization of data across post-acute settings and created new quality measures, including potentially preventable readmissions </w:t>
      </w:r>
      <w:r w:rsidRPr="00FE3F0D">
        <w:t>CMS (2018e</w:t>
      </w:r>
      <w:bookmarkEnd w:id="10"/>
      <w:r w:rsidRPr="00FF4640">
        <w:t>). CMS quality of patient care star ratings posted on the Home Health Compare website </w:t>
      </w:r>
      <w:bookmarkStart w:id="21" w:name="bbib0012"/>
      <w:r w:rsidRPr="00FE3F0D">
        <w:t>CMS (2019b</w:t>
      </w:r>
      <w:r w:rsidRPr="00FF4640">
        <w:t>) are determined in part by readmission rates which can affect HHC agency's client recruitment and both Medicare and commercial </w:t>
      </w:r>
      <w:r w:rsidRPr="00FE3F0D">
        <w:t>reimbursement</w:t>
      </w:r>
      <w:r w:rsidRPr="00FF4640">
        <w:t>.</w:t>
      </w:r>
    </w:p>
    <w:p w14:paraId="1D2D7CD3" w14:textId="3C5DA08B" w:rsidR="00FF4640" w:rsidRPr="00FF4640" w:rsidRDefault="00FF4640" w:rsidP="00FF4640">
      <w:r w:rsidRPr="00FF4640">
        <w:t>Despite the promise of reducing readmissions, evidence of the effectiveness of HHC in reducing readmissions is mixed. Numerous studies have demonstrated a beneficial impact from implementation of home follow-up programs for post-discharge recovery and longer-term disease management, yet few tracked readmissions. In a meta-analysis of transitional care interventions and readmissions in </w:t>
      </w:r>
      <w:r w:rsidRPr="00FE3F0D">
        <w:t>congestive heart failure</w:t>
      </w:r>
      <w:r w:rsidRPr="00FF4640">
        <w:t> patients (</w:t>
      </w:r>
      <w:bookmarkStart w:id="22" w:name="bbib0016"/>
      <w:r w:rsidRPr="00FE3F0D">
        <w:t>Feltner et al., 2014</w:t>
      </w:r>
      <w:r w:rsidRPr="00FF4640">
        <w:t>), only two of forty-seven were randomized controlled trials of a home visiting intervention with readmission measured within 30-days post-hospital discharge, and only one of the two studies reported a reduction in readmissions for patients receiving home visiting (</w:t>
      </w:r>
      <w:bookmarkStart w:id="23" w:name="bbib0030"/>
      <w:r w:rsidRPr="00FE3F0D">
        <w:t>Naylor et al., 2004</w:t>
      </w:r>
      <w:r w:rsidRPr="00FF4640">
        <w:t>). Evidence from observational studies is mixed—some reported effectiveness of home visiting (</w:t>
      </w:r>
      <w:bookmarkStart w:id="24" w:name="bbib0013"/>
      <w:r w:rsidRPr="00FE3F0D">
        <w:t>de </w:t>
      </w:r>
      <w:proofErr w:type="spellStart"/>
      <w:r w:rsidRPr="00FE3F0D">
        <w:t>Mestral</w:t>
      </w:r>
      <w:proofErr w:type="spellEnd"/>
      <w:r w:rsidRPr="00FE3F0D">
        <w:t xml:space="preserve"> et al., 2019</w:t>
      </w:r>
      <w:bookmarkEnd w:id="24"/>
      <w:r w:rsidRPr="00FF4640">
        <w:t>; </w:t>
      </w:r>
      <w:bookmarkStart w:id="25" w:name="bbib0032"/>
      <w:r w:rsidRPr="00FE3F0D">
        <w:t>O'Connor, Hanlon, Naylor, and Bowles, 2015</w:t>
      </w:r>
      <w:bookmarkEnd w:id="25"/>
      <w:r w:rsidRPr="00FF4640">
        <w:t>; </w:t>
      </w:r>
      <w:bookmarkStart w:id="26" w:name="bbib0043"/>
      <w:r w:rsidRPr="00FE3F0D">
        <w:t xml:space="preserve">Xiao, Miller, </w:t>
      </w:r>
      <w:proofErr w:type="spellStart"/>
      <w:r w:rsidRPr="00FE3F0D">
        <w:t>Zafirau</w:t>
      </w:r>
      <w:proofErr w:type="spellEnd"/>
      <w:r w:rsidRPr="00FE3F0D">
        <w:t xml:space="preserve">, </w:t>
      </w:r>
      <w:proofErr w:type="spellStart"/>
      <w:r w:rsidRPr="00FE3F0D">
        <w:t>Gorodeski</w:t>
      </w:r>
      <w:proofErr w:type="spellEnd"/>
      <w:r w:rsidRPr="00FE3F0D">
        <w:t>, and Young, 2018</w:t>
      </w:r>
      <w:bookmarkEnd w:id="26"/>
      <w:r w:rsidRPr="00FF4640">
        <w:t>), while others reported same or higher rates of readmission for patients receiving HHC than patients without HHC services post-discharge (</w:t>
      </w:r>
      <w:bookmarkStart w:id="27" w:name="bbib0014"/>
      <w:r w:rsidRPr="00FE3F0D">
        <w:t>Dong, </w:t>
      </w:r>
      <w:proofErr w:type="spellStart"/>
      <w:r w:rsidRPr="00FE3F0D">
        <w:t>Cursio</w:t>
      </w:r>
      <w:proofErr w:type="spellEnd"/>
      <w:r w:rsidRPr="00FE3F0D">
        <w:t xml:space="preserve">, Qadir, </w:t>
      </w:r>
      <w:proofErr w:type="spellStart"/>
      <w:r w:rsidRPr="00FE3F0D">
        <w:t>Lindenauer</w:t>
      </w:r>
      <w:proofErr w:type="spellEnd"/>
      <w:r w:rsidRPr="00FE3F0D">
        <w:t xml:space="preserve">, and </w:t>
      </w:r>
      <w:proofErr w:type="spellStart"/>
      <w:r w:rsidRPr="00FE3F0D">
        <w:t>Ruhnke</w:t>
      </w:r>
      <w:proofErr w:type="spellEnd"/>
      <w:r w:rsidRPr="00FE3F0D">
        <w:t>, 2017</w:t>
      </w:r>
      <w:r w:rsidRPr="00FF4640">
        <w:t>; </w:t>
      </w:r>
      <w:bookmarkStart w:id="28" w:name="bbib0028"/>
      <w:r w:rsidRPr="00FE3F0D">
        <w:t>Martin et al., 2011</w:t>
      </w:r>
      <w:r w:rsidRPr="00FF4640">
        <w:t>; </w:t>
      </w:r>
      <w:bookmarkStart w:id="29" w:name="bbib0034"/>
      <w:r w:rsidRPr="00FE3F0D">
        <w:t xml:space="preserve">Riggs, Roberts, </w:t>
      </w:r>
      <w:proofErr w:type="spellStart"/>
      <w:r w:rsidRPr="00FE3F0D">
        <w:t>Aronow</w:t>
      </w:r>
      <w:proofErr w:type="spellEnd"/>
      <w:r w:rsidRPr="00FE3F0D">
        <w:t xml:space="preserve">, and </w:t>
      </w:r>
      <w:proofErr w:type="spellStart"/>
      <w:r w:rsidRPr="00FE3F0D">
        <w:t>Younan</w:t>
      </w:r>
      <w:proofErr w:type="spellEnd"/>
      <w:r w:rsidRPr="00FE3F0D">
        <w:t>, 2010</w:t>
      </w:r>
      <w:r w:rsidRPr="00FF4640">
        <w:t>; </w:t>
      </w:r>
      <w:bookmarkStart w:id="30" w:name="bbib0035"/>
      <w:r w:rsidRPr="00FE3F0D">
        <w:t>Sanford et al., 2014</w:t>
      </w:r>
      <w:r w:rsidRPr="00FF4640">
        <w:t>). For example, post-discharge readmission rates were higher with HHC services in studies of patients following </w:t>
      </w:r>
      <w:r w:rsidRPr="00FE3F0D">
        <w:t>pancreatectomy</w:t>
      </w:r>
      <w:r w:rsidRPr="00FF4640">
        <w:t> (HHC = 24.3% vs non-HHC = 19.8% within 30 days) (</w:t>
      </w:r>
      <w:r w:rsidRPr="00FE3F0D">
        <w:t>Sanford et al., 2014</w:t>
      </w:r>
      <w:bookmarkEnd w:id="30"/>
      <w:r w:rsidRPr="00FF4640">
        <w:t>), </w:t>
      </w:r>
      <w:r w:rsidRPr="00FE3F0D">
        <w:t>abdominal surgery</w:t>
      </w:r>
      <w:r w:rsidRPr="00FF4640">
        <w:t> (HHC = 62% vs. non-HHC = 11% within 30 days) (</w:t>
      </w:r>
      <w:r w:rsidRPr="00FE3F0D">
        <w:t>Martin et al., 2011</w:t>
      </w:r>
      <w:bookmarkEnd w:id="28"/>
      <w:r w:rsidRPr="00FF4640">
        <w:t>), </w:t>
      </w:r>
      <w:r w:rsidRPr="00FE3F0D">
        <w:t>joint replacement</w:t>
      </w:r>
      <w:r w:rsidRPr="00FF4640">
        <w:t> (HHC = 10.5% vs non-HHC = 5.1% within 6 months) (</w:t>
      </w:r>
      <w:r w:rsidRPr="00FE3F0D">
        <w:t>Riggs et al., 2010</w:t>
      </w:r>
      <w:bookmarkEnd w:id="29"/>
      <w:r w:rsidRPr="00FF4640">
        <w:t>), and </w:t>
      </w:r>
      <w:r w:rsidRPr="00FE3F0D">
        <w:t>community acquired pneumonia</w:t>
      </w:r>
      <w:r w:rsidRPr="00FF4640">
        <w:t> patients (HHC = 20.1% vs non-HHC = 11.5% within 30 days) (</w:t>
      </w:r>
      <w:r w:rsidRPr="00FE3F0D">
        <w:t>Dong et al., 2017</w:t>
      </w:r>
      <w:bookmarkEnd w:id="27"/>
      <w:r w:rsidRPr="00FF4640">
        <w:t>). However, non-randomized observational studies can be skewed toward finding a positive association of HHC with readmissions because HHC services tend to be prioritized for high-risk patients.</w:t>
      </w:r>
    </w:p>
    <w:p w14:paraId="751A5A4E" w14:textId="77777777" w:rsidR="00FF4640" w:rsidRPr="00FF4640" w:rsidRDefault="00FF4640" w:rsidP="00FF4640">
      <w:r w:rsidRPr="00FF4640">
        <w:t xml:space="preserve">In contrast to much of the extant literature, our study compares post-discharge utilization outcomes from referral to HHC to community-based care without home health care by matching HHC and non-HHC groups from a broader population of patients discharged from acute care hospitals, rather than specific conditions. Our observational study estimates the overall effectiveness of HHC in avoiding post-discharge return to the hospital for readmission, or emergency or observation visits without inpatient admission. We conducted this study by employing exact and </w:t>
      </w:r>
      <w:proofErr w:type="spellStart"/>
      <w:r w:rsidRPr="00FF4640">
        <w:t>Malahanobis</w:t>
      </w:r>
      <w:proofErr w:type="spellEnd"/>
      <w:r w:rsidRPr="00FF4640">
        <w:t xml:space="preserve"> distance matching on multi-site data collected from hospitals’ administrative databases as well as data collected directly from patients and their discharging nurse to compare post-discharge utilization across a diverse set of patient and hospitalization characteristics, and health conditions.</w:t>
      </w:r>
    </w:p>
    <w:p w14:paraId="0F075042" w14:textId="77777777" w:rsidR="00FF4640" w:rsidRPr="00FF4640" w:rsidRDefault="00FF4640" w:rsidP="00E63552">
      <w:pPr>
        <w:pStyle w:val="Heading1"/>
      </w:pPr>
      <w:r w:rsidRPr="00FF4640">
        <w:t>Theoretical framework</w:t>
      </w:r>
    </w:p>
    <w:p w14:paraId="269EB970" w14:textId="6AE2D578" w:rsidR="00FF4640" w:rsidRPr="00FF4640" w:rsidRDefault="00FF4640" w:rsidP="00FF4640">
      <w:proofErr w:type="spellStart"/>
      <w:r w:rsidRPr="00FF4640">
        <w:t>Meleis</w:t>
      </w:r>
      <w:proofErr w:type="spellEnd"/>
      <w:r w:rsidRPr="00FF4640">
        <w:t>’ Transitions Theory (</w:t>
      </w:r>
      <w:bookmarkStart w:id="31" w:name="bbib0029"/>
      <w:proofErr w:type="spellStart"/>
      <w:r w:rsidRPr="00FE3F0D">
        <w:t>Meleis</w:t>
      </w:r>
      <w:proofErr w:type="spellEnd"/>
      <w:r w:rsidRPr="00FE3F0D">
        <w:t>, 2000</w:t>
      </w:r>
      <w:bookmarkEnd w:id="31"/>
      <w:r w:rsidRPr="00FF4640">
        <w:t>) provided the framework used to guide the design and selection of variables included in this study (See </w:t>
      </w:r>
      <w:bookmarkStart w:id="32" w:name="btbl0001"/>
      <w:r w:rsidRPr="00FE3F0D">
        <w:t>Table 1</w:t>
      </w:r>
      <w:r w:rsidRPr="00FF4640">
        <w:t>). In this framework, a transition involves the processes of adaptation to a maturational or situational change in life situation and/or condition. Hospital discharge is a situational transition about which considerable research has been conducted using Transitions Theory as the guiding theoretical framework (</w:t>
      </w:r>
      <w:proofErr w:type="spellStart"/>
      <w:r w:rsidRPr="00FF4640">
        <w:t>Meleis</w:t>
      </w:r>
      <w:proofErr w:type="spellEnd"/>
      <w:r w:rsidRPr="00FF4640">
        <w:t>, 2010). The notion that HHC is a bridge strategy to facilitate transition from hospital to home aligns with Transitions Theory. The premise of Transitions Theory is that there are three groups of variables impacting the patient's pattern of response to the transition: nature (or properties) of the transition, transitions conditions, and nursing/health team therapeutics. In this study, “nature of transition” variables are factors related to the nature of the hospitalization, such as prior hospitalization and length of stay, that can affect the “pattern of response” following </w:t>
      </w:r>
      <w:r w:rsidRPr="00FE3F0D">
        <w:t>hospital discharge</w:t>
      </w:r>
      <w:r w:rsidRPr="00FF4640">
        <w:t> (return to the hospital for readmission or Emergency Department [ED] visits). “Transition conditions” are the personal characteristics that facilitate or inhibit successful transition; in this study the patient characteristics of interest include, for example, age, gender, and payer. “Therapeutics” includes actions of the nurse/health team to influence the transition and is represented in this study by the decision to discharge home with HHC services. Consistent with Transitions Theory, we hypothesize that discharge home with HHC services (nurse/health team therapeutics) will, after controlling for other hospitalization factors (the nature of transition) and patient characteristics (transition conditions), be associated with improved post-discharge outcomes (pattern of response), measured as readmissions and ED visits.</w:t>
      </w:r>
    </w:p>
    <w:p w14:paraId="323CBFC7" w14:textId="77777777" w:rsidR="00FF4640" w:rsidRPr="00FF4640" w:rsidRDefault="00FF4640" w:rsidP="00E63552">
      <w:pPr>
        <w:spacing w:after="0"/>
      </w:pPr>
      <w:r w:rsidRPr="00FF4640">
        <w:t>Table 1. Theoretical Framework and Empirical Measures.</w:t>
      </w:r>
    </w:p>
    <w:tbl>
      <w:tblPr>
        <w:tblStyle w:val="TableGrid"/>
        <w:tblW w:w="0" w:type="auto"/>
        <w:tblLook w:val="04A0" w:firstRow="1" w:lastRow="0" w:firstColumn="1" w:lastColumn="0" w:noHBand="0" w:noVBand="1"/>
      </w:tblPr>
      <w:tblGrid>
        <w:gridCol w:w="1305"/>
        <w:gridCol w:w="1368"/>
        <w:gridCol w:w="2204"/>
        <w:gridCol w:w="3427"/>
        <w:gridCol w:w="1766"/>
      </w:tblGrid>
      <w:tr w:rsidR="00FF4640" w:rsidRPr="00FF4640" w14:paraId="2752D378" w14:textId="77777777" w:rsidTr="00E63552">
        <w:tc>
          <w:tcPr>
            <w:tcW w:w="0" w:type="auto"/>
            <w:hideMark/>
          </w:tcPr>
          <w:p w14:paraId="5F95F0B6" w14:textId="77777777" w:rsidR="00FF4640" w:rsidRPr="00FF4640" w:rsidRDefault="00FF4640" w:rsidP="00FF4640">
            <w:pPr>
              <w:rPr>
                <w:b/>
                <w:bCs/>
              </w:rPr>
            </w:pPr>
            <w:r w:rsidRPr="00FF4640">
              <w:rPr>
                <w:b/>
                <w:bCs/>
              </w:rPr>
              <w:t>Transitions Theory Concepts</w:t>
            </w:r>
          </w:p>
        </w:tc>
        <w:tc>
          <w:tcPr>
            <w:tcW w:w="0" w:type="auto"/>
            <w:hideMark/>
          </w:tcPr>
          <w:p w14:paraId="16405188" w14:textId="77777777" w:rsidR="00FF4640" w:rsidRPr="00FF4640" w:rsidRDefault="00FF4640" w:rsidP="00FF4640">
            <w:pPr>
              <w:rPr>
                <w:b/>
                <w:bCs/>
              </w:rPr>
            </w:pPr>
            <w:r w:rsidRPr="00FF4640">
              <w:rPr>
                <w:b/>
                <w:bCs/>
              </w:rPr>
              <w:t>Nature of Transitions</w:t>
            </w:r>
          </w:p>
        </w:tc>
        <w:tc>
          <w:tcPr>
            <w:tcW w:w="0" w:type="auto"/>
            <w:hideMark/>
          </w:tcPr>
          <w:p w14:paraId="3C8498F6" w14:textId="77777777" w:rsidR="00FF4640" w:rsidRPr="00FF4640" w:rsidRDefault="00FF4640" w:rsidP="00FF4640">
            <w:pPr>
              <w:rPr>
                <w:b/>
                <w:bCs/>
              </w:rPr>
            </w:pPr>
            <w:r w:rsidRPr="00FF4640">
              <w:rPr>
                <w:b/>
                <w:bCs/>
              </w:rPr>
              <w:t>Transition Conditions: Facilitators and Inhibitors</w:t>
            </w:r>
          </w:p>
        </w:tc>
        <w:tc>
          <w:tcPr>
            <w:tcW w:w="0" w:type="auto"/>
            <w:hideMark/>
          </w:tcPr>
          <w:p w14:paraId="45ECE4F1" w14:textId="77777777" w:rsidR="00FF4640" w:rsidRPr="00FF4640" w:rsidRDefault="00FF4640" w:rsidP="00FF4640">
            <w:pPr>
              <w:rPr>
                <w:b/>
                <w:bCs/>
              </w:rPr>
            </w:pPr>
            <w:r w:rsidRPr="00FF4640">
              <w:rPr>
                <w:b/>
                <w:bCs/>
              </w:rPr>
              <w:t>Patterns of Response</w:t>
            </w:r>
          </w:p>
        </w:tc>
        <w:tc>
          <w:tcPr>
            <w:tcW w:w="0" w:type="auto"/>
            <w:hideMark/>
          </w:tcPr>
          <w:p w14:paraId="2C17C7A5" w14:textId="77777777" w:rsidR="00FF4640" w:rsidRPr="00FF4640" w:rsidRDefault="00FF4640" w:rsidP="00FF4640">
            <w:pPr>
              <w:rPr>
                <w:b/>
                <w:bCs/>
              </w:rPr>
            </w:pPr>
            <w:r w:rsidRPr="00FF4640">
              <w:rPr>
                <w:b/>
                <w:bCs/>
              </w:rPr>
              <w:t>Nursing/Health Team Therapeutics</w:t>
            </w:r>
          </w:p>
        </w:tc>
      </w:tr>
      <w:tr w:rsidR="00FF4640" w:rsidRPr="00FF4640" w14:paraId="4ADE5C58" w14:textId="77777777" w:rsidTr="00E63552">
        <w:tc>
          <w:tcPr>
            <w:tcW w:w="0" w:type="auto"/>
            <w:hideMark/>
          </w:tcPr>
          <w:p w14:paraId="2F8763DC" w14:textId="77777777" w:rsidR="00FF4640" w:rsidRPr="00FF4640" w:rsidRDefault="00FF4640" w:rsidP="00FF4640">
            <w:r w:rsidRPr="00FF4640">
              <w:t>Discharge Transition Concepts</w:t>
            </w:r>
          </w:p>
        </w:tc>
        <w:tc>
          <w:tcPr>
            <w:tcW w:w="0" w:type="auto"/>
            <w:hideMark/>
          </w:tcPr>
          <w:p w14:paraId="780EAA69" w14:textId="77777777" w:rsidR="00FF4640" w:rsidRPr="00FF4640" w:rsidRDefault="00FF4640" w:rsidP="00FF4640">
            <w:r w:rsidRPr="00FF4640">
              <w:t>Discharge transition to HHC</w:t>
            </w:r>
          </w:p>
        </w:tc>
        <w:tc>
          <w:tcPr>
            <w:tcW w:w="0" w:type="auto"/>
            <w:hideMark/>
          </w:tcPr>
          <w:p w14:paraId="65AC86E3" w14:textId="77777777" w:rsidR="00FF4640" w:rsidRPr="00FF4640" w:rsidRDefault="00FF4640" w:rsidP="00FF4640">
            <w:r w:rsidRPr="00FF4640">
              <w:t>Personal Facilitators and Inhibitors</w:t>
            </w:r>
          </w:p>
        </w:tc>
        <w:tc>
          <w:tcPr>
            <w:tcW w:w="0" w:type="auto"/>
            <w:hideMark/>
          </w:tcPr>
          <w:p w14:paraId="26BF9F56" w14:textId="77777777" w:rsidR="00FF4640" w:rsidRPr="00FF4640" w:rsidRDefault="00FF4640" w:rsidP="00FF4640">
            <w:r w:rsidRPr="00FF4640">
              <w:t>Post-discharge utilization</w:t>
            </w:r>
          </w:p>
        </w:tc>
        <w:tc>
          <w:tcPr>
            <w:tcW w:w="0" w:type="auto"/>
            <w:hideMark/>
          </w:tcPr>
          <w:p w14:paraId="20507D29" w14:textId="77777777" w:rsidR="00FF4640" w:rsidRPr="00FF4640" w:rsidRDefault="00FF4640" w:rsidP="00FF4640">
            <w:r w:rsidRPr="00FF4640">
              <w:t>Discharge with HHHC</w:t>
            </w:r>
          </w:p>
        </w:tc>
      </w:tr>
      <w:tr w:rsidR="00FF4640" w:rsidRPr="00FF4640" w14:paraId="502DD220" w14:textId="77777777" w:rsidTr="00E63552">
        <w:tc>
          <w:tcPr>
            <w:tcW w:w="0" w:type="auto"/>
            <w:hideMark/>
          </w:tcPr>
          <w:p w14:paraId="4F897CA0" w14:textId="77777777" w:rsidR="00FF4640" w:rsidRPr="00FF4640" w:rsidRDefault="00FF4640" w:rsidP="00FF4640">
            <w:r w:rsidRPr="00FF4640">
              <w:t>Definitions</w:t>
            </w:r>
          </w:p>
        </w:tc>
        <w:tc>
          <w:tcPr>
            <w:tcW w:w="0" w:type="auto"/>
            <w:hideMark/>
          </w:tcPr>
          <w:p w14:paraId="687EEC1A" w14:textId="77777777" w:rsidR="00FF4640" w:rsidRPr="00FF4640" w:rsidRDefault="00FF4640" w:rsidP="00FF4640">
            <w:r w:rsidRPr="00FF4640">
              <w:t xml:space="preserve">Type, </w:t>
            </w:r>
            <w:proofErr w:type="gramStart"/>
            <w:r w:rsidRPr="00FF4640">
              <w:t>properties</w:t>
            </w:r>
            <w:proofErr w:type="gramEnd"/>
            <w:r w:rsidRPr="00FF4640">
              <w:t xml:space="preserve"> and pattern of the transition</w:t>
            </w:r>
          </w:p>
        </w:tc>
        <w:tc>
          <w:tcPr>
            <w:tcW w:w="0" w:type="auto"/>
            <w:hideMark/>
          </w:tcPr>
          <w:p w14:paraId="68348373" w14:textId="77777777" w:rsidR="00FF4640" w:rsidRPr="00FF4640" w:rsidRDefault="00FF4640" w:rsidP="00FF4640">
            <w:r w:rsidRPr="00FF4640">
              <w:t>Patient characteristics that can influence the decision to refer to HHC and can impact post-discharge outcomes</w:t>
            </w:r>
          </w:p>
        </w:tc>
        <w:tc>
          <w:tcPr>
            <w:tcW w:w="0" w:type="auto"/>
            <w:hideMark/>
          </w:tcPr>
          <w:p w14:paraId="41A3C318" w14:textId="77777777" w:rsidR="00FF4640" w:rsidRPr="00FF4640" w:rsidRDefault="00FF4640" w:rsidP="00FF4640">
            <w:r w:rsidRPr="00FF4640">
              <w:t>Readmission or ED/Observation visits after discharge</w:t>
            </w:r>
          </w:p>
        </w:tc>
        <w:tc>
          <w:tcPr>
            <w:tcW w:w="0" w:type="auto"/>
            <w:hideMark/>
          </w:tcPr>
          <w:p w14:paraId="42805446" w14:textId="77777777" w:rsidR="00FF4640" w:rsidRPr="00FF4640" w:rsidRDefault="00FF4640" w:rsidP="00FF4640">
            <w:r w:rsidRPr="00FF4640">
              <w:t>Discharge destination= home with or without HHC</w:t>
            </w:r>
          </w:p>
        </w:tc>
      </w:tr>
      <w:tr w:rsidR="00FF4640" w:rsidRPr="00FF4640" w14:paraId="40DE86EE" w14:textId="77777777" w:rsidTr="00E63552">
        <w:tc>
          <w:tcPr>
            <w:tcW w:w="0" w:type="auto"/>
            <w:hideMark/>
          </w:tcPr>
          <w:p w14:paraId="08E30785" w14:textId="77777777" w:rsidR="00FF4640" w:rsidRPr="00FF4640" w:rsidRDefault="00FF4640" w:rsidP="00FF4640">
            <w:r w:rsidRPr="00FF4640">
              <w:t>Empirical Measures</w:t>
            </w:r>
          </w:p>
        </w:tc>
        <w:tc>
          <w:tcPr>
            <w:tcW w:w="0" w:type="auto"/>
            <w:hideMark/>
          </w:tcPr>
          <w:p w14:paraId="1DE13336" w14:textId="7BD43B27" w:rsidR="00FF4640" w:rsidRPr="00FF4640" w:rsidRDefault="00FF4640" w:rsidP="00FF4640">
            <w:r w:rsidRPr="00FF4640">
              <w:t>•Length of stay (days)</w:t>
            </w:r>
          </w:p>
          <w:p w14:paraId="5200BD4C" w14:textId="42FFDF26" w:rsidR="00FF4640" w:rsidRPr="00FF4640" w:rsidRDefault="00FF4640" w:rsidP="00FF4640">
            <w:r w:rsidRPr="00FF4640">
              <w:t xml:space="preserve">•Prior </w:t>
            </w:r>
            <w:proofErr w:type="spellStart"/>
            <w:r w:rsidRPr="00FF4640">
              <w:t>hospitaliz-ations</w:t>
            </w:r>
            <w:proofErr w:type="spellEnd"/>
            <w:r w:rsidRPr="00FF4640">
              <w:t xml:space="preserve"> (30 and 90 days)</w:t>
            </w:r>
          </w:p>
          <w:p w14:paraId="7E650C72" w14:textId="518DDD73" w:rsidR="00FF4640" w:rsidRPr="00FF4640" w:rsidRDefault="00FF4640" w:rsidP="00E63552">
            <w:r w:rsidRPr="00FF4640">
              <w:t>•ICU days</w:t>
            </w:r>
          </w:p>
        </w:tc>
        <w:tc>
          <w:tcPr>
            <w:tcW w:w="0" w:type="auto"/>
            <w:hideMark/>
          </w:tcPr>
          <w:p w14:paraId="059B5F7D" w14:textId="77777777" w:rsidR="00FF4640" w:rsidRPr="00FF4640" w:rsidRDefault="00FF4640" w:rsidP="00FF4640">
            <w:r w:rsidRPr="00FF4640">
              <w:t>Characteristics</w:t>
            </w:r>
          </w:p>
          <w:p w14:paraId="1DD1DA58" w14:textId="0A76700E" w:rsidR="00FF4640" w:rsidRPr="00FF4640" w:rsidRDefault="00FF4640" w:rsidP="00FF4640">
            <w:r w:rsidRPr="00FF4640">
              <w:t>•Age</w:t>
            </w:r>
          </w:p>
          <w:p w14:paraId="4CDB9AD2" w14:textId="2251F496" w:rsidR="00FF4640" w:rsidRPr="00FF4640" w:rsidRDefault="00FF4640" w:rsidP="00FF4640">
            <w:r w:rsidRPr="00FF4640">
              <w:t>•Race</w:t>
            </w:r>
          </w:p>
          <w:p w14:paraId="6FB45DCB" w14:textId="32F98FB5" w:rsidR="00FF4640" w:rsidRPr="00FF4640" w:rsidRDefault="00FF4640" w:rsidP="00FF4640">
            <w:r w:rsidRPr="00FF4640">
              <w:t>•Ethnicity</w:t>
            </w:r>
          </w:p>
          <w:p w14:paraId="294500E0" w14:textId="0EAAEEB5" w:rsidR="00FF4640" w:rsidRPr="00FF4640" w:rsidRDefault="00FF4640" w:rsidP="00FF4640">
            <w:r w:rsidRPr="00FF4640">
              <w:t>•Gender</w:t>
            </w:r>
          </w:p>
          <w:p w14:paraId="33E1D29B" w14:textId="16EC9EA9" w:rsidR="00FF4640" w:rsidRPr="00FF4640" w:rsidRDefault="00FF4640" w:rsidP="00FF4640">
            <w:r w:rsidRPr="00FF4640">
              <w:t>•Medical/Surgical patient type</w:t>
            </w:r>
          </w:p>
          <w:p w14:paraId="73A3334D" w14:textId="60A5D72E" w:rsidR="00FF4640" w:rsidRPr="00FF4640" w:rsidRDefault="00FF4640" w:rsidP="00FF4640">
            <w:r w:rsidRPr="00FF4640">
              <w:t>•Severity of Illness</w:t>
            </w:r>
          </w:p>
          <w:p w14:paraId="6D29B2BF" w14:textId="39DCFDA4" w:rsidR="00FF4640" w:rsidRPr="00FF4640" w:rsidRDefault="00FF4640" w:rsidP="00FF4640">
            <w:r w:rsidRPr="00FF4640">
              <w:t>•Major Diagnostic Category</w:t>
            </w:r>
          </w:p>
          <w:p w14:paraId="709333BD" w14:textId="43E7993A" w:rsidR="00FF4640" w:rsidRPr="00FF4640" w:rsidRDefault="00FF4640" w:rsidP="00FF4640">
            <w:r w:rsidRPr="00FF4640">
              <w:t>•</w:t>
            </w:r>
            <w:proofErr w:type="spellStart"/>
            <w:r w:rsidRPr="00FF4640">
              <w:t>Elixhauser</w:t>
            </w:r>
            <w:proofErr w:type="spellEnd"/>
            <w:r w:rsidRPr="00FF4640">
              <w:t xml:space="preserve"> Comorbidity Index</w:t>
            </w:r>
          </w:p>
          <w:p w14:paraId="36A85B47" w14:textId="2267AA5B" w:rsidR="00FF4640" w:rsidRPr="00FF4640" w:rsidRDefault="00FF4640" w:rsidP="00FF4640">
            <w:r w:rsidRPr="00FF4640">
              <w:t>•Payer</w:t>
            </w:r>
          </w:p>
          <w:p w14:paraId="0791ABEF" w14:textId="505A6548" w:rsidR="00FF4640" w:rsidRPr="00FF4640" w:rsidRDefault="00FF4640" w:rsidP="00FF4640">
            <w:r w:rsidRPr="00FF4640">
              <w:t>•Functional Status (nurse reported)</w:t>
            </w:r>
          </w:p>
          <w:p w14:paraId="436CB5EF" w14:textId="539CC521" w:rsidR="00FF4640" w:rsidRPr="00FF4640" w:rsidRDefault="00FF4640" w:rsidP="00FF4640">
            <w:r w:rsidRPr="00FF4640">
              <w:t>•Lives alone</w:t>
            </w:r>
          </w:p>
          <w:p w14:paraId="72DA211E" w14:textId="388B8387" w:rsidR="00FF4640" w:rsidRPr="00FF4640" w:rsidRDefault="00FF4640" w:rsidP="00FF4640">
            <w:r w:rsidRPr="00FF4640">
              <w:t>•Self-care ability (patient reported)</w:t>
            </w:r>
          </w:p>
          <w:p w14:paraId="5B9CB498" w14:textId="1FAA211C" w:rsidR="00FF4640" w:rsidRPr="00FF4640" w:rsidRDefault="00FF4640" w:rsidP="00FF4640">
            <w:r w:rsidRPr="00FF4640">
              <w:t>•Social support (patient reported)</w:t>
            </w:r>
          </w:p>
          <w:p w14:paraId="2D01B48B" w14:textId="105E7F5E" w:rsidR="00FF4640" w:rsidRPr="00FF4640" w:rsidRDefault="00FF4640" w:rsidP="00FF4640">
            <w:r w:rsidRPr="00FF4640">
              <w:t>•Propensity Score</w:t>
            </w:r>
          </w:p>
          <w:p w14:paraId="58B7F22F" w14:textId="2CFF858F" w:rsidR="00FF4640" w:rsidRPr="00FF4640" w:rsidRDefault="00FF4640" w:rsidP="00E63552">
            <w:r w:rsidRPr="00FF4640">
              <w:t>•Hospital</w:t>
            </w:r>
          </w:p>
        </w:tc>
        <w:tc>
          <w:tcPr>
            <w:tcW w:w="0" w:type="auto"/>
            <w:hideMark/>
          </w:tcPr>
          <w:p w14:paraId="23D2CEB1" w14:textId="77777777" w:rsidR="00FF4640" w:rsidRPr="00FF4640" w:rsidRDefault="00FF4640" w:rsidP="00FF4640">
            <w:r w:rsidRPr="00FF4640">
              <w:t>Post-discharge utilization of readmissions and/or ED visits within 30 and 60 days (2= ED/Observation visit no readmission, 1=readmission, 0=no readmission/ED/Observation visit)</w:t>
            </w:r>
          </w:p>
        </w:tc>
        <w:tc>
          <w:tcPr>
            <w:tcW w:w="0" w:type="auto"/>
            <w:hideMark/>
          </w:tcPr>
          <w:p w14:paraId="69501911" w14:textId="77777777" w:rsidR="00FF4640" w:rsidRPr="00FF4640" w:rsidRDefault="00FF4640" w:rsidP="00FF4640">
            <w:r w:rsidRPr="00FF4640">
              <w:t>Discharge destination</w:t>
            </w:r>
            <w:r w:rsidRPr="00FF4640">
              <w:br/>
              <w:t>(1=yes/0=no)</w:t>
            </w:r>
          </w:p>
        </w:tc>
      </w:tr>
    </w:tbl>
    <w:p w14:paraId="430FD2E4" w14:textId="77777777" w:rsidR="00E63552" w:rsidRDefault="00E63552" w:rsidP="00FF4640"/>
    <w:p w14:paraId="33EB2590" w14:textId="41931816" w:rsidR="00FF4640" w:rsidRPr="00FF4640" w:rsidRDefault="00FF4640" w:rsidP="00E63552">
      <w:pPr>
        <w:pStyle w:val="Heading1"/>
      </w:pPr>
      <w:r w:rsidRPr="00FF4640">
        <w:t>Methods</w:t>
      </w:r>
    </w:p>
    <w:p w14:paraId="5F0CDBA1" w14:textId="77777777" w:rsidR="00FF4640" w:rsidRPr="00FF4640" w:rsidRDefault="00FF4640" w:rsidP="00706643">
      <w:pPr>
        <w:pStyle w:val="Heading2"/>
      </w:pPr>
      <w:r w:rsidRPr="00FF4640">
        <w:t>Study design</w:t>
      </w:r>
    </w:p>
    <w:p w14:paraId="0B5292EC" w14:textId="4418568D" w:rsidR="00FF4640" w:rsidRPr="00FF4640" w:rsidRDefault="00FF4640" w:rsidP="00FF4640">
      <w:r w:rsidRPr="00FF4640">
        <w:t>Using a matched case-control comparative design, this study was a secondary analysis of data from a multi-site randomized clinical trial (READI study (</w:t>
      </w:r>
      <w:bookmarkStart w:id="33" w:name="bbib44"/>
      <w:r w:rsidRPr="00FE3F0D">
        <w:t>Weiss et al., 2019</w:t>
      </w:r>
      <w:r w:rsidRPr="00FF4640">
        <w:t>); NCT # 01873118) evaluating the effectiveness of standardized discharge readiness protocols in reducing post-discharge return to the hospital through 30 and 60-days. The READI study (subsequently referred to as the parent study) was conducted on adult medical-surgical units in 31 Magnet</w:t>
      </w:r>
      <w:r w:rsidRPr="00FF4640">
        <w:rPr>
          <w:rFonts w:ascii="MS Gothic" w:eastAsia="MS Gothic" w:hAnsi="MS Gothic" w:cs="MS Gothic" w:hint="eastAsia"/>
          <w:vertAlign w:val="superscript"/>
        </w:rPr>
        <w:t>Ⓡ</w:t>
      </w:r>
      <w:r w:rsidRPr="00FF4640">
        <w:t> hospitals in the United States (US) and 2 Magnet</w:t>
      </w:r>
      <w:r w:rsidRPr="00FF4640">
        <w:rPr>
          <w:rFonts w:ascii="MS Gothic" w:eastAsia="MS Gothic" w:hAnsi="MS Gothic" w:cs="MS Gothic" w:hint="eastAsia"/>
          <w:vertAlign w:val="superscript"/>
        </w:rPr>
        <w:t>Ⓡ</w:t>
      </w:r>
      <w:r w:rsidRPr="00FF4640">
        <w:t> hospitals in Saudi Arabia. Two units in each hospital were randomly assigned to implementation and control conditions. The US hospitals were distributed broadly across the US and equally represented community hospitals and academic medical centers, with bed sizes ranging from 180 to more than 1000 beds. </w:t>
      </w:r>
      <w:r w:rsidRPr="00FE3F0D">
        <w:t>Hospital units</w:t>
      </w:r>
      <w:r w:rsidRPr="00FF4640">
        <w:t> were primarily medical (39%) and mixed medical-surgical units (42%) (</w:t>
      </w:r>
      <w:bookmarkStart w:id="34" w:name="bbib45"/>
      <w:r w:rsidRPr="00FE3F0D">
        <w:t xml:space="preserve">Bobay et al., </w:t>
      </w:r>
      <w:proofErr w:type="gramStart"/>
      <w:r w:rsidRPr="00FE3F0D">
        <w:t>2015</w:t>
      </w:r>
      <w:bookmarkEnd w:id="34"/>
      <w:r w:rsidRPr="00FF4640">
        <w:t>)(</w:t>
      </w:r>
      <w:proofErr w:type="gramEnd"/>
      <w:r w:rsidRPr="00FF4640">
        <w:t>. A total sample of 144,868 inpatients discharged to home was accrued. Data were collected between September 2014 and March 2017.</w:t>
      </w:r>
    </w:p>
    <w:p w14:paraId="79DB1CA1" w14:textId="77777777" w:rsidR="00FF4640" w:rsidRPr="00FF4640" w:rsidRDefault="00FF4640" w:rsidP="00706643">
      <w:pPr>
        <w:pStyle w:val="Heading2"/>
      </w:pPr>
      <w:r w:rsidRPr="00FF4640">
        <w:t>Sample</w:t>
      </w:r>
    </w:p>
    <w:p w14:paraId="65E655D4" w14:textId="2E8577E7" w:rsidR="00FF4640" w:rsidRPr="00FF4640" w:rsidRDefault="00FF4640" w:rsidP="00FF4640">
      <w:r w:rsidRPr="00FF4640">
        <w:t>The sample for this analysis included adults (18+ years), admitted to the hospital as inpatients and subsequently discharged from medical-surgical units with discharge destinations of home with or without HHC. We excluded patients from the 2 non-US hospitals and patients from 2 US hospitals not reporting discharges with HHC. We further restricted the sample to patients from implementation units from two of the four phases of the parent study (</w:t>
      </w:r>
      <w:r w:rsidRPr="00FE3F0D">
        <w:t>Weiss et al., 2019</w:t>
      </w:r>
      <w:bookmarkEnd w:id="33"/>
      <w:r w:rsidRPr="00FF4640">
        <w:t>). It was critical to creating comparable HHC and Non-HHC groups that we limit the sample to include only patients who were exposed to the intervention, as the discharge readiness assessments that formed the intervention protocol may have affected discharge decisions about length of stay and referral to HHC services post-discharge. Some of the variables needed for our analysis (lives alone, functional status, self-care ability, and expected amount of social support after discharge) were obtained directly from nurse assessment and patient self-report that were available only in the last 2 phases of the study and only from implementation unit (not control unit) patients.</w:t>
      </w:r>
    </w:p>
    <w:p w14:paraId="5077A445" w14:textId="77777777" w:rsidR="00FF4640" w:rsidRPr="00FF4640" w:rsidRDefault="00FF4640" w:rsidP="00FF4640">
      <w:r w:rsidRPr="00FF4640">
        <w:t>The available sample (full sample </w:t>
      </w:r>
      <w:r w:rsidRPr="00FF4640">
        <w:rPr>
          <w:i/>
          <w:iCs/>
        </w:rPr>
        <w:t>n</w:t>
      </w:r>
      <w:r w:rsidRPr="00FF4640">
        <w:t> = 18,555) included patients discharged with HHC (</w:t>
      </w:r>
      <w:r w:rsidRPr="00FF4640">
        <w:rPr>
          <w:i/>
          <w:iCs/>
        </w:rPr>
        <w:t>n</w:t>
      </w:r>
      <w:r w:rsidRPr="00FF4640">
        <w:t> = 3,579) and discharged without HHC (</w:t>
      </w:r>
      <w:r w:rsidRPr="00FF4640">
        <w:rPr>
          <w:i/>
          <w:iCs/>
        </w:rPr>
        <w:t>n</w:t>
      </w:r>
      <w:r w:rsidRPr="00FF4640">
        <w:t xml:space="preserve"> = 14,976). </w:t>
      </w:r>
      <w:proofErr w:type="gramStart"/>
      <w:r w:rsidRPr="00FF4640">
        <w:t>In order to</w:t>
      </w:r>
      <w:proofErr w:type="gramEnd"/>
      <w:r w:rsidRPr="00FF4640">
        <w:t xml:space="preserve"> compare patients with similar observed characteristics, we used a combination of exact and nearest-neighbor matching with replacement to match HHC patients to patients without HHC to create samples for comparison. Out of 3,579 patients referred to HHC, 2,767 (77.3%) were matched successfully (matched HHC) to 2,767 non-HHC referred patients (matched non-HHC).</w:t>
      </w:r>
    </w:p>
    <w:p w14:paraId="18E5C761" w14:textId="77777777" w:rsidR="00FF4640" w:rsidRPr="00FF4640" w:rsidRDefault="00FF4640" w:rsidP="00706643">
      <w:pPr>
        <w:pStyle w:val="Heading2"/>
      </w:pPr>
      <w:r w:rsidRPr="00FF4640">
        <w:t>Study variables</w:t>
      </w:r>
    </w:p>
    <w:p w14:paraId="421EA5AF" w14:textId="72C689DB" w:rsidR="00FF4640" w:rsidRPr="00FF4640" w:rsidRDefault="00FF4640" w:rsidP="00FF4640">
      <w:r w:rsidRPr="00FE3F0D">
        <w:t>Table 1</w:t>
      </w:r>
      <w:r w:rsidRPr="00FF4640">
        <w:t> presents the study variables aligned with theoretical framework constructs. Participating hospitals extracted data for the exposure, outcome, and patient characteristics variables from their </w:t>
      </w:r>
      <w:r w:rsidRPr="00FE3F0D">
        <w:t>electronic health records</w:t>
      </w:r>
      <w:r w:rsidRPr="00FF4640">
        <w:t>. Some patient characteristics were captured via patient and nurse surveys used in real-time within the parent study and were entered and merged with electronic data. Data were supplied to the study database in de-identified form.</w:t>
      </w:r>
    </w:p>
    <w:p w14:paraId="2CC7156C" w14:textId="4031B950" w:rsidR="00FF4640" w:rsidRPr="00FF4640" w:rsidRDefault="00FF4640" w:rsidP="00FF4640">
      <w:r w:rsidRPr="00FF4640">
        <w:t>We derived the exposure variable, discharge with HHC, from the </w:t>
      </w:r>
      <w:r w:rsidRPr="00FE3F0D">
        <w:t>hospital discharge</w:t>
      </w:r>
      <w:r w:rsidRPr="00FF4640">
        <w:t> disposition code in the electronic health record as captured for mandatory reporting to state/federal databases (Discharge to home or self-care was coded as 0=discharge home without HHC; Discharged/transferred to home under care of organized home health service organization in anticipation of covered </w:t>
      </w:r>
      <w:r w:rsidRPr="00FE3F0D">
        <w:t>skilled care</w:t>
      </w:r>
      <w:r w:rsidRPr="00FF4640">
        <w:t> was coded as 1=discharge home with HHC). Disposition codes do not specify the type of HHC services, timing of initiation of services, or number of visits ordered or completed.</w:t>
      </w:r>
    </w:p>
    <w:p w14:paraId="6C8DAAD2" w14:textId="667E7EE8" w:rsidR="00FF4640" w:rsidRPr="00FF4640" w:rsidRDefault="00FF4640" w:rsidP="00FF4640">
      <w:r w:rsidRPr="00FF4640">
        <w:t>The multinomial outcome variable was post-discharge return to hospital within 30 and 60 days measured from discharge from the index hospitalization, and coded as: 0=No </w:t>
      </w:r>
      <w:r w:rsidRPr="00FE3F0D">
        <w:t>readmissions</w:t>
      </w:r>
      <w:r w:rsidRPr="00FF4640">
        <w:t xml:space="preserve"> or ED/Observation visits; 1=ED/Observation: defined as the occurrence of one or more visits to the ED or Observation visits without inpatient admission in the same encounter; and 2=Readmission: defined as the occurrence of one or more return visits to the hospital that included an inpatient stay with or without any ED/Observation visits. Observation refers to return visits to the hospital that did not necessitate or result in an inpatient </w:t>
      </w:r>
      <w:proofErr w:type="gramStart"/>
      <w:r w:rsidRPr="00FF4640">
        <w:t>admission</w:t>
      </w:r>
      <w:proofErr w:type="gramEnd"/>
      <w:r w:rsidRPr="00FF4640">
        <w:t xml:space="preserve"> but patients are assigned a hospital bed (commonly coded as short stay &lt;23 hours; outpatient-in-bed). The 60-day post-discharge windows was included because of variability in the length of services (number of visits) provided by HHC agencies that may extend beyond the 30-day period.</w:t>
      </w:r>
    </w:p>
    <w:p w14:paraId="11DF2B49" w14:textId="1D33D72B" w:rsidR="00FF4640" w:rsidRPr="00FF4640" w:rsidRDefault="00FF4640" w:rsidP="00FF4640">
      <w:r w:rsidRPr="00FF4640">
        <w:t>We included patient and hospitalization characteristics variables based on a review of the literature of predictors of HHC referral (</w:t>
      </w:r>
      <w:bookmarkStart w:id="35" w:name="bbib0036"/>
      <w:proofErr w:type="spellStart"/>
      <w:r w:rsidRPr="00FE3F0D">
        <w:t>Siclovan</w:t>
      </w:r>
      <w:proofErr w:type="spellEnd"/>
      <w:r w:rsidRPr="00FE3F0D">
        <w:t>, 2018</w:t>
      </w:r>
      <w:proofErr w:type="gramStart"/>
      <w:r w:rsidRPr="00FF4640">
        <w:t>) .</w:t>
      </w:r>
      <w:proofErr w:type="gramEnd"/>
      <w:r w:rsidRPr="00FF4640">
        <w:t xml:space="preserve"> These variables included age (in years); race (unknown, Native American/Alaskan, Asian American, Black/African American, Hawaiian/Pacific Islander, White[reference]); ethnicity (Hispanic, Non-Hispanic [reference], unknown); gender (female, male [reference]); payer (Medicare, Medicaid, uninsured, private insurance[reference], other payer type, and missing); length of hospital stay (defined as the number of midnights in hospital, categorized in quartiles); Major Diagnostic Category and Severity Of Illness (major, extreme, moderate, minor [reference], missing) from Diagnostic Related Groups coding; patient diagnosis type (medical/surgical); prior hospitalizations (an inpatient discharge within 30 days and 31–90 days prior to index admission); ICU days; </w:t>
      </w:r>
      <w:proofErr w:type="spellStart"/>
      <w:r w:rsidRPr="00FF4640">
        <w:t>Elixhauser</w:t>
      </w:r>
      <w:proofErr w:type="spellEnd"/>
      <w:r w:rsidRPr="00FF4640">
        <w:t xml:space="preserve"> Comorbidity Index (</w:t>
      </w:r>
      <w:bookmarkStart w:id="36" w:name="bbib0015"/>
      <w:proofErr w:type="spellStart"/>
      <w:r w:rsidRPr="00FE3F0D">
        <w:t>Elixhauser</w:t>
      </w:r>
      <w:proofErr w:type="spellEnd"/>
      <w:r w:rsidRPr="00FE3F0D">
        <w:t>, Steiner, Harris, and Coffey, 2016</w:t>
      </w:r>
      <w:r w:rsidRPr="00FF4640">
        <w:t>).</w:t>
      </w:r>
    </w:p>
    <w:p w14:paraId="398C3FB3" w14:textId="77777777" w:rsidR="00FF4640" w:rsidRPr="00FF4640" w:rsidRDefault="00FF4640" w:rsidP="00FF4640">
      <w:r w:rsidRPr="00FF4640">
        <w:t>Nurse-reported and patient-reported variables collected for the parent study were also used in the analysis as patient characteristics. Nurse-reported variables included the patient's functional status (0 = not independent/1=independent) and whether the patient lived alone (0 = no/1 = yes). Patient-reported variables included their self-care ability (0–10 scale) (“How well will you be able to perform your personal care (for example hygiene, bathing, toileting, and eating) at home”), and social support (0–10 scale) (“How much help will you have with your personal care after you go home?”).</w:t>
      </w:r>
    </w:p>
    <w:p w14:paraId="547487FF" w14:textId="177F5D80" w:rsidR="00FF4640" w:rsidRPr="00FF4640" w:rsidRDefault="00FF4640" w:rsidP="00FF4640">
      <w:r w:rsidRPr="00FF4640">
        <w:t>A propensity score for referral to HHC was calculated for each patient using a propensity score model derived using a separate sample of control group patients from the larger parent study (Supplemental Digital File: Methods and </w:t>
      </w:r>
      <w:r w:rsidRPr="00FE3F0D">
        <w:t>Table 1</w:t>
      </w:r>
      <w:r w:rsidRPr="00FF4640">
        <w:t>).</w:t>
      </w:r>
    </w:p>
    <w:p w14:paraId="159236E7" w14:textId="77777777" w:rsidR="00FF4640" w:rsidRPr="00FF4640" w:rsidRDefault="00FF4640" w:rsidP="00706643">
      <w:pPr>
        <w:pStyle w:val="Heading2"/>
      </w:pPr>
      <w:r w:rsidRPr="00FF4640">
        <w:t>Data analysis</w:t>
      </w:r>
    </w:p>
    <w:p w14:paraId="2550F9A9" w14:textId="2EC2A564" w:rsidR="00FF4640" w:rsidRPr="00FF4640" w:rsidRDefault="00FF4640" w:rsidP="00FF4640">
      <w:r w:rsidRPr="00FF4640">
        <w:t xml:space="preserve">To create the matched samples, we used a combination of exact matching and nearest-neighbor matching using </w:t>
      </w:r>
      <w:proofErr w:type="spellStart"/>
      <w:r w:rsidRPr="00FF4640">
        <w:t>Mahalanobis</w:t>
      </w:r>
      <w:proofErr w:type="spellEnd"/>
      <w:r w:rsidRPr="00FF4640">
        <w:t xml:space="preserve"> distance measures to create balanced treatment (HHC) and non-treatment (non-HHC) groups. We selected variables for exact (</w:t>
      </w:r>
      <w:bookmarkStart w:id="37" w:name="bbib0018"/>
      <w:r w:rsidRPr="00FE3F0D">
        <w:t>Guo and Fraser, 2015</w:t>
      </w:r>
      <w:r w:rsidRPr="00FF4640">
        <w:t xml:space="preserve">) and </w:t>
      </w:r>
      <w:proofErr w:type="spellStart"/>
      <w:r w:rsidRPr="00FF4640">
        <w:t>Mahalanobis</w:t>
      </w:r>
      <w:proofErr w:type="spellEnd"/>
      <w:r w:rsidRPr="00FF4640">
        <w:t xml:space="preserve"> distance matching (</w:t>
      </w:r>
      <w:r w:rsidRPr="00FE3F0D">
        <w:t>Guo and Fraser, 2015</w:t>
      </w:r>
      <w:bookmarkEnd w:id="37"/>
      <w:r w:rsidRPr="00FF4640">
        <w:t>; </w:t>
      </w:r>
      <w:bookmarkStart w:id="38" w:name="bbib0023"/>
      <w:r w:rsidRPr="00FE3F0D">
        <w:t>Kantor, 2006</w:t>
      </w:r>
      <w:bookmarkEnd w:id="38"/>
      <w:r w:rsidRPr="00FF4640">
        <w:t>; </w:t>
      </w:r>
      <w:bookmarkStart w:id="39" w:name="bbib0042"/>
      <w:r w:rsidRPr="00FE3F0D">
        <w:t>Warner, 2013</w:t>
      </w:r>
      <w:bookmarkEnd w:id="39"/>
      <w:r w:rsidRPr="00FF4640">
        <w:t>) based on characteristics identified as significant and clinically meaningful predictors of HHC referral from a sample of control group patients from the parent study (Supplemental Digital File: Methods &amp; </w:t>
      </w:r>
      <w:r w:rsidRPr="00FE3F0D">
        <w:t>Table 1</w:t>
      </w:r>
      <w:bookmarkEnd w:id="32"/>
      <w:r w:rsidRPr="00FF4640">
        <w:t>) as well as patient characteristics identified from the literature as indicative of receiving an HHC referral (</w:t>
      </w:r>
      <w:proofErr w:type="spellStart"/>
      <w:r w:rsidRPr="00FE3F0D">
        <w:t>Siclovan</w:t>
      </w:r>
      <w:proofErr w:type="spellEnd"/>
      <w:r w:rsidRPr="00FE3F0D">
        <w:t>, 2018</w:t>
      </w:r>
      <w:bookmarkEnd w:id="35"/>
      <w:r w:rsidRPr="00FF4640">
        <w:t xml:space="preserve">). Exact matching variables include hospital, gender, race (White/ non-White), medical-surgical patient type, prior hospitalization (30-day and 90-day combined), quartile of length-of-stay, </w:t>
      </w:r>
      <w:proofErr w:type="spellStart"/>
      <w:r w:rsidRPr="00FF4640">
        <w:t>Elixhauser</w:t>
      </w:r>
      <w:proofErr w:type="spellEnd"/>
      <w:r w:rsidRPr="00FF4640">
        <w:t xml:space="preserve"> Comorbidity Index score above (&gt;7) or below (≤7) the median, lives alone, and functional status. Distance matching variables include age, patient-reported self-care ability and social support, and propensity score for HHC referral.</w:t>
      </w:r>
    </w:p>
    <w:p w14:paraId="2E8695A6" w14:textId="7310BEC1" w:rsidR="00FF4640" w:rsidRPr="00FF4640" w:rsidRDefault="00FF4640" w:rsidP="00FF4640">
      <w:r w:rsidRPr="00FF4640">
        <w:t>We tested the hypotheses that there would be a reduction in readmissions and ED/Observation visits with HHC compared to non-HHC using a two-sample test of proportions. As a sensitivity analysis, we calculated a multinomial logit regression to adjust for Major Diagnostic Category and for any patient control variables significantly different between HHC and non-HHC in the matched sample (</w:t>
      </w:r>
      <w:bookmarkStart w:id="40" w:name="btbl0002"/>
      <w:r w:rsidRPr="00FE3F0D">
        <w:t>Table 2</w:t>
      </w:r>
      <w:r w:rsidRPr="00FF4640">
        <w:t>).</w:t>
      </w:r>
    </w:p>
    <w:p w14:paraId="7C27BF31" w14:textId="77777777" w:rsidR="00FF4640" w:rsidRPr="00FF4640" w:rsidRDefault="00FF4640" w:rsidP="00706643">
      <w:pPr>
        <w:spacing w:after="0"/>
      </w:pPr>
      <w:r w:rsidRPr="00FF4640">
        <w:t>Table 2. Full and Matched Sample Characteristics.</w:t>
      </w:r>
    </w:p>
    <w:tbl>
      <w:tblPr>
        <w:tblStyle w:val="TableGrid"/>
        <w:tblW w:w="0" w:type="auto"/>
        <w:tblLook w:val="04A0" w:firstRow="1" w:lastRow="0" w:firstColumn="1" w:lastColumn="0" w:noHBand="0" w:noVBand="1"/>
      </w:tblPr>
      <w:tblGrid>
        <w:gridCol w:w="1884"/>
        <w:gridCol w:w="1345"/>
        <w:gridCol w:w="1172"/>
        <w:gridCol w:w="1306"/>
        <w:gridCol w:w="1156"/>
        <w:gridCol w:w="1188"/>
        <w:gridCol w:w="2019"/>
      </w:tblGrid>
      <w:tr w:rsidR="00FF4640" w:rsidRPr="00FF4640" w14:paraId="4DEBCC34" w14:textId="77777777" w:rsidTr="00706643">
        <w:tc>
          <w:tcPr>
            <w:tcW w:w="0" w:type="auto"/>
            <w:hideMark/>
          </w:tcPr>
          <w:p w14:paraId="1BDEBC5B" w14:textId="77777777" w:rsidR="00FF4640" w:rsidRPr="00FF4640" w:rsidRDefault="00FF4640" w:rsidP="00FF4640">
            <w:pPr>
              <w:rPr>
                <w:b/>
                <w:bCs/>
              </w:rPr>
            </w:pPr>
            <w:r w:rsidRPr="00FF4640">
              <w:rPr>
                <w:b/>
                <w:bCs/>
              </w:rPr>
              <w:t>Characteristic</w:t>
            </w:r>
          </w:p>
        </w:tc>
        <w:tc>
          <w:tcPr>
            <w:tcW w:w="0" w:type="auto"/>
            <w:hideMark/>
          </w:tcPr>
          <w:p w14:paraId="4AECA4C8" w14:textId="77777777" w:rsidR="00FF4640" w:rsidRPr="00FF4640" w:rsidRDefault="00FF4640" w:rsidP="00FF4640">
            <w:pPr>
              <w:rPr>
                <w:b/>
                <w:bCs/>
              </w:rPr>
            </w:pPr>
            <w:r w:rsidRPr="00FF4640">
              <w:rPr>
                <w:b/>
                <w:bCs/>
              </w:rPr>
              <w:t>Full Sample (Available for Matching)</w:t>
            </w:r>
          </w:p>
        </w:tc>
        <w:tc>
          <w:tcPr>
            <w:tcW w:w="0" w:type="auto"/>
            <w:hideMark/>
          </w:tcPr>
          <w:p w14:paraId="737A6F8F" w14:textId="77777777" w:rsidR="00FF4640" w:rsidRPr="00FF4640" w:rsidRDefault="00FF4640" w:rsidP="00FF4640">
            <w:pPr>
              <w:rPr>
                <w:b/>
                <w:bCs/>
              </w:rPr>
            </w:pPr>
            <w:r w:rsidRPr="00FF4640">
              <w:rPr>
                <w:b/>
                <w:bCs/>
              </w:rPr>
              <w:t>Full Sample HHC Patients</w:t>
            </w:r>
          </w:p>
        </w:tc>
        <w:tc>
          <w:tcPr>
            <w:tcW w:w="0" w:type="auto"/>
            <w:hideMark/>
          </w:tcPr>
          <w:p w14:paraId="3B16B829" w14:textId="77777777" w:rsidR="00FF4640" w:rsidRPr="00FF4640" w:rsidRDefault="00FF4640" w:rsidP="00FF4640">
            <w:pPr>
              <w:rPr>
                <w:b/>
                <w:bCs/>
              </w:rPr>
            </w:pPr>
            <w:r w:rsidRPr="00FF4640">
              <w:rPr>
                <w:b/>
                <w:bCs/>
              </w:rPr>
              <w:t>Full Sample Non-HHC Patients</w:t>
            </w:r>
          </w:p>
        </w:tc>
        <w:tc>
          <w:tcPr>
            <w:tcW w:w="0" w:type="auto"/>
            <w:hideMark/>
          </w:tcPr>
          <w:p w14:paraId="71A3D66E" w14:textId="77777777" w:rsidR="00FF4640" w:rsidRPr="00FF4640" w:rsidRDefault="00FF4640" w:rsidP="00FF4640">
            <w:pPr>
              <w:rPr>
                <w:b/>
                <w:bCs/>
              </w:rPr>
            </w:pPr>
            <w:r w:rsidRPr="00FF4640">
              <w:rPr>
                <w:b/>
                <w:bCs/>
              </w:rPr>
              <w:t>Matched HHC Patients</w:t>
            </w:r>
          </w:p>
        </w:tc>
        <w:tc>
          <w:tcPr>
            <w:tcW w:w="0" w:type="auto"/>
            <w:hideMark/>
          </w:tcPr>
          <w:p w14:paraId="35663C7D" w14:textId="77777777" w:rsidR="00FF4640" w:rsidRPr="00FF4640" w:rsidRDefault="00FF4640" w:rsidP="00FF4640">
            <w:pPr>
              <w:rPr>
                <w:b/>
                <w:bCs/>
              </w:rPr>
            </w:pPr>
            <w:r w:rsidRPr="00FF4640">
              <w:rPr>
                <w:b/>
                <w:bCs/>
              </w:rPr>
              <w:t>Matched Non-HHC Controls</w:t>
            </w:r>
          </w:p>
        </w:tc>
        <w:tc>
          <w:tcPr>
            <w:tcW w:w="0" w:type="auto"/>
            <w:hideMark/>
          </w:tcPr>
          <w:p w14:paraId="2E2B4B12" w14:textId="5CC7CB66" w:rsidR="00FF4640" w:rsidRPr="00FF4640" w:rsidRDefault="00FF4640" w:rsidP="00FF4640">
            <w:pPr>
              <w:rPr>
                <w:b/>
                <w:bCs/>
              </w:rPr>
            </w:pPr>
            <w:r w:rsidRPr="00FF4640">
              <w:rPr>
                <w:b/>
                <w:bCs/>
              </w:rPr>
              <w:t>P-</w:t>
            </w:r>
            <w:proofErr w:type="spellStart"/>
            <w:r w:rsidRPr="00FF4640">
              <w:rPr>
                <w:b/>
                <w:bCs/>
              </w:rPr>
              <w:t>Value</w:t>
            </w:r>
            <w:bookmarkStart w:id="41" w:name="btb2fn1"/>
            <w:r w:rsidRPr="00FE3F0D">
              <w:rPr>
                <w:b/>
                <w:bCs/>
                <w:vertAlign w:val="superscript"/>
              </w:rPr>
              <w:t>a</w:t>
            </w:r>
            <w:bookmarkEnd w:id="41"/>
            <w:proofErr w:type="spellEnd"/>
            <w:r w:rsidRPr="00FF4640">
              <w:rPr>
                <w:b/>
                <w:bCs/>
              </w:rPr>
              <w:t> Comparing Matched HHC/Non-HHC</w:t>
            </w:r>
          </w:p>
        </w:tc>
      </w:tr>
      <w:tr w:rsidR="00FF4640" w:rsidRPr="00FF4640" w14:paraId="69473B92" w14:textId="77777777" w:rsidTr="00706643">
        <w:tc>
          <w:tcPr>
            <w:tcW w:w="0" w:type="auto"/>
            <w:hideMark/>
          </w:tcPr>
          <w:p w14:paraId="6A05B87C" w14:textId="77777777" w:rsidR="00FF4640" w:rsidRPr="00FF4640" w:rsidRDefault="00FF4640" w:rsidP="00FF4640">
            <w:pPr>
              <w:rPr>
                <w:b/>
                <w:bCs/>
              </w:rPr>
            </w:pPr>
          </w:p>
        </w:tc>
        <w:tc>
          <w:tcPr>
            <w:tcW w:w="0" w:type="auto"/>
            <w:hideMark/>
          </w:tcPr>
          <w:p w14:paraId="788365D4" w14:textId="77777777" w:rsidR="00FF4640" w:rsidRPr="00FF4640" w:rsidRDefault="00FF4640" w:rsidP="00FF4640">
            <w:pPr>
              <w:rPr>
                <w:b/>
                <w:bCs/>
              </w:rPr>
            </w:pPr>
            <w:r w:rsidRPr="00FF4640">
              <w:rPr>
                <w:b/>
                <w:bCs/>
                <w:i/>
                <w:iCs/>
              </w:rPr>
              <w:t>N</w:t>
            </w:r>
            <w:r w:rsidRPr="00FF4640">
              <w:rPr>
                <w:b/>
                <w:bCs/>
              </w:rPr>
              <w:t> = 18,555</w:t>
            </w:r>
          </w:p>
        </w:tc>
        <w:tc>
          <w:tcPr>
            <w:tcW w:w="0" w:type="auto"/>
            <w:hideMark/>
          </w:tcPr>
          <w:p w14:paraId="63E66EB9" w14:textId="77777777" w:rsidR="00FF4640" w:rsidRPr="00FF4640" w:rsidRDefault="00FF4640" w:rsidP="00FF4640">
            <w:pPr>
              <w:rPr>
                <w:b/>
                <w:bCs/>
              </w:rPr>
            </w:pPr>
            <w:r w:rsidRPr="00FF4640">
              <w:rPr>
                <w:b/>
                <w:bCs/>
                <w:i/>
                <w:iCs/>
              </w:rPr>
              <w:t>N</w:t>
            </w:r>
            <w:r w:rsidRPr="00FF4640">
              <w:rPr>
                <w:b/>
                <w:bCs/>
              </w:rPr>
              <w:t> = 3,579</w:t>
            </w:r>
          </w:p>
        </w:tc>
        <w:tc>
          <w:tcPr>
            <w:tcW w:w="0" w:type="auto"/>
            <w:hideMark/>
          </w:tcPr>
          <w:p w14:paraId="1A32A107" w14:textId="77777777" w:rsidR="00FF4640" w:rsidRPr="00FF4640" w:rsidRDefault="00FF4640" w:rsidP="00FF4640">
            <w:pPr>
              <w:rPr>
                <w:b/>
                <w:bCs/>
              </w:rPr>
            </w:pPr>
            <w:r w:rsidRPr="00FF4640">
              <w:rPr>
                <w:b/>
                <w:bCs/>
                <w:i/>
                <w:iCs/>
              </w:rPr>
              <w:t>N</w:t>
            </w:r>
            <w:r w:rsidRPr="00FF4640">
              <w:rPr>
                <w:b/>
                <w:bCs/>
              </w:rPr>
              <w:t> = 14,976</w:t>
            </w:r>
          </w:p>
        </w:tc>
        <w:tc>
          <w:tcPr>
            <w:tcW w:w="0" w:type="auto"/>
            <w:hideMark/>
          </w:tcPr>
          <w:p w14:paraId="235839A6" w14:textId="77777777" w:rsidR="00FF4640" w:rsidRPr="00FF4640" w:rsidRDefault="00FF4640" w:rsidP="00FF4640">
            <w:pPr>
              <w:rPr>
                <w:b/>
                <w:bCs/>
              </w:rPr>
            </w:pPr>
            <w:r w:rsidRPr="00FF4640">
              <w:rPr>
                <w:b/>
                <w:bCs/>
                <w:i/>
                <w:iCs/>
              </w:rPr>
              <w:t>N</w:t>
            </w:r>
            <w:r w:rsidRPr="00FF4640">
              <w:rPr>
                <w:b/>
                <w:bCs/>
              </w:rPr>
              <w:t> = 2,767</w:t>
            </w:r>
          </w:p>
        </w:tc>
        <w:tc>
          <w:tcPr>
            <w:tcW w:w="0" w:type="auto"/>
            <w:hideMark/>
          </w:tcPr>
          <w:p w14:paraId="0AA86050" w14:textId="77777777" w:rsidR="00FF4640" w:rsidRPr="00FF4640" w:rsidRDefault="00FF4640" w:rsidP="00FF4640">
            <w:pPr>
              <w:rPr>
                <w:b/>
                <w:bCs/>
              </w:rPr>
            </w:pPr>
            <w:r w:rsidRPr="00FF4640">
              <w:rPr>
                <w:b/>
                <w:bCs/>
                <w:i/>
                <w:iCs/>
              </w:rPr>
              <w:t>N</w:t>
            </w:r>
            <w:r w:rsidRPr="00FF4640">
              <w:rPr>
                <w:b/>
                <w:bCs/>
              </w:rPr>
              <w:t> = 2,767</w:t>
            </w:r>
          </w:p>
        </w:tc>
        <w:tc>
          <w:tcPr>
            <w:tcW w:w="0" w:type="auto"/>
            <w:hideMark/>
          </w:tcPr>
          <w:p w14:paraId="788389B7" w14:textId="77777777" w:rsidR="00FF4640" w:rsidRPr="00FF4640" w:rsidRDefault="00FF4640" w:rsidP="00FF4640">
            <w:pPr>
              <w:rPr>
                <w:b/>
                <w:bCs/>
              </w:rPr>
            </w:pPr>
          </w:p>
        </w:tc>
      </w:tr>
      <w:tr w:rsidR="00FF4640" w:rsidRPr="00FF4640" w14:paraId="18565B89" w14:textId="77777777" w:rsidTr="00706643">
        <w:tc>
          <w:tcPr>
            <w:tcW w:w="0" w:type="auto"/>
            <w:hideMark/>
          </w:tcPr>
          <w:p w14:paraId="6CC5473F" w14:textId="77777777" w:rsidR="00FF4640" w:rsidRPr="00FF4640" w:rsidRDefault="00FF4640" w:rsidP="00FF4640">
            <w:r w:rsidRPr="00FF4640">
              <w:rPr>
                <w:b/>
                <w:bCs/>
              </w:rPr>
              <w:t>Post-Discharge Utilization</w:t>
            </w:r>
          </w:p>
        </w:tc>
        <w:tc>
          <w:tcPr>
            <w:tcW w:w="0" w:type="auto"/>
            <w:hideMark/>
          </w:tcPr>
          <w:p w14:paraId="674B3BB6" w14:textId="77777777" w:rsidR="00FF4640" w:rsidRPr="00FF4640" w:rsidRDefault="00FF4640" w:rsidP="00FF4640"/>
        </w:tc>
        <w:tc>
          <w:tcPr>
            <w:tcW w:w="0" w:type="auto"/>
            <w:hideMark/>
          </w:tcPr>
          <w:p w14:paraId="4C3EB0D3" w14:textId="77777777" w:rsidR="00FF4640" w:rsidRPr="00FF4640" w:rsidRDefault="00FF4640" w:rsidP="00FF4640"/>
        </w:tc>
        <w:tc>
          <w:tcPr>
            <w:tcW w:w="0" w:type="auto"/>
            <w:hideMark/>
          </w:tcPr>
          <w:p w14:paraId="1C126439" w14:textId="77777777" w:rsidR="00FF4640" w:rsidRPr="00FF4640" w:rsidRDefault="00FF4640" w:rsidP="00FF4640"/>
        </w:tc>
        <w:tc>
          <w:tcPr>
            <w:tcW w:w="0" w:type="auto"/>
            <w:hideMark/>
          </w:tcPr>
          <w:p w14:paraId="089BA2D2" w14:textId="77777777" w:rsidR="00FF4640" w:rsidRPr="00FF4640" w:rsidRDefault="00FF4640" w:rsidP="00FF4640"/>
        </w:tc>
        <w:tc>
          <w:tcPr>
            <w:tcW w:w="0" w:type="auto"/>
            <w:hideMark/>
          </w:tcPr>
          <w:p w14:paraId="55C20A09" w14:textId="77777777" w:rsidR="00FF4640" w:rsidRPr="00FF4640" w:rsidRDefault="00FF4640" w:rsidP="00FF4640"/>
        </w:tc>
        <w:tc>
          <w:tcPr>
            <w:tcW w:w="0" w:type="auto"/>
            <w:hideMark/>
          </w:tcPr>
          <w:p w14:paraId="1007DA82" w14:textId="77777777" w:rsidR="00FF4640" w:rsidRPr="00FF4640" w:rsidRDefault="00FF4640" w:rsidP="00FF4640"/>
        </w:tc>
      </w:tr>
      <w:tr w:rsidR="00FF4640" w:rsidRPr="00FF4640" w14:paraId="777F8593" w14:textId="77777777" w:rsidTr="00706643">
        <w:tc>
          <w:tcPr>
            <w:tcW w:w="0" w:type="auto"/>
            <w:hideMark/>
          </w:tcPr>
          <w:p w14:paraId="440253FC" w14:textId="77777777" w:rsidR="00FF4640" w:rsidRPr="00FF4640" w:rsidRDefault="00FF4640" w:rsidP="00FF4640">
            <w:r w:rsidRPr="00FF4640">
              <w:t>30-Day Utilization ≠</w:t>
            </w:r>
          </w:p>
        </w:tc>
        <w:tc>
          <w:tcPr>
            <w:tcW w:w="0" w:type="auto"/>
            <w:hideMark/>
          </w:tcPr>
          <w:p w14:paraId="285CD3BF" w14:textId="77777777" w:rsidR="00FF4640" w:rsidRPr="00FF4640" w:rsidRDefault="00FF4640" w:rsidP="00FF4640"/>
        </w:tc>
        <w:tc>
          <w:tcPr>
            <w:tcW w:w="0" w:type="auto"/>
            <w:hideMark/>
          </w:tcPr>
          <w:p w14:paraId="0C342121" w14:textId="77777777" w:rsidR="00FF4640" w:rsidRPr="00FF4640" w:rsidRDefault="00FF4640" w:rsidP="00FF4640"/>
        </w:tc>
        <w:tc>
          <w:tcPr>
            <w:tcW w:w="0" w:type="auto"/>
            <w:hideMark/>
          </w:tcPr>
          <w:p w14:paraId="46E7A131" w14:textId="77777777" w:rsidR="00FF4640" w:rsidRPr="00FF4640" w:rsidRDefault="00FF4640" w:rsidP="00FF4640"/>
        </w:tc>
        <w:tc>
          <w:tcPr>
            <w:tcW w:w="0" w:type="auto"/>
            <w:hideMark/>
          </w:tcPr>
          <w:p w14:paraId="3F1FA31A" w14:textId="77777777" w:rsidR="00FF4640" w:rsidRPr="00FF4640" w:rsidRDefault="00FF4640" w:rsidP="00FF4640"/>
        </w:tc>
        <w:tc>
          <w:tcPr>
            <w:tcW w:w="0" w:type="auto"/>
            <w:hideMark/>
          </w:tcPr>
          <w:p w14:paraId="3BC0EF2B" w14:textId="77777777" w:rsidR="00FF4640" w:rsidRPr="00FF4640" w:rsidRDefault="00FF4640" w:rsidP="00FF4640"/>
        </w:tc>
        <w:tc>
          <w:tcPr>
            <w:tcW w:w="0" w:type="auto"/>
            <w:hideMark/>
          </w:tcPr>
          <w:p w14:paraId="73A40C79" w14:textId="77777777" w:rsidR="00FF4640" w:rsidRPr="00FF4640" w:rsidRDefault="00FF4640" w:rsidP="00FF4640"/>
        </w:tc>
      </w:tr>
      <w:tr w:rsidR="00FF4640" w:rsidRPr="00FF4640" w14:paraId="4073EF1A" w14:textId="77777777" w:rsidTr="00706643">
        <w:tc>
          <w:tcPr>
            <w:tcW w:w="0" w:type="auto"/>
            <w:hideMark/>
          </w:tcPr>
          <w:p w14:paraId="72344FE9" w14:textId="77777777" w:rsidR="00FF4640" w:rsidRPr="00FF4640" w:rsidRDefault="00FF4640" w:rsidP="00FF4640">
            <w:r w:rsidRPr="00FF4640">
              <w:t>None</w:t>
            </w:r>
          </w:p>
        </w:tc>
        <w:tc>
          <w:tcPr>
            <w:tcW w:w="0" w:type="auto"/>
            <w:hideMark/>
          </w:tcPr>
          <w:p w14:paraId="5BEA930E" w14:textId="77777777" w:rsidR="00FF4640" w:rsidRPr="00FF4640" w:rsidRDefault="00FF4640" w:rsidP="00FF4640">
            <w:r w:rsidRPr="00FF4640">
              <w:t>14,943 (80.53)</w:t>
            </w:r>
          </w:p>
        </w:tc>
        <w:tc>
          <w:tcPr>
            <w:tcW w:w="0" w:type="auto"/>
            <w:hideMark/>
          </w:tcPr>
          <w:p w14:paraId="51187233" w14:textId="77777777" w:rsidR="00FF4640" w:rsidRPr="00FF4640" w:rsidRDefault="00FF4640" w:rsidP="00FF4640">
            <w:r w:rsidRPr="00FF4640">
              <w:t>2,724 (76.11)</w:t>
            </w:r>
          </w:p>
        </w:tc>
        <w:tc>
          <w:tcPr>
            <w:tcW w:w="0" w:type="auto"/>
            <w:hideMark/>
          </w:tcPr>
          <w:p w14:paraId="31E200DE" w14:textId="77777777" w:rsidR="00FF4640" w:rsidRPr="00FF4640" w:rsidRDefault="00FF4640" w:rsidP="00FF4640">
            <w:r w:rsidRPr="00FF4640">
              <w:t>12,219 (81.59)</w:t>
            </w:r>
          </w:p>
        </w:tc>
        <w:tc>
          <w:tcPr>
            <w:tcW w:w="0" w:type="auto"/>
            <w:hideMark/>
          </w:tcPr>
          <w:p w14:paraId="46482588" w14:textId="77777777" w:rsidR="00FF4640" w:rsidRPr="00FF4640" w:rsidRDefault="00FF4640" w:rsidP="00FF4640">
            <w:r w:rsidRPr="00FF4640">
              <w:t>2,155 (77.88)</w:t>
            </w:r>
          </w:p>
        </w:tc>
        <w:tc>
          <w:tcPr>
            <w:tcW w:w="0" w:type="auto"/>
            <w:hideMark/>
          </w:tcPr>
          <w:p w14:paraId="58D4A6ED" w14:textId="77777777" w:rsidR="00FF4640" w:rsidRPr="00FF4640" w:rsidRDefault="00FF4640" w:rsidP="00FF4640">
            <w:r w:rsidRPr="00FF4640">
              <w:t>2,207 (79.76)</w:t>
            </w:r>
          </w:p>
        </w:tc>
        <w:tc>
          <w:tcPr>
            <w:tcW w:w="0" w:type="auto"/>
            <w:hideMark/>
          </w:tcPr>
          <w:p w14:paraId="7114A7BD" w14:textId="77777777" w:rsidR="00FF4640" w:rsidRPr="00FF4640" w:rsidRDefault="00FF4640" w:rsidP="00FF4640">
            <w:r w:rsidRPr="00FF4640">
              <w:t>0.108</w:t>
            </w:r>
          </w:p>
        </w:tc>
      </w:tr>
      <w:tr w:rsidR="00FF4640" w:rsidRPr="00FF4640" w14:paraId="37483F9B" w14:textId="77777777" w:rsidTr="00706643">
        <w:tc>
          <w:tcPr>
            <w:tcW w:w="0" w:type="auto"/>
            <w:hideMark/>
          </w:tcPr>
          <w:p w14:paraId="3AA89296" w14:textId="77777777" w:rsidR="00FF4640" w:rsidRPr="00FF4640" w:rsidRDefault="00FF4640" w:rsidP="00FF4640">
            <w:r w:rsidRPr="00FF4640">
              <w:t>ED/OBS</w:t>
            </w:r>
          </w:p>
        </w:tc>
        <w:tc>
          <w:tcPr>
            <w:tcW w:w="0" w:type="auto"/>
            <w:hideMark/>
          </w:tcPr>
          <w:p w14:paraId="700C4BAC" w14:textId="77777777" w:rsidR="00FF4640" w:rsidRPr="00FF4640" w:rsidRDefault="00FF4640" w:rsidP="00FF4640">
            <w:r w:rsidRPr="00FF4640">
              <w:t>1,514 (8.16)</w:t>
            </w:r>
          </w:p>
        </w:tc>
        <w:tc>
          <w:tcPr>
            <w:tcW w:w="0" w:type="auto"/>
            <w:hideMark/>
          </w:tcPr>
          <w:p w14:paraId="22BFF4C1" w14:textId="77777777" w:rsidR="00FF4640" w:rsidRPr="00FF4640" w:rsidRDefault="00FF4640" w:rsidP="00FF4640">
            <w:r w:rsidRPr="00FF4640">
              <w:t>277 (7.74)</w:t>
            </w:r>
          </w:p>
        </w:tc>
        <w:tc>
          <w:tcPr>
            <w:tcW w:w="0" w:type="auto"/>
            <w:hideMark/>
          </w:tcPr>
          <w:p w14:paraId="391D5FEA" w14:textId="77777777" w:rsidR="00FF4640" w:rsidRPr="00FF4640" w:rsidRDefault="00FF4640" w:rsidP="00FF4640">
            <w:r w:rsidRPr="00FF4640">
              <w:t>1,237 (8.26)</w:t>
            </w:r>
          </w:p>
        </w:tc>
        <w:tc>
          <w:tcPr>
            <w:tcW w:w="0" w:type="auto"/>
            <w:hideMark/>
          </w:tcPr>
          <w:p w14:paraId="36F558A5" w14:textId="77777777" w:rsidR="00FF4640" w:rsidRPr="00FF4640" w:rsidRDefault="00FF4640" w:rsidP="00FF4640">
            <w:r w:rsidRPr="00FF4640">
              <w:t>201 (7.26)</w:t>
            </w:r>
          </w:p>
        </w:tc>
        <w:tc>
          <w:tcPr>
            <w:tcW w:w="0" w:type="auto"/>
            <w:hideMark/>
          </w:tcPr>
          <w:p w14:paraId="7D56741A" w14:textId="77777777" w:rsidR="00FF4640" w:rsidRPr="00FF4640" w:rsidRDefault="00FF4640" w:rsidP="00FF4640">
            <w:r w:rsidRPr="00FF4640">
              <w:t>189 (6.83)</w:t>
            </w:r>
          </w:p>
        </w:tc>
        <w:tc>
          <w:tcPr>
            <w:tcW w:w="0" w:type="auto"/>
            <w:hideMark/>
          </w:tcPr>
          <w:p w14:paraId="78B0F231" w14:textId="77777777" w:rsidR="00FF4640" w:rsidRPr="00FF4640" w:rsidRDefault="00FF4640" w:rsidP="00FF4640">
            <w:r w:rsidRPr="00FF4640">
              <w:t>0.565</w:t>
            </w:r>
          </w:p>
        </w:tc>
      </w:tr>
      <w:tr w:rsidR="00FF4640" w:rsidRPr="00FF4640" w14:paraId="7AF91271" w14:textId="77777777" w:rsidTr="00706643">
        <w:tc>
          <w:tcPr>
            <w:tcW w:w="0" w:type="auto"/>
            <w:hideMark/>
          </w:tcPr>
          <w:p w14:paraId="69BCF63F" w14:textId="77777777" w:rsidR="00FF4640" w:rsidRPr="00FF4640" w:rsidRDefault="00FF4640" w:rsidP="00FF4640">
            <w:r w:rsidRPr="00FF4640">
              <w:t>Readmission</w:t>
            </w:r>
          </w:p>
        </w:tc>
        <w:tc>
          <w:tcPr>
            <w:tcW w:w="0" w:type="auto"/>
            <w:hideMark/>
          </w:tcPr>
          <w:p w14:paraId="113FC008" w14:textId="77777777" w:rsidR="00FF4640" w:rsidRPr="00FF4640" w:rsidRDefault="00FF4640" w:rsidP="00FF4640">
            <w:r w:rsidRPr="00FF4640">
              <w:t>2,098 (11.31)</w:t>
            </w:r>
          </w:p>
        </w:tc>
        <w:tc>
          <w:tcPr>
            <w:tcW w:w="0" w:type="auto"/>
            <w:hideMark/>
          </w:tcPr>
          <w:p w14:paraId="55B6B105" w14:textId="77777777" w:rsidR="00FF4640" w:rsidRPr="00FF4640" w:rsidRDefault="00FF4640" w:rsidP="00FF4640">
            <w:r w:rsidRPr="00FF4640">
              <w:t>578 (16.15)</w:t>
            </w:r>
          </w:p>
        </w:tc>
        <w:tc>
          <w:tcPr>
            <w:tcW w:w="0" w:type="auto"/>
            <w:hideMark/>
          </w:tcPr>
          <w:p w14:paraId="5CB1FCE8" w14:textId="77777777" w:rsidR="00FF4640" w:rsidRPr="00FF4640" w:rsidRDefault="00FF4640" w:rsidP="00FF4640">
            <w:r w:rsidRPr="00FF4640">
              <w:t>1,520 (10.15)</w:t>
            </w:r>
          </w:p>
        </w:tc>
        <w:tc>
          <w:tcPr>
            <w:tcW w:w="0" w:type="auto"/>
            <w:hideMark/>
          </w:tcPr>
          <w:p w14:paraId="3340464B" w14:textId="77777777" w:rsidR="00FF4640" w:rsidRPr="00FF4640" w:rsidRDefault="00FF4640" w:rsidP="00FF4640">
            <w:r w:rsidRPr="00FF4640">
              <w:t>411 (14.85)</w:t>
            </w:r>
          </w:p>
        </w:tc>
        <w:tc>
          <w:tcPr>
            <w:tcW w:w="0" w:type="auto"/>
            <w:hideMark/>
          </w:tcPr>
          <w:p w14:paraId="43D5884F" w14:textId="77777777" w:rsidR="00FF4640" w:rsidRPr="00FF4640" w:rsidRDefault="00FF4640" w:rsidP="00FF4640">
            <w:r w:rsidRPr="00FF4640">
              <w:t>371 (13.41)</w:t>
            </w:r>
          </w:p>
        </w:tc>
        <w:tc>
          <w:tcPr>
            <w:tcW w:w="0" w:type="auto"/>
            <w:hideMark/>
          </w:tcPr>
          <w:p w14:paraId="71DB091A" w14:textId="77777777" w:rsidR="00FF4640" w:rsidRPr="00FF4640" w:rsidRDefault="00FF4640" w:rsidP="00FF4640">
            <w:r w:rsidRPr="00FF4640">
              <w:t>0.143</w:t>
            </w:r>
          </w:p>
        </w:tc>
      </w:tr>
      <w:tr w:rsidR="00FF4640" w:rsidRPr="00FF4640" w14:paraId="2C525627" w14:textId="77777777" w:rsidTr="00706643">
        <w:tc>
          <w:tcPr>
            <w:tcW w:w="0" w:type="auto"/>
            <w:hideMark/>
          </w:tcPr>
          <w:p w14:paraId="40457DC0" w14:textId="77777777" w:rsidR="00FF4640" w:rsidRPr="00FF4640" w:rsidRDefault="00FF4640" w:rsidP="00FF4640">
            <w:r w:rsidRPr="00FF4640">
              <w:t>60-Day Utilization ≠</w:t>
            </w:r>
          </w:p>
        </w:tc>
        <w:tc>
          <w:tcPr>
            <w:tcW w:w="0" w:type="auto"/>
            <w:hideMark/>
          </w:tcPr>
          <w:p w14:paraId="44F5FC9A" w14:textId="77777777" w:rsidR="00FF4640" w:rsidRPr="00FF4640" w:rsidRDefault="00FF4640" w:rsidP="00FF4640"/>
        </w:tc>
        <w:tc>
          <w:tcPr>
            <w:tcW w:w="0" w:type="auto"/>
            <w:hideMark/>
          </w:tcPr>
          <w:p w14:paraId="2BE86F39" w14:textId="77777777" w:rsidR="00FF4640" w:rsidRPr="00FF4640" w:rsidRDefault="00FF4640" w:rsidP="00FF4640"/>
        </w:tc>
        <w:tc>
          <w:tcPr>
            <w:tcW w:w="0" w:type="auto"/>
            <w:hideMark/>
          </w:tcPr>
          <w:p w14:paraId="0EFF97EE" w14:textId="77777777" w:rsidR="00FF4640" w:rsidRPr="00FF4640" w:rsidRDefault="00FF4640" w:rsidP="00FF4640"/>
        </w:tc>
        <w:tc>
          <w:tcPr>
            <w:tcW w:w="0" w:type="auto"/>
            <w:hideMark/>
          </w:tcPr>
          <w:p w14:paraId="7E743E1A" w14:textId="77777777" w:rsidR="00FF4640" w:rsidRPr="00FF4640" w:rsidRDefault="00FF4640" w:rsidP="00FF4640"/>
        </w:tc>
        <w:tc>
          <w:tcPr>
            <w:tcW w:w="0" w:type="auto"/>
            <w:hideMark/>
          </w:tcPr>
          <w:p w14:paraId="4C7F77EF" w14:textId="77777777" w:rsidR="00FF4640" w:rsidRPr="00FF4640" w:rsidRDefault="00FF4640" w:rsidP="00FF4640"/>
        </w:tc>
        <w:tc>
          <w:tcPr>
            <w:tcW w:w="0" w:type="auto"/>
            <w:hideMark/>
          </w:tcPr>
          <w:p w14:paraId="5128FBD7" w14:textId="77777777" w:rsidR="00FF4640" w:rsidRPr="00FF4640" w:rsidRDefault="00FF4640" w:rsidP="00FF4640"/>
        </w:tc>
      </w:tr>
      <w:tr w:rsidR="00FF4640" w:rsidRPr="00FF4640" w14:paraId="12C85526" w14:textId="77777777" w:rsidTr="00706643">
        <w:tc>
          <w:tcPr>
            <w:tcW w:w="0" w:type="auto"/>
            <w:hideMark/>
          </w:tcPr>
          <w:p w14:paraId="6DBFD0FC" w14:textId="77777777" w:rsidR="00FF4640" w:rsidRPr="00FF4640" w:rsidRDefault="00FF4640" w:rsidP="00FF4640">
            <w:r w:rsidRPr="00FF4640">
              <w:t>None</w:t>
            </w:r>
          </w:p>
        </w:tc>
        <w:tc>
          <w:tcPr>
            <w:tcW w:w="0" w:type="auto"/>
            <w:hideMark/>
          </w:tcPr>
          <w:p w14:paraId="72C143F0" w14:textId="77777777" w:rsidR="00FF4640" w:rsidRPr="00FF4640" w:rsidRDefault="00FF4640" w:rsidP="00FF4640">
            <w:r w:rsidRPr="00FF4640">
              <w:t>13,582 (73.20)</w:t>
            </w:r>
          </w:p>
        </w:tc>
        <w:tc>
          <w:tcPr>
            <w:tcW w:w="0" w:type="auto"/>
            <w:hideMark/>
          </w:tcPr>
          <w:p w14:paraId="7B5839B5" w14:textId="77777777" w:rsidR="00FF4640" w:rsidRPr="00FF4640" w:rsidRDefault="00FF4640" w:rsidP="00FF4640">
            <w:r w:rsidRPr="00FF4640">
              <w:t>2,443 (68.26)</w:t>
            </w:r>
          </w:p>
        </w:tc>
        <w:tc>
          <w:tcPr>
            <w:tcW w:w="0" w:type="auto"/>
            <w:hideMark/>
          </w:tcPr>
          <w:p w14:paraId="02AAC7C6" w14:textId="77777777" w:rsidR="00FF4640" w:rsidRPr="00FF4640" w:rsidRDefault="00FF4640" w:rsidP="00FF4640">
            <w:r w:rsidRPr="00FF4640">
              <w:t>11,139 (74.38)</w:t>
            </w:r>
          </w:p>
        </w:tc>
        <w:tc>
          <w:tcPr>
            <w:tcW w:w="0" w:type="auto"/>
            <w:hideMark/>
          </w:tcPr>
          <w:p w14:paraId="6CBEA382" w14:textId="77777777" w:rsidR="00FF4640" w:rsidRPr="00FF4640" w:rsidRDefault="00FF4640" w:rsidP="00FF4640">
            <w:r w:rsidRPr="00FF4640">
              <w:t>1,957 (70.73)</w:t>
            </w:r>
          </w:p>
        </w:tc>
        <w:tc>
          <w:tcPr>
            <w:tcW w:w="0" w:type="auto"/>
            <w:hideMark/>
          </w:tcPr>
          <w:p w14:paraId="6893B55A" w14:textId="77777777" w:rsidR="00FF4640" w:rsidRPr="00FF4640" w:rsidRDefault="00FF4640" w:rsidP="00FF4640">
            <w:r w:rsidRPr="00FF4640">
              <w:t>1,982 (71.63)</w:t>
            </w:r>
          </w:p>
        </w:tc>
        <w:tc>
          <w:tcPr>
            <w:tcW w:w="0" w:type="auto"/>
            <w:hideMark/>
          </w:tcPr>
          <w:p w14:paraId="05A129AC" w14:textId="77777777" w:rsidR="00FF4640" w:rsidRPr="00FF4640" w:rsidRDefault="00FF4640" w:rsidP="00FF4640">
            <w:r w:rsidRPr="00FF4640">
              <w:t>0.515</w:t>
            </w:r>
          </w:p>
        </w:tc>
      </w:tr>
      <w:tr w:rsidR="00FF4640" w:rsidRPr="00FF4640" w14:paraId="242A759F" w14:textId="77777777" w:rsidTr="00706643">
        <w:tc>
          <w:tcPr>
            <w:tcW w:w="0" w:type="auto"/>
            <w:hideMark/>
          </w:tcPr>
          <w:p w14:paraId="2A7745FB" w14:textId="77777777" w:rsidR="00FF4640" w:rsidRPr="00FF4640" w:rsidRDefault="00FF4640" w:rsidP="00FF4640">
            <w:r w:rsidRPr="00FF4640">
              <w:t>ED/OBS</w:t>
            </w:r>
          </w:p>
        </w:tc>
        <w:tc>
          <w:tcPr>
            <w:tcW w:w="0" w:type="auto"/>
            <w:hideMark/>
          </w:tcPr>
          <w:p w14:paraId="3CC48A59" w14:textId="77777777" w:rsidR="00FF4640" w:rsidRPr="00FF4640" w:rsidRDefault="00FF4640" w:rsidP="00FF4640">
            <w:r w:rsidRPr="00FF4640">
              <w:t>1,943 (10.47)</w:t>
            </w:r>
          </w:p>
        </w:tc>
        <w:tc>
          <w:tcPr>
            <w:tcW w:w="0" w:type="auto"/>
            <w:hideMark/>
          </w:tcPr>
          <w:p w14:paraId="5AFC3BD7" w14:textId="77777777" w:rsidR="00FF4640" w:rsidRPr="00FF4640" w:rsidRDefault="00FF4640" w:rsidP="00FF4640">
            <w:r w:rsidRPr="00FF4640">
              <w:t>349 (9.75)</w:t>
            </w:r>
          </w:p>
        </w:tc>
        <w:tc>
          <w:tcPr>
            <w:tcW w:w="0" w:type="auto"/>
            <w:hideMark/>
          </w:tcPr>
          <w:p w14:paraId="19909A33" w14:textId="77777777" w:rsidR="00FF4640" w:rsidRPr="00FF4640" w:rsidRDefault="00FF4640" w:rsidP="00FF4640">
            <w:r w:rsidRPr="00FF4640">
              <w:t>1,594 (10.64)</w:t>
            </w:r>
          </w:p>
        </w:tc>
        <w:tc>
          <w:tcPr>
            <w:tcW w:w="0" w:type="auto"/>
            <w:hideMark/>
          </w:tcPr>
          <w:p w14:paraId="5B784A00" w14:textId="77777777" w:rsidR="00FF4640" w:rsidRPr="00FF4640" w:rsidRDefault="00FF4640" w:rsidP="00FF4640">
            <w:r w:rsidRPr="00FF4640">
              <w:t>249 (9.00)</w:t>
            </w:r>
          </w:p>
        </w:tc>
        <w:tc>
          <w:tcPr>
            <w:tcW w:w="0" w:type="auto"/>
            <w:hideMark/>
          </w:tcPr>
          <w:p w14:paraId="30BBDA09" w14:textId="77777777" w:rsidR="00FF4640" w:rsidRPr="00FF4640" w:rsidRDefault="00FF4640" w:rsidP="00FF4640">
            <w:r w:rsidRPr="00FF4640">
              <w:t>252 (9.11)</w:t>
            </w:r>
          </w:p>
        </w:tc>
        <w:tc>
          <w:tcPr>
            <w:tcW w:w="0" w:type="auto"/>
            <w:hideMark/>
          </w:tcPr>
          <w:p w14:paraId="31A864A9" w14:textId="77777777" w:rsidR="00FF4640" w:rsidRPr="00FF4640" w:rsidRDefault="00FF4640" w:rsidP="00FF4640">
            <w:r w:rsidRPr="00FF4640">
              <w:t>0.816</w:t>
            </w:r>
          </w:p>
        </w:tc>
      </w:tr>
      <w:tr w:rsidR="00FF4640" w:rsidRPr="00FF4640" w14:paraId="020E5FDE" w14:textId="77777777" w:rsidTr="00706643">
        <w:tc>
          <w:tcPr>
            <w:tcW w:w="0" w:type="auto"/>
            <w:hideMark/>
          </w:tcPr>
          <w:p w14:paraId="0BEF2085" w14:textId="77777777" w:rsidR="00FF4640" w:rsidRPr="00FF4640" w:rsidRDefault="00FF4640" w:rsidP="00FF4640">
            <w:r w:rsidRPr="00FF4640">
              <w:t>Readmission</w:t>
            </w:r>
          </w:p>
        </w:tc>
        <w:tc>
          <w:tcPr>
            <w:tcW w:w="0" w:type="auto"/>
            <w:hideMark/>
          </w:tcPr>
          <w:p w14:paraId="6FBF33EE" w14:textId="77777777" w:rsidR="00FF4640" w:rsidRPr="00FF4640" w:rsidRDefault="00FF4640" w:rsidP="00FF4640">
            <w:r w:rsidRPr="00FF4640">
              <w:t>3,030 (16.33)</w:t>
            </w:r>
          </w:p>
        </w:tc>
        <w:tc>
          <w:tcPr>
            <w:tcW w:w="0" w:type="auto"/>
            <w:hideMark/>
          </w:tcPr>
          <w:p w14:paraId="15381259" w14:textId="77777777" w:rsidR="00FF4640" w:rsidRPr="00FF4640" w:rsidRDefault="00FF4640" w:rsidP="00FF4640">
            <w:r w:rsidRPr="00FF4640">
              <w:t>787 (21.99)</w:t>
            </w:r>
          </w:p>
        </w:tc>
        <w:tc>
          <w:tcPr>
            <w:tcW w:w="0" w:type="auto"/>
            <w:hideMark/>
          </w:tcPr>
          <w:p w14:paraId="23248E91" w14:textId="77777777" w:rsidR="00FF4640" w:rsidRPr="00FF4640" w:rsidRDefault="00FF4640" w:rsidP="00FF4640">
            <w:r w:rsidRPr="00FF4640">
              <w:t>2,243 (14.98)</w:t>
            </w:r>
          </w:p>
        </w:tc>
        <w:tc>
          <w:tcPr>
            <w:tcW w:w="0" w:type="auto"/>
            <w:hideMark/>
          </w:tcPr>
          <w:p w14:paraId="4C7E06EC" w14:textId="77777777" w:rsidR="00FF4640" w:rsidRPr="00FF4640" w:rsidRDefault="00FF4640" w:rsidP="00FF4640">
            <w:r w:rsidRPr="00FF4640">
              <w:t>561 (20.27)</w:t>
            </w:r>
          </w:p>
        </w:tc>
        <w:tc>
          <w:tcPr>
            <w:tcW w:w="0" w:type="auto"/>
            <w:hideMark/>
          </w:tcPr>
          <w:p w14:paraId="19DC790F" w14:textId="77777777" w:rsidR="00FF4640" w:rsidRPr="00FF4640" w:rsidRDefault="00FF4640" w:rsidP="00FF4640">
            <w:r w:rsidRPr="00FF4640">
              <w:t>533 (19.26)</w:t>
            </w:r>
          </w:p>
        </w:tc>
        <w:tc>
          <w:tcPr>
            <w:tcW w:w="0" w:type="auto"/>
            <w:hideMark/>
          </w:tcPr>
          <w:p w14:paraId="3A1CE873" w14:textId="77777777" w:rsidR="00FF4640" w:rsidRPr="00FF4640" w:rsidRDefault="00FF4640" w:rsidP="00FF4640">
            <w:r w:rsidRPr="00FF4640">
              <w:t>0.363</w:t>
            </w:r>
          </w:p>
        </w:tc>
      </w:tr>
      <w:tr w:rsidR="00FF4640" w:rsidRPr="00FF4640" w14:paraId="33841F14" w14:textId="77777777" w:rsidTr="00706643">
        <w:tc>
          <w:tcPr>
            <w:tcW w:w="0" w:type="auto"/>
            <w:hideMark/>
          </w:tcPr>
          <w:p w14:paraId="7C808430" w14:textId="77777777" w:rsidR="00FF4640" w:rsidRPr="00FF4640" w:rsidRDefault="00FF4640" w:rsidP="00FF4640">
            <w:r w:rsidRPr="00FF4640">
              <w:rPr>
                <w:b/>
                <w:bCs/>
              </w:rPr>
              <w:t>Home Health Care Referral</w:t>
            </w:r>
            <w:r w:rsidRPr="00FF4640">
              <w:t> ≠</w:t>
            </w:r>
          </w:p>
        </w:tc>
        <w:tc>
          <w:tcPr>
            <w:tcW w:w="0" w:type="auto"/>
            <w:hideMark/>
          </w:tcPr>
          <w:p w14:paraId="695C1CA6" w14:textId="77777777" w:rsidR="00FF4640" w:rsidRPr="00FF4640" w:rsidRDefault="00FF4640" w:rsidP="00FF4640"/>
        </w:tc>
        <w:tc>
          <w:tcPr>
            <w:tcW w:w="0" w:type="auto"/>
            <w:hideMark/>
          </w:tcPr>
          <w:p w14:paraId="0DC3FCC7" w14:textId="77777777" w:rsidR="00FF4640" w:rsidRPr="00FF4640" w:rsidRDefault="00FF4640" w:rsidP="00FF4640"/>
        </w:tc>
        <w:tc>
          <w:tcPr>
            <w:tcW w:w="0" w:type="auto"/>
            <w:hideMark/>
          </w:tcPr>
          <w:p w14:paraId="32C5040F" w14:textId="77777777" w:rsidR="00FF4640" w:rsidRPr="00FF4640" w:rsidRDefault="00FF4640" w:rsidP="00FF4640"/>
        </w:tc>
        <w:tc>
          <w:tcPr>
            <w:tcW w:w="0" w:type="auto"/>
            <w:hideMark/>
          </w:tcPr>
          <w:p w14:paraId="4B397BE8" w14:textId="77777777" w:rsidR="00FF4640" w:rsidRPr="00FF4640" w:rsidRDefault="00FF4640" w:rsidP="00FF4640"/>
        </w:tc>
        <w:tc>
          <w:tcPr>
            <w:tcW w:w="0" w:type="auto"/>
            <w:hideMark/>
          </w:tcPr>
          <w:p w14:paraId="77533F8E" w14:textId="77777777" w:rsidR="00FF4640" w:rsidRPr="00FF4640" w:rsidRDefault="00FF4640" w:rsidP="00FF4640"/>
        </w:tc>
        <w:tc>
          <w:tcPr>
            <w:tcW w:w="0" w:type="auto"/>
            <w:hideMark/>
          </w:tcPr>
          <w:p w14:paraId="4FBA2757" w14:textId="77777777" w:rsidR="00FF4640" w:rsidRPr="00FF4640" w:rsidRDefault="00FF4640" w:rsidP="00FF4640"/>
        </w:tc>
      </w:tr>
      <w:tr w:rsidR="00FF4640" w:rsidRPr="00FF4640" w14:paraId="7CDF9424" w14:textId="77777777" w:rsidTr="00706643">
        <w:tc>
          <w:tcPr>
            <w:tcW w:w="0" w:type="auto"/>
            <w:hideMark/>
          </w:tcPr>
          <w:p w14:paraId="6EA9205F" w14:textId="77777777" w:rsidR="00FF4640" w:rsidRPr="00FF4640" w:rsidRDefault="00FF4640" w:rsidP="00FF4640">
            <w:r w:rsidRPr="00FF4640">
              <w:t>No Referral</w:t>
            </w:r>
          </w:p>
        </w:tc>
        <w:tc>
          <w:tcPr>
            <w:tcW w:w="0" w:type="auto"/>
            <w:hideMark/>
          </w:tcPr>
          <w:p w14:paraId="694BE21B" w14:textId="77777777" w:rsidR="00FF4640" w:rsidRPr="00FF4640" w:rsidRDefault="00FF4640" w:rsidP="00FF4640">
            <w:r w:rsidRPr="00FF4640">
              <w:t>14,976 (80.71)</w:t>
            </w:r>
          </w:p>
        </w:tc>
        <w:tc>
          <w:tcPr>
            <w:tcW w:w="0" w:type="auto"/>
            <w:hideMark/>
          </w:tcPr>
          <w:p w14:paraId="1F2E20EB" w14:textId="77777777" w:rsidR="00FF4640" w:rsidRPr="00FF4640" w:rsidRDefault="00FF4640" w:rsidP="00FF4640">
            <w:r w:rsidRPr="00FF4640">
              <w:t>0 (0.00)</w:t>
            </w:r>
          </w:p>
        </w:tc>
        <w:tc>
          <w:tcPr>
            <w:tcW w:w="0" w:type="auto"/>
            <w:hideMark/>
          </w:tcPr>
          <w:p w14:paraId="47B19B8E" w14:textId="77777777" w:rsidR="00FF4640" w:rsidRPr="00FF4640" w:rsidRDefault="00FF4640" w:rsidP="00FF4640">
            <w:r w:rsidRPr="00FF4640">
              <w:t>14,976 (100.00)</w:t>
            </w:r>
          </w:p>
        </w:tc>
        <w:tc>
          <w:tcPr>
            <w:tcW w:w="0" w:type="auto"/>
            <w:hideMark/>
          </w:tcPr>
          <w:p w14:paraId="03A97BAB" w14:textId="77777777" w:rsidR="00FF4640" w:rsidRPr="00FF4640" w:rsidRDefault="00FF4640" w:rsidP="00FF4640">
            <w:r w:rsidRPr="00FF4640">
              <w:t>0 (0.00)</w:t>
            </w:r>
          </w:p>
        </w:tc>
        <w:tc>
          <w:tcPr>
            <w:tcW w:w="0" w:type="auto"/>
            <w:hideMark/>
          </w:tcPr>
          <w:p w14:paraId="17FA03E0" w14:textId="77777777" w:rsidR="00FF4640" w:rsidRPr="00FF4640" w:rsidRDefault="00FF4640" w:rsidP="00FF4640">
            <w:r w:rsidRPr="00FF4640">
              <w:t>2,767 (100.00)</w:t>
            </w:r>
          </w:p>
        </w:tc>
        <w:tc>
          <w:tcPr>
            <w:tcW w:w="0" w:type="auto"/>
            <w:hideMark/>
          </w:tcPr>
          <w:p w14:paraId="6D73570E" w14:textId="77777777" w:rsidR="00FF4640" w:rsidRPr="00FF4640" w:rsidRDefault="00FF4640" w:rsidP="00FF4640">
            <w:r w:rsidRPr="00FF4640">
              <w:t>NA</w:t>
            </w:r>
          </w:p>
        </w:tc>
      </w:tr>
      <w:tr w:rsidR="00FF4640" w:rsidRPr="00FF4640" w14:paraId="1B66E9E7" w14:textId="77777777" w:rsidTr="00706643">
        <w:tc>
          <w:tcPr>
            <w:tcW w:w="0" w:type="auto"/>
            <w:hideMark/>
          </w:tcPr>
          <w:p w14:paraId="28432430" w14:textId="77777777" w:rsidR="00FF4640" w:rsidRPr="00FF4640" w:rsidRDefault="00FF4640" w:rsidP="00FF4640">
            <w:r w:rsidRPr="00FF4640">
              <w:t>HHC Referral</w:t>
            </w:r>
          </w:p>
        </w:tc>
        <w:tc>
          <w:tcPr>
            <w:tcW w:w="0" w:type="auto"/>
            <w:hideMark/>
          </w:tcPr>
          <w:p w14:paraId="32D009B3" w14:textId="77777777" w:rsidR="00FF4640" w:rsidRPr="00FF4640" w:rsidRDefault="00FF4640" w:rsidP="00FF4640">
            <w:r w:rsidRPr="00FF4640">
              <w:t>3,579 (19.29)</w:t>
            </w:r>
          </w:p>
        </w:tc>
        <w:tc>
          <w:tcPr>
            <w:tcW w:w="0" w:type="auto"/>
            <w:hideMark/>
          </w:tcPr>
          <w:p w14:paraId="7210DDB5" w14:textId="77777777" w:rsidR="00FF4640" w:rsidRPr="00FF4640" w:rsidRDefault="00FF4640" w:rsidP="00FF4640">
            <w:r w:rsidRPr="00FF4640">
              <w:t>3,579 (100.00)</w:t>
            </w:r>
          </w:p>
        </w:tc>
        <w:tc>
          <w:tcPr>
            <w:tcW w:w="0" w:type="auto"/>
            <w:hideMark/>
          </w:tcPr>
          <w:p w14:paraId="0C16661D" w14:textId="77777777" w:rsidR="00FF4640" w:rsidRPr="00FF4640" w:rsidRDefault="00FF4640" w:rsidP="00FF4640">
            <w:r w:rsidRPr="00FF4640">
              <w:t>0 (0.00)</w:t>
            </w:r>
          </w:p>
        </w:tc>
        <w:tc>
          <w:tcPr>
            <w:tcW w:w="0" w:type="auto"/>
            <w:hideMark/>
          </w:tcPr>
          <w:p w14:paraId="525815AA" w14:textId="77777777" w:rsidR="00FF4640" w:rsidRPr="00FF4640" w:rsidRDefault="00FF4640" w:rsidP="00FF4640">
            <w:r w:rsidRPr="00FF4640">
              <w:t>2,767 (100.00)</w:t>
            </w:r>
          </w:p>
        </w:tc>
        <w:tc>
          <w:tcPr>
            <w:tcW w:w="0" w:type="auto"/>
            <w:hideMark/>
          </w:tcPr>
          <w:p w14:paraId="1843FE44" w14:textId="77777777" w:rsidR="00FF4640" w:rsidRPr="00FF4640" w:rsidRDefault="00FF4640" w:rsidP="00FF4640">
            <w:r w:rsidRPr="00FF4640">
              <w:t>0 (0.00)</w:t>
            </w:r>
          </w:p>
        </w:tc>
        <w:tc>
          <w:tcPr>
            <w:tcW w:w="0" w:type="auto"/>
            <w:hideMark/>
          </w:tcPr>
          <w:p w14:paraId="037E3293" w14:textId="77777777" w:rsidR="00FF4640" w:rsidRPr="00FF4640" w:rsidRDefault="00FF4640" w:rsidP="00FF4640">
            <w:r w:rsidRPr="00FF4640">
              <w:t>NA</w:t>
            </w:r>
          </w:p>
        </w:tc>
      </w:tr>
      <w:tr w:rsidR="00FF4640" w:rsidRPr="00FF4640" w14:paraId="2C67B262" w14:textId="77777777" w:rsidTr="00706643">
        <w:tc>
          <w:tcPr>
            <w:tcW w:w="0" w:type="auto"/>
            <w:hideMark/>
          </w:tcPr>
          <w:p w14:paraId="5627F4BF" w14:textId="77777777" w:rsidR="00FF4640" w:rsidRPr="00FF4640" w:rsidRDefault="00FF4640" w:rsidP="00FF4640">
            <w:r w:rsidRPr="00FF4640">
              <w:rPr>
                <w:b/>
                <w:bCs/>
              </w:rPr>
              <w:t>Patient Characteristics</w:t>
            </w:r>
          </w:p>
        </w:tc>
        <w:tc>
          <w:tcPr>
            <w:tcW w:w="0" w:type="auto"/>
            <w:hideMark/>
          </w:tcPr>
          <w:p w14:paraId="55E51535" w14:textId="77777777" w:rsidR="00FF4640" w:rsidRPr="00FF4640" w:rsidRDefault="00FF4640" w:rsidP="00FF4640"/>
        </w:tc>
        <w:tc>
          <w:tcPr>
            <w:tcW w:w="0" w:type="auto"/>
            <w:hideMark/>
          </w:tcPr>
          <w:p w14:paraId="506B7994" w14:textId="77777777" w:rsidR="00FF4640" w:rsidRPr="00FF4640" w:rsidRDefault="00FF4640" w:rsidP="00FF4640"/>
        </w:tc>
        <w:tc>
          <w:tcPr>
            <w:tcW w:w="0" w:type="auto"/>
            <w:hideMark/>
          </w:tcPr>
          <w:p w14:paraId="46240F1D" w14:textId="77777777" w:rsidR="00FF4640" w:rsidRPr="00FF4640" w:rsidRDefault="00FF4640" w:rsidP="00FF4640"/>
        </w:tc>
        <w:tc>
          <w:tcPr>
            <w:tcW w:w="0" w:type="auto"/>
            <w:hideMark/>
          </w:tcPr>
          <w:p w14:paraId="70649809" w14:textId="77777777" w:rsidR="00FF4640" w:rsidRPr="00FF4640" w:rsidRDefault="00FF4640" w:rsidP="00FF4640"/>
        </w:tc>
        <w:tc>
          <w:tcPr>
            <w:tcW w:w="0" w:type="auto"/>
            <w:hideMark/>
          </w:tcPr>
          <w:p w14:paraId="5E297C91" w14:textId="77777777" w:rsidR="00FF4640" w:rsidRPr="00FF4640" w:rsidRDefault="00FF4640" w:rsidP="00FF4640"/>
        </w:tc>
        <w:tc>
          <w:tcPr>
            <w:tcW w:w="0" w:type="auto"/>
            <w:hideMark/>
          </w:tcPr>
          <w:p w14:paraId="789CA4B5" w14:textId="77777777" w:rsidR="00FF4640" w:rsidRPr="00FF4640" w:rsidRDefault="00FF4640" w:rsidP="00FF4640"/>
        </w:tc>
      </w:tr>
      <w:tr w:rsidR="00FF4640" w:rsidRPr="00FF4640" w14:paraId="2CC729AD" w14:textId="77777777" w:rsidTr="00706643">
        <w:tc>
          <w:tcPr>
            <w:tcW w:w="0" w:type="auto"/>
            <w:hideMark/>
          </w:tcPr>
          <w:p w14:paraId="2133328B" w14:textId="320C3229" w:rsidR="00FF4640" w:rsidRPr="00FF4640" w:rsidRDefault="00FF4640" w:rsidP="00FF4640">
            <w:bookmarkStart w:id="42" w:name="btb2fn3" w:colFirst="0" w:colLast="0"/>
            <w:bookmarkStart w:id="43" w:name="btb2fn2" w:colFirst="0" w:colLast="0"/>
            <w:r w:rsidRPr="00FF4640">
              <w:t>Gender </w:t>
            </w:r>
            <w:proofErr w:type="spellStart"/>
            <w:proofErr w:type="gramStart"/>
            <w:r w:rsidRPr="00FE3F0D">
              <w:rPr>
                <w:vertAlign w:val="superscript"/>
              </w:rPr>
              <w:t>b</w:t>
            </w:r>
            <w:r w:rsidRPr="00FF4640">
              <w:rPr>
                <w:vertAlign w:val="superscript"/>
              </w:rPr>
              <w:t>,</w:t>
            </w:r>
            <w:r w:rsidRPr="00FE3F0D">
              <w:rPr>
                <w:vertAlign w:val="superscript"/>
              </w:rPr>
              <w:t>c</w:t>
            </w:r>
            <w:proofErr w:type="spellEnd"/>
            <w:proofErr w:type="gramEnd"/>
            <w:r w:rsidRPr="00FF4640">
              <w:t> ≠</w:t>
            </w:r>
          </w:p>
        </w:tc>
        <w:tc>
          <w:tcPr>
            <w:tcW w:w="0" w:type="auto"/>
            <w:hideMark/>
          </w:tcPr>
          <w:p w14:paraId="4426C946" w14:textId="77777777" w:rsidR="00FF4640" w:rsidRPr="00FF4640" w:rsidRDefault="00FF4640" w:rsidP="00FF4640"/>
        </w:tc>
        <w:tc>
          <w:tcPr>
            <w:tcW w:w="0" w:type="auto"/>
            <w:hideMark/>
          </w:tcPr>
          <w:p w14:paraId="1F0466E9" w14:textId="77777777" w:rsidR="00FF4640" w:rsidRPr="00FF4640" w:rsidRDefault="00FF4640" w:rsidP="00FF4640"/>
        </w:tc>
        <w:tc>
          <w:tcPr>
            <w:tcW w:w="0" w:type="auto"/>
            <w:hideMark/>
          </w:tcPr>
          <w:p w14:paraId="06ECC261" w14:textId="77777777" w:rsidR="00FF4640" w:rsidRPr="00FF4640" w:rsidRDefault="00FF4640" w:rsidP="00FF4640"/>
        </w:tc>
        <w:tc>
          <w:tcPr>
            <w:tcW w:w="0" w:type="auto"/>
            <w:hideMark/>
          </w:tcPr>
          <w:p w14:paraId="43E9AC86" w14:textId="77777777" w:rsidR="00FF4640" w:rsidRPr="00FF4640" w:rsidRDefault="00FF4640" w:rsidP="00FF4640"/>
        </w:tc>
        <w:tc>
          <w:tcPr>
            <w:tcW w:w="0" w:type="auto"/>
            <w:hideMark/>
          </w:tcPr>
          <w:p w14:paraId="768C6DBD" w14:textId="77777777" w:rsidR="00FF4640" w:rsidRPr="00FF4640" w:rsidRDefault="00FF4640" w:rsidP="00FF4640"/>
        </w:tc>
        <w:tc>
          <w:tcPr>
            <w:tcW w:w="0" w:type="auto"/>
            <w:hideMark/>
          </w:tcPr>
          <w:p w14:paraId="045ADC6E" w14:textId="77777777" w:rsidR="00FF4640" w:rsidRPr="00FF4640" w:rsidRDefault="00FF4640" w:rsidP="00FF4640"/>
        </w:tc>
      </w:tr>
      <w:tr w:rsidR="00FF4640" w:rsidRPr="00FF4640" w14:paraId="14532DBA" w14:textId="77777777" w:rsidTr="00706643">
        <w:tc>
          <w:tcPr>
            <w:tcW w:w="0" w:type="auto"/>
            <w:hideMark/>
          </w:tcPr>
          <w:p w14:paraId="6F9690C9" w14:textId="77777777" w:rsidR="00FF4640" w:rsidRPr="00FF4640" w:rsidRDefault="00FF4640" w:rsidP="00FF4640">
            <w:r w:rsidRPr="00FF4640">
              <w:t>Male</w:t>
            </w:r>
          </w:p>
        </w:tc>
        <w:tc>
          <w:tcPr>
            <w:tcW w:w="0" w:type="auto"/>
            <w:hideMark/>
          </w:tcPr>
          <w:p w14:paraId="7E3D5F09" w14:textId="77777777" w:rsidR="00FF4640" w:rsidRPr="00FF4640" w:rsidRDefault="00FF4640" w:rsidP="00FF4640">
            <w:r w:rsidRPr="00FF4640">
              <w:t>9,181 (49.48)</w:t>
            </w:r>
          </w:p>
        </w:tc>
        <w:tc>
          <w:tcPr>
            <w:tcW w:w="0" w:type="auto"/>
            <w:hideMark/>
          </w:tcPr>
          <w:p w14:paraId="1373CB64" w14:textId="77777777" w:rsidR="00FF4640" w:rsidRPr="00FF4640" w:rsidRDefault="00FF4640" w:rsidP="00FF4640">
            <w:r w:rsidRPr="00FF4640">
              <w:t>1,675 (46.80)</w:t>
            </w:r>
          </w:p>
        </w:tc>
        <w:tc>
          <w:tcPr>
            <w:tcW w:w="0" w:type="auto"/>
            <w:hideMark/>
          </w:tcPr>
          <w:p w14:paraId="5C4E7D30" w14:textId="77777777" w:rsidR="00FF4640" w:rsidRPr="00FF4640" w:rsidRDefault="00FF4640" w:rsidP="00FF4640">
            <w:r w:rsidRPr="00FF4640">
              <w:t>7,506 (50.12)</w:t>
            </w:r>
          </w:p>
        </w:tc>
        <w:tc>
          <w:tcPr>
            <w:tcW w:w="0" w:type="auto"/>
            <w:hideMark/>
          </w:tcPr>
          <w:p w14:paraId="4A258DAD" w14:textId="77777777" w:rsidR="00FF4640" w:rsidRPr="00FF4640" w:rsidRDefault="00FF4640" w:rsidP="00FF4640">
            <w:r w:rsidRPr="00FF4640">
              <w:t>1,321 (47.74)</w:t>
            </w:r>
          </w:p>
        </w:tc>
        <w:tc>
          <w:tcPr>
            <w:tcW w:w="0" w:type="auto"/>
            <w:hideMark/>
          </w:tcPr>
          <w:p w14:paraId="1DB90DA0" w14:textId="77777777" w:rsidR="00FF4640" w:rsidRPr="00FF4640" w:rsidRDefault="00FF4640" w:rsidP="00FF4640">
            <w:r w:rsidRPr="00FF4640">
              <w:t>1,321 (47.74)</w:t>
            </w:r>
          </w:p>
        </w:tc>
        <w:tc>
          <w:tcPr>
            <w:tcW w:w="0" w:type="auto"/>
            <w:hideMark/>
          </w:tcPr>
          <w:p w14:paraId="5F4C7C8E" w14:textId="77777777" w:rsidR="00FF4640" w:rsidRPr="00FF4640" w:rsidRDefault="00FF4640" w:rsidP="00FF4640">
            <w:r w:rsidRPr="00FF4640">
              <w:t>1.000</w:t>
            </w:r>
          </w:p>
        </w:tc>
      </w:tr>
      <w:tr w:rsidR="00FF4640" w:rsidRPr="00FF4640" w14:paraId="4409C50A" w14:textId="77777777" w:rsidTr="00706643">
        <w:tc>
          <w:tcPr>
            <w:tcW w:w="0" w:type="auto"/>
            <w:hideMark/>
          </w:tcPr>
          <w:p w14:paraId="560DFFC0" w14:textId="77777777" w:rsidR="00FF4640" w:rsidRPr="00FF4640" w:rsidRDefault="00FF4640" w:rsidP="00FF4640">
            <w:r w:rsidRPr="00FF4640">
              <w:t>Female</w:t>
            </w:r>
          </w:p>
        </w:tc>
        <w:tc>
          <w:tcPr>
            <w:tcW w:w="0" w:type="auto"/>
            <w:hideMark/>
          </w:tcPr>
          <w:p w14:paraId="72195804" w14:textId="77777777" w:rsidR="00FF4640" w:rsidRPr="00FF4640" w:rsidRDefault="00FF4640" w:rsidP="00FF4640">
            <w:r w:rsidRPr="00FF4640">
              <w:t>9,374 (50.52)</w:t>
            </w:r>
          </w:p>
        </w:tc>
        <w:tc>
          <w:tcPr>
            <w:tcW w:w="0" w:type="auto"/>
            <w:hideMark/>
          </w:tcPr>
          <w:p w14:paraId="5152878A" w14:textId="77777777" w:rsidR="00FF4640" w:rsidRPr="00FF4640" w:rsidRDefault="00FF4640" w:rsidP="00FF4640">
            <w:r w:rsidRPr="00FF4640">
              <w:t>1,904 (53.20)</w:t>
            </w:r>
          </w:p>
        </w:tc>
        <w:tc>
          <w:tcPr>
            <w:tcW w:w="0" w:type="auto"/>
            <w:hideMark/>
          </w:tcPr>
          <w:p w14:paraId="66269D29" w14:textId="77777777" w:rsidR="00FF4640" w:rsidRPr="00FF4640" w:rsidRDefault="00FF4640" w:rsidP="00FF4640">
            <w:r w:rsidRPr="00FF4640">
              <w:t>7,470 (49.88)</w:t>
            </w:r>
          </w:p>
        </w:tc>
        <w:tc>
          <w:tcPr>
            <w:tcW w:w="0" w:type="auto"/>
            <w:hideMark/>
          </w:tcPr>
          <w:p w14:paraId="72681A8A" w14:textId="77777777" w:rsidR="00FF4640" w:rsidRPr="00FF4640" w:rsidRDefault="00FF4640" w:rsidP="00FF4640">
            <w:r w:rsidRPr="00FF4640">
              <w:t>1,446 (52.26)</w:t>
            </w:r>
          </w:p>
        </w:tc>
        <w:tc>
          <w:tcPr>
            <w:tcW w:w="0" w:type="auto"/>
            <w:hideMark/>
          </w:tcPr>
          <w:p w14:paraId="1ECF0883" w14:textId="77777777" w:rsidR="00FF4640" w:rsidRPr="00FF4640" w:rsidRDefault="00FF4640" w:rsidP="00FF4640">
            <w:r w:rsidRPr="00FF4640">
              <w:t>1,446 (52.26)</w:t>
            </w:r>
          </w:p>
        </w:tc>
        <w:tc>
          <w:tcPr>
            <w:tcW w:w="0" w:type="auto"/>
            <w:hideMark/>
          </w:tcPr>
          <w:p w14:paraId="07863E1E" w14:textId="77777777" w:rsidR="00FF4640" w:rsidRPr="00FF4640" w:rsidRDefault="00FF4640" w:rsidP="00FF4640">
            <w:r w:rsidRPr="00FF4640">
              <w:t>1.000</w:t>
            </w:r>
          </w:p>
        </w:tc>
      </w:tr>
      <w:tr w:rsidR="00FF4640" w:rsidRPr="00FF4640" w14:paraId="3A722C60" w14:textId="77777777" w:rsidTr="00706643">
        <w:tc>
          <w:tcPr>
            <w:tcW w:w="0" w:type="auto"/>
            <w:hideMark/>
          </w:tcPr>
          <w:p w14:paraId="45D8D6B1" w14:textId="36F1BF4D" w:rsidR="00FF4640" w:rsidRPr="00FF4640" w:rsidRDefault="00FF4640" w:rsidP="00FF4640">
            <w:r w:rsidRPr="00FF4640">
              <w:t>Race </w:t>
            </w:r>
            <w:r w:rsidRPr="00FE3F0D">
              <w:rPr>
                <w:vertAlign w:val="superscript"/>
              </w:rPr>
              <w:t>b</w:t>
            </w:r>
            <w:r w:rsidRPr="00FF4640">
              <w:t> ≠</w:t>
            </w:r>
          </w:p>
        </w:tc>
        <w:tc>
          <w:tcPr>
            <w:tcW w:w="0" w:type="auto"/>
            <w:hideMark/>
          </w:tcPr>
          <w:p w14:paraId="2AB117C6" w14:textId="77777777" w:rsidR="00FF4640" w:rsidRPr="00FF4640" w:rsidRDefault="00FF4640" w:rsidP="00FF4640"/>
        </w:tc>
        <w:tc>
          <w:tcPr>
            <w:tcW w:w="0" w:type="auto"/>
            <w:hideMark/>
          </w:tcPr>
          <w:p w14:paraId="66E9C7BE" w14:textId="77777777" w:rsidR="00FF4640" w:rsidRPr="00FF4640" w:rsidRDefault="00FF4640" w:rsidP="00FF4640"/>
        </w:tc>
        <w:tc>
          <w:tcPr>
            <w:tcW w:w="0" w:type="auto"/>
            <w:hideMark/>
          </w:tcPr>
          <w:p w14:paraId="31A0A26F" w14:textId="77777777" w:rsidR="00FF4640" w:rsidRPr="00FF4640" w:rsidRDefault="00FF4640" w:rsidP="00FF4640"/>
        </w:tc>
        <w:tc>
          <w:tcPr>
            <w:tcW w:w="0" w:type="auto"/>
            <w:hideMark/>
          </w:tcPr>
          <w:p w14:paraId="7A845111" w14:textId="77777777" w:rsidR="00FF4640" w:rsidRPr="00FF4640" w:rsidRDefault="00FF4640" w:rsidP="00FF4640"/>
        </w:tc>
        <w:tc>
          <w:tcPr>
            <w:tcW w:w="0" w:type="auto"/>
            <w:hideMark/>
          </w:tcPr>
          <w:p w14:paraId="4126E3B9" w14:textId="77777777" w:rsidR="00FF4640" w:rsidRPr="00FF4640" w:rsidRDefault="00FF4640" w:rsidP="00FF4640"/>
        </w:tc>
        <w:tc>
          <w:tcPr>
            <w:tcW w:w="0" w:type="auto"/>
            <w:hideMark/>
          </w:tcPr>
          <w:p w14:paraId="0BFB1570" w14:textId="77777777" w:rsidR="00FF4640" w:rsidRPr="00FF4640" w:rsidRDefault="00FF4640" w:rsidP="00FF4640"/>
        </w:tc>
      </w:tr>
      <w:tr w:rsidR="00FF4640" w:rsidRPr="00FF4640" w14:paraId="0A4F9C2C" w14:textId="77777777" w:rsidTr="00706643">
        <w:tc>
          <w:tcPr>
            <w:tcW w:w="0" w:type="auto"/>
            <w:hideMark/>
          </w:tcPr>
          <w:p w14:paraId="491D2BAD" w14:textId="13225EC2" w:rsidR="00FF4640" w:rsidRPr="00FF4640" w:rsidRDefault="00FF4640" w:rsidP="00FF4640">
            <w:r w:rsidRPr="00FF4640">
              <w:t>White </w:t>
            </w:r>
            <w:r w:rsidRPr="00FE3F0D">
              <w:rPr>
                <w:vertAlign w:val="superscript"/>
              </w:rPr>
              <w:t>c</w:t>
            </w:r>
          </w:p>
        </w:tc>
        <w:tc>
          <w:tcPr>
            <w:tcW w:w="0" w:type="auto"/>
            <w:hideMark/>
          </w:tcPr>
          <w:p w14:paraId="7F216CA7" w14:textId="77777777" w:rsidR="00FF4640" w:rsidRPr="00FF4640" w:rsidRDefault="00FF4640" w:rsidP="00FF4640">
            <w:r w:rsidRPr="00FF4640">
              <w:t>12,898 (69.51)</w:t>
            </w:r>
          </w:p>
        </w:tc>
        <w:tc>
          <w:tcPr>
            <w:tcW w:w="0" w:type="auto"/>
            <w:hideMark/>
          </w:tcPr>
          <w:p w14:paraId="40523695" w14:textId="77777777" w:rsidR="00FF4640" w:rsidRPr="00FF4640" w:rsidRDefault="00FF4640" w:rsidP="00FF4640">
            <w:r w:rsidRPr="00FF4640">
              <w:t>2,564 (71.64)</w:t>
            </w:r>
          </w:p>
        </w:tc>
        <w:tc>
          <w:tcPr>
            <w:tcW w:w="0" w:type="auto"/>
            <w:hideMark/>
          </w:tcPr>
          <w:p w14:paraId="2D04CBF8" w14:textId="77777777" w:rsidR="00FF4640" w:rsidRPr="00FF4640" w:rsidRDefault="00FF4640" w:rsidP="00FF4640">
            <w:r w:rsidRPr="00FF4640">
              <w:t>10,334 (69.00)</w:t>
            </w:r>
          </w:p>
        </w:tc>
        <w:tc>
          <w:tcPr>
            <w:tcW w:w="0" w:type="auto"/>
            <w:hideMark/>
          </w:tcPr>
          <w:p w14:paraId="2C11BAC4" w14:textId="77777777" w:rsidR="00FF4640" w:rsidRPr="00FF4640" w:rsidRDefault="00FF4640" w:rsidP="00FF4640">
            <w:r w:rsidRPr="00FF4640">
              <w:t>2,058 (74.38)</w:t>
            </w:r>
          </w:p>
        </w:tc>
        <w:tc>
          <w:tcPr>
            <w:tcW w:w="0" w:type="auto"/>
            <w:hideMark/>
          </w:tcPr>
          <w:p w14:paraId="3F36CA98" w14:textId="77777777" w:rsidR="00FF4640" w:rsidRPr="00FF4640" w:rsidRDefault="00FF4640" w:rsidP="00FF4640">
            <w:r w:rsidRPr="00FF4640">
              <w:t>2,058 (74.38)</w:t>
            </w:r>
          </w:p>
        </w:tc>
        <w:tc>
          <w:tcPr>
            <w:tcW w:w="0" w:type="auto"/>
            <w:hideMark/>
          </w:tcPr>
          <w:p w14:paraId="3406F772" w14:textId="77777777" w:rsidR="00FF4640" w:rsidRPr="00FF4640" w:rsidRDefault="00FF4640" w:rsidP="00FF4640">
            <w:r w:rsidRPr="00FF4640">
              <w:t>1.000</w:t>
            </w:r>
          </w:p>
        </w:tc>
      </w:tr>
      <w:tr w:rsidR="00FF4640" w:rsidRPr="00FF4640" w14:paraId="4D2ECD2E" w14:textId="77777777" w:rsidTr="00706643">
        <w:tc>
          <w:tcPr>
            <w:tcW w:w="0" w:type="auto"/>
            <w:hideMark/>
          </w:tcPr>
          <w:p w14:paraId="2B26E99A" w14:textId="77777777" w:rsidR="00FF4640" w:rsidRPr="00FF4640" w:rsidRDefault="00FF4640" w:rsidP="00FF4640">
            <w:r w:rsidRPr="00FF4640">
              <w:t>Black or African American</w:t>
            </w:r>
          </w:p>
        </w:tc>
        <w:tc>
          <w:tcPr>
            <w:tcW w:w="0" w:type="auto"/>
            <w:hideMark/>
          </w:tcPr>
          <w:p w14:paraId="0EDC7378" w14:textId="77777777" w:rsidR="00FF4640" w:rsidRPr="00FF4640" w:rsidRDefault="00FF4640" w:rsidP="00FF4640">
            <w:r w:rsidRPr="00FF4640">
              <w:t>2,610 (14.07)</w:t>
            </w:r>
          </w:p>
        </w:tc>
        <w:tc>
          <w:tcPr>
            <w:tcW w:w="0" w:type="auto"/>
            <w:hideMark/>
          </w:tcPr>
          <w:p w14:paraId="3A4670C0" w14:textId="77777777" w:rsidR="00FF4640" w:rsidRPr="00FF4640" w:rsidRDefault="00FF4640" w:rsidP="00FF4640">
            <w:r w:rsidRPr="00FF4640">
              <w:t>454 (12.69)</w:t>
            </w:r>
          </w:p>
        </w:tc>
        <w:tc>
          <w:tcPr>
            <w:tcW w:w="0" w:type="auto"/>
            <w:hideMark/>
          </w:tcPr>
          <w:p w14:paraId="3B604B65" w14:textId="77777777" w:rsidR="00FF4640" w:rsidRPr="00FF4640" w:rsidRDefault="00FF4640" w:rsidP="00FF4640">
            <w:r w:rsidRPr="00FF4640">
              <w:t>2,156 (14.40)</w:t>
            </w:r>
          </w:p>
        </w:tc>
        <w:tc>
          <w:tcPr>
            <w:tcW w:w="0" w:type="auto"/>
            <w:hideMark/>
          </w:tcPr>
          <w:p w14:paraId="78392CC4" w14:textId="77777777" w:rsidR="00FF4640" w:rsidRPr="00FF4640" w:rsidRDefault="00FF4640" w:rsidP="00FF4640">
            <w:r w:rsidRPr="00FF4640">
              <w:t>305 (11.02)</w:t>
            </w:r>
          </w:p>
        </w:tc>
        <w:tc>
          <w:tcPr>
            <w:tcW w:w="0" w:type="auto"/>
            <w:hideMark/>
          </w:tcPr>
          <w:p w14:paraId="44775B8E" w14:textId="77777777" w:rsidR="00FF4640" w:rsidRPr="00FF4640" w:rsidRDefault="00FF4640" w:rsidP="00FF4640">
            <w:r w:rsidRPr="00FF4640">
              <w:t>288 (10.41)</w:t>
            </w:r>
          </w:p>
        </w:tc>
        <w:tc>
          <w:tcPr>
            <w:tcW w:w="0" w:type="auto"/>
            <w:hideMark/>
          </w:tcPr>
          <w:p w14:paraId="32003645" w14:textId="77777777" w:rsidR="00FF4640" w:rsidRPr="00FF4640" w:rsidRDefault="00FF4640" w:rsidP="00FF4640">
            <w:r w:rsidRPr="00FF4640">
              <w:t>0.435</w:t>
            </w:r>
          </w:p>
        </w:tc>
      </w:tr>
      <w:tr w:rsidR="00FF4640" w:rsidRPr="00FF4640" w14:paraId="53FED680" w14:textId="77777777" w:rsidTr="00706643">
        <w:tc>
          <w:tcPr>
            <w:tcW w:w="0" w:type="auto"/>
            <w:hideMark/>
          </w:tcPr>
          <w:p w14:paraId="17824EEE" w14:textId="77777777" w:rsidR="00FF4640" w:rsidRPr="00FF4640" w:rsidRDefault="00FF4640" w:rsidP="00FF4640">
            <w:r w:rsidRPr="00FF4640">
              <w:t>Asian</w:t>
            </w:r>
          </w:p>
        </w:tc>
        <w:tc>
          <w:tcPr>
            <w:tcW w:w="0" w:type="auto"/>
            <w:hideMark/>
          </w:tcPr>
          <w:p w14:paraId="7D1AC58B" w14:textId="77777777" w:rsidR="00FF4640" w:rsidRPr="00FF4640" w:rsidRDefault="00FF4640" w:rsidP="00FF4640">
            <w:r w:rsidRPr="00FF4640">
              <w:t>504 (2.72)</w:t>
            </w:r>
          </w:p>
        </w:tc>
        <w:tc>
          <w:tcPr>
            <w:tcW w:w="0" w:type="auto"/>
            <w:hideMark/>
          </w:tcPr>
          <w:p w14:paraId="07195179" w14:textId="77777777" w:rsidR="00FF4640" w:rsidRPr="00FF4640" w:rsidRDefault="00FF4640" w:rsidP="00FF4640">
            <w:r w:rsidRPr="00FF4640">
              <w:t>103 (2.88)</w:t>
            </w:r>
          </w:p>
        </w:tc>
        <w:tc>
          <w:tcPr>
            <w:tcW w:w="0" w:type="auto"/>
            <w:hideMark/>
          </w:tcPr>
          <w:p w14:paraId="715738B0" w14:textId="77777777" w:rsidR="00FF4640" w:rsidRPr="00FF4640" w:rsidRDefault="00FF4640" w:rsidP="00FF4640">
            <w:r w:rsidRPr="00FF4640">
              <w:t>401 (2.68)</w:t>
            </w:r>
          </w:p>
        </w:tc>
        <w:tc>
          <w:tcPr>
            <w:tcW w:w="0" w:type="auto"/>
            <w:hideMark/>
          </w:tcPr>
          <w:p w14:paraId="3A26BECF" w14:textId="77777777" w:rsidR="00FF4640" w:rsidRPr="00FF4640" w:rsidRDefault="00FF4640" w:rsidP="00FF4640">
            <w:r w:rsidRPr="00FF4640">
              <w:t>64 (2.31)</w:t>
            </w:r>
          </w:p>
        </w:tc>
        <w:tc>
          <w:tcPr>
            <w:tcW w:w="0" w:type="auto"/>
            <w:hideMark/>
          </w:tcPr>
          <w:p w14:paraId="7B72E33D" w14:textId="77777777" w:rsidR="00FF4640" w:rsidRPr="00FF4640" w:rsidRDefault="00FF4640" w:rsidP="00FF4640">
            <w:r w:rsidRPr="00FF4640">
              <w:t>72 (2.60)</w:t>
            </w:r>
          </w:p>
        </w:tc>
        <w:tc>
          <w:tcPr>
            <w:tcW w:w="0" w:type="auto"/>
            <w:hideMark/>
          </w:tcPr>
          <w:p w14:paraId="0184856A" w14:textId="77777777" w:rsidR="00FF4640" w:rsidRPr="00FF4640" w:rsidRDefault="00FF4640" w:rsidP="00FF4640">
            <w:r w:rsidRPr="00FF4640">
              <w:t>0.437</w:t>
            </w:r>
          </w:p>
        </w:tc>
      </w:tr>
      <w:tr w:rsidR="00FF4640" w:rsidRPr="00FF4640" w14:paraId="4E6C1C71" w14:textId="77777777" w:rsidTr="00706643">
        <w:tc>
          <w:tcPr>
            <w:tcW w:w="0" w:type="auto"/>
            <w:hideMark/>
          </w:tcPr>
          <w:p w14:paraId="7277BFAB" w14:textId="77777777" w:rsidR="00FF4640" w:rsidRPr="00FF4640" w:rsidRDefault="00FF4640" w:rsidP="00FF4640">
            <w:r w:rsidRPr="00FF4640">
              <w:t>American Indian or Alaska Native</w:t>
            </w:r>
          </w:p>
        </w:tc>
        <w:tc>
          <w:tcPr>
            <w:tcW w:w="0" w:type="auto"/>
            <w:hideMark/>
          </w:tcPr>
          <w:p w14:paraId="77010040" w14:textId="77777777" w:rsidR="00FF4640" w:rsidRPr="00FF4640" w:rsidRDefault="00FF4640" w:rsidP="00FF4640">
            <w:r w:rsidRPr="00FF4640">
              <w:t>246 (1.33)</w:t>
            </w:r>
          </w:p>
        </w:tc>
        <w:tc>
          <w:tcPr>
            <w:tcW w:w="0" w:type="auto"/>
            <w:hideMark/>
          </w:tcPr>
          <w:p w14:paraId="7C737E46" w14:textId="77777777" w:rsidR="00FF4640" w:rsidRPr="00FF4640" w:rsidRDefault="00FF4640" w:rsidP="00FF4640">
            <w:r w:rsidRPr="00FF4640">
              <w:t>9 (0.25)</w:t>
            </w:r>
          </w:p>
        </w:tc>
        <w:tc>
          <w:tcPr>
            <w:tcW w:w="0" w:type="auto"/>
            <w:hideMark/>
          </w:tcPr>
          <w:p w14:paraId="75C03A57" w14:textId="77777777" w:rsidR="00FF4640" w:rsidRPr="00FF4640" w:rsidRDefault="00FF4640" w:rsidP="00FF4640">
            <w:r w:rsidRPr="00FF4640">
              <w:t>237 (1.58)</w:t>
            </w:r>
          </w:p>
        </w:tc>
        <w:tc>
          <w:tcPr>
            <w:tcW w:w="0" w:type="auto"/>
            <w:hideMark/>
          </w:tcPr>
          <w:p w14:paraId="6A8AFFA2" w14:textId="77777777" w:rsidR="00FF4640" w:rsidRPr="00FF4640" w:rsidRDefault="00FF4640" w:rsidP="00FF4640">
            <w:r w:rsidRPr="00FF4640">
              <w:t>6 (0.22)</w:t>
            </w:r>
          </w:p>
        </w:tc>
        <w:tc>
          <w:tcPr>
            <w:tcW w:w="0" w:type="auto"/>
            <w:hideMark/>
          </w:tcPr>
          <w:p w14:paraId="717DD692" w14:textId="77777777" w:rsidR="00FF4640" w:rsidRPr="00FF4640" w:rsidRDefault="00FF4640" w:rsidP="00FF4640">
            <w:r w:rsidRPr="00FF4640">
              <w:t>8 (0.29)</w:t>
            </w:r>
          </w:p>
        </w:tc>
        <w:tc>
          <w:tcPr>
            <w:tcW w:w="0" w:type="auto"/>
            <w:hideMark/>
          </w:tcPr>
          <w:p w14:paraId="039D8E63" w14:textId="77777777" w:rsidR="00FF4640" w:rsidRPr="00FF4640" w:rsidRDefault="00FF4640" w:rsidP="00FF4640">
            <w:r w:rsidRPr="00FF4640">
              <w:t>0.593</w:t>
            </w:r>
          </w:p>
        </w:tc>
      </w:tr>
      <w:tr w:rsidR="00FF4640" w:rsidRPr="00FF4640" w14:paraId="4956FA94" w14:textId="77777777" w:rsidTr="00706643">
        <w:tc>
          <w:tcPr>
            <w:tcW w:w="0" w:type="auto"/>
            <w:hideMark/>
          </w:tcPr>
          <w:p w14:paraId="248C08E6" w14:textId="77777777" w:rsidR="00FF4640" w:rsidRPr="00FF4640" w:rsidRDefault="00FF4640" w:rsidP="00FF4640">
            <w:r w:rsidRPr="00FF4640">
              <w:t>Native Hawaiian/Pacific Islander</w:t>
            </w:r>
          </w:p>
        </w:tc>
        <w:tc>
          <w:tcPr>
            <w:tcW w:w="0" w:type="auto"/>
            <w:hideMark/>
          </w:tcPr>
          <w:p w14:paraId="2B3E1DF9" w14:textId="77777777" w:rsidR="00FF4640" w:rsidRPr="00FF4640" w:rsidRDefault="00FF4640" w:rsidP="00FF4640">
            <w:r w:rsidRPr="00FF4640">
              <w:t>43 (0.23)</w:t>
            </w:r>
          </w:p>
        </w:tc>
        <w:tc>
          <w:tcPr>
            <w:tcW w:w="0" w:type="auto"/>
            <w:hideMark/>
          </w:tcPr>
          <w:p w14:paraId="091098B3" w14:textId="77777777" w:rsidR="00FF4640" w:rsidRPr="00FF4640" w:rsidRDefault="00FF4640" w:rsidP="00FF4640">
            <w:r w:rsidRPr="00FF4640">
              <w:t>18 (0.50)</w:t>
            </w:r>
          </w:p>
        </w:tc>
        <w:tc>
          <w:tcPr>
            <w:tcW w:w="0" w:type="auto"/>
            <w:hideMark/>
          </w:tcPr>
          <w:p w14:paraId="5CBECA31" w14:textId="77777777" w:rsidR="00FF4640" w:rsidRPr="00FF4640" w:rsidRDefault="00FF4640" w:rsidP="00FF4640">
            <w:r w:rsidRPr="00FF4640">
              <w:t>25 (0.17)</w:t>
            </w:r>
          </w:p>
        </w:tc>
        <w:tc>
          <w:tcPr>
            <w:tcW w:w="0" w:type="auto"/>
            <w:hideMark/>
          </w:tcPr>
          <w:p w14:paraId="1E5F985D" w14:textId="77777777" w:rsidR="00FF4640" w:rsidRPr="00FF4640" w:rsidRDefault="00FF4640" w:rsidP="00FF4640">
            <w:r w:rsidRPr="00FF4640">
              <w:t>17 (0.61)</w:t>
            </w:r>
          </w:p>
        </w:tc>
        <w:tc>
          <w:tcPr>
            <w:tcW w:w="0" w:type="auto"/>
            <w:hideMark/>
          </w:tcPr>
          <w:p w14:paraId="5464E41A" w14:textId="77777777" w:rsidR="00FF4640" w:rsidRPr="00FF4640" w:rsidRDefault="00FF4640" w:rsidP="00FF4640">
            <w:r w:rsidRPr="00FF4640">
              <w:t>8 (0.29)</w:t>
            </w:r>
          </w:p>
        </w:tc>
        <w:tc>
          <w:tcPr>
            <w:tcW w:w="0" w:type="auto"/>
            <w:hideMark/>
          </w:tcPr>
          <w:p w14:paraId="3D8F9BC0" w14:textId="77777777" w:rsidR="00FF4640" w:rsidRPr="00FF4640" w:rsidRDefault="00FF4640" w:rsidP="00FF4640">
            <w:r w:rsidRPr="00FF4640">
              <w:t>0.049</w:t>
            </w:r>
          </w:p>
        </w:tc>
      </w:tr>
      <w:tr w:rsidR="00FF4640" w:rsidRPr="00FF4640" w14:paraId="5FE1293E" w14:textId="77777777" w:rsidTr="00706643">
        <w:tc>
          <w:tcPr>
            <w:tcW w:w="0" w:type="auto"/>
            <w:hideMark/>
          </w:tcPr>
          <w:p w14:paraId="28D7D3D6" w14:textId="77777777" w:rsidR="00FF4640" w:rsidRPr="00FF4640" w:rsidRDefault="00FF4640" w:rsidP="00FF4640">
            <w:r w:rsidRPr="00FF4640">
              <w:t>Unknown</w:t>
            </w:r>
          </w:p>
        </w:tc>
        <w:tc>
          <w:tcPr>
            <w:tcW w:w="0" w:type="auto"/>
            <w:hideMark/>
          </w:tcPr>
          <w:p w14:paraId="7AE68AEF" w14:textId="77777777" w:rsidR="00FF4640" w:rsidRPr="00FF4640" w:rsidRDefault="00FF4640" w:rsidP="00FF4640">
            <w:r w:rsidRPr="00FF4640">
              <w:t>2,254 (12.15)</w:t>
            </w:r>
          </w:p>
        </w:tc>
        <w:tc>
          <w:tcPr>
            <w:tcW w:w="0" w:type="auto"/>
            <w:hideMark/>
          </w:tcPr>
          <w:p w14:paraId="796CFCFD" w14:textId="77777777" w:rsidR="00FF4640" w:rsidRPr="00FF4640" w:rsidRDefault="00FF4640" w:rsidP="00FF4640">
            <w:r w:rsidRPr="00FF4640">
              <w:t>431 (12.04)</w:t>
            </w:r>
          </w:p>
        </w:tc>
        <w:tc>
          <w:tcPr>
            <w:tcW w:w="0" w:type="auto"/>
            <w:hideMark/>
          </w:tcPr>
          <w:p w14:paraId="65327403" w14:textId="77777777" w:rsidR="00FF4640" w:rsidRPr="00FF4640" w:rsidRDefault="00FF4640" w:rsidP="00FF4640">
            <w:r w:rsidRPr="00FF4640">
              <w:t>1,823 (12.17)</w:t>
            </w:r>
          </w:p>
        </w:tc>
        <w:tc>
          <w:tcPr>
            <w:tcW w:w="0" w:type="auto"/>
            <w:hideMark/>
          </w:tcPr>
          <w:p w14:paraId="5B998BE7" w14:textId="77777777" w:rsidR="00FF4640" w:rsidRPr="00FF4640" w:rsidRDefault="00FF4640" w:rsidP="00FF4640">
            <w:r w:rsidRPr="00FF4640">
              <w:t>317 (11.46)</w:t>
            </w:r>
          </w:p>
        </w:tc>
        <w:tc>
          <w:tcPr>
            <w:tcW w:w="0" w:type="auto"/>
            <w:hideMark/>
          </w:tcPr>
          <w:p w14:paraId="2C98FD94" w14:textId="77777777" w:rsidR="00FF4640" w:rsidRPr="00FF4640" w:rsidRDefault="00FF4640" w:rsidP="00FF4640">
            <w:r w:rsidRPr="00FF4640">
              <w:t>333 (12.03)</w:t>
            </w:r>
          </w:p>
        </w:tc>
        <w:tc>
          <w:tcPr>
            <w:tcW w:w="0" w:type="auto"/>
            <w:hideMark/>
          </w:tcPr>
          <w:p w14:paraId="0444D662" w14:textId="77777777" w:rsidR="00FF4640" w:rsidRPr="00FF4640" w:rsidRDefault="00FF4640" w:rsidP="00FF4640">
            <w:r w:rsidRPr="00FF4640">
              <w:t>0.479</w:t>
            </w:r>
          </w:p>
        </w:tc>
      </w:tr>
      <w:tr w:rsidR="00FF4640" w:rsidRPr="00FF4640" w14:paraId="7A0B4A0A" w14:textId="77777777" w:rsidTr="00706643">
        <w:tc>
          <w:tcPr>
            <w:tcW w:w="0" w:type="auto"/>
            <w:hideMark/>
          </w:tcPr>
          <w:p w14:paraId="5BF81FD7" w14:textId="7B56B889" w:rsidR="00FF4640" w:rsidRPr="00FF4640" w:rsidRDefault="00FF4640" w:rsidP="00FF4640">
            <w:r w:rsidRPr="00FF4640">
              <w:t>Medical/Surgical Patient </w:t>
            </w:r>
            <w:proofErr w:type="spellStart"/>
            <w:proofErr w:type="gramStart"/>
            <w:r w:rsidRPr="00FE3F0D">
              <w:rPr>
                <w:vertAlign w:val="superscript"/>
              </w:rPr>
              <w:t>b</w:t>
            </w:r>
            <w:r w:rsidRPr="00FF4640">
              <w:rPr>
                <w:vertAlign w:val="superscript"/>
              </w:rPr>
              <w:t>,</w:t>
            </w:r>
            <w:r w:rsidRPr="00FE3F0D">
              <w:rPr>
                <w:vertAlign w:val="superscript"/>
              </w:rPr>
              <w:t>c</w:t>
            </w:r>
            <w:proofErr w:type="spellEnd"/>
            <w:proofErr w:type="gramEnd"/>
            <w:r w:rsidRPr="00FF4640">
              <w:t> ≠</w:t>
            </w:r>
          </w:p>
        </w:tc>
        <w:tc>
          <w:tcPr>
            <w:tcW w:w="0" w:type="auto"/>
            <w:hideMark/>
          </w:tcPr>
          <w:p w14:paraId="58EA5FA8" w14:textId="77777777" w:rsidR="00FF4640" w:rsidRPr="00FF4640" w:rsidRDefault="00FF4640" w:rsidP="00FF4640"/>
        </w:tc>
        <w:tc>
          <w:tcPr>
            <w:tcW w:w="0" w:type="auto"/>
            <w:hideMark/>
          </w:tcPr>
          <w:p w14:paraId="3264A718" w14:textId="77777777" w:rsidR="00FF4640" w:rsidRPr="00FF4640" w:rsidRDefault="00FF4640" w:rsidP="00FF4640"/>
        </w:tc>
        <w:tc>
          <w:tcPr>
            <w:tcW w:w="0" w:type="auto"/>
            <w:hideMark/>
          </w:tcPr>
          <w:p w14:paraId="5A6B0F3F" w14:textId="77777777" w:rsidR="00FF4640" w:rsidRPr="00FF4640" w:rsidRDefault="00FF4640" w:rsidP="00FF4640"/>
        </w:tc>
        <w:tc>
          <w:tcPr>
            <w:tcW w:w="0" w:type="auto"/>
            <w:hideMark/>
          </w:tcPr>
          <w:p w14:paraId="5834C152" w14:textId="77777777" w:rsidR="00FF4640" w:rsidRPr="00FF4640" w:rsidRDefault="00FF4640" w:rsidP="00FF4640"/>
        </w:tc>
        <w:tc>
          <w:tcPr>
            <w:tcW w:w="0" w:type="auto"/>
            <w:hideMark/>
          </w:tcPr>
          <w:p w14:paraId="7AE95408" w14:textId="77777777" w:rsidR="00FF4640" w:rsidRPr="00FF4640" w:rsidRDefault="00FF4640" w:rsidP="00FF4640"/>
        </w:tc>
        <w:tc>
          <w:tcPr>
            <w:tcW w:w="0" w:type="auto"/>
            <w:hideMark/>
          </w:tcPr>
          <w:p w14:paraId="6449B0AA" w14:textId="77777777" w:rsidR="00FF4640" w:rsidRPr="00FF4640" w:rsidRDefault="00FF4640" w:rsidP="00FF4640"/>
        </w:tc>
      </w:tr>
      <w:tr w:rsidR="00FF4640" w:rsidRPr="00FF4640" w14:paraId="73D140FF" w14:textId="77777777" w:rsidTr="00706643">
        <w:tc>
          <w:tcPr>
            <w:tcW w:w="0" w:type="auto"/>
            <w:hideMark/>
          </w:tcPr>
          <w:p w14:paraId="1E244B22" w14:textId="77777777" w:rsidR="00FF4640" w:rsidRPr="00FF4640" w:rsidRDefault="00FF4640" w:rsidP="00FF4640">
            <w:r w:rsidRPr="00FF4640">
              <w:t>Medical</w:t>
            </w:r>
          </w:p>
        </w:tc>
        <w:tc>
          <w:tcPr>
            <w:tcW w:w="0" w:type="auto"/>
            <w:hideMark/>
          </w:tcPr>
          <w:p w14:paraId="71632799" w14:textId="77777777" w:rsidR="00FF4640" w:rsidRPr="00FF4640" w:rsidRDefault="00FF4640" w:rsidP="00FF4640">
            <w:r w:rsidRPr="00FF4640">
              <w:t>13,427 (72.36)</w:t>
            </w:r>
          </w:p>
        </w:tc>
        <w:tc>
          <w:tcPr>
            <w:tcW w:w="0" w:type="auto"/>
            <w:hideMark/>
          </w:tcPr>
          <w:p w14:paraId="03F30708" w14:textId="77777777" w:rsidR="00FF4640" w:rsidRPr="00FF4640" w:rsidRDefault="00FF4640" w:rsidP="00FF4640">
            <w:r w:rsidRPr="00FF4640">
              <w:t>2,463 (68.82)</w:t>
            </w:r>
          </w:p>
        </w:tc>
        <w:tc>
          <w:tcPr>
            <w:tcW w:w="0" w:type="auto"/>
            <w:hideMark/>
          </w:tcPr>
          <w:p w14:paraId="1D61677E" w14:textId="77777777" w:rsidR="00FF4640" w:rsidRPr="00FF4640" w:rsidRDefault="00FF4640" w:rsidP="00FF4640">
            <w:r w:rsidRPr="00FF4640">
              <w:t>10,964 (73.21)</w:t>
            </w:r>
          </w:p>
        </w:tc>
        <w:tc>
          <w:tcPr>
            <w:tcW w:w="0" w:type="auto"/>
            <w:hideMark/>
          </w:tcPr>
          <w:p w14:paraId="3CCC1F58" w14:textId="77777777" w:rsidR="00FF4640" w:rsidRPr="00FF4640" w:rsidRDefault="00FF4640" w:rsidP="00FF4640">
            <w:r w:rsidRPr="00FF4640">
              <w:t>1,887 (68.20)</w:t>
            </w:r>
          </w:p>
        </w:tc>
        <w:tc>
          <w:tcPr>
            <w:tcW w:w="0" w:type="auto"/>
            <w:hideMark/>
          </w:tcPr>
          <w:p w14:paraId="7DDB5340" w14:textId="77777777" w:rsidR="00FF4640" w:rsidRPr="00FF4640" w:rsidRDefault="00FF4640" w:rsidP="00FF4640">
            <w:r w:rsidRPr="00FF4640">
              <w:t>1,887 (68.20)</w:t>
            </w:r>
          </w:p>
        </w:tc>
        <w:tc>
          <w:tcPr>
            <w:tcW w:w="0" w:type="auto"/>
            <w:hideMark/>
          </w:tcPr>
          <w:p w14:paraId="6215A7BF" w14:textId="77777777" w:rsidR="00FF4640" w:rsidRPr="00FF4640" w:rsidRDefault="00FF4640" w:rsidP="00FF4640">
            <w:r w:rsidRPr="00FF4640">
              <w:t>1.000</w:t>
            </w:r>
          </w:p>
        </w:tc>
      </w:tr>
      <w:tr w:rsidR="00FF4640" w:rsidRPr="00FF4640" w14:paraId="5ACFAF93" w14:textId="77777777" w:rsidTr="00706643">
        <w:tc>
          <w:tcPr>
            <w:tcW w:w="0" w:type="auto"/>
            <w:hideMark/>
          </w:tcPr>
          <w:p w14:paraId="3DB76515" w14:textId="77777777" w:rsidR="00FF4640" w:rsidRPr="00FF4640" w:rsidRDefault="00FF4640" w:rsidP="00FF4640">
            <w:r w:rsidRPr="00FF4640">
              <w:t>Surgical</w:t>
            </w:r>
          </w:p>
        </w:tc>
        <w:tc>
          <w:tcPr>
            <w:tcW w:w="0" w:type="auto"/>
            <w:hideMark/>
          </w:tcPr>
          <w:p w14:paraId="3FADA694" w14:textId="77777777" w:rsidR="00FF4640" w:rsidRPr="00FF4640" w:rsidRDefault="00FF4640" w:rsidP="00FF4640">
            <w:r w:rsidRPr="00FF4640">
              <w:t>5,128 (27.64)</w:t>
            </w:r>
          </w:p>
        </w:tc>
        <w:tc>
          <w:tcPr>
            <w:tcW w:w="0" w:type="auto"/>
            <w:hideMark/>
          </w:tcPr>
          <w:p w14:paraId="03DC4E57" w14:textId="77777777" w:rsidR="00FF4640" w:rsidRPr="00FF4640" w:rsidRDefault="00FF4640" w:rsidP="00FF4640">
            <w:r w:rsidRPr="00FF4640">
              <w:t>1,116 (31.18)</w:t>
            </w:r>
          </w:p>
        </w:tc>
        <w:tc>
          <w:tcPr>
            <w:tcW w:w="0" w:type="auto"/>
            <w:hideMark/>
          </w:tcPr>
          <w:p w14:paraId="35B61987" w14:textId="77777777" w:rsidR="00FF4640" w:rsidRPr="00FF4640" w:rsidRDefault="00FF4640" w:rsidP="00FF4640">
            <w:r w:rsidRPr="00FF4640">
              <w:t>4,012 (26.79)</w:t>
            </w:r>
          </w:p>
        </w:tc>
        <w:tc>
          <w:tcPr>
            <w:tcW w:w="0" w:type="auto"/>
            <w:hideMark/>
          </w:tcPr>
          <w:p w14:paraId="25FE132E" w14:textId="77777777" w:rsidR="00FF4640" w:rsidRPr="00FF4640" w:rsidRDefault="00FF4640" w:rsidP="00FF4640">
            <w:r w:rsidRPr="00FF4640">
              <w:t>880 (31.80)</w:t>
            </w:r>
          </w:p>
        </w:tc>
        <w:tc>
          <w:tcPr>
            <w:tcW w:w="0" w:type="auto"/>
            <w:hideMark/>
          </w:tcPr>
          <w:p w14:paraId="1F329BF6" w14:textId="77777777" w:rsidR="00FF4640" w:rsidRPr="00FF4640" w:rsidRDefault="00FF4640" w:rsidP="00FF4640">
            <w:r w:rsidRPr="00FF4640">
              <w:t>880 (31.80)</w:t>
            </w:r>
          </w:p>
        </w:tc>
        <w:tc>
          <w:tcPr>
            <w:tcW w:w="0" w:type="auto"/>
            <w:hideMark/>
          </w:tcPr>
          <w:p w14:paraId="7395F472" w14:textId="77777777" w:rsidR="00FF4640" w:rsidRPr="00FF4640" w:rsidRDefault="00FF4640" w:rsidP="00FF4640">
            <w:r w:rsidRPr="00FF4640">
              <w:t>1.000</w:t>
            </w:r>
          </w:p>
        </w:tc>
      </w:tr>
      <w:tr w:rsidR="00FF4640" w:rsidRPr="00FF4640" w14:paraId="0A41D537" w14:textId="77777777" w:rsidTr="00706643">
        <w:tc>
          <w:tcPr>
            <w:tcW w:w="0" w:type="auto"/>
            <w:hideMark/>
          </w:tcPr>
          <w:p w14:paraId="6C8F8579" w14:textId="2D723540" w:rsidR="00FF4640" w:rsidRPr="00FF4640" w:rsidRDefault="00FF4640" w:rsidP="00FF4640">
            <w:r w:rsidRPr="00FF4640">
              <w:t>Prior hospitalization past 90 days </w:t>
            </w:r>
            <w:r w:rsidRPr="00FE3F0D">
              <w:rPr>
                <w:vertAlign w:val="superscript"/>
              </w:rPr>
              <w:t>c</w:t>
            </w:r>
            <w:r w:rsidRPr="00FF4640">
              <w:t> ≠</w:t>
            </w:r>
          </w:p>
        </w:tc>
        <w:tc>
          <w:tcPr>
            <w:tcW w:w="0" w:type="auto"/>
            <w:hideMark/>
          </w:tcPr>
          <w:p w14:paraId="59006273" w14:textId="77777777" w:rsidR="00FF4640" w:rsidRPr="00FF4640" w:rsidRDefault="00FF4640" w:rsidP="00FF4640">
            <w:r w:rsidRPr="00FF4640">
              <w:t>4,078 (21.98)</w:t>
            </w:r>
          </w:p>
        </w:tc>
        <w:tc>
          <w:tcPr>
            <w:tcW w:w="0" w:type="auto"/>
            <w:hideMark/>
          </w:tcPr>
          <w:p w14:paraId="7ECDBA67" w14:textId="77777777" w:rsidR="00FF4640" w:rsidRPr="00FF4640" w:rsidRDefault="00FF4640" w:rsidP="00FF4640">
            <w:r w:rsidRPr="00FF4640">
              <w:t>1,161 (32.44)</w:t>
            </w:r>
          </w:p>
        </w:tc>
        <w:tc>
          <w:tcPr>
            <w:tcW w:w="0" w:type="auto"/>
            <w:hideMark/>
          </w:tcPr>
          <w:p w14:paraId="3574FF73" w14:textId="77777777" w:rsidR="00FF4640" w:rsidRPr="00FF4640" w:rsidRDefault="00FF4640" w:rsidP="00FF4640">
            <w:r w:rsidRPr="00FF4640">
              <w:t>2,917 (19.48)</w:t>
            </w:r>
          </w:p>
        </w:tc>
        <w:tc>
          <w:tcPr>
            <w:tcW w:w="0" w:type="auto"/>
            <w:hideMark/>
          </w:tcPr>
          <w:p w14:paraId="6478A655" w14:textId="77777777" w:rsidR="00FF4640" w:rsidRPr="00FF4640" w:rsidRDefault="00FF4640" w:rsidP="00FF4640">
            <w:r w:rsidRPr="00FF4640">
              <w:t>775 (28.01)</w:t>
            </w:r>
          </w:p>
        </w:tc>
        <w:tc>
          <w:tcPr>
            <w:tcW w:w="0" w:type="auto"/>
            <w:hideMark/>
          </w:tcPr>
          <w:p w14:paraId="0391F6A1" w14:textId="77777777" w:rsidR="00FF4640" w:rsidRPr="00FF4640" w:rsidRDefault="00FF4640" w:rsidP="00FF4640">
            <w:r w:rsidRPr="00FF4640">
              <w:t>775 (28.01)</w:t>
            </w:r>
          </w:p>
        </w:tc>
        <w:tc>
          <w:tcPr>
            <w:tcW w:w="0" w:type="auto"/>
            <w:hideMark/>
          </w:tcPr>
          <w:p w14:paraId="11AF399C" w14:textId="77777777" w:rsidR="00FF4640" w:rsidRPr="00FF4640" w:rsidRDefault="00FF4640" w:rsidP="00FF4640">
            <w:r w:rsidRPr="00FF4640">
              <w:t>1.000</w:t>
            </w:r>
          </w:p>
        </w:tc>
      </w:tr>
      <w:tr w:rsidR="00FF4640" w:rsidRPr="00FF4640" w14:paraId="2C0B44AA" w14:textId="77777777" w:rsidTr="00706643">
        <w:tc>
          <w:tcPr>
            <w:tcW w:w="0" w:type="auto"/>
            <w:hideMark/>
          </w:tcPr>
          <w:p w14:paraId="1A9D53A8" w14:textId="1ED28185" w:rsidR="00FF4640" w:rsidRPr="00FF4640" w:rsidRDefault="00FF4640" w:rsidP="00FF4640">
            <w:r w:rsidRPr="00FF4640">
              <w:t>Prior hospitalization 0-30 days </w:t>
            </w:r>
            <w:r w:rsidRPr="00FE3F0D">
              <w:rPr>
                <w:vertAlign w:val="superscript"/>
              </w:rPr>
              <w:t>b</w:t>
            </w:r>
          </w:p>
        </w:tc>
        <w:tc>
          <w:tcPr>
            <w:tcW w:w="0" w:type="auto"/>
            <w:hideMark/>
          </w:tcPr>
          <w:p w14:paraId="209F221C" w14:textId="77777777" w:rsidR="00FF4640" w:rsidRPr="00FF4640" w:rsidRDefault="00FF4640" w:rsidP="00FF4640">
            <w:r w:rsidRPr="00FF4640">
              <w:t>2,553 (13.76)</w:t>
            </w:r>
          </w:p>
        </w:tc>
        <w:tc>
          <w:tcPr>
            <w:tcW w:w="0" w:type="auto"/>
            <w:hideMark/>
          </w:tcPr>
          <w:p w14:paraId="13EC49FE" w14:textId="77777777" w:rsidR="00FF4640" w:rsidRPr="00FF4640" w:rsidRDefault="00FF4640" w:rsidP="00FF4640">
            <w:r w:rsidRPr="00FF4640">
              <w:t>773 (21.60)</w:t>
            </w:r>
          </w:p>
        </w:tc>
        <w:tc>
          <w:tcPr>
            <w:tcW w:w="0" w:type="auto"/>
            <w:hideMark/>
          </w:tcPr>
          <w:p w14:paraId="6ADF4321" w14:textId="77777777" w:rsidR="00FF4640" w:rsidRPr="00FF4640" w:rsidRDefault="00FF4640" w:rsidP="00FF4640">
            <w:r w:rsidRPr="00FF4640">
              <w:t>1,780 (11.89)</w:t>
            </w:r>
          </w:p>
        </w:tc>
        <w:tc>
          <w:tcPr>
            <w:tcW w:w="0" w:type="auto"/>
            <w:hideMark/>
          </w:tcPr>
          <w:p w14:paraId="121F2920" w14:textId="77777777" w:rsidR="00FF4640" w:rsidRPr="00FF4640" w:rsidRDefault="00FF4640" w:rsidP="00FF4640">
            <w:r w:rsidRPr="00FF4640">
              <w:t>538 (19.44)</w:t>
            </w:r>
          </w:p>
        </w:tc>
        <w:tc>
          <w:tcPr>
            <w:tcW w:w="0" w:type="auto"/>
            <w:hideMark/>
          </w:tcPr>
          <w:p w14:paraId="507965E6" w14:textId="77777777" w:rsidR="00FF4640" w:rsidRPr="00FF4640" w:rsidRDefault="00FF4640" w:rsidP="00FF4640">
            <w:r w:rsidRPr="00FF4640">
              <w:t>503 (18.18)</w:t>
            </w:r>
          </w:p>
        </w:tc>
        <w:tc>
          <w:tcPr>
            <w:tcW w:w="0" w:type="auto"/>
            <w:hideMark/>
          </w:tcPr>
          <w:p w14:paraId="5C470803" w14:textId="77777777" w:rsidR="00FF4640" w:rsidRPr="00FF4640" w:rsidRDefault="00FF4640" w:rsidP="00FF4640">
            <w:r w:rsidRPr="00FF4640">
              <w:t>0.230</w:t>
            </w:r>
          </w:p>
        </w:tc>
      </w:tr>
      <w:tr w:rsidR="00FF4640" w:rsidRPr="00FF4640" w14:paraId="3C4519BE" w14:textId="77777777" w:rsidTr="00706643">
        <w:tc>
          <w:tcPr>
            <w:tcW w:w="0" w:type="auto"/>
            <w:hideMark/>
          </w:tcPr>
          <w:p w14:paraId="475604F9" w14:textId="3952BDFD" w:rsidR="00FF4640" w:rsidRPr="00FF4640" w:rsidRDefault="00FF4640" w:rsidP="00FF4640">
            <w:r w:rsidRPr="00FF4640">
              <w:t>Prior hospitalization 31-90 days </w:t>
            </w:r>
            <w:r w:rsidRPr="00FE3F0D">
              <w:rPr>
                <w:vertAlign w:val="superscript"/>
              </w:rPr>
              <w:t>b</w:t>
            </w:r>
          </w:p>
        </w:tc>
        <w:tc>
          <w:tcPr>
            <w:tcW w:w="0" w:type="auto"/>
            <w:hideMark/>
          </w:tcPr>
          <w:p w14:paraId="4A09AEC8" w14:textId="77777777" w:rsidR="00FF4640" w:rsidRPr="00FF4640" w:rsidRDefault="00FF4640" w:rsidP="00FF4640">
            <w:r w:rsidRPr="00FF4640">
              <w:t>1,525 (8.22)</w:t>
            </w:r>
          </w:p>
        </w:tc>
        <w:tc>
          <w:tcPr>
            <w:tcW w:w="0" w:type="auto"/>
            <w:hideMark/>
          </w:tcPr>
          <w:p w14:paraId="7082FED4" w14:textId="77777777" w:rsidR="00FF4640" w:rsidRPr="00FF4640" w:rsidRDefault="00FF4640" w:rsidP="00FF4640">
            <w:r w:rsidRPr="00FF4640">
              <w:t>388 (10.84)</w:t>
            </w:r>
          </w:p>
        </w:tc>
        <w:tc>
          <w:tcPr>
            <w:tcW w:w="0" w:type="auto"/>
            <w:hideMark/>
          </w:tcPr>
          <w:p w14:paraId="6C76F27D" w14:textId="77777777" w:rsidR="00FF4640" w:rsidRPr="00FF4640" w:rsidRDefault="00FF4640" w:rsidP="00FF4640">
            <w:r w:rsidRPr="00FF4640">
              <w:t>1,137 (7.59)</w:t>
            </w:r>
          </w:p>
        </w:tc>
        <w:tc>
          <w:tcPr>
            <w:tcW w:w="0" w:type="auto"/>
            <w:hideMark/>
          </w:tcPr>
          <w:p w14:paraId="2A419FC5" w14:textId="77777777" w:rsidR="00FF4640" w:rsidRPr="00FF4640" w:rsidRDefault="00FF4640" w:rsidP="00FF4640">
            <w:r w:rsidRPr="00FF4640">
              <w:t>237 (8.57)</w:t>
            </w:r>
          </w:p>
        </w:tc>
        <w:tc>
          <w:tcPr>
            <w:tcW w:w="0" w:type="auto"/>
            <w:hideMark/>
          </w:tcPr>
          <w:p w14:paraId="329B13DF" w14:textId="77777777" w:rsidR="00FF4640" w:rsidRPr="00FF4640" w:rsidRDefault="00FF4640" w:rsidP="00FF4640">
            <w:r w:rsidRPr="00FF4640">
              <w:t>272 (9.83)</w:t>
            </w:r>
          </w:p>
        </w:tc>
        <w:tc>
          <w:tcPr>
            <w:tcW w:w="0" w:type="auto"/>
            <w:hideMark/>
          </w:tcPr>
          <w:p w14:paraId="02561A8C" w14:textId="77777777" w:rsidR="00FF4640" w:rsidRPr="00FF4640" w:rsidRDefault="00FF4640" w:rsidP="00FF4640">
            <w:r w:rsidRPr="00FF4640">
              <w:t>0.104</w:t>
            </w:r>
          </w:p>
        </w:tc>
      </w:tr>
      <w:tr w:rsidR="00FF4640" w:rsidRPr="00FF4640" w14:paraId="0AA61BB9" w14:textId="77777777" w:rsidTr="00706643">
        <w:tc>
          <w:tcPr>
            <w:tcW w:w="0" w:type="auto"/>
            <w:hideMark/>
          </w:tcPr>
          <w:p w14:paraId="41F9604C" w14:textId="45C15DF4" w:rsidR="00FF4640" w:rsidRPr="00FF4640" w:rsidRDefault="00FF4640" w:rsidP="00FF4640">
            <w:r w:rsidRPr="00FF4640">
              <w:t>Total Length of Stay </w:t>
            </w:r>
            <w:r w:rsidRPr="00FE3F0D">
              <w:rPr>
                <w:vertAlign w:val="superscript"/>
              </w:rPr>
              <w:t>b</w:t>
            </w:r>
            <w:r w:rsidRPr="00FF4640">
              <w:t> §</w:t>
            </w:r>
          </w:p>
        </w:tc>
        <w:tc>
          <w:tcPr>
            <w:tcW w:w="0" w:type="auto"/>
            <w:hideMark/>
          </w:tcPr>
          <w:p w14:paraId="16F01F06" w14:textId="77777777" w:rsidR="00FF4640" w:rsidRPr="00FF4640" w:rsidRDefault="00FF4640" w:rsidP="00FF4640">
            <w:r w:rsidRPr="00FF4640">
              <w:t>4.34 (3.91)</w:t>
            </w:r>
          </w:p>
        </w:tc>
        <w:tc>
          <w:tcPr>
            <w:tcW w:w="0" w:type="auto"/>
            <w:hideMark/>
          </w:tcPr>
          <w:p w14:paraId="14E2F3BC" w14:textId="77777777" w:rsidR="00FF4640" w:rsidRPr="00FF4640" w:rsidRDefault="00FF4640" w:rsidP="00FF4640">
            <w:r w:rsidRPr="00FF4640">
              <w:t>6.31 (5.35)</w:t>
            </w:r>
          </w:p>
        </w:tc>
        <w:tc>
          <w:tcPr>
            <w:tcW w:w="0" w:type="auto"/>
            <w:hideMark/>
          </w:tcPr>
          <w:p w14:paraId="61AD42DE" w14:textId="77777777" w:rsidR="00FF4640" w:rsidRPr="00FF4640" w:rsidRDefault="00FF4640" w:rsidP="00FF4640">
            <w:r w:rsidRPr="00FF4640">
              <w:t>3.87 (3.31)</w:t>
            </w:r>
          </w:p>
        </w:tc>
        <w:tc>
          <w:tcPr>
            <w:tcW w:w="0" w:type="auto"/>
            <w:hideMark/>
          </w:tcPr>
          <w:p w14:paraId="4EEB3B1B" w14:textId="77777777" w:rsidR="00FF4640" w:rsidRPr="00FF4640" w:rsidRDefault="00FF4640" w:rsidP="00FF4640">
            <w:r w:rsidRPr="00FF4640">
              <w:t>6.24 (5.43)</w:t>
            </w:r>
          </w:p>
        </w:tc>
        <w:tc>
          <w:tcPr>
            <w:tcW w:w="0" w:type="auto"/>
            <w:hideMark/>
          </w:tcPr>
          <w:p w14:paraId="31474956" w14:textId="77777777" w:rsidR="00FF4640" w:rsidRPr="00FF4640" w:rsidRDefault="00FF4640" w:rsidP="00FF4640">
            <w:r w:rsidRPr="00FF4640">
              <w:t>5.87 (4.33)</w:t>
            </w:r>
          </w:p>
        </w:tc>
        <w:tc>
          <w:tcPr>
            <w:tcW w:w="0" w:type="auto"/>
            <w:hideMark/>
          </w:tcPr>
          <w:p w14:paraId="16D52982" w14:textId="77777777" w:rsidR="00FF4640" w:rsidRPr="00FF4640" w:rsidRDefault="00FF4640" w:rsidP="00FF4640">
            <w:r w:rsidRPr="00FF4640">
              <w:t>0.007</w:t>
            </w:r>
          </w:p>
        </w:tc>
      </w:tr>
      <w:tr w:rsidR="00FF4640" w:rsidRPr="00FF4640" w14:paraId="158514FF" w14:textId="77777777" w:rsidTr="00706643">
        <w:tc>
          <w:tcPr>
            <w:tcW w:w="0" w:type="auto"/>
            <w:hideMark/>
          </w:tcPr>
          <w:p w14:paraId="2182443A" w14:textId="74C44447" w:rsidR="00FF4640" w:rsidRPr="00FF4640" w:rsidRDefault="00FF4640" w:rsidP="00FF4640">
            <w:r w:rsidRPr="00FF4640">
              <w:t>Lowest Quartile </w:t>
            </w:r>
            <w:r w:rsidRPr="00FE3F0D">
              <w:rPr>
                <w:vertAlign w:val="superscript"/>
              </w:rPr>
              <w:t>c</w:t>
            </w:r>
            <w:r w:rsidRPr="00FF4640">
              <w:t> ≠</w:t>
            </w:r>
          </w:p>
        </w:tc>
        <w:tc>
          <w:tcPr>
            <w:tcW w:w="0" w:type="auto"/>
            <w:hideMark/>
          </w:tcPr>
          <w:p w14:paraId="1D802B81" w14:textId="77777777" w:rsidR="00FF4640" w:rsidRPr="00FF4640" w:rsidRDefault="00FF4640" w:rsidP="00FF4640">
            <w:r w:rsidRPr="00FF4640">
              <w:t>6,374 (34.35)</w:t>
            </w:r>
          </w:p>
        </w:tc>
        <w:tc>
          <w:tcPr>
            <w:tcW w:w="0" w:type="auto"/>
            <w:hideMark/>
          </w:tcPr>
          <w:p w14:paraId="5911C3D0" w14:textId="77777777" w:rsidR="00FF4640" w:rsidRPr="00FF4640" w:rsidRDefault="00FF4640" w:rsidP="00FF4640">
            <w:r w:rsidRPr="00FF4640">
              <w:t>577 (16.12)</w:t>
            </w:r>
          </w:p>
        </w:tc>
        <w:tc>
          <w:tcPr>
            <w:tcW w:w="0" w:type="auto"/>
            <w:hideMark/>
          </w:tcPr>
          <w:p w14:paraId="1991D523" w14:textId="77777777" w:rsidR="00FF4640" w:rsidRPr="00FF4640" w:rsidRDefault="00FF4640" w:rsidP="00FF4640">
            <w:r w:rsidRPr="00FF4640">
              <w:t>5,797 (38.71)</w:t>
            </w:r>
          </w:p>
        </w:tc>
        <w:tc>
          <w:tcPr>
            <w:tcW w:w="0" w:type="auto"/>
            <w:hideMark/>
          </w:tcPr>
          <w:p w14:paraId="0AAA59A3" w14:textId="77777777" w:rsidR="00FF4640" w:rsidRPr="00FF4640" w:rsidRDefault="00FF4640" w:rsidP="00FF4640">
            <w:r w:rsidRPr="00FF4640">
              <w:t>478 (17.28)</w:t>
            </w:r>
          </w:p>
        </w:tc>
        <w:tc>
          <w:tcPr>
            <w:tcW w:w="0" w:type="auto"/>
            <w:hideMark/>
          </w:tcPr>
          <w:p w14:paraId="443D855A" w14:textId="77777777" w:rsidR="00FF4640" w:rsidRPr="00FF4640" w:rsidRDefault="00FF4640" w:rsidP="00FF4640">
            <w:r w:rsidRPr="00FF4640">
              <w:t>478 (17.28)</w:t>
            </w:r>
          </w:p>
        </w:tc>
        <w:tc>
          <w:tcPr>
            <w:tcW w:w="0" w:type="auto"/>
            <w:hideMark/>
          </w:tcPr>
          <w:p w14:paraId="07319DF3" w14:textId="77777777" w:rsidR="00FF4640" w:rsidRPr="00FF4640" w:rsidRDefault="00FF4640" w:rsidP="00FF4640">
            <w:r w:rsidRPr="00FF4640">
              <w:t>1.000</w:t>
            </w:r>
          </w:p>
        </w:tc>
      </w:tr>
      <w:tr w:rsidR="00FF4640" w:rsidRPr="00FF4640" w14:paraId="07D9A79D" w14:textId="77777777" w:rsidTr="00706643">
        <w:tc>
          <w:tcPr>
            <w:tcW w:w="0" w:type="auto"/>
            <w:hideMark/>
          </w:tcPr>
          <w:p w14:paraId="2D834A70" w14:textId="598D6C24" w:rsidR="00FF4640" w:rsidRPr="00FF4640" w:rsidRDefault="00FF4640" w:rsidP="00FF4640">
            <w:r w:rsidRPr="00FF4640">
              <w:t>2nd Quartile </w:t>
            </w:r>
            <w:r w:rsidRPr="00FE3F0D">
              <w:rPr>
                <w:vertAlign w:val="superscript"/>
              </w:rPr>
              <w:t>c</w:t>
            </w:r>
            <w:r w:rsidRPr="00FF4640">
              <w:t> ≠</w:t>
            </w:r>
          </w:p>
        </w:tc>
        <w:tc>
          <w:tcPr>
            <w:tcW w:w="0" w:type="auto"/>
            <w:hideMark/>
          </w:tcPr>
          <w:p w14:paraId="20CB6F53" w14:textId="77777777" w:rsidR="00FF4640" w:rsidRPr="00FF4640" w:rsidRDefault="00FF4640" w:rsidP="00FF4640">
            <w:r w:rsidRPr="00FF4640">
              <w:t>3,537 (19.06)</w:t>
            </w:r>
          </w:p>
        </w:tc>
        <w:tc>
          <w:tcPr>
            <w:tcW w:w="0" w:type="auto"/>
            <w:hideMark/>
          </w:tcPr>
          <w:p w14:paraId="377A8551" w14:textId="77777777" w:rsidR="00FF4640" w:rsidRPr="00FF4640" w:rsidRDefault="00FF4640" w:rsidP="00FF4640">
            <w:r w:rsidRPr="00FF4640">
              <w:t>517 (14.45)</w:t>
            </w:r>
          </w:p>
        </w:tc>
        <w:tc>
          <w:tcPr>
            <w:tcW w:w="0" w:type="auto"/>
            <w:hideMark/>
          </w:tcPr>
          <w:p w14:paraId="725936CF" w14:textId="77777777" w:rsidR="00FF4640" w:rsidRPr="00FF4640" w:rsidRDefault="00FF4640" w:rsidP="00FF4640">
            <w:r w:rsidRPr="00FF4640">
              <w:t>3,020 (20.17)</w:t>
            </w:r>
          </w:p>
        </w:tc>
        <w:tc>
          <w:tcPr>
            <w:tcW w:w="0" w:type="auto"/>
            <w:hideMark/>
          </w:tcPr>
          <w:p w14:paraId="6398A0DA" w14:textId="77777777" w:rsidR="00FF4640" w:rsidRPr="00FF4640" w:rsidRDefault="00FF4640" w:rsidP="00FF4640">
            <w:r w:rsidRPr="00FF4640">
              <w:t>381 (13.77)</w:t>
            </w:r>
          </w:p>
        </w:tc>
        <w:tc>
          <w:tcPr>
            <w:tcW w:w="0" w:type="auto"/>
            <w:hideMark/>
          </w:tcPr>
          <w:p w14:paraId="715FBC8F" w14:textId="77777777" w:rsidR="00FF4640" w:rsidRPr="00FF4640" w:rsidRDefault="00FF4640" w:rsidP="00FF4640">
            <w:r w:rsidRPr="00FF4640">
              <w:t>381 (13.77)</w:t>
            </w:r>
          </w:p>
        </w:tc>
        <w:tc>
          <w:tcPr>
            <w:tcW w:w="0" w:type="auto"/>
            <w:hideMark/>
          </w:tcPr>
          <w:p w14:paraId="00D1B356" w14:textId="77777777" w:rsidR="00FF4640" w:rsidRPr="00FF4640" w:rsidRDefault="00FF4640" w:rsidP="00FF4640">
            <w:r w:rsidRPr="00FF4640">
              <w:t>1.000</w:t>
            </w:r>
          </w:p>
        </w:tc>
      </w:tr>
      <w:tr w:rsidR="00FF4640" w:rsidRPr="00FF4640" w14:paraId="7589DF66" w14:textId="77777777" w:rsidTr="00706643">
        <w:tc>
          <w:tcPr>
            <w:tcW w:w="0" w:type="auto"/>
            <w:hideMark/>
          </w:tcPr>
          <w:p w14:paraId="43FFDC72" w14:textId="02717A3B" w:rsidR="00FF4640" w:rsidRPr="00FF4640" w:rsidRDefault="00FF4640" w:rsidP="00FF4640">
            <w:r w:rsidRPr="00FF4640">
              <w:t>3rd Quartile </w:t>
            </w:r>
            <w:r w:rsidRPr="00FE3F0D">
              <w:rPr>
                <w:vertAlign w:val="superscript"/>
              </w:rPr>
              <w:t>c</w:t>
            </w:r>
            <w:r w:rsidRPr="00FF4640">
              <w:t> ≠</w:t>
            </w:r>
          </w:p>
        </w:tc>
        <w:tc>
          <w:tcPr>
            <w:tcW w:w="0" w:type="auto"/>
            <w:hideMark/>
          </w:tcPr>
          <w:p w14:paraId="49B8DF69" w14:textId="77777777" w:rsidR="00FF4640" w:rsidRPr="00FF4640" w:rsidRDefault="00FF4640" w:rsidP="00FF4640">
            <w:r w:rsidRPr="00FF4640">
              <w:t>4,260 (22.96)</w:t>
            </w:r>
          </w:p>
        </w:tc>
        <w:tc>
          <w:tcPr>
            <w:tcW w:w="0" w:type="auto"/>
            <w:hideMark/>
          </w:tcPr>
          <w:p w14:paraId="545FA725" w14:textId="77777777" w:rsidR="00FF4640" w:rsidRPr="00FF4640" w:rsidRDefault="00FF4640" w:rsidP="00FF4640">
            <w:r w:rsidRPr="00FF4640">
              <w:t>843 (23.55)</w:t>
            </w:r>
          </w:p>
        </w:tc>
        <w:tc>
          <w:tcPr>
            <w:tcW w:w="0" w:type="auto"/>
            <w:hideMark/>
          </w:tcPr>
          <w:p w14:paraId="749C14C6" w14:textId="77777777" w:rsidR="00FF4640" w:rsidRPr="00FF4640" w:rsidRDefault="00FF4640" w:rsidP="00FF4640">
            <w:r w:rsidRPr="00FF4640">
              <w:t>3,417 (22.82)</w:t>
            </w:r>
          </w:p>
        </w:tc>
        <w:tc>
          <w:tcPr>
            <w:tcW w:w="0" w:type="auto"/>
            <w:hideMark/>
          </w:tcPr>
          <w:p w14:paraId="22D5E412" w14:textId="77777777" w:rsidR="00FF4640" w:rsidRPr="00FF4640" w:rsidRDefault="00FF4640" w:rsidP="00FF4640">
            <w:r w:rsidRPr="00FF4640">
              <w:t>647 (23.38)</w:t>
            </w:r>
          </w:p>
        </w:tc>
        <w:tc>
          <w:tcPr>
            <w:tcW w:w="0" w:type="auto"/>
            <w:hideMark/>
          </w:tcPr>
          <w:p w14:paraId="029B4F00" w14:textId="77777777" w:rsidR="00FF4640" w:rsidRPr="00FF4640" w:rsidRDefault="00FF4640" w:rsidP="00FF4640">
            <w:r w:rsidRPr="00FF4640">
              <w:t>647 (23.38)</w:t>
            </w:r>
          </w:p>
        </w:tc>
        <w:tc>
          <w:tcPr>
            <w:tcW w:w="0" w:type="auto"/>
            <w:hideMark/>
          </w:tcPr>
          <w:p w14:paraId="1B3258EB" w14:textId="77777777" w:rsidR="00FF4640" w:rsidRPr="00FF4640" w:rsidRDefault="00FF4640" w:rsidP="00FF4640">
            <w:r w:rsidRPr="00FF4640">
              <w:t>1.000</w:t>
            </w:r>
          </w:p>
        </w:tc>
      </w:tr>
      <w:tr w:rsidR="00FF4640" w:rsidRPr="00FF4640" w14:paraId="73CA5BBE" w14:textId="77777777" w:rsidTr="00706643">
        <w:tc>
          <w:tcPr>
            <w:tcW w:w="0" w:type="auto"/>
            <w:hideMark/>
          </w:tcPr>
          <w:p w14:paraId="454C4D75" w14:textId="6C59DB52" w:rsidR="00FF4640" w:rsidRPr="00FF4640" w:rsidRDefault="00FF4640" w:rsidP="00FF4640">
            <w:r w:rsidRPr="00FF4640">
              <w:t>Highest Quartile </w:t>
            </w:r>
            <w:r w:rsidRPr="00FE3F0D">
              <w:rPr>
                <w:vertAlign w:val="superscript"/>
              </w:rPr>
              <w:t>c</w:t>
            </w:r>
          </w:p>
        </w:tc>
        <w:tc>
          <w:tcPr>
            <w:tcW w:w="0" w:type="auto"/>
            <w:hideMark/>
          </w:tcPr>
          <w:p w14:paraId="1B444FA8" w14:textId="77777777" w:rsidR="00FF4640" w:rsidRPr="00FF4640" w:rsidRDefault="00FF4640" w:rsidP="00FF4640">
            <w:r w:rsidRPr="00FF4640">
              <w:t>4,384 (23.63)</w:t>
            </w:r>
          </w:p>
        </w:tc>
        <w:tc>
          <w:tcPr>
            <w:tcW w:w="0" w:type="auto"/>
            <w:hideMark/>
          </w:tcPr>
          <w:p w14:paraId="26B0A4D1" w14:textId="77777777" w:rsidR="00FF4640" w:rsidRPr="00FF4640" w:rsidRDefault="00FF4640" w:rsidP="00FF4640">
            <w:r w:rsidRPr="00FF4640">
              <w:t>1,642 (45.88)</w:t>
            </w:r>
          </w:p>
        </w:tc>
        <w:tc>
          <w:tcPr>
            <w:tcW w:w="0" w:type="auto"/>
            <w:hideMark/>
          </w:tcPr>
          <w:p w14:paraId="61AFB606" w14:textId="77777777" w:rsidR="00FF4640" w:rsidRPr="00FF4640" w:rsidRDefault="00FF4640" w:rsidP="00FF4640">
            <w:r w:rsidRPr="00FF4640">
              <w:t>2,742 (18.31)</w:t>
            </w:r>
          </w:p>
        </w:tc>
        <w:tc>
          <w:tcPr>
            <w:tcW w:w="0" w:type="auto"/>
            <w:hideMark/>
          </w:tcPr>
          <w:p w14:paraId="2CE6E4B0" w14:textId="77777777" w:rsidR="00FF4640" w:rsidRPr="00FF4640" w:rsidRDefault="00FF4640" w:rsidP="00FF4640">
            <w:r w:rsidRPr="00FF4640">
              <w:t>1,261 (45.57)</w:t>
            </w:r>
          </w:p>
        </w:tc>
        <w:tc>
          <w:tcPr>
            <w:tcW w:w="0" w:type="auto"/>
            <w:hideMark/>
          </w:tcPr>
          <w:p w14:paraId="30E00BFB" w14:textId="77777777" w:rsidR="00FF4640" w:rsidRPr="00FF4640" w:rsidRDefault="00FF4640" w:rsidP="00FF4640">
            <w:r w:rsidRPr="00FF4640">
              <w:t>1,261 (45.57)</w:t>
            </w:r>
          </w:p>
        </w:tc>
        <w:tc>
          <w:tcPr>
            <w:tcW w:w="0" w:type="auto"/>
            <w:hideMark/>
          </w:tcPr>
          <w:p w14:paraId="1E386012" w14:textId="77777777" w:rsidR="00FF4640" w:rsidRPr="00FF4640" w:rsidRDefault="00FF4640" w:rsidP="00FF4640">
            <w:r w:rsidRPr="00FF4640">
              <w:t>1.000</w:t>
            </w:r>
          </w:p>
        </w:tc>
      </w:tr>
      <w:tr w:rsidR="00FF4640" w:rsidRPr="00FF4640" w14:paraId="57F47E4F" w14:textId="77777777" w:rsidTr="00706643">
        <w:tc>
          <w:tcPr>
            <w:tcW w:w="0" w:type="auto"/>
            <w:hideMark/>
          </w:tcPr>
          <w:p w14:paraId="352E739F" w14:textId="6EBB408C" w:rsidR="00FF4640" w:rsidRPr="00FF4640" w:rsidRDefault="00FF4640" w:rsidP="00FF4640">
            <w:proofErr w:type="spellStart"/>
            <w:r w:rsidRPr="00FF4640">
              <w:t>Elixhauser</w:t>
            </w:r>
            <w:proofErr w:type="spellEnd"/>
            <w:r w:rsidRPr="00FF4640">
              <w:t xml:space="preserve"> Comorbidity Index </w:t>
            </w:r>
            <w:r w:rsidRPr="00FE3F0D">
              <w:rPr>
                <w:vertAlign w:val="superscript"/>
              </w:rPr>
              <w:t>b</w:t>
            </w:r>
            <w:r w:rsidRPr="00FF4640">
              <w:t> §</w:t>
            </w:r>
          </w:p>
        </w:tc>
        <w:tc>
          <w:tcPr>
            <w:tcW w:w="0" w:type="auto"/>
            <w:hideMark/>
          </w:tcPr>
          <w:p w14:paraId="52166E4E" w14:textId="77777777" w:rsidR="00FF4640" w:rsidRPr="00FF4640" w:rsidRDefault="00FF4640" w:rsidP="00FF4640"/>
        </w:tc>
        <w:tc>
          <w:tcPr>
            <w:tcW w:w="0" w:type="auto"/>
            <w:hideMark/>
          </w:tcPr>
          <w:p w14:paraId="4192947B" w14:textId="77777777" w:rsidR="00FF4640" w:rsidRPr="00FF4640" w:rsidRDefault="00FF4640" w:rsidP="00FF4640"/>
        </w:tc>
        <w:tc>
          <w:tcPr>
            <w:tcW w:w="0" w:type="auto"/>
            <w:hideMark/>
          </w:tcPr>
          <w:p w14:paraId="2F570CF9" w14:textId="77777777" w:rsidR="00FF4640" w:rsidRPr="00FF4640" w:rsidRDefault="00FF4640" w:rsidP="00FF4640"/>
        </w:tc>
        <w:tc>
          <w:tcPr>
            <w:tcW w:w="0" w:type="auto"/>
            <w:hideMark/>
          </w:tcPr>
          <w:p w14:paraId="39998194" w14:textId="77777777" w:rsidR="00FF4640" w:rsidRPr="00FF4640" w:rsidRDefault="00FF4640" w:rsidP="00FF4640"/>
        </w:tc>
        <w:tc>
          <w:tcPr>
            <w:tcW w:w="0" w:type="auto"/>
            <w:hideMark/>
          </w:tcPr>
          <w:p w14:paraId="510CCB6E" w14:textId="77777777" w:rsidR="00FF4640" w:rsidRPr="00FF4640" w:rsidRDefault="00FF4640" w:rsidP="00FF4640"/>
        </w:tc>
        <w:tc>
          <w:tcPr>
            <w:tcW w:w="0" w:type="auto"/>
            <w:hideMark/>
          </w:tcPr>
          <w:p w14:paraId="72E50B6E" w14:textId="77777777" w:rsidR="00FF4640" w:rsidRPr="00FF4640" w:rsidRDefault="00FF4640" w:rsidP="00FF4640"/>
        </w:tc>
      </w:tr>
      <w:tr w:rsidR="00FF4640" w:rsidRPr="00FF4640" w14:paraId="771006B3" w14:textId="77777777" w:rsidTr="00706643">
        <w:tc>
          <w:tcPr>
            <w:tcW w:w="0" w:type="auto"/>
            <w:hideMark/>
          </w:tcPr>
          <w:p w14:paraId="599E8692" w14:textId="12DD9AEC" w:rsidR="00FF4640" w:rsidRPr="00FF4640" w:rsidRDefault="00FF4640" w:rsidP="00FF4640">
            <w:r w:rsidRPr="00FF4640">
              <w:t>Low (≤7) </w:t>
            </w:r>
            <w:r w:rsidRPr="00FE3F0D">
              <w:rPr>
                <w:vertAlign w:val="superscript"/>
              </w:rPr>
              <w:t>c</w:t>
            </w:r>
            <w:r w:rsidRPr="00FF4640">
              <w:t> ≠</w:t>
            </w:r>
          </w:p>
        </w:tc>
        <w:tc>
          <w:tcPr>
            <w:tcW w:w="0" w:type="auto"/>
            <w:hideMark/>
          </w:tcPr>
          <w:p w14:paraId="319D8221" w14:textId="77777777" w:rsidR="00FF4640" w:rsidRPr="00FF4640" w:rsidRDefault="00FF4640" w:rsidP="00FF4640">
            <w:r w:rsidRPr="00FF4640">
              <w:t>10,064 (54.24)</w:t>
            </w:r>
          </w:p>
        </w:tc>
        <w:tc>
          <w:tcPr>
            <w:tcW w:w="0" w:type="auto"/>
            <w:hideMark/>
          </w:tcPr>
          <w:p w14:paraId="029605D5" w14:textId="77777777" w:rsidR="00FF4640" w:rsidRPr="00FF4640" w:rsidRDefault="00FF4640" w:rsidP="00FF4640">
            <w:r w:rsidRPr="00FF4640">
              <w:t>1,783 (49.82)</w:t>
            </w:r>
          </w:p>
        </w:tc>
        <w:tc>
          <w:tcPr>
            <w:tcW w:w="0" w:type="auto"/>
            <w:hideMark/>
          </w:tcPr>
          <w:p w14:paraId="506A67B0" w14:textId="77777777" w:rsidR="00FF4640" w:rsidRPr="00FF4640" w:rsidRDefault="00FF4640" w:rsidP="00FF4640">
            <w:r w:rsidRPr="00FF4640">
              <w:t>8,281 (55.30)</w:t>
            </w:r>
          </w:p>
        </w:tc>
        <w:tc>
          <w:tcPr>
            <w:tcW w:w="0" w:type="auto"/>
            <w:hideMark/>
          </w:tcPr>
          <w:p w14:paraId="1D18A455" w14:textId="77777777" w:rsidR="00FF4640" w:rsidRPr="00FF4640" w:rsidRDefault="00FF4640" w:rsidP="00FF4640">
            <w:r w:rsidRPr="00FF4640">
              <w:t>1,401 (50.63)</w:t>
            </w:r>
          </w:p>
        </w:tc>
        <w:tc>
          <w:tcPr>
            <w:tcW w:w="0" w:type="auto"/>
            <w:hideMark/>
          </w:tcPr>
          <w:p w14:paraId="55650FBE" w14:textId="77777777" w:rsidR="00FF4640" w:rsidRPr="00FF4640" w:rsidRDefault="00FF4640" w:rsidP="00FF4640">
            <w:r w:rsidRPr="00FF4640">
              <w:t>1,401 (50.63)</w:t>
            </w:r>
          </w:p>
        </w:tc>
        <w:tc>
          <w:tcPr>
            <w:tcW w:w="0" w:type="auto"/>
            <w:hideMark/>
          </w:tcPr>
          <w:p w14:paraId="2119D513" w14:textId="77777777" w:rsidR="00FF4640" w:rsidRPr="00FF4640" w:rsidRDefault="00FF4640" w:rsidP="00FF4640">
            <w:r w:rsidRPr="00FF4640">
              <w:t>1.000</w:t>
            </w:r>
          </w:p>
        </w:tc>
      </w:tr>
      <w:tr w:rsidR="00FF4640" w:rsidRPr="00FF4640" w14:paraId="2FB94E18" w14:textId="77777777" w:rsidTr="00706643">
        <w:tc>
          <w:tcPr>
            <w:tcW w:w="0" w:type="auto"/>
            <w:hideMark/>
          </w:tcPr>
          <w:p w14:paraId="3CDE0833" w14:textId="3FD752DD" w:rsidR="00FF4640" w:rsidRPr="00FF4640" w:rsidRDefault="00FF4640" w:rsidP="00FF4640">
            <w:r w:rsidRPr="00FF4640">
              <w:t>High (&gt;7) </w:t>
            </w:r>
            <w:r w:rsidRPr="00FE3F0D">
              <w:rPr>
                <w:vertAlign w:val="superscript"/>
              </w:rPr>
              <w:t>c</w:t>
            </w:r>
            <w:r w:rsidRPr="00FF4640">
              <w:t> ≠</w:t>
            </w:r>
          </w:p>
        </w:tc>
        <w:tc>
          <w:tcPr>
            <w:tcW w:w="0" w:type="auto"/>
            <w:hideMark/>
          </w:tcPr>
          <w:p w14:paraId="2CED5A14" w14:textId="77777777" w:rsidR="00FF4640" w:rsidRPr="00FF4640" w:rsidRDefault="00FF4640" w:rsidP="00FF4640">
            <w:r w:rsidRPr="00FF4640">
              <w:t>8,491 (45.76)</w:t>
            </w:r>
          </w:p>
        </w:tc>
        <w:tc>
          <w:tcPr>
            <w:tcW w:w="0" w:type="auto"/>
            <w:hideMark/>
          </w:tcPr>
          <w:p w14:paraId="28A58B08" w14:textId="77777777" w:rsidR="00FF4640" w:rsidRPr="00FF4640" w:rsidRDefault="00FF4640" w:rsidP="00FF4640">
            <w:r w:rsidRPr="00FF4640">
              <w:t>1,796 (50.18)</w:t>
            </w:r>
          </w:p>
        </w:tc>
        <w:tc>
          <w:tcPr>
            <w:tcW w:w="0" w:type="auto"/>
            <w:hideMark/>
          </w:tcPr>
          <w:p w14:paraId="71D37C9B" w14:textId="77777777" w:rsidR="00FF4640" w:rsidRPr="00FF4640" w:rsidRDefault="00FF4640" w:rsidP="00FF4640">
            <w:r w:rsidRPr="00FF4640">
              <w:t>6,695 (44.70)</w:t>
            </w:r>
          </w:p>
        </w:tc>
        <w:tc>
          <w:tcPr>
            <w:tcW w:w="0" w:type="auto"/>
            <w:hideMark/>
          </w:tcPr>
          <w:p w14:paraId="59604A2E" w14:textId="77777777" w:rsidR="00FF4640" w:rsidRPr="00FF4640" w:rsidRDefault="00FF4640" w:rsidP="00FF4640">
            <w:r w:rsidRPr="00FF4640">
              <w:t>1,366 (49.37)</w:t>
            </w:r>
          </w:p>
        </w:tc>
        <w:tc>
          <w:tcPr>
            <w:tcW w:w="0" w:type="auto"/>
            <w:hideMark/>
          </w:tcPr>
          <w:p w14:paraId="5E0ABAEC" w14:textId="77777777" w:rsidR="00FF4640" w:rsidRPr="00FF4640" w:rsidRDefault="00FF4640" w:rsidP="00FF4640">
            <w:r w:rsidRPr="00FF4640">
              <w:t>1,366 (49.37)</w:t>
            </w:r>
          </w:p>
        </w:tc>
        <w:tc>
          <w:tcPr>
            <w:tcW w:w="0" w:type="auto"/>
            <w:hideMark/>
          </w:tcPr>
          <w:p w14:paraId="5CB1E55F" w14:textId="77777777" w:rsidR="00FF4640" w:rsidRPr="00FF4640" w:rsidRDefault="00FF4640" w:rsidP="00FF4640">
            <w:r w:rsidRPr="00FF4640">
              <w:t>1.000</w:t>
            </w:r>
          </w:p>
        </w:tc>
      </w:tr>
      <w:tr w:rsidR="00FF4640" w:rsidRPr="00FF4640" w14:paraId="41640AA1" w14:textId="77777777" w:rsidTr="00706643">
        <w:tc>
          <w:tcPr>
            <w:tcW w:w="0" w:type="auto"/>
            <w:hideMark/>
          </w:tcPr>
          <w:p w14:paraId="72F5CDBA" w14:textId="09E9FE3E" w:rsidR="00FF4640" w:rsidRPr="00FF4640" w:rsidRDefault="00FF4640" w:rsidP="00FF4640">
            <w:r w:rsidRPr="00FF4640">
              <w:t>Lives Alone </w:t>
            </w:r>
            <w:r w:rsidRPr="00FE3F0D">
              <w:rPr>
                <w:vertAlign w:val="superscript"/>
              </w:rPr>
              <w:t>c</w:t>
            </w:r>
            <w:r w:rsidRPr="00FF4640">
              <w:t> ≠</w:t>
            </w:r>
          </w:p>
        </w:tc>
        <w:tc>
          <w:tcPr>
            <w:tcW w:w="0" w:type="auto"/>
            <w:hideMark/>
          </w:tcPr>
          <w:p w14:paraId="5AE23EB2" w14:textId="77777777" w:rsidR="00FF4640" w:rsidRPr="00FF4640" w:rsidRDefault="00FF4640" w:rsidP="00FF4640">
            <w:r w:rsidRPr="00FF4640">
              <w:t>3,185 (17.17)</w:t>
            </w:r>
          </w:p>
        </w:tc>
        <w:tc>
          <w:tcPr>
            <w:tcW w:w="0" w:type="auto"/>
            <w:hideMark/>
          </w:tcPr>
          <w:p w14:paraId="348C22AF" w14:textId="77777777" w:rsidR="00FF4640" w:rsidRPr="00FF4640" w:rsidRDefault="00FF4640" w:rsidP="00FF4640">
            <w:r w:rsidRPr="00FF4640">
              <w:t>695 (19.42)</w:t>
            </w:r>
          </w:p>
        </w:tc>
        <w:tc>
          <w:tcPr>
            <w:tcW w:w="0" w:type="auto"/>
            <w:hideMark/>
          </w:tcPr>
          <w:p w14:paraId="7F1B5C40" w14:textId="77777777" w:rsidR="00FF4640" w:rsidRPr="00FF4640" w:rsidRDefault="00FF4640" w:rsidP="00FF4640">
            <w:r w:rsidRPr="00FF4640">
              <w:t>2,490 (16.63)</w:t>
            </w:r>
          </w:p>
        </w:tc>
        <w:tc>
          <w:tcPr>
            <w:tcW w:w="0" w:type="auto"/>
            <w:hideMark/>
          </w:tcPr>
          <w:p w14:paraId="57AF0ACB" w14:textId="77777777" w:rsidR="00FF4640" w:rsidRPr="00FF4640" w:rsidRDefault="00FF4640" w:rsidP="00FF4640">
            <w:r w:rsidRPr="00FF4640">
              <w:t>444 (16.05)</w:t>
            </w:r>
          </w:p>
        </w:tc>
        <w:tc>
          <w:tcPr>
            <w:tcW w:w="0" w:type="auto"/>
            <w:hideMark/>
          </w:tcPr>
          <w:p w14:paraId="713DFE36" w14:textId="77777777" w:rsidR="00FF4640" w:rsidRPr="00FF4640" w:rsidRDefault="00FF4640" w:rsidP="00FF4640">
            <w:r w:rsidRPr="00FF4640">
              <w:t>444 (16.05)</w:t>
            </w:r>
          </w:p>
        </w:tc>
        <w:tc>
          <w:tcPr>
            <w:tcW w:w="0" w:type="auto"/>
            <w:hideMark/>
          </w:tcPr>
          <w:p w14:paraId="724E501B" w14:textId="77777777" w:rsidR="00FF4640" w:rsidRPr="00FF4640" w:rsidRDefault="00FF4640" w:rsidP="00FF4640">
            <w:r w:rsidRPr="00FF4640">
              <w:t>1.000</w:t>
            </w:r>
          </w:p>
        </w:tc>
      </w:tr>
      <w:tr w:rsidR="00FF4640" w:rsidRPr="00FF4640" w14:paraId="568D5623" w14:textId="77777777" w:rsidTr="00706643">
        <w:tc>
          <w:tcPr>
            <w:tcW w:w="0" w:type="auto"/>
            <w:hideMark/>
          </w:tcPr>
          <w:p w14:paraId="35F88ED7" w14:textId="3DB29A6F" w:rsidR="00FF4640" w:rsidRPr="00FF4640" w:rsidRDefault="00FF4640" w:rsidP="00FF4640">
            <w:r w:rsidRPr="00FF4640">
              <w:t>Functional status (independent) </w:t>
            </w:r>
            <w:r w:rsidRPr="00FE3F0D">
              <w:rPr>
                <w:vertAlign w:val="superscript"/>
              </w:rPr>
              <w:t>c</w:t>
            </w:r>
            <w:r w:rsidRPr="00FF4640">
              <w:t> ≠</w:t>
            </w:r>
          </w:p>
        </w:tc>
        <w:tc>
          <w:tcPr>
            <w:tcW w:w="0" w:type="auto"/>
            <w:hideMark/>
          </w:tcPr>
          <w:p w14:paraId="1B8CAB78" w14:textId="77777777" w:rsidR="00FF4640" w:rsidRPr="00FF4640" w:rsidRDefault="00FF4640" w:rsidP="00FF4640">
            <w:r w:rsidRPr="00FF4640">
              <w:t>16,763 (90.34)</w:t>
            </w:r>
          </w:p>
        </w:tc>
        <w:tc>
          <w:tcPr>
            <w:tcW w:w="0" w:type="auto"/>
            <w:hideMark/>
          </w:tcPr>
          <w:p w14:paraId="7E9ADA81" w14:textId="77777777" w:rsidR="00FF4640" w:rsidRPr="00FF4640" w:rsidRDefault="00FF4640" w:rsidP="00FF4640">
            <w:r w:rsidRPr="00FF4640">
              <w:t>2,758 (77.06)</w:t>
            </w:r>
          </w:p>
        </w:tc>
        <w:tc>
          <w:tcPr>
            <w:tcW w:w="0" w:type="auto"/>
            <w:hideMark/>
          </w:tcPr>
          <w:p w14:paraId="15BD84BF" w14:textId="77777777" w:rsidR="00FF4640" w:rsidRPr="00FF4640" w:rsidRDefault="00FF4640" w:rsidP="00FF4640">
            <w:r w:rsidRPr="00FF4640">
              <w:t>14,005 (93.52)</w:t>
            </w:r>
          </w:p>
        </w:tc>
        <w:tc>
          <w:tcPr>
            <w:tcW w:w="0" w:type="auto"/>
            <w:hideMark/>
          </w:tcPr>
          <w:p w14:paraId="229A4CDC" w14:textId="77777777" w:rsidR="00FF4640" w:rsidRPr="00FF4640" w:rsidRDefault="00FF4640" w:rsidP="00FF4640">
            <w:r w:rsidRPr="00FF4640">
              <w:t>2,416 (87.31)</w:t>
            </w:r>
          </w:p>
        </w:tc>
        <w:tc>
          <w:tcPr>
            <w:tcW w:w="0" w:type="auto"/>
            <w:hideMark/>
          </w:tcPr>
          <w:p w14:paraId="1483539D" w14:textId="77777777" w:rsidR="00FF4640" w:rsidRPr="00FF4640" w:rsidRDefault="00FF4640" w:rsidP="00FF4640">
            <w:r w:rsidRPr="00FF4640">
              <w:t>2,416 (87.31)</w:t>
            </w:r>
          </w:p>
        </w:tc>
        <w:tc>
          <w:tcPr>
            <w:tcW w:w="0" w:type="auto"/>
            <w:hideMark/>
          </w:tcPr>
          <w:p w14:paraId="0D2B70A6" w14:textId="77777777" w:rsidR="00FF4640" w:rsidRPr="00FF4640" w:rsidRDefault="00FF4640" w:rsidP="00FF4640">
            <w:r w:rsidRPr="00FF4640">
              <w:t>1.000</w:t>
            </w:r>
          </w:p>
        </w:tc>
      </w:tr>
      <w:tr w:rsidR="00FF4640" w:rsidRPr="00FF4640" w14:paraId="278311AD" w14:textId="77777777" w:rsidTr="00706643">
        <w:tc>
          <w:tcPr>
            <w:tcW w:w="0" w:type="auto"/>
            <w:hideMark/>
          </w:tcPr>
          <w:p w14:paraId="072E61A6" w14:textId="58794D13" w:rsidR="00FF4640" w:rsidRPr="00FF4640" w:rsidRDefault="00FF4640" w:rsidP="00FF4640">
            <w:bookmarkStart w:id="44" w:name="btb2fn4" w:colFirst="0" w:colLast="0"/>
            <w:bookmarkEnd w:id="42"/>
            <w:r w:rsidRPr="00FF4640">
              <w:t>Age </w:t>
            </w:r>
            <w:proofErr w:type="spellStart"/>
            <w:proofErr w:type="gramStart"/>
            <w:r w:rsidRPr="00FE3F0D">
              <w:rPr>
                <w:vertAlign w:val="superscript"/>
              </w:rPr>
              <w:t>b</w:t>
            </w:r>
            <w:r w:rsidRPr="00FF4640">
              <w:rPr>
                <w:vertAlign w:val="superscript"/>
              </w:rPr>
              <w:t>,</w:t>
            </w:r>
            <w:r w:rsidRPr="00FE3F0D">
              <w:rPr>
                <w:vertAlign w:val="superscript"/>
              </w:rPr>
              <w:t>d</w:t>
            </w:r>
            <w:proofErr w:type="spellEnd"/>
            <w:proofErr w:type="gramEnd"/>
            <w:r w:rsidRPr="00FF4640">
              <w:t> §</w:t>
            </w:r>
          </w:p>
        </w:tc>
        <w:tc>
          <w:tcPr>
            <w:tcW w:w="0" w:type="auto"/>
            <w:hideMark/>
          </w:tcPr>
          <w:p w14:paraId="1964C41F" w14:textId="77777777" w:rsidR="00FF4640" w:rsidRPr="00FF4640" w:rsidRDefault="00FF4640" w:rsidP="00FF4640">
            <w:r w:rsidRPr="00FF4640">
              <w:t>59.32 (17.21)</w:t>
            </w:r>
          </w:p>
        </w:tc>
        <w:tc>
          <w:tcPr>
            <w:tcW w:w="0" w:type="auto"/>
            <w:hideMark/>
          </w:tcPr>
          <w:p w14:paraId="49C4902F" w14:textId="77777777" w:rsidR="00FF4640" w:rsidRPr="00FF4640" w:rsidRDefault="00FF4640" w:rsidP="00FF4640">
            <w:r w:rsidRPr="00FF4640">
              <w:t>67.99 (14.93)</w:t>
            </w:r>
          </w:p>
        </w:tc>
        <w:tc>
          <w:tcPr>
            <w:tcW w:w="0" w:type="auto"/>
            <w:hideMark/>
          </w:tcPr>
          <w:p w14:paraId="14DC3A63" w14:textId="77777777" w:rsidR="00FF4640" w:rsidRPr="00FF4640" w:rsidRDefault="00FF4640" w:rsidP="00FF4640">
            <w:r w:rsidRPr="00FF4640">
              <w:t>57.25 (17.07)</w:t>
            </w:r>
          </w:p>
        </w:tc>
        <w:tc>
          <w:tcPr>
            <w:tcW w:w="0" w:type="auto"/>
            <w:hideMark/>
          </w:tcPr>
          <w:p w14:paraId="5FB89D3D" w14:textId="77777777" w:rsidR="00FF4640" w:rsidRPr="00FF4640" w:rsidRDefault="00FF4640" w:rsidP="00FF4640">
            <w:r w:rsidRPr="00FF4640">
              <w:t>67.26 (14.82)</w:t>
            </w:r>
          </w:p>
        </w:tc>
        <w:tc>
          <w:tcPr>
            <w:tcW w:w="0" w:type="auto"/>
            <w:hideMark/>
          </w:tcPr>
          <w:p w14:paraId="48750C9E" w14:textId="77777777" w:rsidR="00FF4640" w:rsidRPr="00FF4640" w:rsidRDefault="00FF4640" w:rsidP="00FF4640">
            <w:r w:rsidRPr="00FF4640">
              <w:t>64.01 (14.32)</w:t>
            </w:r>
          </w:p>
        </w:tc>
        <w:tc>
          <w:tcPr>
            <w:tcW w:w="0" w:type="auto"/>
            <w:hideMark/>
          </w:tcPr>
          <w:p w14:paraId="4D71F2F9" w14:textId="77777777" w:rsidR="00FF4640" w:rsidRPr="00FF4640" w:rsidRDefault="00FF4640" w:rsidP="00FF4640">
            <w:r w:rsidRPr="00FF4640">
              <w:t>0.000^^^</w:t>
            </w:r>
          </w:p>
        </w:tc>
      </w:tr>
      <w:tr w:rsidR="00FF4640" w:rsidRPr="00FF4640" w14:paraId="4E533D4C" w14:textId="77777777" w:rsidTr="00706643">
        <w:tc>
          <w:tcPr>
            <w:tcW w:w="0" w:type="auto"/>
            <w:hideMark/>
          </w:tcPr>
          <w:p w14:paraId="6A49DDCE" w14:textId="3ACA86EC" w:rsidR="00FF4640" w:rsidRPr="00FF4640" w:rsidRDefault="00FF4640" w:rsidP="00FF4640">
            <w:r w:rsidRPr="00FF4640">
              <w:t>Self-care Ability (Patient-reported) </w:t>
            </w:r>
            <w:r w:rsidRPr="00FE3F0D">
              <w:rPr>
                <w:vertAlign w:val="superscript"/>
              </w:rPr>
              <w:t>d</w:t>
            </w:r>
            <w:r w:rsidRPr="00FF4640">
              <w:t>§</w:t>
            </w:r>
          </w:p>
        </w:tc>
        <w:tc>
          <w:tcPr>
            <w:tcW w:w="0" w:type="auto"/>
            <w:hideMark/>
          </w:tcPr>
          <w:p w14:paraId="2ECF1E60" w14:textId="77777777" w:rsidR="00FF4640" w:rsidRPr="00FF4640" w:rsidRDefault="00FF4640" w:rsidP="00FF4640">
            <w:r w:rsidRPr="00FF4640">
              <w:t>8.98 (1.71)</w:t>
            </w:r>
          </w:p>
        </w:tc>
        <w:tc>
          <w:tcPr>
            <w:tcW w:w="0" w:type="auto"/>
            <w:hideMark/>
          </w:tcPr>
          <w:p w14:paraId="5ACD09FD" w14:textId="77777777" w:rsidR="00FF4640" w:rsidRPr="00FF4640" w:rsidRDefault="00FF4640" w:rsidP="00FF4640">
            <w:r w:rsidRPr="00FF4640">
              <w:t>8.39 (2.06)</w:t>
            </w:r>
          </w:p>
        </w:tc>
        <w:tc>
          <w:tcPr>
            <w:tcW w:w="0" w:type="auto"/>
            <w:hideMark/>
          </w:tcPr>
          <w:p w14:paraId="070502D5" w14:textId="77777777" w:rsidR="00FF4640" w:rsidRPr="00FF4640" w:rsidRDefault="00FF4640" w:rsidP="00FF4640">
            <w:r w:rsidRPr="00FF4640">
              <w:t>9.12 (1.58)</w:t>
            </w:r>
          </w:p>
        </w:tc>
        <w:tc>
          <w:tcPr>
            <w:tcW w:w="0" w:type="auto"/>
            <w:hideMark/>
          </w:tcPr>
          <w:p w14:paraId="664A69A3" w14:textId="77777777" w:rsidR="00FF4640" w:rsidRPr="00FF4640" w:rsidRDefault="00FF4640" w:rsidP="00FF4640">
            <w:r w:rsidRPr="00FF4640">
              <w:t>8.54 (1.91)</w:t>
            </w:r>
          </w:p>
        </w:tc>
        <w:tc>
          <w:tcPr>
            <w:tcW w:w="0" w:type="auto"/>
            <w:hideMark/>
          </w:tcPr>
          <w:p w14:paraId="4FC37E43" w14:textId="77777777" w:rsidR="00FF4640" w:rsidRPr="00FF4640" w:rsidRDefault="00FF4640" w:rsidP="00FF4640">
            <w:r w:rsidRPr="00FF4640">
              <w:t>9.03 (1.47)</w:t>
            </w:r>
          </w:p>
        </w:tc>
        <w:tc>
          <w:tcPr>
            <w:tcW w:w="0" w:type="auto"/>
            <w:hideMark/>
          </w:tcPr>
          <w:p w14:paraId="19CFA756" w14:textId="77777777" w:rsidR="00FF4640" w:rsidRPr="00FF4640" w:rsidRDefault="00FF4640" w:rsidP="00FF4640">
            <w:r w:rsidRPr="00FF4640">
              <w:t>0.000^^^</w:t>
            </w:r>
          </w:p>
        </w:tc>
      </w:tr>
      <w:tr w:rsidR="00FF4640" w:rsidRPr="00FF4640" w14:paraId="6B39E185" w14:textId="77777777" w:rsidTr="00706643">
        <w:tc>
          <w:tcPr>
            <w:tcW w:w="0" w:type="auto"/>
            <w:hideMark/>
          </w:tcPr>
          <w:p w14:paraId="6A636925" w14:textId="610B93B0" w:rsidR="00FF4640" w:rsidRPr="00FF4640" w:rsidRDefault="00FF4640" w:rsidP="00FF4640">
            <w:r w:rsidRPr="00FF4640">
              <w:t>Social Support (Patient-reported) </w:t>
            </w:r>
            <w:r w:rsidRPr="00FE3F0D">
              <w:rPr>
                <w:vertAlign w:val="superscript"/>
              </w:rPr>
              <w:t>d</w:t>
            </w:r>
            <w:r w:rsidRPr="00FF4640">
              <w:t> §</w:t>
            </w:r>
          </w:p>
        </w:tc>
        <w:tc>
          <w:tcPr>
            <w:tcW w:w="0" w:type="auto"/>
            <w:hideMark/>
          </w:tcPr>
          <w:p w14:paraId="02C596CC" w14:textId="77777777" w:rsidR="00FF4640" w:rsidRPr="00FF4640" w:rsidRDefault="00FF4640" w:rsidP="00FF4640">
            <w:r w:rsidRPr="00FF4640">
              <w:t>8.15 (3.04)</w:t>
            </w:r>
          </w:p>
        </w:tc>
        <w:tc>
          <w:tcPr>
            <w:tcW w:w="0" w:type="auto"/>
            <w:hideMark/>
          </w:tcPr>
          <w:p w14:paraId="7136C83A" w14:textId="77777777" w:rsidR="00FF4640" w:rsidRPr="00FF4640" w:rsidRDefault="00FF4640" w:rsidP="00FF4640">
            <w:r w:rsidRPr="00FF4640">
              <w:t>8.26 (2.70)</w:t>
            </w:r>
          </w:p>
        </w:tc>
        <w:tc>
          <w:tcPr>
            <w:tcW w:w="0" w:type="auto"/>
            <w:hideMark/>
          </w:tcPr>
          <w:p w14:paraId="5DAC5B26" w14:textId="77777777" w:rsidR="00FF4640" w:rsidRPr="00FF4640" w:rsidRDefault="00FF4640" w:rsidP="00FF4640">
            <w:r w:rsidRPr="00FF4640">
              <w:t>8.13 (3.11)</w:t>
            </w:r>
          </w:p>
        </w:tc>
        <w:tc>
          <w:tcPr>
            <w:tcW w:w="0" w:type="auto"/>
            <w:hideMark/>
          </w:tcPr>
          <w:p w14:paraId="383197F2" w14:textId="77777777" w:rsidR="00FF4640" w:rsidRPr="00FF4640" w:rsidRDefault="00FF4640" w:rsidP="00FF4640">
            <w:r w:rsidRPr="00FF4640">
              <w:t>8.29 (2.69)</w:t>
            </w:r>
          </w:p>
        </w:tc>
        <w:tc>
          <w:tcPr>
            <w:tcW w:w="0" w:type="auto"/>
            <w:hideMark/>
          </w:tcPr>
          <w:p w14:paraId="619F0244" w14:textId="77777777" w:rsidR="00FF4640" w:rsidRPr="00FF4640" w:rsidRDefault="00FF4640" w:rsidP="00FF4640">
            <w:r w:rsidRPr="00FF4640">
              <w:t>8.66 (2.39)</w:t>
            </w:r>
          </w:p>
        </w:tc>
        <w:tc>
          <w:tcPr>
            <w:tcW w:w="0" w:type="auto"/>
            <w:hideMark/>
          </w:tcPr>
          <w:p w14:paraId="2C26E55D" w14:textId="77777777" w:rsidR="00FF4640" w:rsidRPr="00FF4640" w:rsidRDefault="00FF4640" w:rsidP="00FF4640">
            <w:r w:rsidRPr="00FF4640">
              <w:t>0.000^^^</w:t>
            </w:r>
          </w:p>
        </w:tc>
      </w:tr>
      <w:tr w:rsidR="00FF4640" w:rsidRPr="00FF4640" w14:paraId="6768BD35" w14:textId="77777777" w:rsidTr="00706643">
        <w:tc>
          <w:tcPr>
            <w:tcW w:w="0" w:type="auto"/>
            <w:hideMark/>
          </w:tcPr>
          <w:p w14:paraId="268DA91F" w14:textId="243D70E6" w:rsidR="00FF4640" w:rsidRPr="00FF4640" w:rsidRDefault="00FF4640" w:rsidP="00FF4640">
            <w:r w:rsidRPr="00FF4640">
              <w:t>HHC Propensity Score </w:t>
            </w:r>
            <w:r w:rsidRPr="00FE3F0D">
              <w:rPr>
                <w:vertAlign w:val="superscript"/>
              </w:rPr>
              <w:t>d</w:t>
            </w:r>
            <w:r w:rsidRPr="00FF4640">
              <w:t> §</w:t>
            </w:r>
          </w:p>
        </w:tc>
        <w:tc>
          <w:tcPr>
            <w:tcW w:w="0" w:type="auto"/>
            <w:hideMark/>
          </w:tcPr>
          <w:p w14:paraId="239DE334" w14:textId="77777777" w:rsidR="00FF4640" w:rsidRPr="00FF4640" w:rsidRDefault="00FF4640" w:rsidP="00FF4640">
            <w:r w:rsidRPr="00FF4640">
              <w:t>0.19 (0.17)</w:t>
            </w:r>
          </w:p>
        </w:tc>
        <w:tc>
          <w:tcPr>
            <w:tcW w:w="0" w:type="auto"/>
            <w:hideMark/>
          </w:tcPr>
          <w:p w14:paraId="7B220CAA" w14:textId="77777777" w:rsidR="00FF4640" w:rsidRPr="00FF4640" w:rsidRDefault="00FF4640" w:rsidP="00FF4640">
            <w:r w:rsidRPr="00FF4640">
              <w:t>0.35 (0.20)</w:t>
            </w:r>
          </w:p>
        </w:tc>
        <w:tc>
          <w:tcPr>
            <w:tcW w:w="0" w:type="auto"/>
            <w:hideMark/>
          </w:tcPr>
          <w:p w14:paraId="644CE099" w14:textId="77777777" w:rsidR="00FF4640" w:rsidRPr="00FF4640" w:rsidRDefault="00FF4640" w:rsidP="00FF4640">
            <w:r w:rsidRPr="00FF4640">
              <w:t>0.15 (0.14)</w:t>
            </w:r>
          </w:p>
        </w:tc>
        <w:tc>
          <w:tcPr>
            <w:tcW w:w="0" w:type="auto"/>
            <w:hideMark/>
          </w:tcPr>
          <w:p w14:paraId="74513DBF" w14:textId="77777777" w:rsidR="00FF4640" w:rsidRPr="00FF4640" w:rsidRDefault="00FF4640" w:rsidP="00FF4640">
            <w:r w:rsidRPr="00FF4640">
              <w:t>0.33 (0.20)</w:t>
            </w:r>
          </w:p>
        </w:tc>
        <w:tc>
          <w:tcPr>
            <w:tcW w:w="0" w:type="auto"/>
            <w:hideMark/>
          </w:tcPr>
          <w:p w14:paraId="6BBAC55D" w14:textId="77777777" w:rsidR="00FF4640" w:rsidRPr="00FF4640" w:rsidRDefault="00FF4640" w:rsidP="00FF4640">
            <w:r w:rsidRPr="00FF4640">
              <w:t>0.28 (0.18)</w:t>
            </w:r>
          </w:p>
        </w:tc>
        <w:tc>
          <w:tcPr>
            <w:tcW w:w="0" w:type="auto"/>
            <w:hideMark/>
          </w:tcPr>
          <w:p w14:paraId="77328016" w14:textId="77777777" w:rsidR="00FF4640" w:rsidRPr="00FF4640" w:rsidRDefault="00FF4640" w:rsidP="00FF4640">
            <w:r w:rsidRPr="00FF4640">
              <w:t>0.000^^^</w:t>
            </w:r>
          </w:p>
        </w:tc>
      </w:tr>
      <w:bookmarkEnd w:id="44"/>
      <w:tr w:rsidR="00FF4640" w:rsidRPr="00FF4640" w14:paraId="311B9C3B" w14:textId="77777777" w:rsidTr="00706643">
        <w:tc>
          <w:tcPr>
            <w:tcW w:w="0" w:type="auto"/>
            <w:hideMark/>
          </w:tcPr>
          <w:p w14:paraId="382F85C7" w14:textId="21AC031D" w:rsidR="00FF4640" w:rsidRPr="00FF4640" w:rsidRDefault="00FF4640" w:rsidP="00FF4640">
            <w:r w:rsidRPr="00FF4640">
              <w:t>ICU Days </w:t>
            </w:r>
            <w:r w:rsidRPr="00FE3F0D">
              <w:rPr>
                <w:vertAlign w:val="superscript"/>
              </w:rPr>
              <w:t>b</w:t>
            </w:r>
            <w:r w:rsidRPr="00FF4640">
              <w:t>§</w:t>
            </w:r>
          </w:p>
        </w:tc>
        <w:tc>
          <w:tcPr>
            <w:tcW w:w="0" w:type="auto"/>
            <w:hideMark/>
          </w:tcPr>
          <w:p w14:paraId="122BEFDF" w14:textId="77777777" w:rsidR="00FF4640" w:rsidRPr="00FF4640" w:rsidRDefault="00FF4640" w:rsidP="00FF4640">
            <w:r w:rsidRPr="00FF4640">
              <w:t>0.60 (1.88)</w:t>
            </w:r>
          </w:p>
        </w:tc>
        <w:tc>
          <w:tcPr>
            <w:tcW w:w="0" w:type="auto"/>
            <w:hideMark/>
          </w:tcPr>
          <w:p w14:paraId="3A9E09EA" w14:textId="77777777" w:rsidR="00FF4640" w:rsidRPr="00FF4640" w:rsidRDefault="00FF4640" w:rsidP="00FF4640">
            <w:r w:rsidRPr="00FF4640">
              <w:t>1.16 (2.88)</w:t>
            </w:r>
          </w:p>
        </w:tc>
        <w:tc>
          <w:tcPr>
            <w:tcW w:w="0" w:type="auto"/>
            <w:hideMark/>
          </w:tcPr>
          <w:p w14:paraId="5BEF2FEC" w14:textId="77777777" w:rsidR="00FF4640" w:rsidRPr="00FF4640" w:rsidRDefault="00FF4640" w:rsidP="00FF4640">
            <w:r w:rsidRPr="00FF4640">
              <w:t>0.47 (1.52)</w:t>
            </w:r>
          </w:p>
        </w:tc>
        <w:tc>
          <w:tcPr>
            <w:tcW w:w="0" w:type="auto"/>
            <w:hideMark/>
          </w:tcPr>
          <w:p w14:paraId="020E4961" w14:textId="77777777" w:rsidR="00FF4640" w:rsidRPr="00FF4640" w:rsidRDefault="00FF4640" w:rsidP="00FF4640">
            <w:r w:rsidRPr="00FF4640">
              <w:t>1.19 (2.93)</w:t>
            </w:r>
          </w:p>
        </w:tc>
        <w:tc>
          <w:tcPr>
            <w:tcW w:w="0" w:type="auto"/>
            <w:hideMark/>
          </w:tcPr>
          <w:p w14:paraId="7921BD24" w14:textId="77777777" w:rsidR="00FF4640" w:rsidRPr="00FF4640" w:rsidRDefault="00FF4640" w:rsidP="00FF4640">
            <w:r w:rsidRPr="00FF4640">
              <w:t>0.96 (2.02)</w:t>
            </w:r>
          </w:p>
        </w:tc>
        <w:tc>
          <w:tcPr>
            <w:tcW w:w="0" w:type="auto"/>
            <w:hideMark/>
          </w:tcPr>
          <w:p w14:paraId="1E62030C" w14:textId="77777777" w:rsidR="00FF4640" w:rsidRPr="00FF4640" w:rsidRDefault="00FF4640" w:rsidP="00FF4640">
            <w:r w:rsidRPr="00FF4640">
              <w:t>0.001^</w:t>
            </w:r>
          </w:p>
        </w:tc>
      </w:tr>
      <w:tr w:rsidR="00FF4640" w:rsidRPr="00FF4640" w14:paraId="4C2FD274" w14:textId="77777777" w:rsidTr="00706643">
        <w:tc>
          <w:tcPr>
            <w:tcW w:w="0" w:type="auto"/>
            <w:hideMark/>
          </w:tcPr>
          <w:p w14:paraId="0B45581B" w14:textId="64DF43BE" w:rsidR="00FF4640" w:rsidRPr="00FF4640" w:rsidRDefault="00FF4640" w:rsidP="00FF4640">
            <w:r w:rsidRPr="00FF4640">
              <w:t>Severity of Illness </w:t>
            </w:r>
            <w:r w:rsidRPr="00FE3F0D">
              <w:rPr>
                <w:vertAlign w:val="superscript"/>
              </w:rPr>
              <w:t>b</w:t>
            </w:r>
            <w:r w:rsidRPr="00FF4640">
              <w:t> ≠</w:t>
            </w:r>
          </w:p>
        </w:tc>
        <w:tc>
          <w:tcPr>
            <w:tcW w:w="0" w:type="auto"/>
            <w:hideMark/>
          </w:tcPr>
          <w:p w14:paraId="7E51C106" w14:textId="77777777" w:rsidR="00FF4640" w:rsidRPr="00FF4640" w:rsidRDefault="00FF4640" w:rsidP="00FF4640"/>
        </w:tc>
        <w:tc>
          <w:tcPr>
            <w:tcW w:w="0" w:type="auto"/>
            <w:hideMark/>
          </w:tcPr>
          <w:p w14:paraId="2166EC62" w14:textId="77777777" w:rsidR="00FF4640" w:rsidRPr="00FF4640" w:rsidRDefault="00FF4640" w:rsidP="00FF4640"/>
        </w:tc>
        <w:tc>
          <w:tcPr>
            <w:tcW w:w="0" w:type="auto"/>
            <w:hideMark/>
          </w:tcPr>
          <w:p w14:paraId="04871FFB" w14:textId="77777777" w:rsidR="00FF4640" w:rsidRPr="00FF4640" w:rsidRDefault="00FF4640" w:rsidP="00FF4640"/>
        </w:tc>
        <w:tc>
          <w:tcPr>
            <w:tcW w:w="0" w:type="auto"/>
            <w:hideMark/>
          </w:tcPr>
          <w:p w14:paraId="4EE29263" w14:textId="77777777" w:rsidR="00FF4640" w:rsidRPr="00FF4640" w:rsidRDefault="00FF4640" w:rsidP="00FF4640"/>
        </w:tc>
        <w:tc>
          <w:tcPr>
            <w:tcW w:w="0" w:type="auto"/>
            <w:hideMark/>
          </w:tcPr>
          <w:p w14:paraId="6516AE43" w14:textId="77777777" w:rsidR="00FF4640" w:rsidRPr="00FF4640" w:rsidRDefault="00FF4640" w:rsidP="00FF4640"/>
        </w:tc>
        <w:tc>
          <w:tcPr>
            <w:tcW w:w="0" w:type="auto"/>
            <w:hideMark/>
          </w:tcPr>
          <w:p w14:paraId="3228396D" w14:textId="77777777" w:rsidR="00FF4640" w:rsidRPr="00FF4640" w:rsidRDefault="00FF4640" w:rsidP="00FF4640"/>
        </w:tc>
      </w:tr>
      <w:tr w:rsidR="00FF4640" w:rsidRPr="00FF4640" w14:paraId="64C07F62" w14:textId="77777777" w:rsidTr="00706643">
        <w:tc>
          <w:tcPr>
            <w:tcW w:w="0" w:type="auto"/>
            <w:hideMark/>
          </w:tcPr>
          <w:p w14:paraId="61A98D65" w14:textId="77777777" w:rsidR="00FF4640" w:rsidRPr="00FF4640" w:rsidRDefault="00FF4640" w:rsidP="00FF4640">
            <w:r w:rsidRPr="00FF4640">
              <w:t>Minor</w:t>
            </w:r>
          </w:p>
        </w:tc>
        <w:tc>
          <w:tcPr>
            <w:tcW w:w="0" w:type="auto"/>
            <w:hideMark/>
          </w:tcPr>
          <w:p w14:paraId="40A2530D" w14:textId="77777777" w:rsidR="00FF4640" w:rsidRPr="00FF4640" w:rsidRDefault="00FF4640" w:rsidP="00FF4640">
            <w:r w:rsidRPr="00FF4640">
              <w:t>2,358 (12.71%)</w:t>
            </w:r>
          </w:p>
        </w:tc>
        <w:tc>
          <w:tcPr>
            <w:tcW w:w="0" w:type="auto"/>
            <w:hideMark/>
          </w:tcPr>
          <w:p w14:paraId="2E590120" w14:textId="77777777" w:rsidR="00FF4640" w:rsidRPr="00FF4640" w:rsidRDefault="00FF4640" w:rsidP="00FF4640">
            <w:r w:rsidRPr="00FF4640">
              <w:t>152 (4.25%)</w:t>
            </w:r>
          </w:p>
        </w:tc>
        <w:tc>
          <w:tcPr>
            <w:tcW w:w="0" w:type="auto"/>
            <w:hideMark/>
          </w:tcPr>
          <w:p w14:paraId="278CF594" w14:textId="77777777" w:rsidR="00FF4640" w:rsidRPr="00FF4640" w:rsidRDefault="00FF4640" w:rsidP="00FF4640">
            <w:r w:rsidRPr="00FF4640">
              <w:t>2,206 (14.73%)</w:t>
            </w:r>
          </w:p>
        </w:tc>
        <w:tc>
          <w:tcPr>
            <w:tcW w:w="0" w:type="auto"/>
            <w:hideMark/>
          </w:tcPr>
          <w:p w14:paraId="65B5F725" w14:textId="77777777" w:rsidR="00FF4640" w:rsidRPr="00FF4640" w:rsidRDefault="00FF4640" w:rsidP="00FF4640">
            <w:r w:rsidRPr="00FF4640">
              <w:t>124 (4.48%)</w:t>
            </w:r>
          </w:p>
        </w:tc>
        <w:tc>
          <w:tcPr>
            <w:tcW w:w="0" w:type="auto"/>
            <w:hideMark/>
          </w:tcPr>
          <w:p w14:paraId="10D7321E" w14:textId="77777777" w:rsidR="00FF4640" w:rsidRPr="00FF4640" w:rsidRDefault="00FF4640" w:rsidP="00FF4640">
            <w:r w:rsidRPr="00FF4640">
              <w:t>178 (6.43%)</w:t>
            </w:r>
          </w:p>
        </w:tc>
        <w:tc>
          <w:tcPr>
            <w:tcW w:w="0" w:type="auto"/>
            <w:hideMark/>
          </w:tcPr>
          <w:p w14:paraId="2AAA5D0D" w14:textId="77777777" w:rsidR="00FF4640" w:rsidRPr="00FF4640" w:rsidRDefault="00FF4640" w:rsidP="00FF4640">
            <w:r w:rsidRPr="00FF4640">
              <w:t>0.001</w:t>
            </w:r>
          </w:p>
        </w:tc>
      </w:tr>
      <w:tr w:rsidR="00FF4640" w:rsidRPr="00FF4640" w14:paraId="104CF009" w14:textId="77777777" w:rsidTr="00706643">
        <w:tc>
          <w:tcPr>
            <w:tcW w:w="0" w:type="auto"/>
            <w:hideMark/>
          </w:tcPr>
          <w:p w14:paraId="47E3AD44" w14:textId="77777777" w:rsidR="00FF4640" w:rsidRPr="00FF4640" w:rsidRDefault="00FF4640" w:rsidP="00FF4640">
            <w:r w:rsidRPr="00FF4640">
              <w:t>Moderate</w:t>
            </w:r>
          </w:p>
        </w:tc>
        <w:tc>
          <w:tcPr>
            <w:tcW w:w="0" w:type="auto"/>
            <w:hideMark/>
          </w:tcPr>
          <w:p w14:paraId="047ADB4E" w14:textId="77777777" w:rsidR="00FF4640" w:rsidRPr="00FF4640" w:rsidRDefault="00FF4640" w:rsidP="00FF4640">
            <w:r w:rsidRPr="00FF4640">
              <w:t>5,723 (30.84%)</w:t>
            </w:r>
          </w:p>
        </w:tc>
        <w:tc>
          <w:tcPr>
            <w:tcW w:w="0" w:type="auto"/>
            <w:hideMark/>
          </w:tcPr>
          <w:p w14:paraId="783BEB64" w14:textId="77777777" w:rsidR="00FF4640" w:rsidRPr="00FF4640" w:rsidRDefault="00FF4640" w:rsidP="00FF4640">
            <w:r w:rsidRPr="00FF4640">
              <w:t>777 (21.71%)</w:t>
            </w:r>
          </w:p>
        </w:tc>
        <w:tc>
          <w:tcPr>
            <w:tcW w:w="0" w:type="auto"/>
            <w:hideMark/>
          </w:tcPr>
          <w:p w14:paraId="2DC2540A" w14:textId="77777777" w:rsidR="00FF4640" w:rsidRPr="00FF4640" w:rsidRDefault="00FF4640" w:rsidP="00FF4640">
            <w:r w:rsidRPr="00FF4640">
              <w:t>4,946 (33.03%)</w:t>
            </w:r>
          </w:p>
        </w:tc>
        <w:tc>
          <w:tcPr>
            <w:tcW w:w="0" w:type="auto"/>
            <w:hideMark/>
          </w:tcPr>
          <w:p w14:paraId="131ECF17" w14:textId="77777777" w:rsidR="00FF4640" w:rsidRPr="00FF4640" w:rsidRDefault="00FF4640" w:rsidP="00FF4640">
            <w:r w:rsidRPr="00FF4640">
              <w:t>606 (21.90%)</w:t>
            </w:r>
          </w:p>
        </w:tc>
        <w:tc>
          <w:tcPr>
            <w:tcW w:w="0" w:type="auto"/>
            <w:hideMark/>
          </w:tcPr>
          <w:p w14:paraId="1FFB5576" w14:textId="77777777" w:rsidR="00FF4640" w:rsidRPr="00FF4640" w:rsidRDefault="00FF4640" w:rsidP="00FF4640">
            <w:r w:rsidRPr="00FF4640">
              <w:t>671 (24.25%)</w:t>
            </w:r>
          </w:p>
        </w:tc>
        <w:tc>
          <w:tcPr>
            <w:tcW w:w="0" w:type="auto"/>
            <w:hideMark/>
          </w:tcPr>
          <w:p w14:paraId="080A5AE0" w14:textId="77777777" w:rsidR="00FF4640" w:rsidRPr="00FF4640" w:rsidRDefault="00FF4640" w:rsidP="00FF4640">
            <w:r w:rsidRPr="00FF4640">
              <w:t>0.052</w:t>
            </w:r>
          </w:p>
        </w:tc>
      </w:tr>
      <w:tr w:rsidR="00FF4640" w:rsidRPr="00FF4640" w14:paraId="3E4AC9BD" w14:textId="77777777" w:rsidTr="00706643">
        <w:tc>
          <w:tcPr>
            <w:tcW w:w="0" w:type="auto"/>
            <w:hideMark/>
          </w:tcPr>
          <w:p w14:paraId="72A146A2" w14:textId="77777777" w:rsidR="00FF4640" w:rsidRPr="00FF4640" w:rsidRDefault="00FF4640" w:rsidP="00FF4640">
            <w:r w:rsidRPr="00FF4640">
              <w:t>Major</w:t>
            </w:r>
          </w:p>
        </w:tc>
        <w:tc>
          <w:tcPr>
            <w:tcW w:w="0" w:type="auto"/>
            <w:hideMark/>
          </w:tcPr>
          <w:p w14:paraId="301FABFD" w14:textId="77777777" w:rsidR="00FF4640" w:rsidRPr="00FF4640" w:rsidRDefault="00FF4640" w:rsidP="00FF4640">
            <w:r w:rsidRPr="00FF4640">
              <w:t>5,734 (30.90%)</w:t>
            </w:r>
          </w:p>
        </w:tc>
        <w:tc>
          <w:tcPr>
            <w:tcW w:w="0" w:type="auto"/>
            <w:hideMark/>
          </w:tcPr>
          <w:p w14:paraId="4A15DB8E" w14:textId="77777777" w:rsidR="00FF4640" w:rsidRPr="00FF4640" w:rsidRDefault="00FF4640" w:rsidP="00FF4640">
            <w:r w:rsidRPr="00FF4640">
              <w:t>1,481 (41.38%)</w:t>
            </w:r>
          </w:p>
        </w:tc>
        <w:tc>
          <w:tcPr>
            <w:tcW w:w="0" w:type="auto"/>
            <w:hideMark/>
          </w:tcPr>
          <w:p w14:paraId="4394BDD6" w14:textId="77777777" w:rsidR="00FF4640" w:rsidRPr="00FF4640" w:rsidRDefault="00FF4640" w:rsidP="00FF4640">
            <w:r w:rsidRPr="00FF4640">
              <w:t>4,253 (28.40%)</w:t>
            </w:r>
          </w:p>
        </w:tc>
        <w:tc>
          <w:tcPr>
            <w:tcW w:w="0" w:type="auto"/>
            <w:hideMark/>
          </w:tcPr>
          <w:p w14:paraId="3C43A01F" w14:textId="77777777" w:rsidR="00FF4640" w:rsidRPr="00FF4640" w:rsidRDefault="00FF4640" w:rsidP="00FF4640">
            <w:r w:rsidRPr="00FF4640">
              <w:t>1,158 (41.85%)</w:t>
            </w:r>
          </w:p>
        </w:tc>
        <w:tc>
          <w:tcPr>
            <w:tcW w:w="0" w:type="auto"/>
            <w:hideMark/>
          </w:tcPr>
          <w:p w14:paraId="096295E3" w14:textId="77777777" w:rsidR="00FF4640" w:rsidRPr="00FF4640" w:rsidRDefault="00FF4640" w:rsidP="00FF4640">
            <w:r w:rsidRPr="00FF4640">
              <w:t>1,090 (39.39%)</w:t>
            </w:r>
          </w:p>
        </w:tc>
        <w:tc>
          <w:tcPr>
            <w:tcW w:w="0" w:type="auto"/>
            <w:hideMark/>
          </w:tcPr>
          <w:p w14:paraId="261CEA07" w14:textId="77777777" w:rsidR="00FF4640" w:rsidRPr="00FF4640" w:rsidRDefault="00FF4640" w:rsidP="00FF4640">
            <w:r w:rsidRPr="00FF4640">
              <w:t>0.068</w:t>
            </w:r>
          </w:p>
        </w:tc>
      </w:tr>
      <w:tr w:rsidR="00FF4640" w:rsidRPr="00FF4640" w14:paraId="7FBF810A" w14:textId="77777777" w:rsidTr="00706643">
        <w:tc>
          <w:tcPr>
            <w:tcW w:w="0" w:type="auto"/>
            <w:hideMark/>
          </w:tcPr>
          <w:p w14:paraId="562A1E2B" w14:textId="77777777" w:rsidR="00FF4640" w:rsidRPr="00FF4640" w:rsidRDefault="00FF4640" w:rsidP="00FF4640">
            <w:r w:rsidRPr="00FF4640">
              <w:t>Extreme</w:t>
            </w:r>
          </w:p>
        </w:tc>
        <w:tc>
          <w:tcPr>
            <w:tcW w:w="0" w:type="auto"/>
            <w:hideMark/>
          </w:tcPr>
          <w:p w14:paraId="28D42E8A" w14:textId="77777777" w:rsidR="00FF4640" w:rsidRPr="00FF4640" w:rsidRDefault="00FF4640" w:rsidP="00FF4640">
            <w:r w:rsidRPr="00FF4640">
              <w:t>1,060 (5.71%)</w:t>
            </w:r>
          </w:p>
        </w:tc>
        <w:tc>
          <w:tcPr>
            <w:tcW w:w="0" w:type="auto"/>
            <w:hideMark/>
          </w:tcPr>
          <w:p w14:paraId="6F0A3295" w14:textId="77777777" w:rsidR="00FF4640" w:rsidRPr="00FF4640" w:rsidRDefault="00FF4640" w:rsidP="00FF4640">
            <w:r w:rsidRPr="00FF4640">
              <w:t>435 (12.15%)</w:t>
            </w:r>
          </w:p>
        </w:tc>
        <w:tc>
          <w:tcPr>
            <w:tcW w:w="0" w:type="auto"/>
            <w:hideMark/>
          </w:tcPr>
          <w:p w14:paraId="75435EC9" w14:textId="77777777" w:rsidR="00FF4640" w:rsidRPr="00FF4640" w:rsidRDefault="00FF4640" w:rsidP="00FF4640">
            <w:r w:rsidRPr="00FF4640">
              <w:t>625 (4.17%)</w:t>
            </w:r>
          </w:p>
        </w:tc>
        <w:tc>
          <w:tcPr>
            <w:tcW w:w="0" w:type="auto"/>
            <w:hideMark/>
          </w:tcPr>
          <w:p w14:paraId="34982B26" w14:textId="77777777" w:rsidR="00FF4640" w:rsidRPr="00FF4640" w:rsidRDefault="00FF4640" w:rsidP="00FF4640">
            <w:r w:rsidRPr="00FF4640">
              <w:t>323 (11.67%)</w:t>
            </w:r>
          </w:p>
        </w:tc>
        <w:tc>
          <w:tcPr>
            <w:tcW w:w="0" w:type="auto"/>
            <w:hideMark/>
          </w:tcPr>
          <w:p w14:paraId="4CBC1A75" w14:textId="77777777" w:rsidR="00FF4640" w:rsidRPr="00FF4640" w:rsidRDefault="00FF4640" w:rsidP="00FF4640">
            <w:r w:rsidRPr="00FF4640">
              <w:t>264 (9.54%)</w:t>
            </w:r>
          </w:p>
        </w:tc>
        <w:tc>
          <w:tcPr>
            <w:tcW w:w="0" w:type="auto"/>
            <w:hideMark/>
          </w:tcPr>
          <w:p w14:paraId="674FE98C" w14:textId="77777777" w:rsidR="00FF4640" w:rsidRPr="00FF4640" w:rsidRDefault="00FF4640" w:rsidP="00FF4640">
            <w:r w:rsidRPr="00FF4640">
              <w:t>0.013</w:t>
            </w:r>
          </w:p>
        </w:tc>
      </w:tr>
      <w:tr w:rsidR="00FF4640" w:rsidRPr="00FF4640" w14:paraId="60DABF57" w14:textId="77777777" w:rsidTr="00706643">
        <w:tc>
          <w:tcPr>
            <w:tcW w:w="0" w:type="auto"/>
            <w:hideMark/>
          </w:tcPr>
          <w:p w14:paraId="70C64D06" w14:textId="77777777" w:rsidR="00FF4640" w:rsidRPr="00FF4640" w:rsidRDefault="00FF4640" w:rsidP="00FF4640">
            <w:r w:rsidRPr="00FF4640">
              <w:t>Unknown</w:t>
            </w:r>
          </w:p>
        </w:tc>
        <w:tc>
          <w:tcPr>
            <w:tcW w:w="0" w:type="auto"/>
            <w:hideMark/>
          </w:tcPr>
          <w:p w14:paraId="0285CAB5" w14:textId="77777777" w:rsidR="00FF4640" w:rsidRPr="00FF4640" w:rsidRDefault="00FF4640" w:rsidP="00FF4640">
            <w:r w:rsidRPr="00FF4640">
              <w:t>3,680 (19.83%)</w:t>
            </w:r>
          </w:p>
        </w:tc>
        <w:tc>
          <w:tcPr>
            <w:tcW w:w="0" w:type="auto"/>
            <w:hideMark/>
          </w:tcPr>
          <w:p w14:paraId="61BE280A" w14:textId="77777777" w:rsidR="00FF4640" w:rsidRPr="00FF4640" w:rsidRDefault="00FF4640" w:rsidP="00FF4640">
            <w:r w:rsidRPr="00FF4640">
              <w:t>734 (20.51%)</w:t>
            </w:r>
          </w:p>
        </w:tc>
        <w:tc>
          <w:tcPr>
            <w:tcW w:w="0" w:type="auto"/>
            <w:hideMark/>
          </w:tcPr>
          <w:p w14:paraId="571300DE" w14:textId="77777777" w:rsidR="00FF4640" w:rsidRPr="00FF4640" w:rsidRDefault="00FF4640" w:rsidP="00FF4640">
            <w:r w:rsidRPr="00FF4640">
              <w:t>2,946 (19.67%)</w:t>
            </w:r>
          </w:p>
        </w:tc>
        <w:tc>
          <w:tcPr>
            <w:tcW w:w="0" w:type="auto"/>
            <w:hideMark/>
          </w:tcPr>
          <w:p w14:paraId="0F153173" w14:textId="77777777" w:rsidR="00FF4640" w:rsidRPr="00FF4640" w:rsidRDefault="00FF4640" w:rsidP="00FF4640">
            <w:r w:rsidRPr="00FF4640">
              <w:t>556 (20.09%)</w:t>
            </w:r>
          </w:p>
        </w:tc>
        <w:tc>
          <w:tcPr>
            <w:tcW w:w="0" w:type="auto"/>
            <w:hideMark/>
          </w:tcPr>
          <w:p w14:paraId="3B16B25D" w14:textId="77777777" w:rsidR="00FF4640" w:rsidRPr="00FF4640" w:rsidRDefault="00FF4640" w:rsidP="00FF4640">
            <w:r w:rsidRPr="00FF4640">
              <w:t>564 (20.38%)</w:t>
            </w:r>
          </w:p>
        </w:tc>
        <w:tc>
          <w:tcPr>
            <w:tcW w:w="0" w:type="auto"/>
            <w:hideMark/>
          </w:tcPr>
          <w:p w14:paraId="70C56C5A" w14:textId="77777777" w:rsidR="00FF4640" w:rsidRPr="00FF4640" w:rsidRDefault="00FF4640" w:rsidP="00FF4640">
            <w:r w:rsidRPr="00FF4640">
              <w:t>0.003</w:t>
            </w:r>
          </w:p>
        </w:tc>
      </w:tr>
      <w:tr w:rsidR="00FF4640" w:rsidRPr="00FF4640" w14:paraId="7FD5FC9B" w14:textId="77777777" w:rsidTr="00706643">
        <w:tc>
          <w:tcPr>
            <w:tcW w:w="0" w:type="auto"/>
            <w:hideMark/>
          </w:tcPr>
          <w:p w14:paraId="42EB562E" w14:textId="0B21FF42" w:rsidR="00FF4640" w:rsidRPr="00FF4640" w:rsidRDefault="00FF4640" w:rsidP="00FF4640">
            <w:r w:rsidRPr="00FF4640">
              <w:t>Payer Type </w:t>
            </w:r>
            <w:r w:rsidRPr="00FE3F0D">
              <w:rPr>
                <w:vertAlign w:val="superscript"/>
              </w:rPr>
              <w:t>b</w:t>
            </w:r>
            <w:r w:rsidRPr="00FF4640">
              <w:t> ≠</w:t>
            </w:r>
          </w:p>
        </w:tc>
        <w:tc>
          <w:tcPr>
            <w:tcW w:w="0" w:type="auto"/>
            <w:hideMark/>
          </w:tcPr>
          <w:p w14:paraId="5955F9ED" w14:textId="77777777" w:rsidR="00FF4640" w:rsidRPr="00FF4640" w:rsidRDefault="00FF4640" w:rsidP="00FF4640"/>
        </w:tc>
        <w:tc>
          <w:tcPr>
            <w:tcW w:w="0" w:type="auto"/>
            <w:hideMark/>
          </w:tcPr>
          <w:p w14:paraId="5261E36C" w14:textId="77777777" w:rsidR="00FF4640" w:rsidRPr="00FF4640" w:rsidRDefault="00FF4640" w:rsidP="00FF4640"/>
        </w:tc>
        <w:tc>
          <w:tcPr>
            <w:tcW w:w="0" w:type="auto"/>
            <w:hideMark/>
          </w:tcPr>
          <w:p w14:paraId="105E7669" w14:textId="77777777" w:rsidR="00FF4640" w:rsidRPr="00FF4640" w:rsidRDefault="00FF4640" w:rsidP="00FF4640"/>
        </w:tc>
        <w:tc>
          <w:tcPr>
            <w:tcW w:w="0" w:type="auto"/>
            <w:hideMark/>
          </w:tcPr>
          <w:p w14:paraId="12F15B43" w14:textId="77777777" w:rsidR="00FF4640" w:rsidRPr="00FF4640" w:rsidRDefault="00FF4640" w:rsidP="00FF4640"/>
        </w:tc>
        <w:tc>
          <w:tcPr>
            <w:tcW w:w="0" w:type="auto"/>
            <w:hideMark/>
          </w:tcPr>
          <w:p w14:paraId="5046C6E5" w14:textId="77777777" w:rsidR="00FF4640" w:rsidRPr="00FF4640" w:rsidRDefault="00FF4640" w:rsidP="00FF4640"/>
        </w:tc>
        <w:tc>
          <w:tcPr>
            <w:tcW w:w="0" w:type="auto"/>
            <w:hideMark/>
          </w:tcPr>
          <w:p w14:paraId="464929D0" w14:textId="77777777" w:rsidR="00FF4640" w:rsidRPr="00FF4640" w:rsidRDefault="00FF4640" w:rsidP="00FF4640"/>
        </w:tc>
      </w:tr>
      <w:tr w:rsidR="00FF4640" w:rsidRPr="00FF4640" w14:paraId="3FF8CC03" w14:textId="77777777" w:rsidTr="00706643">
        <w:tc>
          <w:tcPr>
            <w:tcW w:w="0" w:type="auto"/>
            <w:hideMark/>
          </w:tcPr>
          <w:p w14:paraId="4F48C3AA" w14:textId="77777777" w:rsidR="00FF4640" w:rsidRPr="00FF4640" w:rsidRDefault="00FF4640" w:rsidP="00FF4640">
            <w:r w:rsidRPr="00FF4640">
              <w:t>Private</w:t>
            </w:r>
          </w:p>
        </w:tc>
        <w:tc>
          <w:tcPr>
            <w:tcW w:w="0" w:type="auto"/>
            <w:hideMark/>
          </w:tcPr>
          <w:p w14:paraId="35872641" w14:textId="77777777" w:rsidR="00FF4640" w:rsidRPr="00FF4640" w:rsidRDefault="00FF4640" w:rsidP="00FF4640">
            <w:r w:rsidRPr="00FF4640">
              <w:t>5,386 (29.03)</w:t>
            </w:r>
          </w:p>
        </w:tc>
        <w:tc>
          <w:tcPr>
            <w:tcW w:w="0" w:type="auto"/>
            <w:hideMark/>
          </w:tcPr>
          <w:p w14:paraId="1CD348C2" w14:textId="77777777" w:rsidR="00FF4640" w:rsidRPr="00FF4640" w:rsidRDefault="00FF4640" w:rsidP="00FF4640">
            <w:r w:rsidRPr="00FF4640">
              <w:t>711 (19.87)</w:t>
            </w:r>
          </w:p>
        </w:tc>
        <w:tc>
          <w:tcPr>
            <w:tcW w:w="0" w:type="auto"/>
            <w:hideMark/>
          </w:tcPr>
          <w:p w14:paraId="709AF657" w14:textId="77777777" w:rsidR="00FF4640" w:rsidRPr="00FF4640" w:rsidRDefault="00FF4640" w:rsidP="00FF4640">
            <w:r w:rsidRPr="00FF4640">
              <w:t>4,675 (31.22)</w:t>
            </w:r>
          </w:p>
        </w:tc>
        <w:tc>
          <w:tcPr>
            <w:tcW w:w="0" w:type="auto"/>
            <w:hideMark/>
          </w:tcPr>
          <w:p w14:paraId="03E96CD5" w14:textId="77777777" w:rsidR="00FF4640" w:rsidRPr="00FF4640" w:rsidRDefault="00FF4640" w:rsidP="00FF4640">
            <w:r w:rsidRPr="00FF4640">
              <w:t>599 (21.65)</w:t>
            </w:r>
          </w:p>
        </w:tc>
        <w:tc>
          <w:tcPr>
            <w:tcW w:w="0" w:type="auto"/>
            <w:hideMark/>
          </w:tcPr>
          <w:p w14:paraId="2D00D95C" w14:textId="77777777" w:rsidR="00FF4640" w:rsidRPr="00FF4640" w:rsidRDefault="00FF4640" w:rsidP="00FF4640">
            <w:r w:rsidRPr="00FF4640">
              <w:t>736 (26.60)</w:t>
            </w:r>
          </w:p>
        </w:tc>
        <w:tc>
          <w:tcPr>
            <w:tcW w:w="0" w:type="auto"/>
            <w:hideMark/>
          </w:tcPr>
          <w:p w14:paraId="149F57D2" w14:textId="77777777" w:rsidR="00FF4640" w:rsidRPr="00FF4640" w:rsidRDefault="00FF4640" w:rsidP="00FF4640">
            <w:r w:rsidRPr="00FF4640">
              <w:t>0.000^^^</w:t>
            </w:r>
          </w:p>
        </w:tc>
      </w:tr>
      <w:tr w:rsidR="00FF4640" w:rsidRPr="00FF4640" w14:paraId="0549E988" w14:textId="77777777" w:rsidTr="00706643">
        <w:tc>
          <w:tcPr>
            <w:tcW w:w="0" w:type="auto"/>
            <w:hideMark/>
          </w:tcPr>
          <w:p w14:paraId="46B755D2" w14:textId="77777777" w:rsidR="00FF4640" w:rsidRPr="00FF4640" w:rsidRDefault="00FF4640" w:rsidP="00FF4640">
            <w:r w:rsidRPr="00FF4640">
              <w:t>Medicare</w:t>
            </w:r>
          </w:p>
        </w:tc>
        <w:tc>
          <w:tcPr>
            <w:tcW w:w="0" w:type="auto"/>
            <w:hideMark/>
          </w:tcPr>
          <w:p w14:paraId="0264451D" w14:textId="77777777" w:rsidR="00FF4640" w:rsidRPr="00FF4640" w:rsidRDefault="00FF4640" w:rsidP="00FF4640">
            <w:r w:rsidRPr="00FF4640">
              <w:t>7,848 (42.30)</w:t>
            </w:r>
          </w:p>
        </w:tc>
        <w:tc>
          <w:tcPr>
            <w:tcW w:w="0" w:type="auto"/>
            <w:hideMark/>
          </w:tcPr>
          <w:p w14:paraId="5BBC2B9F" w14:textId="77777777" w:rsidR="00FF4640" w:rsidRPr="00FF4640" w:rsidRDefault="00FF4640" w:rsidP="00FF4640">
            <w:r w:rsidRPr="00FF4640">
              <w:t>2,124 (59.35)</w:t>
            </w:r>
          </w:p>
        </w:tc>
        <w:tc>
          <w:tcPr>
            <w:tcW w:w="0" w:type="auto"/>
            <w:hideMark/>
          </w:tcPr>
          <w:p w14:paraId="5CE2548B" w14:textId="77777777" w:rsidR="00FF4640" w:rsidRPr="00FF4640" w:rsidRDefault="00FF4640" w:rsidP="00FF4640">
            <w:r w:rsidRPr="00FF4640">
              <w:t>5,724 (38.22)</w:t>
            </w:r>
          </w:p>
        </w:tc>
        <w:tc>
          <w:tcPr>
            <w:tcW w:w="0" w:type="auto"/>
            <w:hideMark/>
          </w:tcPr>
          <w:p w14:paraId="71D24AE9" w14:textId="77777777" w:rsidR="00FF4640" w:rsidRPr="00FF4640" w:rsidRDefault="00FF4640" w:rsidP="00FF4640">
            <w:r w:rsidRPr="00FF4640">
              <w:t>1,633 (59.02)</w:t>
            </w:r>
          </w:p>
        </w:tc>
        <w:tc>
          <w:tcPr>
            <w:tcW w:w="0" w:type="auto"/>
            <w:hideMark/>
          </w:tcPr>
          <w:p w14:paraId="2B90B47F" w14:textId="77777777" w:rsidR="00FF4640" w:rsidRPr="00FF4640" w:rsidRDefault="00FF4640" w:rsidP="00FF4640">
            <w:r w:rsidRPr="00FF4640">
              <w:t>1,379 (49.84)</w:t>
            </w:r>
          </w:p>
        </w:tc>
        <w:tc>
          <w:tcPr>
            <w:tcW w:w="0" w:type="auto"/>
            <w:hideMark/>
          </w:tcPr>
          <w:p w14:paraId="69693CAF" w14:textId="77777777" w:rsidR="00FF4640" w:rsidRPr="00FF4640" w:rsidRDefault="00FF4640" w:rsidP="00FF4640">
            <w:r w:rsidRPr="00FF4640">
              <w:t>0.000^^^</w:t>
            </w:r>
          </w:p>
        </w:tc>
      </w:tr>
      <w:tr w:rsidR="00FF4640" w:rsidRPr="00FF4640" w14:paraId="5F94C52D" w14:textId="77777777" w:rsidTr="00706643">
        <w:tc>
          <w:tcPr>
            <w:tcW w:w="0" w:type="auto"/>
            <w:hideMark/>
          </w:tcPr>
          <w:p w14:paraId="7F90C5B8" w14:textId="77777777" w:rsidR="00FF4640" w:rsidRPr="00FF4640" w:rsidRDefault="00FF4640" w:rsidP="00FF4640">
            <w:r w:rsidRPr="00FF4640">
              <w:t>Medicaid</w:t>
            </w:r>
          </w:p>
        </w:tc>
        <w:tc>
          <w:tcPr>
            <w:tcW w:w="0" w:type="auto"/>
            <w:hideMark/>
          </w:tcPr>
          <w:p w14:paraId="6FFE1056" w14:textId="77777777" w:rsidR="00FF4640" w:rsidRPr="00FF4640" w:rsidRDefault="00FF4640" w:rsidP="00FF4640">
            <w:r w:rsidRPr="00FF4640">
              <w:t>2,745 (14.79)</w:t>
            </w:r>
          </w:p>
        </w:tc>
        <w:tc>
          <w:tcPr>
            <w:tcW w:w="0" w:type="auto"/>
            <w:hideMark/>
          </w:tcPr>
          <w:p w14:paraId="00C5B40C" w14:textId="77777777" w:rsidR="00FF4640" w:rsidRPr="00FF4640" w:rsidRDefault="00FF4640" w:rsidP="00FF4640">
            <w:r w:rsidRPr="00FF4640">
              <w:t>330 (9.22)</w:t>
            </w:r>
          </w:p>
        </w:tc>
        <w:tc>
          <w:tcPr>
            <w:tcW w:w="0" w:type="auto"/>
            <w:hideMark/>
          </w:tcPr>
          <w:p w14:paraId="3B98ED20" w14:textId="77777777" w:rsidR="00FF4640" w:rsidRPr="00FF4640" w:rsidRDefault="00FF4640" w:rsidP="00FF4640">
            <w:r w:rsidRPr="00FF4640">
              <w:t>2,415 (16.13)</w:t>
            </w:r>
          </w:p>
        </w:tc>
        <w:tc>
          <w:tcPr>
            <w:tcW w:w="0" w:type="auto"/>
            <w:hideMark/>
          </w:tcPr>
          <w:p w14:paraId="74CDCA60" w14:textId="77777777" w:rsidR="00FF4640" w:rsidRPr="00FF4640" w:rsidRDefault="00FF4640" w:rsidP="00FF4640">
            <w:r w:rsidRPr="00FF4640">
              <w:t>262 (9.47)</w:t>
            </w:r>
          </w:p>
        </w:tc>
        <w:tc>
          <w:tcPr>
            <w:tcW w:w="0" w:type="auto"/>
            <w:hideMark/>
          </w:tcPr>
          <w:p w14:paraId="15D9C3CE" w14:textId="77777777" w:rsidR="00FF4640" w:rsidRPr="00FF4640" w:rsidRDefault="00FF4640" w:rsidP="00FF4640">
            <w:r w:rsidRPr="00FF4640">
              <w:t>316 (11.42)</w:t>
            </w:r>
          </w:p>
        </w:tc>
        <w:tc>
          <w:tcPr>
            <w:tcW w:w="0" w:type="auto"/>
            <w:hideMark/>
          </w:tcPr>
          <w:p w14:paraId="5E398449" w14:textId="77777777" w:rsidR="00FF4640" w:rsidRPr="00FF4640" w:rsidRDefault="00FF4640" w:rsidP="00FF4640">
            <w:r w:rsidRPr="00FF4640">
              <w:t>0.020</w:t>
            </w:r>
          </w:p>
        </w:tc>
      </w:tr>
      <w:tr w:rsidR="00FF4640" w:rsidRPr="00FF4640" w14:paraId="747C35C6" w14:textId="77777777" w:rsidTr="00706643">
        <w:tc>
          <w:tcPr>
            <w:tcW w:w="0" w:type="auto"/>
            <w:hideMark/>
          </w:tcPr>
          <w:p w14:paraId="695D3553" w14:textId="77777777" w:rsidR="00FF4640" w:rsidRPr="00FF4640" w:rsidRDefault="00FF4640" w:rsidP="00FF4640">
            <w:r w:rsidRPr="00FF4640">
              <w:t>Uninsured</w:t>
            </w:r>
          </w:p>
        </w:tc>
        <w:tc>
          <w:tcPr>
            <w:tcW w:w="0" w:type="auto"/>
            <w:hideMark/>
          </w:tcPr>
          <w:p w14:paraId="37D39329" w14:textId="77777777" w:rsidR="00FF4640" w:rsidRPr="00FF4640" w:rsidRDefault="00FF4640" w:rsidP="00FF4640">
            <w:r w:rsidRPr="00FF4640">
              <w:t>388 (2.09)</w:t>
            </w:r>
          </w:p>
        </w:tc>
        <w:tc>
          <w:tcPr>
            <w:tcW w:w="0" w:type="auto"/>
            <w:hideMark/>
          </w:tcPr>
          <w:p w14:paraId="4AC155D9" w14:textId="77777777" w:rsidR="00FF4640" w:rsidRPr="00FF4640" w:rsidRDefault="00FF4640" w:rsidP="00FF4640">
            <w:r w:rsidRPr="00FF4640">
              <w:t>22 (0.61)</w:t>
            </w:r>
          </w:p>
        </w:tc>
        <w:tc>
          <w:tcPr>
            <w:tcW w:w="0" w:type="auto"/>
            <w:hideMark/>
          </w:tcPr>
          <w:p w14:paraId="76074A62" w14:textId="77777777" w:rsidR="00FF4640" w:rsidRPr="00FF4640" w:rsidRDefault="00FF4640" w:rsidP="00FF4640">
            <w:r w:rsidRPr="00FF4640">
              <w:t>366 (2.44)</w:t>
            </w:r>
          </w:p>
        </w:tc>
        <w:tc>
          <w:tcPr>
            <w:tcW w:w="0" w:type="auto"/>
            <w:hideMark/>
          </w:tcPr>
          <w:p w14:paraId="10BD88AA" w14:textId="77777777" w:rsidR="00FF4640" w:rsidRPr="00FF4640" w:rsidRDefault="00FF4640" w:rsidP="00FF4640">
            <w:r w:rsidRPr="00FF4640">
              <w:t>13 (0.47)</w:t>
            </w:r>
          </w:p>
        </w:tc>
        <w:tc>
          <w:tcPr>
            <w:tcW w:w="0" w:type="auto"/>
            <w:hideMark/>
          </w:tcPr>
          <w:p w14:paraId="5230AD5C" w14:textId="77777777" w:rsidR="00FF4640" w:rsidRPr="00FF4640" w:rsidRDefault="00FF4640" w:rsidP="00FF4640">
            <w:r w:rsidRPr="00FF4640">
              <w:t>37 (1.34)</w:t>
            </w:r>
          </w:p>
        </w:tc>
        <w:tc>
          <w:tcPr>
            <w:tcW w:w="0" w:type="auto"/>
            <w:hideMark/>
          </w:tcPr>
          <w:p w14:paraId="307786D4" w14:textId="77777777" w:rsidR="00FF4640" w:rsidRPr="00FF4640" w:rsidRDefault="00FF4640" w:rsidP="00FF4640">
            <w:r w:rsidRPr="00FF4640">
              <w:t>0.001^</w:t>
            </w:r>
          </w:p>
        </w:tc>
      </w:tr>
      <w:tr w:rsidR="00FF4640" w:rsidRPr="00FF4640" w14:paraId="691C170E" w14:textId="77777777" w:rsidTr="00706643">
        <w:tc>
          <w:tcPr>
            <w:tcW w:w="0" w:type="auto"/>
            <w:hideMark/>
          </w:tcPr>
          <w:p w14:paraId="5C27E710" w14:textId="77777777" w:rsidR="00FF4640" w:rsidRPr="00FF4640" w:rsidRDefault="00FF4640" w:rsidP="00FF4640">
            <w:r w:rsidRPr="00FF4640">
              <w:t>Other</w:t>
            </w:r>
          </w:p>
        </w:tc>
        <w:tc>
          <w:tcPr>
            <w:tcW w:w="0" w:type="auto"/>
            <w:hideMark/>
          </w:tcPr>
          <w:p w14:paraId="01D82DA7" w14:textId="77777777" w:rsidR="00FF4640" w:rsidRPr="00FF4640" w:rsidRDefault="00FF4640" w:rsidP="00FF4640">
            <w:r w:rsidRPr="00FF4640">
              <w:t>2,188 (11.79)</w:t>
            </w:r>
          </w:p>
        </w:tc>
        <w:tc>
          <w:tcPr>
            <w:tcW w:w="0" w:type="auto"/>
            <w:hideMark/>
          </w:tcPr>
          <w:p w14:paraId="5D5C152A" w14:textId="77777777" w:rsidR="00FF4640" w:rsidRPr="00FF4640" w:rsidRDefault="00FF4640" w:rsidP="00FF4640">
            <w:r w:rsidRPr="00FF4640">
              <w:t>392 (10.95)</w:t>
            </w:r>
          </w:p>
        </w:tc>
        <w:tc>
          <w:tcPr>
            <w:tcW w:w="0" w:type="auto"/>
            <w:hideMark/>
          </w:tcPr>
          <w:p w14:paraId="30A4E0A0" w14:textId="77777777" w:rsidR="00FF4640" w:rsidRPr="00FF4640" w:rsidRDefault="00FF4640" w:rsidP="00FF4640">
            <w:r w:rsidRPr="00FF4640">
              <w:t>1,796 (11.99)</w:t>
            </w:r>
          </w:p>
        </w:tc>
        <w:tc>
          <w:tcPr>
            <w:tcW w:w="0" w:type="auto"/>
            <w:hideMark/>
          </w:tcPr>
          <w:p w14:paraId="404A27FA" w14:textId="77777777" w:rsidR="00FF4640" w:rsidRPr="00FF4640" w:rsidRDefault="00FF4640" w:rsidP="00FF4640">
            <w:r w:rsidRPr="00FF4640">
              <w:t>260 (9.40)</w:t>
            </w:r>
          </w:p>
        </w:tc>
        <w:tc>
          <w:tcPr>
            <w:tcW w:w="0" w:type="auto"/>
            <w:hideMark/>
          </w:tcPr>
          <w:p w14:paraId="77EC7117" w14:textId="77777777" w:rsidR="00FF4640" w:rsidRPr="00FF4640" w:rsidRDefault="00FF4640" w:rsidP="00FF4640">
            <w:r w:rsidRPr="00FF4640">
              <w:t>299 (10.81)</w:t>
            </w:r>
          </w:p>
        </w:tc>
        <w:tc>
          <w:tcPr>
            <w:tcW w:w="0" w:type="auto"/>
            <w:hideMark/>
          </w:tcPr>
          <w:p w14:paraId="44BB864D" w14:textId="77777777" w:rsidR="00FF4640" w:rsidRPr="00FF4640" w:rsidRDefault="00FF4640" w:rsidP="00FF4640">
            <w:r w:rsidRPr="00FF4640">
              <w:t>0.076</w:t>
            </w:r>
          </w:p>
        </w:tc>
      </w:tr>
      <w:tr w:rsidR="00FF4640" w:rsidRPr="00FF4640" w14:paraId="0AD690FF" w14:textId="77777777" w:rsidTr="00706643">
        <w:tc>
          <w:tcPr>
            <w:tcW w:w="0" w:type="auto"/>
            <w:hideMark/>
          </w:tcPr>
          <w:p w14:paraId="75AD612E" w14:textId="6665F9D3" w:rsidR="00FF4640" w:rsidRPr="00FF4640" w:rsidRDefault="00FF4640" w:rsidP="00FF4640">
            <w:r w:rsidRPr="00FF4640">
              <w:t>Ethnicity </w:t>
            </w:r>
            <w:r w:rsidRPr="00FE3F0D">
              <w:rPr>
                <w:vertAlign w:val="superscript"/>
              </w:rPr>
              <w:t>b</w:t>
            </w:r>
            <w:r w:rsidRPr="00FF4640">
              <w:t> ≠</w:t>
            </w:r>
          </w:p>
        </w:tc>
        <w:tc>
          <w:tcPr>
            <w:tcW w:w="0" w:type="auto"/>
            <w:hideMark/>
          </w:tcPr>
          <w:p w14:paraId="17760D89" w14:textId="77777777" w:rsidR="00FF4640" w:rsidRPr="00FF4640" w:rsidRDefault="00FF4640" w:rsidP="00FF4640"/>
        </w:tc>
        <w:tc>
          <w:tcPr>
            <w:tcW w:w="0" w:type="auto"/>
            <w:hideMark/>
          </w:tcPr>
          <w:p w14:paraId="26F202EF" w14:textId="77777777" w:rsidR="00FF4640" w:rsidRPr="00FF4640" w:rsidRDefault="00FF4640" w:rsidP="00FF4640"/>
        </w:tc>
        <w:tc>
          <w:tcPr>
            <w:tcW w:w="0" w:type="auto"/>
            <w:hideMark/>
          </w:tcPr>
          <w:p w14:paraId="2D674D36" w14:textId="77777777" w:rsidR="00FF4640" w:rsidRPr="00FF4640" w:rsidRDefault="00FF4640" w:rsidP="00FF4640"/>
        </w:tc>
        <w:tc>
          <w:tcPr>
            <w:tcW w:w="0" w:type="auto"/>
            <w:hideMark/>
          </w:tcPr>
          <w:p w14:paraId="6F09E7E8" w14:textId="77777777" w:rsidR="00FF4640" w:rsidRPr="00FF4640" w:rsidRDefault="00FF4640" w:rsidP="00FF4640"/>
        </w:tc>
        <w:tc>
          <w:tcPr>
            <w:tcW w:w="0" w:type="auto"/>
            <w:hideMark/>
          </w:tcPr>
          <w:p w14:paraId="6A12A092" w14:textId="77777777" w:rsidR="00FF4640" w:rsidRPr="00FF4640" w:rsidRDefault="00FF4640" w:rsidP="00FF4640"/>
        </w:tc>
        <w:tc>
          <w:tcPr>
            <w:tcW w:w="0" w:type="auto"/>
            <w:hideMark/>
          </w:tcPr>
          <w:p w14:paraId="67A6F374" w14:textId="77777777" w:rsidR="00FF4640" w:rsidRPr="00FF4640" w:rsidRDefault="00FF4640" w:rsidP="00FF4640"/>
        </w:tc>
      </w:tr>
      <w:bookmarkEnd w:id="43"/>
      <w:tr w:rsidR="00FF4640" w:rsidRPr="00FF4640" w14:paraId="7795C88C" w14:textId="77777777" w:rsidTr="00706643">
        <w:tc>
          <w:tcPr>
            <w:tcW w:w="0" w:type="auto"/>
            <w:hideMark/>
          </w:tcPr>
          <w:p w14:paraId="648530AB" w14:textId="77777777" w:rsidR="00FF4640" w:rsidRPr="00FF4640" w:rsidRDefault="00FF4640" w:rsidP="00FF4640">
            <w:r w:rsidRPr="00FF4640">
              <w:t>Not Hispanic</w:t>
            </w:r>
          </w:p>
        </w:tc>
        <w:tc>
          <w:tcPr>
            <w:tcW w:w="0" w:type="auto"/>
            <w:hideMark/>
          </w:tcPr>
          <w:p w14:paraId="64A90C80" w14:textId="77777777" w:rsidR="00FF4640" w:rsidRPr="00FF4640" w:rsidRDefault="00FF4640" w:rsidP="00FF4640">
            <w:r w:rsidRPr="00FF4640">
              <w:t>16,514 (89.00)</w:t>
            </w:r>
          </w:p>
        </w:tc>
        <w:tc>
          <w:tcPr>
            <w:tcW w:w="0" w:type="auto"/>
            <w:hideMark/>
          </w:tcPr>
          <w:p w14:paraId="4451786B" w14:textId="77777777" w:rsidR="00FF4640" w:rsidRPr="00FF4640" w:rsidRDefault="00FF4640" w:rsidP="00FF4640">
            <w:r w:rsidRPr="00FF4640">
              <w:t>3,279 (91.62)</w:t>
            </w:r>
          </w:p>
        </w:tc>
        <w:tc>
          <w:tcPr>
            <w:tcW w:w="0" w:type="auto"/>
            <w:hideMark/>
          </w:tcPr>
          <w:p w14:paraId="04858C9F" w14:textId="77777777" w:rsidR="00FF4640" w:rsidRPr="00FF4640" w:rsidRDefault="00FF4640" w:rsidP="00FF4640">
            <w:r w:rsidRPr="00FF4640">
              <w:t>13,235 (88.37)</w:t>
            </w:r>
          </w:p>
        </w:tc>
        <w:tc>
          <w:tcPr>
            <w:tcW w:w="0" w:type="auto"/>
            <w:hideMark/>
          </w:tcPr>
          <w:p w14:paraId="12706AE2" w14:textId="77777777" w:rsidR="00FF4640" w:rsidRPr="00FF4640" w:rsidRDefault="00FF4640" w:rsidP="00FF4640">
            <w:r w:rsidRPr="00FF4640">
              <w:t>2,542 (91.87)</w:t>
            </w:r>
          </w:p>
        </w:tc>
        <w:tc>
          <w:tcPr>
            <w:tcW w:w="0" w:type="auto"/>
            <w:hideMark/>
          </w:tcPr>
          <w:p w14:paraId="7DC11FA3" w14:textId="77777777" w:rsidR="00FF4640" w:rsidRPr="00FF4640" w:rsidRDefault="00FF4640" w:rsidP="00FF4640">
            <w:r w:rsidRPr="00FF4640">
              <w:t>2,397 (86.63)</w:t>
            </w:r>
          </w:p>
        </w:tc>
        <w:tc>
          <w:tcPr>
            <w:tcW w:w="0" w:type="auto"/>
            <w:hideMark/>
          </w:tcPr>
          <w:p w14:paraId="74E7B19D" w14:textId="77777777" w:rsidR="00FF4640" w:rsidRPr="00FF4640" w:rsidRDefault="00FF4640" w:rsidP="00FF4640">
            <w:r w:rsidRPr="00FF4640">
              <w:t>0.000^^^</w:t>
            </w:r>
          </w:p>
        </w:tc>
      </w:tr>
      <w:tr w:rsidR="00FF4640" w:rsidRPr="00FF4640" w14:paraId="2B626B9C" w14:textId="77777777" w:rsidTr="00706643">
        <w:tc>
          <w:tcPr>
            <w:tcW w:w="0" w:type="auto"/>
            <w:hideMark/>
          </w:tcPr>
          <w:p w14:paraId="483B8E15" w14:textId="77777777" w:rsidR="00FF4640" w:rsidRPr="00FF4640" w:rsidRDefault="00FF4640" w:rsidP="00FF4640">
            <w:r w:rsidRPr="00FF4640">
              <w:t>Hispanic</w:t>
            </w:r>
          </w:p>
        </w:tc>
        <w:tc>
          <w:tcPr>
            <w:tcW w:w="0" w:type="auto"/>
            <w:hideMark/>
          </w:tcPr>
          <w:p w14:paraId="2FC692C6" w14:textId="77777777" w:rsidR="00FF4640" w:rsidRPr="00FF4640" w:rsidRDefault="00FF4640" w:rsidP="00FF4640">
            <w:r w:rsidRPr="00FF4640">
              <w:t>1,683 (9.07)</w:t>
            </w:r>
          </w:p>
        </w:tc>
        <w:tc>
          <w:tcPr>
            <w:tcW w:w="0" w:type="auto"/>
            <w:hideMark/>
          </w:tcPr>
          <w:p w14:paraId="6FF972EB" w14:textId="77777777" w:rsidR="00FF4640" w:rsidRPr="00FF4640" w:rsidRDefault="00FF4640" w:rsidP="00FF4640">
            <w:r w:rsidRPr="00FF4640">
              <w:t>281 (7.85)</w:t>
            </w:r>
          </w:p>
        </w:tc>
        <w:tc>
          <w:tcPr>
            <w:tcW w:w="0" w:type="auto"/>
            <w:hideMark/>
          </w:tcPr>
          <w:p w14:paraId="4FBA9C07" w14:textId="77777777" w:rsidR="00FF4640" w:rsidRPr="00FF4640" w:rsidRDefault="00FF4640" w:rsidP="00FF4640">
            <w:r w:rsidRPr="00FF4640">
              <w:t>1,402 (9.36)</w:t>
            </w:r>
          </w:p>
        </w:tc>
        <w:tc>
          <w:tcPr>
            <w:tcW w:w="0" w:type="auto"/>
            <w:hideMark/>
          </w:tcPr>
          <w:p w14:paraId="45009FB8" w14:textId="77777777" w:rsidR="00FF4640" w:rsidRPr="00FF4640" w:rsidRDefault="00FF4640" w:rsidP="00FF4640">
            <w:r w:rsidRPr="00FF4640">
              <w:t>210 (7.59)</w:t>
            </w:r>
          </w:p>
        </w:tc>
        <w:tc>
          <w:tcPr>
            <w:tcW w:w="0" w:type="auto"/>
            <w:hideMark/>
          </w:tcPr>
          <w:p w14:paraId="43FC3441" w14:textId="77777777" w:rsidR="00FF4640" w:rsidRPr="00FF4640" w:rsidRDefault="00FF4640" w:rsidP="00FF4640">
            <w:r w:rsidRPr="00FF4640">
              <w:t>249 (9.00)</w:t>
            </w:r>
          </w:p>
        </w:tc>
        <w:tc>
          <w:tcPr>
            <w:tcW w:w="0" w:type="auto"/>
            <w:hideMark/>
          </w:tcPr>
          <w:p w14:paraId="3D6D765C" w14:textId="77777777" w:rsidR="00FF4640" w:rsidRPr="00FF4640" w:rsidRDefault="00FF4640" w:rsidP="00FF4640">
            <w:r w:rsidRPr="00FF4640">
              <w:t>0.052</w:t>
            </w:r>
          </w:p>
        </w:tc>
      </w:tr>
      <w:tr w:rsidR="00FF4640" w:rsidRPr="00FF4640" w14:paraId="607A377D" w14:textId="77777777" w:rsidTr="00706643">
        <w:tc>
          <w:tcPr>
            <w:tcW w:w="0" w:type="auto"/>
            <w:hideMark/>
          </w:tcPr>
          <w:p w14:paraId="79C6FE62" w14:textId="77777777" w:rsidR="00FF4640" w:rsidRPr="00FF4640" w:rsidRDefault="00FF4640" w:rsidP="00FF4640">
            <w:r w:rsidRPr="00FF4640">
              <w:t>Unknown</w:t>
            </w:r>
          </w:p>
        </w:tc>
        <w:tc>
          <w:tcPr>
            <w:tcW w:w="0" w:type="auto"/>
            <w:hideMark/>
          </w:tcPr>
          <w:p w14:paraId="6219F713" w14:textId="77777777" w:rsidR="00FF4640" w:rsidRPr="00FF4640" w:rsidRDefault="00FF4640" w:rsidP="00FF4640">
            <w:r w:rsidRPr="00FF4640">
              <w:t>358 (1.93)</w:t>
            </w:r>
          </w:p>
        </w:tc>
        <w:tc>
          <w:tcPr>
            <w:tcW w:w="0" w:type="auto"/>
            <w:hideMark/>
          </w:tcPr>
          <w:p w14:paraId="19288F50" w14:textId="77777777" w:rsidR="00FF4640" w:rsidRPr="00FF4640" w:rsidRDefault="00FF4640" w:rsidP="00FF4640">
            <w:r w:rsidRPr="00FF4640">
              <w:t>19 (0.53)</w:t>
            </w:r>
          </w:p>
        </w:tc>
        <w:tc>
          <w:tcPr>
            <w:tcW w:w="0" w:type="auto"/>
            <w:hideMark/>
          </w:tcPr>
          <w:p w14:paraId="440EA9C2" w14:textId="77777777" w:rsidR="00FF4640" w:rsidRPr="00FF4640" w:rsidRDefault="00FF4640" w:rsidP="00FF4640">
            <w:r w:rsidRPr="00FF4640">
              <w:t>339 (2.26)</w:t>
            </w:r>
          </w:p>
        </w:tc>
        <w:tc>
          <w:tcPr>
            <w:tcW w:w="0" w:type="auto"/>
            <w:hideMark/>
          </w:tcPr>
          <w:p w14:paraId="01934C13" w14:textId="77777777" w:rsidR="00FF4640" w:rsidRPr="00FF4640" w:rsidRDefault="00FF4640" w:rsidP="00FF4640">
            <w:r w:rsidRPr="00FF4640">
              <w:t>15 (0.54)</w:t>
            </w:r>
          </w:p>
        </w:tc>
        <w:tc>
          <w:tcPr>
            <w:tcW w:w="0" w:type="auto"/>
            <w:hideMark/>
          </w:tcPr>
          <w:p w14:paraId="0ADA2B27" w14:textId="77777777" w:rsidR="00FF4640" w:rsidRPr="00FF4640" w:rsidRDefault="00FF4640" w:rsidP="00FF4640">
            <w:r w:rsidRPr="00FF4640">
              <w:t>121 (4.37)</w:t>
            </w:r>
          </w:p>
        </w:tc>
        <w:tc>
          <w:tcPr>
            <w:tcW w:w="0" w:type="auto"/>
            <w:hideMark/>
          </w:tcPr>
          <w:p w14:paraId="6EB63E20" w14:textId="77777777" w:rsidR="00FF4640" w:rsidRPr="00FF4640" w:rsidRDefault="00FF4640" w:rsidP="00FF4640">
            <w:r w:rsidRPr="00FF4640">
              <w:t>0.000^^^</w:t>
            </w:r>
          </w:p>
        </w:tc>
      </w:tr>
    </w:tbl>
    <w:p w14:paraId="4BAFA12F" w14:textId="77777777" w:rsidR="00FF4640" w:rsidRPr="00FF4640" w:rsidRDefault="00FF4640" w:rsidP="00296399">
      <w:pPr>
        <w:pStyle w:val="NoSpacing"/>
      </w:pPr>
      <w:r w:rsidRPr="00FF4640">
        <w:t>Statistics presented: ≠n (%); §Mean (SD)</w:t>
      </w:r>
    </w:p>
    <w:p w14:paraId="2BC75BB2" w14:textId="56CB868D" w:rsidR="00FF4640" w:rsidRPr="00FF4640" w:rsidRDefault="00FF4640" w:rsidP="00296399">
      <w:pPr>
        <w:pStyle w:val="NoSpacing"/>
      </w:pPr>
      <w:r w:rsidRPr="00FF4640">
        <w:t>The full output including Major Diagnostic Categories and hospital fixed effects is reported in the Supplemental Digital File </w:t>
      </w:r>
      <w:r w:rsidRPr="00FE3F0D">
        <w:t>Table 2</w:t>
      </w:r>
      <w:r w:rsidRPr="00FF4640">
        <w:t>.</w:t>
      </w:r>
    </w:p>
    <w:p w14:paraId="476BDAAD" w14:textId="370D740E" w:rsidR="00FF4640" w:rsidRPr="00FF4640" w:rsidRDefault="00FF4640" w:rsidP="00296399">
      <w:pPr>
        <w:pStyle w:val="NoSpacing"/>
      </w:pPr>
      <w:proofErr w:type="spellStart"/>
      <w:r w:rsidRPr="00296399">
        <w:rPr>
          <w:vertAlign w:val="superscript"/>
        </w:rPr>
        <w:t>a</w:t>
      </w:r>
      <w:r w:rsidRPr="00FF4640">
        <w:t>Shown</w:t>
      </w:r>
      <w:proofErr w:type="spellEnd"/>
      <w:r w:rsidRPr="00FF4640">
        <w:t xml:space="preserve"> are p-values, the hat ^ symbols indicate Bonferroni-corrected significance: ^^^ means 0.1%, ^^ means 1%, ^ means 5%.</w:t>
      </w:r>
    </w:p>
    <w:p w14:paraId="129A911D" w14:textId="08BCE8EF" w:rsidR="00FF4640" w:rsidRPr="00FF4640" w:rsidRDefault="00FF4640" w:rsidP="00296399">
      <w:pPr>
        <w:pStyle w:val="NoSpacing"/>
      </w:pPr>
      <w:proofErr w:type="spellStart"/>
      <w:r w:rsidRPr="00296399">
        <w:rPr>
          <w:vertAlign w:val="superscript"/>
        </w:rPr>
        <w:t>b</w:t>
      </w:r>
      <w:r w:rsidRPr="00FF4640">
        <w:t>Included</w:t>
      </w:r>
      <w:proofErr w:type="spellEnd"/>
      <w:r w:rsidRPr="00FF4640">
        <w:t xml:space="preserve"> in propensity score model</w:t>
      </w:r>
    </w:p>
    <w:p w14:paraId="60B16B47" w14:textId="4F63F835" w:rsidR="00FF4640" w:rsidRPr="00FF4640" w:rsidRDefault="00FF4640" w:rsidP="00296399">
      <w:pPr>
        <w:pStyle w:val="NoSpacing"/>
      </w:pPr>
      <w:proofErr w:type="spellStart"/>
      <w:r w:rsidRPr="00296399">
        <w:rPr>
          <w:vertAlign w:val="superscript"/>
        </w:rPr>
        <w:t>c</w:t>
      </w:r>
      <w:r w:rsidRPr="00FF4640">
        <w:t>Exact</w:t>
      </w:r>
      <w:proofErr w:type="spellEnd"/>
      <w:r w:rsidRPr="00FF4640">
        <w:t xml:space="preserve"> matching variable</w:t>
      </w:r>
    </w:p>
    <w:p w14:paraId="2B48475F" w14:textId="5916470D" w:rsidR="00FF4640" w:rsidRPr="00FF4640" w:rsidRDefault="00FF4640" w:rsidP="00296399">
      <w:pPr>
        <w:pStyle w:val="NoSpacing"/>
      </w:pPr>
      <w:proofErr w:type="spellStart"/>
      <w:r w:rsidRPr="00296399">
        <w:rPr>
          <w:vertAlign w:val="superscript"/>
        </w:rPr>
        <w:t>d</w:t>
      </w:r>
      <w:r w:rsidRPr="00FF4640">
        <w:t>Mahalanobis</w:t>
      </w:r>
      <w:proofErr w:type="spellEnd"/>
      <w:r w:rsidRPr="00FF4640">
        <w:t xml:space="preserve"> distance matching variable</w:t>
      </w:r>
    </w:p>
    <w:p w14:paraId="7F3A866A" w14:textId="77777777" w:rsidR="00296399" w:rsidRDefault="00296399" w:rsidP="00FF4640"/>
    <w:p w14:paraId="0EE6C87A" w14:textId="45F83D23" w:rsidR="00FF4640" w:rsidRPr="00FF4640" w:rsidRDefault="00FF4640" w:rsidP="00FF4640">
      <w:r w:rsidRPr="00FF4640">
        <w:t>All statistical analyses were completed using Stata version 14 (</w:t>
      </w:r>
      <w:bookmarkStart w:id="45" w:name="bbib0037"/>
      <w:proofErr w:type="spellStart"/>
      <w:r w:rsidRPr="00FE3F0D">
        <w:t>StataCorp</w:t>
      </w:r>
      <w:proofErr w:type="spellEnd"/>
      <w:r w:rsidRPr="00FE3F0D">
        <w:t> [computer program], 2015</w:t>
      </w:r>
      <w:bookmarkEnd w:id="45"/>
      <w:r w:rsidRPr="00FF4640">
        <w:t>) with a </w:t>
      </w:r>
      <w:r w:rsidRPr="00FF4640">
        <w:rPr>
          <w:i/>
          <w:iCs/>
        </w:rPr>
        <w:t>p</w:t>
      </w:r>
      <w:r w:rsidRPr="00FF4640">
        <w:t> &lt; 0.05 level of significance.</w:t>
      </w:r>
    </w:p>
    <w:p w14:paraId="46A5B64E" w14:textId="77777777" w:rsidR="00FF4640" w:rsidRPr="00FF4640" w:rsidRDefault="00FF4640" w:rsidP="001A1F85">
      <w:pPr>
        <w:pStyle w:val="Heading2"/>
      </w:pPr>
      <w:r w:rsidRPr="00FF4640">
        <w:t>Approvals</w:t>
      </w:r>
    </w:p>
    <w:p w14:paraId="5E4F9AD6" w14:textId="77777777" w:rsidR="00FF4640" w:rsidRPr="00FF4640" w:rsidRDefault="00FF4640" w:rsidP="00FF4640">
      <w:r w:rsidRPr="00FF4640">
        <w:t>Approvals were obtained from the Institutional Review Board at Marquette University (primary IRB; #HR2668), university IRBs of the research team members, and participating hospital IRBs or ethics review committees.</w:t>
      </w:r>
    </w:p>
    <w:p w14:paraId="2EF3EF0A" w14:textId="77777777" w:rsidR="00FF4640" w:rsidRPr="00FF4640" w:rsidRDefault="00FF4640" w:rsidP="001A1F85">
      <w:pPr>
        <w:pStyle w:val="Heading1"/>
      </w:pPr>
      <w:r w:rsidRPr="00FF4640">
        <w:t>Results</w:t>
      </w:r>
    </w:p>
    <w:p w14:paraId="5F2630AB" w14:textId="26711A10" w:rsidR="00FF4640" w:rsidRPr="00FF4640" w:rsidRDefault="00FF4640" w:rsidP="00FF4640">
      <w:r w:rsidRPr="00FF4640">
        <w:t>Sample characteristics are presented in </w:t>
      </w:r>
      <w:r w:rsidRPr="00FE3F0D">
        <w:t>Table 2</w:t>
      </w:r>
      <w:bookmarkEnd w:id="40"/>
      <w:r w:rsidRPr="00FF4640">
        <w:t>. The rate of discharge home with HHC was 19.3% (</w:t>
      </w:r>
      <w:r w:rsidRPr="00FF4640">
        <w:rPr>
          <w:i/>
          <w:iCs/>
        </w:rPr>
        <w:t>N</w:t>
      </w:r>
      <w:r w:rsidRPr="00FF4640">
        <w:t> = 3,579) for the available (full) sample. The </w:t>
      </w:r>
      <w:r w:rsidRPr="00FE3F0D">
        <w:t>readmission rates</w:t>
      </w:r>
      <w:r w:rsidRPr="00FF4640">
        <w:t> for the full sample were 11.3% for 30-day readmissions and 16.3% for 60-day readmissions and the ED/Observation only visit rates were 8.2% within 30-days and 10.5% within 60-days.</w:t>
      </w:r>
    </w:p>
    <w:p w14:paraId="5725E863" w14:textId="06F259CE" w:rsidR="00FF4640" w:rsidRPr="00FF4640" w:rsidRDefault="00FF4640" w:rsidP="00FF4640">
      <w:r w:rsidRPr="00FF4640">
        <w:t>In the unadjusted two-sample test of proportions using the matched HHC/non-HHC sample (</w:t>
      </w:r>
      <w:bookmarkStart w:id="46" w:name="btbl0003"/>
      <w:r w:rsidRPr="00FE3F0D">
        <w:t>Table 3</w:t>
      </w:r>
      <w:r w:rsidRPr="00FF4640">
        <w:t>), while the HHC group had slightly higher readmission rates of 1.5% for 30-day readmissions (14.9% [HHC]; 13.4% [non-HHC]) and 1.0% for 60-day readmissions (20.3% [HHC]; 19.3% [non-HHC]), the differences between HHC and non-HHC rates were not statistically different (</w:t>
      </w:r>
      <w:r w:rsidRPr="00FF4640">
        <w:rPr>
          <w:i/>
          <w:iCs/>
        </w:rPr>
        <w:t>p</w:t>
      </w:r>
      <w:r w:rsidRPr="00FF4640">
        <w:t>&gt;0.05). ED/Observation rates were lower than readmission rates but there were no significant differences between groups at either 30 days (7.3% [HHC]; 6.8% [non-HHC]) or 60-days (HHC: 9.0% [HHC]; 9.1% [non-HHC]).</w:t>
      </w:r>
    </w:p>
    <w:p w14:paraId="6450F6C1" w14:textId="77777777" w:rsidR="00FF4640" w:rsidRPr="00FF4640" w:rsidRDefault="00FF4640" w:rsidP="001A1F85">
      <w:pPr>
        <w:spacing w:after="0"/>
      </w:pPr>
      <w:r w:rsidRPr="00FF4640">
        <w:t>Table 3. Post-discharge utilization of matched samples with and without a Home Health Care Referral.</w:t>
      </w:r>
    </w:p>
    <w:tbl>
      <w:tblPr>
        <w:tblStyle w:val="TableGrid"/>
        <w:tblW w:w="0" w:type="auto"/>
        <w:tblLook w:val="04A0" w:firstRow="1" w:lastRow="0" w:firstColumn="1" w:lastColumn="0" w:noHBand="0" w:noVBand="1"/>
      </w:tblPr>
      <w:tblGrid>
        <w:gridCol w:w="2319"/>
        <w:gridCol w:w="2681"/>
        <w:gridCol w:w="1377"/>
        <w:gridCol w:w="2316"/>
        <w:gridCol w:w="1377"/>
      </w:tblGrid>
      <w:tr w:rsidR="00D55E2C" w:rsidRPr="00FF4640" w14:paraId="6E16B8B6" w14:textId="77777777" w:rsidTr="00001607">
        <w:tc>
          <w:tcPr>
            <w:tcW w:w="0" w:type="auto"/>
            <w:hideMark/>
          </w:tcPr>
          <w:p w14:paraId="11172D52" w14:textId="77777777" w:rsidR="00D55E2C" w:rsidRPr="00FF4640" w:rsidRDefault="00D55E2C" w:rsidP="00FF4640"/>
        </w:tc>
        <w:tc>
          <w:tcPr>
            <w:tcW w:w="0" w:type="auto"/>
            <w:hideMark/>
          </w:tcPr>
          <w:p w14:paraId="1DF7CF89" w14:textId="77777777" w:rsidR="00D55E2C" w:rsidRPr="00FF4640" w:rsidRDefault="00D55E2C" w:rsidP="00FF4640">
            <w:pPr>
              <w:rPr>
                <w:b/>
                <w:bCs/>
              </w:rPr>
            </w:pPr>
            <w:r w:rsidRPr="00FF4640">
              <w:rPr>
                <w:b/>
                <w:bCs/>
              </w:rPr>
              <w:t>30-Day Post-Discharge Utilization</w:t>
            </w:r>
          </w:p>
        </w:tc>
        <w:tc>
          <w:tcPr>
            <w:tcW w:w="0" w:type="auto"/>
          </w:tcPr>
          <w:p w14:paraId="41326926" w14:textId="0655A06B" w:rsidR="00D55E2C" w:rsidRPr="00FF4640" w:rsidRDefault="00D55E2C" w:rsidP="00FF4640">
            <w:pPr>
              <w:rPr>
                <w:b/>
                <w:bCs/>
              </w:rPr>
            </w:pPr>
          </w:p>
        </w:tc>
        <w:tc>
          <w:tcPr>
            <w:tcW w:w="0" w:type="auto"/>
            <w:hideMark/>
          </w:tcPr>
          <w:p w14:paraId="282AE8DF" w14:textId="77777777" w:rsidR="00D55E2C" w:rsidRPr="00FF4640" w:rsidRDefault="00D55E2C" w:rsidP="00FF4640">
            <w:pPr>
              <w:rPr>
                <w:b/>
                <w:bCs/>
              </w:rPr>
            </w:pPr>
            <w:r w:rsidRPr="00FF4640">
              <w:rPr>
                <w:b/>
                <w:bCs/>
              </w:rPr>
              <w:t>60-Day Post-Discharge Utilization</w:t>
            </w:r>
          </w:p>
        </w:tc>
        <w:tc>
          <w:tcPr>
            <w:tcW w:w="0" w:type="auto"/>
          </w:tcPr>
          <w:p w14:paraId="45F89FC9" w14:textId="38A189A9" w:rsidR="00D55E2C" w:rsidRPr="00FF4640" w:rsidRDefault="00D55E2C" w:rsidP="00FF4640">
            <w:pPr>
              <w:rPr>
                <w:b/>
                <w:bCs/>
              </w:rPr>
            </w:pPr>
          </w:p>
        </w:tc>
      </w:tr>
      <w:tr w:rsidR="00FF4640" w:rsidRPr="00FF4640" w14:paraId="0E255457" w14:textId="77777777" w:rsidTr="001A1F85">
        <w:tc>
          <w:tcPr>
            <w:tcW w:w="0" w:type="auto"/>
            <w:hideMark/>
          </w:tcPr>
          <w:p w14:paraId="78B8FE06" w14:textId="77777777" w:rsidR="00FF4640" w:rsidRPr="00FF4640" w:rsidRDefault="00FF4640" w:rsidP="00FF4640">
            <w:pPr>
              <w:rPr>
                <w:b/>
                <w:bCs/>
              </w:rPr>
            </w:pPr>
          </w:p>
        </w:tc>
        <w:tc>
          <w:tcPr>
            <w:tcW w:w="0" w:type="auto"/>
            <w:hideMark/>
          </w:tcPr>
          <w:p w14:paraId="6BF61933" w14:textId="77777777" w:rsidR="00FF4640" w:rsidRPr="00FF4640" w:rsidRDefault="00FF4640" w:rsidP="00FF4640">
            <w:pPr>
              <w:rPr>
                <w:b/>
                <w:bCs/>
              </w:rPr>
            </w:pPr>
            <w:r w:rsidRPr="00FF4640">
              <w:rPr>
                <w:b/>
                <w:bCs/>
              </w:rPr>
              <w:t>ED/Observation Visit</w:t>
            </w:r>
          </w:p>
        </w:tc>
        <w:tc>
          <w:tcPr>
            <w:tcW w:w="0" w:type="auto"/>
            <w:hideMark/>
          </w:tcPr>
          <w:p w14:paraId="5B319E74" w14:textId="77777777" w:rsidR="00FF4640" w:rsidRPr="00FF4640" w:rsidRDefault="00FF4640" w:rsidP="00FF4640">
            <w:pPr>
              <w:rPr>
                <w:b/>
                <w:bCs/>
              </w:rPr>
            </w:pPr>
            <w:r w:rsidRPr="00FF4640">
              <w:rPr>
                <w:b/>
                <w:bCs/>
              </w:rPr>
              <w:t>Readmission</w:t>
            </w:r>
          </w:p>
        </w:tc>
        <w:tc>
          <w:tcPr>
            <w:tcW w:w="0" w:type="auto"/>
            <w:hideMark/>
          </w:tcPr>
          <w:p w14:paraId="1998BBC2" w14:textId="77777777" w:rsidR="00FF4640" w:rsidRPr="00FF4640" w:rsidRDefault="00FF4640" w:rsidP="00FF4640">
            <w:pPr>
              <w:rPr>
                <w:b/>
                <w:bCs/>
              </w:rPr>
            </w:pPr>
            <w:r w:rsidRPr="00FF4640">
              <w:rPr>
                <w:b/>
                <w:bCs/>
              </w:rPr>
              <w:t>ED/Observation Visit</w:t>
            </w:r>
          </w:p>
        </w:tc>
        <w:tc>
          <w:tcPr>
            <w:tcW w:w="0" w:type="auto"/>
            <w:hideMark/>
          </w:tcPr>
          <w:p w14:paraId="1367BF5F" w14:textId="77777777" w:rsidR="00FF4640" w:rsidRPr="00FF4640" w:rsidRDefault="00FF4640" w:rsidP="00FF4640">
            <w:pPr>
              <w:rPr>
                <w:b/>
                <w:bCs/>
              </w:rPr>
            </w:pPr>
            <w:r w:rsidRPr="00FF4640">
              <w:rPr>
                <w:b/>
                <w:bCs/>
              </w:rPr>
              <w:t>Readmission</w:t>
            </w:r>
          </w:p>
        </w:tc>
      </w:tr>
      <w:tr w:rsidR="00D55E2C" w:rsidRPr="00FF4640" w14:paraId="43A22631" w14:textId="77777777" w:rsidTr="00773460">
        <w:tc>
          <w:tcPr>
            <w:tcW w:w="0" w:type="auto"/>
            <w:hideMark/>
          </w:tcPr>
          <w:p w14:paraId="49214341" w14:textId="77777777" w:rsidR="00D55E2C" w:rsidRPr="00FF4640" w:rsidRDefault="00D55E2C" w:rsidP="00FF4640">
            <w:pPr>
              <w:rPr>
                <w:b/>
                <w:bCs/>
              </w:rPr>
            </w:pPr>
          </w:p>
        </w:tc>
        <w:tc>
          <w:tcPr>
            <w:tcW w:w="0" w:type="auto"/>
            <w:hideMark/>
          </w:tcPr>
          <w:p w14:paraId="532C6BFD" w14:textId="77777777" w:rsidR="00D55E2C" w:rsidRPr="00FF4640" w:rsidRDefault="00D55E2C" w:rsidP="00FF4640">
            <w:r w:rsidRPr="00FF4640">
              <w:t>Unadjusted Two-Sample Test of Proportions</w:t>
            </w:r>
          </w:p>
        </w:tc>
        <w:tc>
          <w:tcPr>
            <w:tcW w:w="0" w:type="auto"/>
          </w:tcPr>
          <w:p w14:paraId="6A37B601" w14:textId="77777777" w:rsidR="00D55E2C" w:rsidRPr="00FF4640" w:rsidRDefault="00D55E2C" w:rsidP="00FF4640"/>
        </w:tc>
        <w:tc>
          <w:tcPr>
            <w:tcW w:w="0" w:type="auto"/>
          </w:tcPr>
          <w:p w14:paraId="764E472F" w14:textId="77777777" w:rsidR="00D55E2C" w:rsidRPr="00FF4640" w:rsidRDefault="00D55E2C" w:rsidP="00FF4640"/>
        </w:tc>
        <w:tc>
          <w:tcPr>
            <w:tcW w:w="0" w:type="auto"/>
          </w:tcPr>
          <w:p w14:paraId="1C1DF08E" w14:textId="02BE2209" w:rsidR="00D55E2C" w:rsidRPr="00FF4640" w:rsidRDefault="00D55E2C" w:rsidP="00FF4640"/>
        </w:tc>
      </w:tr>
      <w:tr w:rsidR="00FF4640" w:rsidRPr="00FF4640" w14:paraId="68B172C4" w14:textId="77777777" w:rsidTr="001A1F85">
        <w:tc>
          <w:tcPr>
            <w:tcW w:w="0" w:type="auto"/>
            <w:hideMark/>
          </w:tcPr>
          <w:p w14:paraId="3E9FFEE4" w14:textId="79CBD254" w:rsidR="00FF4640" w:rsidRPr="00FF4640" w:rsidRDefault="00FF4640" w:rsidP="00FF4640">
            <w:bookmarkStart w:id="47" w:name="btb3fn1" w:colFirst="0" w:colLast="0"/>
            <w:r w:rsidRPr="00FF4640">
              <w:t xml:space="preserve">HHC Referral </w:t>
            </w:r>
            <w:proofErr w:type="spellStart"/>
            <w:r w:rsidRPr="00FF4640">
              <w:t>Group</w:t>
            </w:r>
            <w:r w:rsidRPr="00FE3F0D">
              <w:rPr>
                <w:vertAlign w:val="superscript"/>
              </w:rPr>
              <w:t>a</w:t>
            </w:r>
            <w:proofErr w:type="spellEnd"/>
          </w:p>
        </w:tc>
        <w:tc>
          <w:tcPr>
            <w:tcW w:w="0" w:type="auto"/>
            <w:hideMark/>
          </w:tcPr>
          <w:p w14:paraId="1B02498C" w14:textId="77777777" w:rsidR="00FF4640" w:rsidRPr="00FF4640" w:rsidRDefault="00FF4640" w:rsidP="00FF4640">
            <w:r w:rsidRPr="00FF4640">
              <w:t>0.073</w:t>
            </w:r>
          </w:p>
        </w:tc>
        <w:tc>
          <w:tcPr>
            <w:tcW w:w="0" w:type="auto"/>
            <w:hideMark/>
          </w:tcPr>
          <w:p w14:paraId="41CC35BC" w14:textId="77777777" w:rsidR="00FF4640" w:rsidRPr="00FF4640" w:rsidRDefault="00FF4640" w:rsidP="00FF4640">
            <w:r w:rsidRPr="00FF4640">
              <w:t>0.149</w:t>
            </w:r>
          </w:p>
        </w:tc>
        <w:tc>
          <w:tcPr>
            <w:tcW w:w="0" w:type="auto"/>
            <w:hideMark/>
          </w:tcPr>
          <w:p w14:paraId="523637C6" w14:textId="77777777" w:rsidR="00FF4640" w:rsidRPr="00FF4640" w:rsidRDefault="00FF4640" w:rsidP="00FF4640">
            <w:r w:rsidRPr="00FF4640">
              <w:t>0.090</w:t>
            </w:r>
          </w:p>
        </w:tc>
        <w:tc>
          <w:tcPr>
            <w:tcW w:w="0" w:type="auto"/>
            <w:hideMark/>
          </w:tcPr>
          <w:p w14:paraId="050695E7" w14:textId="77777777" w:rsidR="00FF4640" w:rsidRPr="00FF4640" w:rsidRDefault="00FF4640" w:rsidP="00FF4640">
            <w:r w:rsidRPr="00FF4640">
              <w:t>0.203</w:t>
            </w:r>
          </w:p>
        </w:tc>
      </w:tr>
      <w:tr w:rsidR="00FF4640" w:rsidRPr="00FF4640" w14:paraId="6A92A549" w14:textId="77777777" w:rsidTr="001A1F85">
        <w:tc>
          <w:tcPr>
            <w:tcW w:w="0" w:type="auto"/>
            <w:hideMark/>
          </w:tcPr>
          <w:p w14:paraId="7A8CBDB7" w14:textId="1949B725" w:rsidR="00FF4640" w:rsidRPr="00FF4640" w:rsidRDefault="00FF4640" w:rsidP="00FF4640">
            <w:r w:rsidRPr="00FF4640">
              <w:t xml:space="preserve">Matched Control </w:t>
            </w:r>
            <w:proofErr w:type="spellStart"/>
            <w:r w:rsidRPr="00FF4640">
              <w:t>Group</w:t>
            </w:r>
            <w:r w:rsidRPr="00FE3F0D">
              <w:rPr>
                <w:vertAlign w:val="superscript"/>
              </w:rPr>
              <w:t>a</w:t>
            </w:r>
            <w:proofErr w:type="spellEnd"/>
          </w:p>
        </w:tc>
        <w:tc>
          <w:tcPr>
            <w:tcW w:w="0" w:type="auto"/>
            <w:hideMark/>
          </w:tcPr>
          <w:p w14:paraId="045700A2" w14:textId="77777777" w:rsidR="00FF4640" w:rsidRPr="00FF4640" w:rsidRDefault="00FF4640" w:rsidP="00FF4640">
            <w:r w:rsidRPr="00FF4640">
              <w:t>0.068</w:t>
            </w:r>
          </w:p>
        </w:tc>
        <w:tc>
          <w:tcPr>
            <w:tcW w:w="0" w:type="auto"/>
            <w:hideMark/>
          </w:tcPr>
          <w:p w14:paraId="18BFF0BD" w14:textId="77777777" w:rsidR="00FF4640" w:rsidRPr="00FF4640" w:rsidRDefault="00FF4640" w:rsidP="00FF4640">
            <w:r w:rsidRPr="00FF4640">
              <w:t>0.134</w:t>
            </w:r>
          </w:p>
        </w:tc>
        <w:tc>
          <w:tcPr>
            <w:tcW w:w="0" w:type="auto"/>
            <w:hideMark/>
          </w:tcPr>
          <w:p w14:paraId="16834ABE" w14:textId="77777777" w:rsidR="00FF4640" w:rsidRPr="00FF4640" w:rsidRDefault="00FF4640" w:rsidP="00FF4640">
            <w:r w:rsidRPr="00FF4640">
              <w:t>0.091</w:t>
            </w:r>
          </w:p>
        </w:tc>
        <w:tc>
          <w:tcPr>
            <w:tcW w:w="0" w:type="auto"/>
            <w:hideMark/>
          </w:tcPr>
          <w:p w14:paraId="45D72AD2" w14:textId="77777777" w:rsidR="00FF4640" w:rsidRPr="00FF4640" w:rsidRDefault="00FF4640" w:rsidP="00FF4640">
            <w:r w:rsidRPr="00FF4640">
              <w:t>0.193</w:t>
            </w:r>
          </w:p>
        </w:tc>
      </w:tr>
      <w:tr w:rsidR="00FF4640" w:rsidRPr="00FF4640" w14:paraId="073332D8" w14:textId="77777777" w:rsidTr="001A1F85">
        <w:tc>
          <w:tcPr>
            <w:tcW w:w="0" w:type="auto"/>
            <w:hideMark/>
          </w:tcPr>
          <w:p w14:paraId="16DBCA0C" w14:textId="03F716D7" w:rsidR="00FF4640" w:rsidRPr="00FF4640" w:rsidRDefault="00FF4640" w:rsidP="00FF4640">
            <w:r w:rsidRPr="00FF4640">
              <w:t xml:space="preserve">Difference (HHC - </w:t>
            </w:r>
            <w:proofErr w:type="gramStart"/>
            <w:r w:rsidRPr="00FF4640">
              <w:t>Control)</w:t>
            </w:r>
            <w:bookmarkStart w:id="48" w:name="btb3fn2" w:colFirst="0" w:colLast="0"/>
            <w:r w:rsidRPr="00FE3F0D">
              <w:rPr>
                <w:vertAlign w:val="superscript"/>
              </w:rPr>
              <w:t>b</w:t>
            </w:r>
            <w:proofErr w:type="gramEnd"/>
          </w:p>
        </w:tc>
        <w:tc>
          <w:tcPr>
            <w:tcW w:w="0" w:type="auto"/>
            <w:hideMark/>
          </w:tcPr>
          <w:p w14:paraId="08E2F0C0" w14:textId="77777777" w:rsidR="00FF4640" w:rsidRPr="00FF4640" w:rsidRDefault="00FF4640" w:rsidP="00FF4640">
            <w:r w:rsidRPr="00FF4640">
              <w:t>0.004</w:t>
            </w:r>
          </w:p>
        </w:tc>
        <w:tc>
          <w:tcPr>
            <w:tcW w:w="0" w:type="auto"/>
            <w:hideMark/>
          </w:tcPr>
          <w:p w14:paraId="053AA6AF" w14:textId="77777777" w:rsidR="00FF4640" w:rsidRPr="00FF4640" w:rsidRDefault="00FF4640" w:rsidP="00FF4640">
            <w:r w:rsidRPr="00FF4640">
              <w:t>0.015</w:t>
            </w:r>
          </w:p>
        </w:tc>
        <w:tc>
          <w:tcPr>
            <w:tcW w:w="0" w:type="auto"/>
            <w:hideMark/>
          </w:tcPr>
          <w:p w14:paraId="36192C24" w14:textId="77777777" w:rsidR="00FF4640" w:rsidRPr="00FF4640" w:rsidRDefault="00FF4640" w:rsidP="00FF4640">
            <w:r w:rsidRPr="00FF4640">
              <w:t>-0.001</w:t>
            </w:r>
          </w:p>
        </w:tc>
        <w:tc>
          <w:tcPr>
            <w:tcW w:w="0" w:type="auto"/>
            <w:hideMark/>
          </w:tcPr>
          <w:p w14:paraId="7EBF2D20" w14:textId="77777777" w:rsidR="00FF4640" w:rsidRPr="00FF4640" w:rsidRDefault="00FF4640" w:rsidP="00FF4640">
            <w:r w:rsidRPr="00FF4640">
              <w:t>0.010</w:t>
            </w:r>
          </w:p>
        </w:tc>
      </w:tr>
      <w:tr w:rsidR="00FF4640" w:rsidRPr="00FF4640" w14:paraId="67200D68" w14:textId="77777777" w:rsidTr="001A1F85">
        <w:tc>
          <w:tcPr>
            <w:tcW w:w="0" w:type="auto"/>
            <w:hideMark/>
          </w:tcPr>
          <w:p w14:paraId="523232A7" w14:textId="77777777" w:rsidR="00FF4640" w:rsidRPr="00FF4640" w:rsidRDefault="00FF4640" w:rsidP="00FF4640"/>
        </w:tc>
        <w:tc>
          <w:tcPr>
            <w:tcW w:w="0" w:type="auto"/>
            <w:hideMark/>
          </w:tcPr>
          <w:p w14:paraId="6ACE149F" w14:textId="77777777" w:rsidR="00FF4640" w:rsidRPr="00FF4640" w:rsidRDefault="00FF4640" w:rsidP="00FF4640">
            <w:r w:rsidRPr="00FF4640">
              <w:t>(0.0107)</w:t>
            </w:r>
          </w:p>
        </w:tc>
        <w:tc>
          <w:tcPr>
            <w:tcW w:w="0" w:type="auto"/>
            <w:hideMark/>
          </w:tcPr>
          <w:p w14:paraId="7EF9FD70" w14:textId="77777777" w:rsidR="00FF4640" w:rsidRPr="00FF4640" w:rsidRDefault="00FF4640" w:rsidP="00FF4640">
            <w:r w:rsidRPr="00FF4640">
              <w:t>(0.0177)</w:t>
            </w:r>
          </w:p>
        </w:tc>
        <w:tc>
          <w:tcPr>
            <w:tcW w:w="0" w:type="auto"/>
            <w:hideMark/>
          </w:tcPr>
          <w:p w14:paraId="577C9E42" w14:textId="77777777" w:rsidR="00FF4640" w:rsidRPr="00FF4640" w:rsidRDefault="00FF4640" w:rsidP="00FF4640">
            <w:r w:rsidRPr="00FF4640">
              <w:t>(0.0127)</w:t>
            </w:r>
          </w:p>
        </w:tc>
        <w:tc>
          <w:tcPr>
            <w:tcW w:w="0" w:type="auto"/>
            <w:hideMark/>
          </w:tcPr>
          <w:p w14:paraId="62D02B75" w14:textId="77777777" w:rsidR="00FF4640" w:rsidRPr="00FF4640" w:rsidRDefault="00FF4640" w:rsidP="00FF4640">
            <w:r w:rsidRPr="00FF4640">
              <w:t>(0.020)</w:t>
            </w:r>
          </w:p>
        </w:tc>
      </w:tr>
      <w:tr w:rsidR="00D55E2C" w:rsidRPr="00FF4640" w14:paraId="296072F7" w14:textId="77777777" w:rsidTr="00D55E2C">
        <w:tc>
          <w:tcPr>
            <w:tcW w:w="0" w:type="auto"/>
            <w:hideMark/>
          </w:tcPr>
          <w:p w14:paraId="53AF29D1" w14:textId="77777777" w:rsidR="00D55E2C" w:rsidRPr="00FF4640" w:rsidRDefault="00D55E2C" w:rsidP="00FF4640"/>
        </w:tc>
        <w:tc>
          <w:tcPr>
            <w:tcW w:w="0" w:type="auto"/>
            <w:hideMark/>
          </w:tcPr>
          <w:p w14:paraId="0C8ECD10" w14:textId="77777777" w:rsidR="00D55E2C" w:rsidRPr="00FF4640" w:rsidRDefault="00D55E2C" w:rsidP="00FF4640">
            <w:r w:rsidRPr="00FF4640">
              <w:t>Adjusted Multinomial Logistic Regression</w:t>
            </w:r>
          </w:p>
        </w:tc>
        <w:tc>
          <w:tcPr>
            <w:tcW w:w="0" w:type="auto"/>
          </w:tcPr>
          <w:p w14:paraId="5D5D9FB3" w14:textId="77777777" w:rsidR="00D55E2C" w:rsidRPr="00FF4640" w:rsidRDefault="00D55E2C" w:rsidP="00FF4640"/>
        </w:tc>
        <w:tc>
          <w:tcPr>
            <w:tcW w:w="0" w:type="auto"/>
          </w:tcPr>
          <w:p w14:paraId="6BC47B67" w14:textId="77777777" w:rsidR="00D55E2C" w:rsidRPr="00FF4640" w:rsidRDefault="00D55E2C" w:rsidP="00FF4640"/>
        </w:tc>
        <w:tc>
          <w:tcPr>
            <w:tcW w:w="0" w:type="auto"/>
          </w:tcPr>
          <w:p w14:paraId="01E42B5E" w14:textId="4BBC2972" w:rsidR="00D55E2C" w:rsidRPr="00FF4640" w:rsidRDefault="00D55E2C" w:rsidP="00FF4640"/>
        </w:tc>
      </w:tr>
      <w:tr w:rsidR="00FF4640" w:rsidRPr="00FF4640" w14:paraId="390F7B9D" w14:textId="77777777" w:rsidTr="001A1F85">
        <w:tc>
          <w:tcPr>
            <w:tcW w:w="0" w:type="auto"/>
            <w:hideMark/>
          </w:tcPr>
          <w:p w14:paraId="742741F3" w14:textId="21E0A211" w:rsidR="00FF4640" w:rsidRPr="00FF4640" w:rsidRDefault="00FF4640" w:rsidP="00FF4640">
            <w:r w:rsidRPr="00FF4640">
              <w:t xml:space="preserve">HHC Referral </w:t>
            </w:r>
            <w:proofErr w:type="spellStart"/>
            <w:r w:rsidRPr="00FF4640">
              <w:t>Group</w:t>
            </w:r>
            <w:r w:rsidRPr="00FE3F0D">
              <w:rPr>
                <w:vertAlign w:val="superscript"/>
              </w:rPr>
              <w:t>a</w:t>
            </w:r>
            <w:proofErr w:type="spellEnd"/>
          </w:p>
        </w:tc>
        <w:tc>
          <w:tcPr>
            <w:tcW w:w="0" w:type="auto"/>
            <w:hideMark/>
          </w:tcPr>
          <w:p w14:paraId="2119FE6A" w14:textId="77777777" w:rsidR="00FF4640" w:rsidRPr="00FF4640" w:rsidRDefault="00FF4640" w:rsidP="00FF4640">
            <w:r w:rsidRPr="00FF4640">
              <w:t>0.076</w:t>
            </w:r>
          </w:p>
        </w:tc>
        <w:tc>
          <w:tcPr>
            <w:tcW w:w="0" w:type="auto"/>
            <w:hideMark/>
          </w:tcPr>
          <w:p w14:paraId="7D41FB26" w14:textId="77777777" w:rsidR="00FF4640" w:rsidRPr="00FF4640" w:rsidRDefault="00FF4640" w:rsidP="00FF4640">
            <w:r w:rsidRPr="00FF4640">
              <w:t>0.147</w:t>
            </w:r>
          </w:p>
        </w:tc>
        <w:tc>
          <w:tcPr>
            <w:tcW w:w="0" w:type="auto"/>
            <w:hideMark/>
          </w:tcPr>
          <w:p w14:paraId="674CEE6B" w14:textId="77777777" w:rsidR="00FF4640" w:rsidRPr="00FF4640" w:rsidRDefault="00FF4640" w:rsidP="00FF4640">
            <w:r w:rsidRPr="00FF4640">
              <w:t>0.091</w:t>
            </w:r>
          </w:p>
        </w:tc>
        <w:tc>
          <w:tcPr>
            <w:tcW w:w="0" w:type="auto"/>
            <w:hideMark/>
          </w:tcPr>
          <w:p w14:paraId="0D636467" w14:textId="77777777" w:rsidR="00FF4640" w:rsidRPr="00FF4640" w:rsidRDefault="00FF4640" w:rsidP="00FF4640">
            <w:r w:rsidRPr="00FF4640">
              <w:t>0.202</w:t>
            </w:r>
          </w:p>
        </w:tc>
      </w:tr>
      <w:tr w:rsidR="00FF4640" w:rsidRPr="00FF4640" w14:paraId="5A03FE57" w14:textId="77777777" w:rsidTr="001A1F85">
        <w:tc>
          <w:tcPr>
            <w:tcW w:w="0" w:type="auto"/>
            <w:hideMark/>
          </w:tcPr>
          <w:p w14:paraId="220618B8" w14:textId="640F10A3" w:rsidR="00FF4640" w:rsidRPr="00FF4640" w:rsidRDefault="00FF4640" w:rsidP="00FF4640">
            <w:r w:rsidRPr="00FF4640">
              <w:t xml:space="preserve">Matched Control </w:t>
            </w:r>
            <w:proofErr w:type="spellStart"/>
            <w:r w:rsidRPr="00FF4640">
              <w:t>Group</w:t>
            </w:r>
            <w:r w:rsidRPr="00FE3F0D">
              <w:rPr>
                <w:vertAlign w:val="superscript"/>
              </w:rPr>
              <w:t>a</w:t>
            </w:r>
            <w:proofErr w:type="spellEnd"/>
          </w:p>
        </w:tc>
        <w:tc>
          <w:tcPr>
            <w:tcW w:w="0" w:type="auto"/>
            <w:hideMark/>
          </w:tcPr>
          <w:p w14:paraId="5EEF06C9" w14:textId="77777777" w:rsidR="00FF4640" w:rsidRPr="00FF4640" w:rsidRDefault="00FF4640" w:rsidP="00FF4640">
            <w:r w:rsidRPr="00FF4640">
              <w:t>0.066</w:t>
            </w:r>
          </w:p>
        </w:tc>
        <w:tc>
          <w:tcPr>
            <w:tcW w:w="0" w:type="auto"/>
            <w:hideMark/>
          </w:tcPr>
          <w:p w14:paraId="12E432DA" w14:textId="77777777" w:rsidR="00FF4640" w:rsidRPr="00FF4640" w:rsidRDefault="00FF4640" w:rsidP="00FF4640">
            <w:r w:rsidRPr="00FF4640">
              <w:t>0.135</w:t>
            </w:r>
          </w:p>
        </w:tc>
        <w:tc>
          <w:tcPr>
            <w:tcW w:w="0" w:type="auto"/>
            <w:hideMark/>
          </w:tcPr>
          <w:p w14:paraId="577F82E7" w14:textId="77777777" w:rsidR="00FF4640" w:rsidRPr="00FF4640" w:rsidRDefault="00FF4640" w:rsidP="00FF4640">
            <w:r w:rsidRPr="00FF4640">
              <w:t>0.090</w:t>
            </w:r>
          </w:p>
        </w:tc>
        <w:tc>
          <w:tcPr>
            <w:tcW w:w="0" w:type="auto"/>
            <w:hideMark/>
          </w:tcPr>
          <w:p w14:paraId="51CDAA1D" w14:textId="77777777" w:rsidR="00FF4640" w:rsidRPr="00FF4640" w:rsidRDefault="00FF4640" w:rsidP="00FF4640">
            <w:r w:rsidRPr="00FF4640">
              <w:t>0.193</w:t>
            </w:r>
          </w:p>
        </w:tc>
      </w:tr>
      <w:bookmarkEnd w:id="47"/>
      <w:tr w:rsidR="00FF4640" w:rsidRPr="00FF4640" w14:paraId="02B2240F" w14:textId="77777777" w:rsidTr="001A1F85">
        <w:tc>
          <w:tcPr>
            <w:tcW w:w="0" w:type="auto"/>
            <w:hideMark/>
          </w:tcPr>
          <w:p w14:paraId="66412758" w14:textId="3189353B" w:rsidR="00FF4640" w:rsidRPr="00FF4640" w:rsidRDefault="00FF4640" w:rsidP="00FF4640">
            <w:r w:rsidRPr="00FF4640">
              <w:t xml:space="preserve">Difference (HHC - </w:t>
            </w:r>
            <w:proofErr w:type="gramStart"/>
            <w:r w:rsidRPr="00FF4640">
              <w:t>Control)</w:t>
            </w:r>
            <w:r w:rsidRPr="00FE3F0D">
              <w:rPr>
                <w:vertAlign w:val="superscript"/>
              </w:rPr>
              <w:t>b</w:t>
            </w:r>
            <w:proofErr w:type="gramEnd"/>
          </w:p>
        </w:tc>
        <w:tc>
          <w:tcPr>
            <w:tcW w:w="0" w:type="auto"/>
            <w:hideMark/>
          </w:tcPr>
          <w:p w14:paraId="6C8F4FB4" w14:textId="77777777" w:rsidR="00FF4640" w:rsidRPr="00FF4640" w:rsidRDefault="00FF4640" w:rsidP="00FF4640">
            <w:r w:rsidRPr="00FF4640">
              <w:t>0.010</w:t>
            </w:r>
          </w:p>
        </w:tc>
        <w:tc>
          <w:tcPr>
            <w:tcW w:w="0" w:type="auto"/>
            <w:hideMark/>
          </w:tcPr>
          <w:p w14:paraId="50F1AC71" w14:textId="77777777" w:rsidR="00FF4640" w:rsidRPr="00FF4640" w:rsidRDefault="00FF4640" w:rsidP="00FF4640">
            <w:r w:rsidRPr="00FF4640">
              <w:t>0.012</w:t>
            </w:r>
          </w:p>
        </w:tc>
        <w:tc>
          <w:tcPr>
            <w:tcW w:w="0" w:type="auto"/>
            <w:hideMark/>
          </w:tcPr>
          <w:p w14:paraId="62715539" w14:textId="77777777" w:rsidR="00FF4640" w:rsidRPr="00FF4640" w:rsidRDefault="00FF4640" w:rsidP="00FF4640">
            <w:r w:rsidRPr="00FF4640">
              <w:t>0.002</w:t>
            </w:r>
          </w:p>
        </w:tc>
        <w:tc>
          <w:tcPr>
            <w:tcW w:w="0" w:type="auto"/>
            <w:hideMark/>
          </w:tcPr>
          <w:p w14:paraId="30DF544F" w14:textId="77777777" w:rsidR="00FF4640" w:rsidRPr="00FF4640" w:rsidRDefault="00FF4640" w:rsidP="00FF4640">
            <w:r w:rsidRPr="00FF4640">
              <w:t>0.009</w:t>
            </w:r>
          </w:p>
        </w:tc>
      </w:tr>
      <w:bookmarkEnd w:id="48"/>
      <w:tr w:rsidR="00FF4640" w:rsidRPr="00FF4640" w14:paraId="69AA9933" w14:textId="77777777" w:rsidTr="001A1F85">
        <w:tc>
          <w:tcPr>
            <w:tcW w:w="0" w:type="auto"/>
            <w:hideMark/>
          </w:tcPr>
          <w:p w14:paraId="071E0043" w14:textId="77777777" w:rsidR="00FF4640" w:rsidRPr="00FF4640" w:rsidRDefault="00FF4640" w:rsidP="00FF4640"/>
        </w:tc>
        <w:tc>
          <w:tcPr>
            <w:tcW w:w="0" w:type="auto"/>
            <w:hideMark/>
          </w:tcPr>
          <w:p w14:paraId="24FCAF49" w14:textId="77777777" w:rsidR="00FF4640" w:rsidRPr="00FF4640" w:rsidRDefault="00FF4640" w:rsidP="00FF4640">
            <w:r w:rsidRPr="00FF4640">
              <w:t>(0.011)</w:t>
            </w:r>
          </w:p>
        </w:tc>
        <w:tc>
          <w:tcPr>
            <w:tcW w:w="0" w:type="auto"/>
            <w:hideMark/>
          </w:tcPr>
          <w:p w14:paraId="0CDD3CAF" w14:textId="77777777" w:rsidR="00FF4640" w:rsidRPr="00FF4640" w:rsidRDefault="00FF4640" w:rsidP="00FF4640">
            <w:r w:rsidRPr="00FF4640">
              <w:t>(0.021)</w:t>
            </w:r>
          </w:p>
        </w:tc>
        <w:tc>
          <w:tcPr>
            <w:tcW w:w="0" w:type="auto"/>
            <w:hideMark/>
          </w:tcPr>
          <w:p w14:paraId="1E6DC082" w14:textId="77777777" w:rsidR="00FF4640" w:rsidRPr="00FF4640" w:rsidRDefault="00FF4640" w:rsidP="00FF4640">
            <w:r w:rsidRPr="00FF4640">
              <w:t>(0.013)</w:t>
            </w:r>
          </w:p>
        </w:tc>
        <w:tc>
          <w:tcPr>
            <w:tcW w:w="0" w:type="auto"/>
            <w:hideMark/>
          </w:tcPr>
          <w:p w14:paraId="737EFC86" w14:textId="77777777" w:rsidR="00FF4640" w:rsidRPr="00FF4640" w:rsidRDefault="00FF4640" w:rsidP="00FF4640">
            <w:r w:rsidRPr="00FF4640">
              <w:t>(0.023)</w:t>
            </w:r>
          </w:p>
        </w:tc>
      </w:tr>
      <w:tr w:rsidR="00FF4640" w:rsidRPr="00FF4640" w14:paraId="7268D2D7" w14:textId="77777777" w:rsidTr="001A1F85">
        <w:tc>
          <w:tcPr>
            <w:tcW w:w="0" w:type="auto"/>
            <w:hideMark/>
          </w:tcPr>
          <w:p w14:paraId="50C42D24" w14:textId="6BC80D25" w:rsidR="00FF4640" w:rsidRPr="00FF4640" w:rsidRDefault="00FF4640" w:rsidP="00FF4640">
            <w:r w:rsidRPr="00FF4640">
              <w:rPr>
                <w:i/>
                <w:iCs/>
              </w:rPr>
              <w:t xml:space="preserve">Control </w:t>
            </w:r>
            <w:proofErr w:type="spellStart"/>
            <w:r w:rsidRPr="00FF4640">
              <w:rPr>
                <w:i/>
                <w:iCs/>
              </w:rPr>
              <w:t>Variables</w:t>
            </w:r>
            <w:bookmarkStart w:id="49" w:name="btb3fn3"/>
            <w:r w:rsidRPr="00FE3F0D">
              <w:rPr>
                <w:i/>
                <w:iCs/>
                <w:vertAlign w:val="superscript"/>
              </w:rPr>
              <w:t>c</w:t>
            </w:r>
            <w:bookmarkEnd w:id="49"/>
            <w:proofErr w:type="spellEnd"/>
          </w:p>
        </w:tc>
        <w:tc>
          <w:tcPr>
            <w:tcW w:w="0" w:type="auto"/>
            <w:hideMark/>
          </w:tcPr>
          <w:p w14:paraId="1104A256" w14:textId="77777777" w:rsidR="00FF4640" w:rsidRPr="00FF4640" w:rsidRDefault="00FF4640" w:rsidP="00FF4640"/>
        </w:tc>
        <w:tc>
          <w:tcPr>
            <w:tcW w:w="0" w:type="auto"/>
            <w:hideMark/>
          </w:tcPr>
          <w:p w14:paraId="79D47210" w14:textId="77777777" w:rsidR="00FF4640" w:rsidRPr="00FF4640" w:rsidRDefault="00FF4640" w:rsidP="00FF4640"/>
        </w:tc>
        <w:tc>
          <w:tcPr>
            <w:tcW w:w="0" w:type="auto"/>
            <w:hideMark/>
          </w:tcPr>
          <w:p w14:paraId="6628D230" w14:textId="77777777" w:rsidR="00FF4640" w:rsidRPr="00FF4640" w:rsidRDefault="00FF4640" w:rsidP="00FF4640"/>
        </w:tc>
        <w:tc>
          <w:tcPr>
            <w:tcW w:w="0" w:type="auto"/>
            <w:hideMark/>
          </w:tcPr>
          <w:p w14:paraId="47145760" w14:textId="77777777" w:rsidR="00FF4640" w:rsidRPr="00FF4640" w:rsidRDefault="00FF4640" w:rsidP="00FF4640"/>
        </w:tc>
      </w:tr>
      <w:tr w:rsidR="00FF4640" w:rsidRPr="00FF4640" w14:paraId="33C3D699" w14:textId="77777777" w:rsidTr="001A1F85">
        <w:tc>
          <w:tcPr>
            <w:tcW w:w="0" w:type="auto"/>
            <w:hideMark/>
          </w:tcPr>
          <w:p w14:paraId="3A6D818F" w14:textId="77777777" w:rsidR="00FF4640" w:rsidRPr="00FF4640" w:rsidRDefault="00FF4640" w:rsidP="00FF4640">
            <w:r w:rsidRPr="00FF4640">
              <w:t>Age</w:t>
            </w:r>
          </w:p>
        </w:tc>
        <w:tc>
          <w:tcPr>
            <w:tcW w:w="0" w:type="auto"/>
            <w:hideMark/>
          </w:tcPr>
          <w:p w14:paraId="161023BE" w14:textId="77777777" w:rsidR="00FF4640" w:rsidRPr="00FF4640" w:rsidRDefault="00FF4640" w:rsidP="00FF4640">
            <w:r w:rsidRPr="00FF4640">
              <w:t>-0.0002</w:t>
            </w:r>
          </w:p>
        </w:tc>
        <w:tc>
          <w:tcPr>
            <w:tcW w:w="0" w:type="auto"/>
            <w:hideMark/>
          </w:tcPr>
          <w:p w14:paraId="0437ECDF" w14:textId="77777777" w:rsidR="00FF4640" w:rsidRPr="00FF4640" w:rsidRDefault="00FF4640" w:rsidP="00FF4640">
            <w:r w:rsidRPr="00FF4640">
              <w:t>-0.0021***</w:t>
            </w:r>
          </w:p>
        </w:tc>
        <w:tc>
          <w:tcPr>
            <w:tcW w:w="0" w:type="auto"/>
            <w:hideMark/>
          </w:tcPr>
          <w:p w14:paraId="7086C701" w14:textId="77777777" w:rsidR="00FF4640" w:rsidRPr="00FF4640" w:rsidRDefault="00FF4640" w:rsidP="00FF4640">
            <w:r w:rsidRPr="00FF4640">
              <w:t>0.0002</w:t>
            </w:r>
          </w:p>
        </w:tc>
        <w:tc>
          <w:tcPr>
            <w:tcW w:w="0" w:type="auto"/>
            <w:hideMark/>
          </w:tcPr>
          <w:p w14:paraId="7D8D60B4" w14:textId="77777777" w:rsidR="00FF4640" w:rsidRPr="00FF4640" w:rsidRDefault="00FF4640" w:rsidP="00FF4640">
            <w:r w:rsidRPr="00FF4640">
              <w:t>-0.0027***</w:t>
            </w:r>
          </w:p>
        </w:tc>
      </w:tr>
      <w:tr w:rsidR="00FF4640" w:rsidRPr="00FF4640" w14:paraId="1A77A53A" w14:textId="77777777" w:rsidTr="001A1F85">
        <w:tc>
          <w:tcPr>
            <w:tcW w:w="0" w:type="auto"/>
            <w:hideMark/>
          </w:tcPr>
          <w:p w14:paraId="7B0C7323" w14:textId="77777777" w:rsidR="00FF4640" w:rsidRPr="00FF4640" w:rsidRDefault="00FF4640" w:rsidP="00FF4640"/>
        </w:tc>
        <w:tc>
          <w:tcPr>
            <w:tcW w:w="0" w:type="auto"/>
            <w:hideMark/>
          </w:tcPr>
          <w:p w14:paraId="27A9F177" w14:textId="77777777" w:rsidR="00FF4640" w:rsidRPr="00FF4640" w:rsidRDefault="00FF4640" w:rsidP="00FF4640">
            <w:r w:rsidRPr="00FF4640">
              <w:t>(0.0006)</w:t>
            </w:r>
          </w:p>
        </w:tc>
        <w:tc>
          <w:tcPr>
            <w:tcW w:w="0" w:type="auto"/>
            <w:hideMark/>
          </w:tcPr>
          <w:p w14:paraId="3DA11D80" w14:textId="77777777" w:rsidR="00FF4640" w:rsidRPr="00FF4640" w:rsidRDefault="00FF4640" w:rsidP="00FF4640">
            <w:r w:rsidRPr="00FF4640">
              <w:t>(0.0006)</w:t>
            </w:r>
          </w:p>
        </w:tc>
        <w:tc>
          <w:tcPr>
            <w:tcW w:w="0" w:type="auto"/>
            <w:hideMark/>
          </w:tcPr>
          <w:p w14:paraId="68F584F9" w14:textId="77777777" w:rsidR="00FF4640" w:rsidRPr="00FF4640" w:rsidRDefault="00FF4640" w:rsidP="00FF4640">
            <w:r w:rsidRPr="00FF4640">
              <w:t>(0.0006)</w:t>
            </w:r>
          </w:p>
        </w:tc>
        <w:tc>
          <w:tcPr>
            <w:tcW w:w="0" w:type="auto"/>
            <w:hideMark/>
          </w:tcPr>
          <w:p w14:paraId="2DFB3D9E" w14:textId="77777777" w:rsidR="00FF4640" w:rsidRPr="00FF4640" w:rsidRDefault="00FF4640" w:rsidP="00FF4640">
            <w:r w:rsidRPr="00FF4640">
              <w:t>(0.0007)</w:t>
            </w:r>
          </w:p>
        </w:tc>
      </w:tr>
      <w:tr w:rsidR="00FF4640" w:rsidRPr="00FF4640" w14:paraId="061417FB" w14:textId="77777777" w:rsidTr="001A1F85">
        <w:tc>
          <w:tcPr>
            <w:tcW w:w="0" w:type="auto"/>
            <w:hideMark/>
          </w:tcPr>
          <w:p w14:paraId="7B0A58D7" w14:textId="77777777" w:rsidR="00FF4640" w:rsidRPr="00FF4640" w:rsidRDefault="00FF4640" w:rsidP="00FF4640">
            <w:r w:rsidRPr="00FF4640">
              <w:t xml:space="preserve">High </w:t>
            </w:r>
            <w:proofErr w:type="spellStart"/>
            <w:r w:rsidRPr="00FF4640">
              <w:t>Elixhauser</w:t>
            </w:r>
            <w:proofErr w:type="spellEnd"/>
            <w:r w:rsidRPr="00FF4640">
              <w:t xml:space="preserve"> Comorbidity Index (&gt;7)</w:t>
            </w:r>
          </w:p>
        </w:tc>
        <w:tc>
          <w:tcPr>
            <w:tcW w:w="0" w:type="auto"/>
            <w:hideMark/>
          </w:tcPr>
          <w:p w14:paraId="56FF27D7" w14:textId="77777777" w:rsidR="00FF4640" w:rsidRPr="00FF4640" w:rsidRDefault="00FF4640" w:rsidP="00FF4640">
            <w:r w:rsidRPr="00FF4640">
              <w:t>0.0069</w:t>
            </w:r>
          </w:p>
        </w:tc>
        <w:tc>
          <w:tcPr>
            <w:tcW w:w="0" w:type="auto"/>
            <w:hideMark/>
          </w:tcPr>
          <w:p w14:paraId="15A84723" w14:textId="77777777" w:rsidR="00FF4640" w:rsidRPr="00FF4640" w:rsidRDefault="00FF4640" w:rsidP="00FF4640">
            <w:r w:rsidRPr="00FF4640">
              <w:t>0.0365***</w:t>
            </w:r>
          </w:p>
        </w:tc>
        <w:tc>
          <w:tcPr>
            <w:tcW w:w="0" w:type="auto"/>
            <w:hideMark/>
          </w:tcPr>
          <w:p w14:paraId="73BDCFFF" w14:textId="77777777" w:rsidR="00FF4640" w:rsidRPr="00FF4640" w:rsidRDefault="00FF4640" w:rsidP="00FF4640">
            <w:r w:rsidRPr="00FF4640">
              <w:t>0.0079</w:t>
            </w:r>
          </w:p>
        </w:tc>
        <w:tc>
          <w:tcPr>
            <w:tcW w:w="0" w:type="auto"/>
            <w:hideMark/>
          </w:tcPr>
          <w:p w14:paraId="53E15203" w14:textId="77777777" w:rsidR="00FF4640" w:rsidRPr="00FF4640" w:rsidRDefault="00FF4640" w:rsidP="00FF4640">
            <w:r w:rsidRPr="00FF4640">
              <w:t>0.0407***</w:t>
            </w:r>
          </w:p>
        </w:tc>
      </w:tr>
      <w:tr w:rsidR="00FF4640" w:rsidRPr="00FF4640" w14:paraId="633327A6" w14:textId="77777777" w:rsidTr="001A1F85">
        <w:tc>
          <w:tcPr>
            <w:tcW w:w="0" w:type="auto"/>
            <w:hideMark/>
          </w:tcPr>
          <w:p w14:paraId="4BE8B852" w14:textId="77777777" w:rsidR="00FF4640" w:rsidRPr="00FF4640" w:rsidRDefault="00FF4640" w:rsidP="00FF4640"/>
        </w:tc>
        <w:tc>
          <w:tcPr>
            <w:tcW w:w="0" w:type="auto"/>
            <w:hideMark/>
          </w:tcPr>
          <w:p w14:paraId="39F40E36" w14:textId="77777777" w:rsidR="00FF4640" w:rsidRPr="00FF4640" w:rsidRDefault="00FF4640" w:rsidP="00FF4640">
            <w:r w:rsidRPr="00FF4640">
              <w:t>(0.0085)</w:t>
            </w:r>
          </w:p>
        </w:tc>
        <w:tc>
          <w:tcPr>
            <w:tcW w:w="0" w:type="auto"/>
            <w:hideMark/>
          </w:tcPr>
          <w:p w14:paraId="62D20116" w14:textId="77777777" w:rsidR="00FF4640" w:rsidRPr="00FF4640" w:rsidRDefault="00FF4640" w:rsidP="00FF4640">
            <w:r w:rsidRPr="00FF4640">
              <w:t>(0.0122)</w:t>
            </w:r>
          </w:p>
        </w:tc>
        <w:tc>
          <w:tcPr>
            <w:tcW w:w="0" w:type="auto"/>
            <w:hideMark/>
          </w:tcPr>
          <w:p w14:paraId="2D80902B" w14:textId="77777777" w:rsidR="00FF4640" w:rsidRPr="00FF4640" w:rsidRDefault="00FF4640" w:rsidP="00FF4640">
            <w:r w:rsidRPr="00FF4640">
              <w:t>(0.0085)</w:t>
            </w:r>
          </w:p>
        </w:tc>
        <w:tc>
          <w:tcPr>
            <w:tcW w:w="0" w:type="auto"/>
            <w:hideMark/>
          </w:tcPr>
          <w:p w14:paraId="3827A008" w14:textId="77777777" w:rsidR="00FF4640" w:rsidRPr="00FF4640" w:rsidRDefault="00FF4640" w:rsidP="00FF4640">
            <w:r w:rsidRPr="00FF4640">
              <w:t>(0.0139)</w:t>
            </w:r>
          </w:p>
        </w:tc>
      </w:tr>
      <w:tr w:rsidR="00FF4640" w:rsidRPr="00FF4640" w14:paraId="31E58C65" w14:textId="77777777" w:rsidTr="001A1F85">
        <w:tc>
          <w:tcPr>
            <w:tcW w:w="0" w:type="auto"/>
            <w:hideMark/>
          </w:tcPr>
          <w:p w14:paraId="3C84F5DA" w14:textId="77777777" w:rsidR="00FF4640" w:rsidRPr="00FF4640" w:rsidRDefault="00FF4640" w:rsidP="00FF4640">
            <w:r w:rsidRPr="00FF4640">
              <w:t>Self-care Ability (Patient-reported)</w:t>
            </w:r>
          </w:p>
        </w:tc>
        <w:tc>
          <w:tcPr>
            <w:tcW w:w="0" w:type="auto"/>
            <w:hideMark/>
          </w:tcPr>
          <w:p w14:paraId="53D89146" w14:textId="77777777" w:rsidR="00FF4640" w:rsidRPr="00FF4640" w:rsidRDefault="00FF4640" w:rsidP="00FF4640">
            <w:r w:rsidRPr="00FF4640">
              <w:t>-0.0006</w:t>
            </w:r>
          </w:p>
        </w:tc>
        <w:tc>
          <w:tcPr>
            <w:tcW w:w="0" w:type="auto"/>
            <w:hideMark/>
          </w:tcPr>
          <w:p w14:paraId="364A058B" w14:textId="77777777" w:rsidR="00FF4640" w:rsidRPr="00FF4640" w:rsidRDefault="00FF4640" w:rsidP="00FF4640">
            <w:r w:rsidRPr="00FF4640">
              <w:t>-0.0009</w:t>
            </w:r>
          </w:p>
        </w:tc>
        <w:tc>
          <w:tcPr>
            <w:tcW w:w="0" w:type="auto"/>
            <w:hideMark/>
          </w:tcPr>
          <w:p w14:paraId="50C37A8A" w14:textId="77777777" w:rsidR="00FF4640" w:rsidRPr="00FF4640" w:rsidRDefault="00FF4640" w:rsidP="00FF4640">
            <w:r w:rsidRPr="00FF4640">
              <w:t>-0.0022</w:t>
            </w:r>
          </w:p>
        </w:tc>
        <w:tc>
          <w:tcPr>
            <w:tcW w:w="0" w:type="auto"/>
            <w:hideMark/>
          </w:tcPr>
          <w:p w14:paraId="7640E030" w14:textId="77777777" w:rsidR="00FF4640" w:rsidRPr="00FF4640" w:rsidRDefault="00FF4640" w:rsidP="00FF4640">
            <w:r w:rsidRPr="00FF4640">
              <w:t>-0.0006</w:t>
            </w:r>
          </w:p>
        </w:tc>
      </w:tr>
      <w:tr w:rsidR="00FF4640" w:rsidRPr="00FF4640" w14:paraId="0C86F91A" w14:textId="77777777" w:rsidTr="001A1F85">
        <w:tc>
          <w:tcPr>
            <w:tcW w:w="0" w:type="auto"/>
            <w:hideMark/>
          </w:tcPr>
          <w:p w14:paraId="4E47DB61" w14:textId="77777777" w:rsidR="00FF4640" w:rsidRPr="00FF4640" w:rsidRDefault="00FF4640" w:rsidP="00FF4640"/>
        </w:tc>
        <w:tc>
          <w:tcPr>
            <w:tcW w:w="0" w:type="auto"/>
            <w:hideMark/>
          </w:tcPr>
          <w:p w14:paraId="35B7E62A" w14:textId="77777777" w:rsidR="00FF4640" w:rsidRPr="00FF4640" w:rsidRDefault="00FF4640" w:rsidP="00FF4640">
            <w:r w:rsidRPr="00FF4640">
              <w:t>(0.0032)</w:t>
            </w:r>
          </w:p>
        </w:tc>
        <w:tc>
          <w:tcPr>
            <w:tcW w:w="0" w:type="auto"/>
            <w:hideMark/>
          </w:tcPr>
          <w:p w14:paraId="6B05AF7F" w14:textId="77777777" w:rsidR="00FF4640" w:rsidRPr="00FF4640" w:rsidRDefault="00FF4640" w:rsidP="00FF4640">
            <w:r w:rsidRPr="00FF4640">
              <w:t>(0.0033)</w:t>
            </w:r>
          </w:p>
        </w:tc>
        <w:tc>
          <w:tcPr>
            <w:tcW w:w="0" w:type="auto"/>
            <w:hideMark/>
          </w:tcPr>
          <w:p w14:paraId="542A9DF6" w14:textId="77777777" w:rsidR="00FF4640" w:rsidRPr="00FF4640" w:rsidRDefault="00FF4640" w:rsidP="00FF4640">
            <w:r w:rsidRPr="00FF4640">
              <w:t>(0.0030)</w:t>
            </w:r>
          </w:p>
        </w:tc>
        <w:tc>
          <w:tcPr>
            <w:tcW w:w="0" w:type="auto"/>
            <w:hideMark/>
          </w:tcPr>
          <w:p w14:paraId="01FAC5E8" w14:textId="77777777" w:rsidR="00FF4640" w:rsidRPr="00FF4640" w:rsidRDefault="00FF4640" w:rsidP="00FF4640">
            <w:r w:rsidRPr="00FF4640">
              <w:t>(0.0043)</w:t>
            </w:r>
          </w:p>
        </w:tc>
      </w:tr>
      <w:tr w:rsidR="00FF4640" w:rsidRPr="00FF4640" w14:paraId="276FE85D" w14:textId="77777777" w:rsidTr="001A1F85">
        <w:tc>
          <w:tcPr>
            <w:tcW w:w="0" w:type="auto"/>
            <w:hideMark/>
          </w:tcPr>
          <w:p w14:paraId="310F072E" w14:textId="77777777" w:rsidR="00FF4640" w:rsidRPr="00FF4640" w:rsidRDefault="00FF4640" w:rsidP="00FF4640">
            <w:r w:rsidRPr="00FF4640">
              <w:t>Social Support (Patient-reported)</w:t>
            </w:r>
          </w:p>
        </w:tc>
        <w:tc>
          <w:tcPr>
            <w:tcW w:w="0" w:type="auto"/>
            <w:hideMark/>
          </w:tcPr>
          <w:p w14:paraId="28934B0A" w14:textId="77777777" w:rsidR="00FF4640" w:rsidRPr="00FF4640" w:rsidRDefault="00FF4640" w:rsidP="00FF4640">
            <w:r w:rsidRPr="00FF4640">
              <w:t>0.0016</w:t>
            </w:r>
          </w:p>
        </w:tc>
        <w:tc>
          <w:tcPr>
            <w:tcW w:w="0" w:type="auto"/>
            <w:hideMark/>
          </w:tcPr>
          <w:p w14:paraId="35B29956" w14:textId="77777777" w:rsidR="00FF4640" w:rsidRPr="00FF4640" w:rsidRDefault="00FF4640" w:rsidP="00FF4640">
            <w:r w:rsidRPr="00FF4640">
              <w:t>0.0006</w:t>
            </w:r>
          </w:p>
        </w:tc>
        <w:tc>
          <w:tcPr>
            <w:tcW w:w="0" w:type="auto"/>
            <w:hideMark/>
          </w:tcPr>
          <w:p w14:paraId="1FB13A25" w14:textId="77777777" w:rsidR="00FF4640" w:rsidRPr="00FF4640" w:rsidRDefault="00FF4640" w:rsidP="00FF4640">
            <w:r w:rsidRPr="00FF4640">
              <w:t>-0.0002</w:t>
            </w:r>
          </w:p>
        </w:tc>
        <w:tc>
          <w:tcPr>
            <w:tcW w:w="0" w:type="auto"/>
            <w:hideMark/>
          </w:tcPr>
          <w:p w14:paraId="6D105A95" w14:textId="77777777" w:rsidR="00FF4640" w:rsidRPr="00FF4640" w:rsidRDefault="00FF4640" w:rsidP="00FF4640">
            <w:r w:rsidRPr="00FF4640">
              <w:t>-0.0011</w:t>
            </w:r>
          </w:p>
        </w:tc>
      </w:tr>
      <w:tr w:rsidR="00FF4640" w:rsidRPr="00FF4640" w14:paraId="090BBBC0" w14:textId="77777777" w:rsidTr="001A1F85">
        <w:tc>
          <w:tcPr>
            <w:tcW w:w="0" w:type="auto"/>
            <w:hideMark/>
          </w:tcPr>
          <w:p w14:paraId="0B31F05C" w14:textId="77777777" w:rsidR="00FF4640" w:rsidRPr="00FF4640" w:rsidRDefault="00FF4640" w:rsidP="00FF4640"/>
        </w:tc>
        <w:tc>
          <w:tcPr>
            <w:tcW w:w="0" w:type="auto"/>
            <w:hideMark/>
          </w:tcPr>
          <w:p w14:paraId="15DEB238" w14:textId="77777777" w:rsidR="00FF4640" w:rsidRPr="00FF4640" w:rsidRDefault="00FF4640" w:rsidP="00FF4640">
            <w:r w:rsidRPr="00FF4640">
              <w:t>(0.0016)</w:t>
            </w:r>
          </w:p>
        </w:tc>
        <w:tc>
          <w:tcPr>
            <w:tcW w:w="0" w:type="auto"/>
            <w:hideMark/>
          </w:tcPr>
          <w:p w14:paraId="1B67DC0C" w14:textId="77777777" w:rsidR="00FF4640" w:rsidRPr="00FF4640" w:rsidRDefault="00FF4640" w:rsidP="00FF4640">
            <w:r w:rsidRPr="00FF4640">
              <w:t>(0.0015)</w:t>
            </w:r>
          </w:p>
        </w:tc>
        <w:tc>
          <w:tcPr>
            <w:tcW w:w="0" w:type="auto"/>
            <w:hideMark/>
          </w:tcPr>
          <w:p w14:paraId="7A7179B2" w14:textId="77777777" w:rsidR="00FF4640" w:rsidRPr="00FF4640" w:rsidRDefault="00FF4640" w:rsidP="00FF4640">
            <w:r w:rsidRPr="00FF4640">
              <w:t>(0.0020)</w:t>
            </w:r>
          </w:p>
        </w:tc>
        <w:tc>
          <w:tcPr>
            <w:tcW w:w="0" w:type="auto"/>
            <w:hideMark/>
          </w:tcPr>
          <w:p w14:paraId="6E568A7C" w14:textId="77777777" w:rsidR="00FF4640" w:rsidRPr="00FF4640" w:rsidRDefault="00FF4640" w:rsidP="00FF4640">
            <w:r w:rsidRPr="00FF4640">
              <w:t>(0.0019)</w:t>
            </w:r>
          </w:p>
        </w:tc>
      </w:tr>
      <w:tr w:rsidR="00FF4640" w:rsidRPr="00FF4640" w14:paraId="685F39AB" w14:textId="77777777" w:rsidTr="001A1F85">
        <w:tc>
          <w:tcPr>
            <w:tcW w:w="0" w:type="auto"/>
            <w:hideMark/>
          </w:tcPr>
          <w:p w14:paraId="222E5C3D" w14:textId="77777777" w:rsidR="00FF4640" w:rsidRPr="00FF4640" w:rsidRDefault="00FF4640" w:rsidP="00FF4640">
            <w:r w:rsidRPr="00FF4640">
              <w:t>HHC Propensity Score</w:t>
            </w:r>
          </w:p>
        </w:tc>
        <w:tc>
          <w:tcPr>
            <w:tcW w:w="0" w:type="auto"/>
            <w:hideMark/>
          </w:tcPr>
          <w:p w14:paraId="67955F6F" w14:textId="77777777" w:rsidR="00FF4640" w:rsidRPr="00FF4640" w:rsidRDefault="00FF4640" w:rsidP="00FF4640">
            <w:r w:rsidRPr="00FF4640">
              <w:t>0.0182</w:t>
            </w:r>
          </w:p>
        </w:tc>
        <w:tc>
          <w:tcPr>
            <w:tcW w:w="0" w:type="auto"/>
            <w:hideMark/>
          </w:tcPr>
          <w:p w14:paraId="687B05E8" w14:textId="77777777" w:rsidR="00FF4640" w:rsidRPr="00FF4640" w:rsidRDefault="00FF4640" w:rsidP="00FF4640">
            <w:r w:rsidRPr="00FF4640">
              <w:t>0.197***</w:t>
            </w:r>
          </w:p>
        </w:tc>
        <w:tc>
          <w:tcPr>
            <w:tcW w:w="0" w:type="auto"/>
            <w:hideMark/>
          </w:tcPr>
          <w:p w14:paraId="529E744A" w14:textId="77777777" w:rsidR="00FF4640" w:rsidRPr="00FF4640" w:rsidRDefault="00FF4640" w:rsidP="00FF4640">
            <w:r w:rsidRPr="00FF4640">
              <w:t>-0.0372</w:t>
            </w:r>
          </w:p>
        </w:tc>
        <w:tc>
          <w:tcPr>
            <w:tcW w:w="0" w:type="auto"/>
            <w:hideMark/>
          </w:tcPr>
          <w:p w14:paraId="23E02103" w14:textId="77777777" w:rsidR="00FF4640" w:rsidRPr="00FF4640" w:rsidRDefault="00FF4640" w:rsidP="00FF4640">
            <w:r w:rsidRPr="00FF4640">
              <w:t>0.255***</w:t>
            </w:r>
          </w:p>
        </w:tc>
      </w:tr>
      <w:tr w:rsidR="00FF4640" w:rsidRPr="00FF4640" w14:paraId="738828DC" w14:textId="77777777" w:rsidTr="001A1F85">
        <w:tc>
          <w:tcPr>
            <w:tcW w:w="0" w:type="auto"/>
            <w:hideMark/>
          </w:tcPr>
          <w:p w14:paraId="28343D33" w14:textId="77777777" w:rsidR="00FF4640" w:rsidRPr="00FF4640" w:rsidRDefault="00FF4640" w:rsidP="00FF4640"/>
        </w:tc>
        <w:tc>
          <w:tcPr>
            <w:tcW w:w="0" w:type="auto"/>
            <w:hideMark/>
          </w:tcPr>
          <w:p w14:paraId="771C8C77" w14:textId="77777777" w:rsidR="00FF4640" w:rsidRPr="00FF4640" w:rsidRDefault="00FF4640" w:rsidP="00FF4640">
            <w:r w:rsidRPr="00FF4640">
              <w:t>(0.0347)</w:t>
            </w:r>
          </w:p>
        </w:tc>
        <w:tc>
          <w:tcPr>
            <w:tcW w:w="0" w:type="auto"/>
            <w:hideMark/>
          </w:tcPr>
          <w:p w14:paraId="1D45A140" w14:textId="77777777" w:rsidR="00FF4640" w:rsidRPr="00FF4640" w:rsidRDefault="00FF4640" w:rsidP="00FF4640">
            <w:r w:rsidRPr="00FF4640">
              <w:t>(0.0539)</w:t>
            </w:r>
          </w:p>
        </w:tc>
        <w:tc>
          <w:tcPr>
            <w:tcW w:w="0" w:type="auto"/>
            <w:hideMark/>
          </w:tcPr>
          <w:p w14:paraId="1347DD02" w14:textId="77777777" w:rsidR="00FF4640" w:rsidRPr="00FF4640" w:rsidRDefault="00FF4640" w:rsidP="00FF4640">
            <w:r w:rsidRPr="00FF4640">
              <w:t>(0.0498)</w:t>
            </w:r>
          </w:p>
        </w:tc>
        <w:tc>
          <w:tcPr>
            <w:tcW w:w="0" w:type="auto"/>
            <w:hideMark/>
          </w:tcPr>
          <w:p w14:paraId="46F65783" w14:textId="77777777" w:rsidR="00FF4640" w:rsidRPr="00FF4640" w:rsidRDefault="00FF4640" w:rsidP="00FF4640">
            <w:r w:rsidRPr="00FF4640">
              <w:t>(0.0639)</w:t>
            </w:r>
          </w:p>
        </w:tc>
      </w:tr>
      <w:tr w:rsidR="00FF4640" w:rsidRPr="00FF4640" w14:paraId="1B6D3EFD" w14:textId="77777777" w:rsidTr="001A1F85">
        <w:tc>
          <w:tcPr>
            <w:tcW w:w="0" w:type="auto"/>
            <w:hideMark/>
          </w:tcPr>
          <w:p w14:paraId="49946BD1" w14:textId="77777777" w:rsidR="00FF4640" w:rsidRPr="00FF4640" w:rsidRDefault="00FF4640" w:rsidP="00FF4640">
            <w:r w:rsidRPr="00FF4640">
              <w:t>ICU Days</w:t>
            </w:r>
          </w:p>
        </w:tc>
        <w:tc>
          <w:tcPr>
            <w:tcW w:w="0" w:type="auto"/>
            <w:hideMark/>
          </w:tcPr>
          <w:p w14:paraId="5DF92058" w14:textId="77777777" w:rsidR="00FF4640" w:rsidRPr="00FF4640" w:rsidRDefault="00FF4640" w:rsidP="00FF4640">
            <w:r w:rsidRPr="00FF4640">
              <w:t>-0.00145</w:t>
            </w:r>
          </w:p>
        </w:tc>
        <w:tc>
          <w:tcPr>
            <w:tcW w:w="0" w:type="auto"/>
            <w:hideMark/>
          </w:tcPr>
          <w:p w14:paraId="395AADA1" w14:textId="77777777" w:rsidR="00FF4640" w:rsidRPr="00FF4640" w:rsidRDefault="00FF4640" w:rsidP="00FF4640">
            <w:r w:rsidRPr="00FF4640">
              <w:t>-0.0050*</w:t>
            </w:r>
          </w:p>
        </w:tc>
        <w:tc>
          <w:tcPr>
            <w:tcW w:w="0" w:type="auto"/>
            <w:hideMark/>
          </w:tcPr>
          <w:p w14:paraId="66C3D546" w14:textId="77777777" w:rsidR="00FF4640" w:rsidRPr="00FF4640" w:rsidRDefault="00FF4640" w:rsidP="00FF4640">
            <w:r w:rsidRPr="00FF4640">
              <w:t>0.0015</w:t>
            </w:r>
          </w:p>
        </w:tc>
        <w:tc>
          <w:tcPr>
            <w:tcW w:w="0" w:type="auto"/>
            <w:hideMark/>
          </w:tcPr>
          <w:p w14:paraId="01D9CBD4" w14:textId="77777777" w:rsidR="00FF4640" w:rsidRPr="00FF4640" w:rsidRDefault="00FF4640" w:rsidP="00FF4640">
            <w:r w:rsidRPr="00FF4640">
              <w:t>-0.0103**</w:t>
            </w:r>
          </w:p>
        </w:tc>
      </w:tr>
      <w:tr w:rsidR="00FF4640" w:rsidRPr="00FF4640" w14:paraId="484D932B" w14:textId="77777777" w:rsidTr="001A1F85">
        <w:tc>
          <w:tcPr>
            <w:tcW w:w="0" w:type="auto"/>
            <w:hideMark/>
          </w:tcPr>
          <w:p w14:paraId="49162184" w14:textId="77777777" w:rsidR="00FF4640" w:rsidRPr="00FF4640" w:rsidRDefault="00FF4640" w:rsidP="00FF4640"/>
        </w:tc>
        <w:tc>
          <w:tcPr>
            <w:tcW w:w="0" w:type="auto"/>
            <w:hideMark/>
          </w:tcPr>
          <w:p w14:paraId="711098DF" w14:textId="77777777" w:rsidR="00FF4640" w:rsidRPr="00FF4640" w:rsidRDefault="00FF4640" w:rsidP="00FF4640">
            <w:r w:rsidRPr="00FF4640">
              <w:t>(0.0023)</w:t>
            </w:r>
          </w:p>
        </w:tc>
        <w:tc>
          <w:tcPr>
            <w:tcW w:w="0" w:type="auto"/>
            <w:hideMark/>
          </w:tcPr>
          <w:p w14:paraId="24C58DA3" w14:textId="77777777" w:rsidR="00FF4640" w:rsidRPr="00FF4640" w:rsidRDefault="00FF4640" w:rsidP="00FF4640">
            <w:r w:rsidRPr="00FF4640">
              <w:t>(0.0029)</w:t>
            </w:r>
          </w:p>
        </w:tc>
        <w:tc>
          <w:tcPr>
            <w:tcW w:w="0" w:type="auto"/>
            <w:hideMark/>
          </w:tcPr>
          <w:p w14:paraId="49D76BF9" w14:textId="77777777" w:rsidR="00FF4640" w:rsidRPr="00FF4640" w:rsidRDefault="00FF4640" w:rsidP="00FF4640">
            <w:r w:rsidRPr="00FF4640">
              <w:t>(0.0034)</w:t>
            </w:r>
          </w:p>
        </w:tc>
        <w:tc>
          <w:tcPr>
            <w:tcW w:w="0" w:type="auto"/>
            <w:hideMark/>
          </w:tcPr>
          <w:p w14:paraId="68560D6A" w14:textId="77777777" w:rsidR="00FF4640" w:rsidRPr="00FF4640" w:rsidRDefault="00FF4640" w:rsidP="00FF4640">
            <w:r w:rsidRPr="00FF4640">
              <w:t>(0.0049)</w:t>
            </w:r>
          </w:p>
        </w:tc>
      </w:tr>
      <w:tr w:rsidR="00FF4640" w:rsidRPr="00FF4640" w14:paraId="683B8B69" w14:textId="77777777" w:rsidTr="001A1F85">
        <w:tc>
          <w:tcPr>
            <w:tcW w:w="0" w:type="auto"/>
            <w:hideMark/>
          </w:tcPr>
          <w:p w14:paraId="6313B588" w14:textId="77777777" w:rsidR="00FF4640" w:rsidRPr="00FF4640" w:rsidRDefault="00FF4640" w:rsidP="00FF4640">
            <w:r w:rsidRPr="00FF4640">
              <w:t>Hispanic Ethnicity</w:t>
            </w:r>
          </w:p>
        </w:tc>
        <w:tc>
          <w:tcPr>
            <w:tcW w:w="0" w:type="auto"/>
            <w:hideMark/>
          </w:tcPr>
          <w:p w14:paraId="0628053E" w14:textId="77777777" w:rsidR="00FF4640" w:rsidRPr="00FF4640" w:rsidRDefault="00FF4640" w:rsidP="00FF4640">
            <w:r w:rsidRPr="00FF4640">
              <w:t>0.0097</w:t>
            </w:r>
          </w:p>
        </w:tc>
        <w:tc>
          <w:tcPr>
            <w:tcW w:w="0" w:type="auto"/>
            <w:hideMark/>
          </w:tcPr>
          <w:p w14:paraId="485DBF0A" w14:textId="77777777" w:rsidR="00FF4640" w:rsidRPr="00FF4640" w:rsidRDefault="00FF4640" w:rsidP="00FF4640">
            <w:r w:rsidRPr="00FF4640">
              <w:t>0.0154</w:t>
            </w:r>
          </w:p>
        </w:tc>
        <w:tc>
          <w:tcPr>
            <w:tcW w:w="0" w:type="auto"/>
            <w:hideMark/>
          </w:tcPr>
          <w:p w14:paraId="4F76C038" w14:textId="77777777" w:rsidR="00FF4640" w:rsidRPr="00FF4640" w:rsidRDefault="00FF4640" w:rsidP="00FF4640">
            <w:r w:rsidRPr="00FF4640">
              <w:t>0.00335</w:t>
            </w:r>
          </w:p>
        </w:tc>
        <w:tc>
          <w:tcPr>
            <w:tcW w:w="0" w:type="auto"/>
            <w:hideMark/>
          </w:tcPr>
          <w:p w14:paraId="19B8F92A" w14:textId="77777777" w:rsidR="00FF4640" w:rsidRPr="00FF4640" w:rsidRDefault="00FF4640" w:rsidP="00FF4640">
            <w:r w:rsidRPr="00FF4640">
              <w:t>0.0347</w:t>
            </w:r>
          </w:p>
        </w:tc>
      </w:tr>
      <w:tr w:rsidR="00FF4640" w:rsidRPr="00FF4640" w14:paraId="05F3466B" w14:textId="77777777" w:rsidTr="001A1F85">
        <w:tc>
          <w:tcPr>
            <w:tcW w:w="0" w:type="auto"/>
            <w:hideMark/>
          </w:tcPr>
          <w:p w14:paraId="4F601C1A" w14:textId="77777777" w:rsidR="00FF4640" w:rsidRPr="00FF4640" w:rsidRDefault="00FF4640" w:rsidP="00FF4640"/>
        </w:tc>
        <w:tc>
          <w:tcPr>
            <w:tcW w:w="0" w:type="auto"/>
            <w:hideMark/>
          </w:tcPr>
          <w:p w14:paraId="3522ECEF" w14:textId="77777777" w:rsidR="00FF4640" w:rsidRPr="00FF4640" w:rsidRDefault="00FF4640" w:rsidP="00FF4640">
            <w:r w:rsidRPr="00FF4640">
              <w:t>(0.0174)</w:t>
            </w:r>
          </w:p>
        </w:tc>
        <w:tc>
          <w:tcPr>
            <w:tcW w:w="0" w:type="auto"/>
            <w:hideMark/>
          </w:tcPr>
          <w:p w14:paraId="17E85E59" w14:textId="77777777" w:rsidR="00FF4640" w:rsidRPr="00FF4640" w:rsidRDefault="00FF4640" w:rsidP="00FF4640">
            <w:r w:rsidRPr="00FF4640">
              <w:t>(0.0183)</w:t>
            </w:r>
          </w:p>
        </w:tc>
        <w:tc>
          <w:tcPr>
            <w:tcW w:w="0" w:type="auto"/>
            <w:hideMark/>
          </w:tcPr>
          <w:p w14:paraId="487847C9" w14:textId="77777777" w:rsidR="00FF4640" w:rsidRPr="00FF4640" w:rsidRDefault="00FF4640" w:rsidP="00FF4640">
            <w:r w:rsidRPr="00FF4640">
              <w:t>(0.0186)</w:t>
            </w:r>
          </w:p>
        </w:tc>
        <w:tc>
          <w:tcPr>
            <w:tcW w:w="0" w:type="auto"/>
            <w:hideMark/>
          </w:tcPr>
          <w:p w14:paraId="4966C07D" w14:textId="77777777" w:rsidR="00FF4640" w:rsidRPr="00FF4640" w:rsidRDefault="00FF4640" w:rsidP="00FF4640">
            <w:r w:rsidRPr="00FF4640">
              <w:t>(0.0270)</w:t>
            </w:r>
          </w:p>
        </w:tc>
      </w:tr>
      <w:tr w:rsidR="00FF4640" w:rsidRPr="00FF4640" w14:paraId="0E0DBCEB" w14:textId="77777777" w:rsidTr="001A1F85">
        <w:tc>
          <w:tcPr>
            <w:tcW w:w="0" w:type="auto"/>
            <w:hideMark/>
          </w:tcPr>
          <w:p w14:paraId="60E12387" w14:textId="77777777" w:rsidR="00FF4640" w:rsidRPr="00FF4640" w:rsidRDefault="00FF4640" w:rsidP="00FF4640">
            <w:r w:rsidRPr="00FF4640">
              <w:t>Unknown Ethnicity</w:t>
            </w:r>
          </w:p>
        </w:tc>
        <w:tc>
          <w:tcPr>
            <w:tcW w:w="0" w:type="auto"/>
            <w:hideMark/>
          </w:tcPr>
          <w:p w14:paraId="381CD5C6" w14:textId="77777777" w:rsidR="00FF4640" w:rsidRPr="00FF4640" w:rsidRDefault="00FF4640" w:rsidP="00FF4640">
            <w:r w:rsidRPr="00FF4640">
              <w:t>0.0581**</w:t>
            </w:r>
          </w:p>
        </w:tc>
        <w:tc>
          <w:tcPr>
            <w:tcW w:w="0" w:type="auto"/>
            <w:hideMark/>
          </w:tcPr>
          <w:p w14:paraId="4541DDB4" w14:textId="77777777" w:rsidR="00FF4640" w:rsidRPr="00FF4640" w:rsidRDefault="00FF4640" w:rsidP="00FF4640">
            <w:r w:rsidRPr="00FF4640">
              <w:t>-0.0155</w:t>
            </w:r>
          </w:p>
        </w:tc>
        <w:tc>
          <w:tcPr>
            <w:tcW w:w="0" w:type="auto"/>
            <w:hideMark/>
          </w:tcPr>
          <w:p w14:paraId="0AE314E4" w14:textId="77777777" w:rsidR="00FF4640" w:rsidRPr="00FF4640" w:rsidRDefault="00FF4640" w:rsidP="00FF4640">
            <w:r w:rsidRPr="00FF4640">
              <w:t>0.0208</w:t>
            </w:r>
          </w:p>
        </w:tc>
        <w:tc>
          <w:tcPr>
            <w:tcW w:w="0" w:type="auto"/>
            <w:hideMark/>
          </w:tcPr>
          <w:p w14:paraId="44A521C8" w14:textId="77777777" w:rsidR="00FF4640" w:rsidRPr="00FF4640" w:rsidRDefault="00FF4640" w:rsidP="00FF4640">
            <w:r w:rsidRPr="00FF4640">
              <w:t>-0.0497</w:t>
            </w:r>
          </w:p>
        </w:tc>
      </w:tr>
      <w:tr w:rsidR="00FF4640" w:rsidRPr="00FF4640" w14:paraId="08A45559" w14:textId="77777777" w:rsidTr="001A1F85">
        <w:tc>
          <w:tcPr>
            <w:tcW w:w="0" w:type="auto"/>
            <w:hideMark/>
          </w:tcPr>
          <w:p w14:paraId="40152CE2" w14:textId="77777777" w:rsidR="00FF4640" w:rsidRPr="00FF4640" w:rsidRDefault="00FF4640" w:rsidP="00FF4640"/>
        </w:tc>
        <w:tc>
          <w:tcPr>
            <w:tcW w:w="0" w:type="auto"/>
            <w:hideMark/>
          </w:tcPr>
          <w:p w14:paraId="0767A5B5" w14:textId="77777777" w:rsidR="00FF4640" w:rsidRPr="00FF4640" w:rsidRDefault="00FF4640" w:rsidP="00FF4640">
            <w:r w:rsidRPr="00FF4640">
              <w:t>(0.0251)</w:t>
            </w:r>
          </w:p>
        </w:tc>
        <w:tc>
          <w:tcPr>
            <w:tcW w:w="0" w:type="auto"/>
            <w:hideMark/>
          </w:tcPr>
          <w:p w14:paraId="2E4CCECC" w14:textId="77777777" w:rsidR="00FF4640" w:rsidRPr="00FF4640" w:rsidRDefault="00FF4640" w:rsidP="00FF4640">
            <w:r w:rsidRPr="00FF4640">
              <w:t>(0.0325)</w:t>
            </w:r>
          </w:p>
        </w:tc>
        <w:tc>
          <w:tcPr>
            <w:tcW w:w="0" w:type="auto"/>
            <w:hideMark/>
          </w:tcPr>
          <w:p w14:paraId="53A62ADF" w14:textId="77777777" w:rsidR="00FF4640" w:rsidRPr="00FF4640" w:rsidRDefault="00FF4640" w:rsidP="00FF4640">
            <w:r w:rsidRPr="00FF4640">
              <w:t>(0.0266)</w:t>
            </w:r>
          </w:p>
        </w:tc>
        <w:tc>
          <w:tcPr>
            <w:tcW w:w="0" w:type="auto"/>
            <w:hideMark/>
          </w:tcPr>
          <w:p w14:paraId="28C780C9" w14:textId="77777777" w:rsidR="00FF4640" w:rsidRPr="00FF4640" w:rsidRDefault="00FF4640" w:rsidP="00FF4640">
            <w:r w:rsidRPr="00FF4640">
              <w:t>(0.0405)</w:t>
            </w:r>
          </w:p>
        </w:tc>
      </w:tr>
      <w:tr w:rsidR="00FF4640" w:rsidRPr="00FF4640" w14:paraId="5BF5CC84" w14:textId="77777777" w:rsidTr="001A1F85">
        <w:tc>
          <w:tcPr>
            <w:tcW w:w="0" w:type="auto"/>
            <w:hideMark/>
          </w:tcPr>
          <w:p w14:paraId="236ADEE5" w14:textId="77777777" w:rsidR="00FF4640" w:rsidRPr="00FF4640" w:rsidRDefault="00FF4640" w:rsidP="00FF4640">
            <w:r w:rsidRPr="00FF4640">
              <w:t>Medicare Payer Type</w:t>
            </w:r>
          </w:p>
        </w:tc>
        <w:tc>
          <w:tcPr>
            <w:tcW w:w="0" w:type="auto"/>
            <w:hideMark/>
          </w:tcPr>
          <w:p w14:paraId="55F5CD6F" w14:textId="77777777" w:rsidR="00FF4640" w:rsidRPr="00FF4640" w:rsidRDefault="00FF4640" w:rsidP="00FF4640">
            <w:r w:rsidRPr="00FF4640">
              <w:t>0.0043</w:t>
            </w:r>
          </w:p>
        </w:tc>
        <w:tc>
          <w:tcPr>
            <w:tcW w:w="0" w:type="auto"/>
            <w:hideMark/>
          </w:tcPr>
          <w:p w14:paraId="51D6F7C9" w14:textId="77777777" w:rsidR="00FF4640" w:rsidRPr="00FF4640" w:rsidRDefault="00FF4640" w:rsidP="00FF4640">
            <w:r w:rsidRPr="00FF4640">
              <w:t>0.0079</w:t>
            </w:r>
          </w:p>
        </w:tc>
        <w:tc>
          <w:tcPr>
            <w:tcW w:w="0" w:type="auto"/>
            <w:hideMark/>
          </w:tcPr>
          <w:p w14:paraId="3EECB967" w14:textId="77777777" w:rsidR="00FF4640" w:rsidRPr="00FF4640" w:rsidRDefault="00FF4640" w:rsidP="00FF4640">
            <w:r w:rsidRPr="00FF4640">
              <w:t>0.0082</w:t>
            </w:r>
          </w:p>
        </w:tc>
        <w:tc>
          <w:tcPr>
            <w:tcW w:w="0" w:type="auto"/>
            <w:hideMark/>
          </w:tcPr>
          <w:p w14:paraId="1A918707" w14:textId="77777777" w:rsidR="00FF4640" w:rsidRPr="00FF4640" w:rsidRDefault="00FF4640" w:rsidP="00FF4640">
            <w:r w:rsidRPr="00FF4640">
              <w:t>0.0262</w:t>
            </w:r>
          </w:p>
        </w:tc>
      </w:tr>
      <w:tr w:rsidR="00FF4640" w:rsidRPr="00FF4640" w14:paraId="724C3F19" w14:textId="77777777" w:rsidTr="001A1F85">
        <w:tc>
          <w:tcPr>
            <w:tcW w:w="0" w:type="auto"/>
            <w:hideMark/>
          </w:tcPr>
          <w:p w14:paraId="7FB3CDE6" w14:textId="77777777" w:rsidR="00FF4640" w:rsidRPr="00FF4640" w:rsidRDefault="00FF4640" w:rsidP="00FF4640"/>
        </w:tc>
        <w:tc>
          <w:tcPr>
            <w:tcW w:w="0" w:type="auto"/>
            <w:hideMark/>
          </w:tcPr>
          <w:p w14:paraId="2FEEEA9D" w14:textId="77777777" w:rsidR="00FF4640" w:rsidRPr="00FF4640" w:rsidRDefault="00FF4640" w:rsidP="00FF4640">
            <w:r w:rsidRPr="00FF4640">
              <w:t>(0.0127)</w:t>
            </w:r>
          </w:p>
        </w:tc>
        <w:tc>
          <w:tcPr>
            <w:tcW w:w="0" w:type="auto"/>
            <w:hideMark/>
          </w:tcPr>
          <w:p w14:paraId="7BAB5ED3" w14:textId="77777777" w:rsidR="00FF4640" w:rsidRPr="00FF4640" w:rsidRDefault="00FF4640" w:rsidP="00FF4640">
            <w:r w:rsidRPr="00FF4640">
              <w:t>(0.0273)</w:t>
            </w:r>
          </w:p>
        </w:tc>
        <w:tc>
          <w:tcPr>
            <w:tcW w:w="0" w:type="auto"/>
            <w:hideMark/>
          </w:tcPr>
          <w:p w14:paraId="7861C407" w14:textId="77777777" w:rsidR="00FF4640" w:rsidRPr="00FF4640" w:rsidRDefault="00FF4640" w:rsidP="00FF4640">
            <w:r w:rsidRPr="00FF4640">
              <w:t>(0.0168)</w:t>
            </w:r>
          </w:p>
        </w:tc>
        <w:tc>
          <w:tcPr>
            <w:tcW w:w="0" w:type="auto"/>
            <w:hideMark/>
          </w:tcPr>
          <w:p w14:paraId="59AA38A7" w14:textId="77777777" w:rsidR="00FF4640" w:rsidRPr="00FF4640" w:rsidRDefault="00FF4640" w:rsidP="00FF4640">
            <w:r w:rsidRPr="00FF4640">
              <w:t>(0.0236)</w:t>
            </w:r>
          </w:p>
        </w:tc>
      </w:tr>
      <w:tr w:rsidR="00FF4640" w:rsidRPr="00FF4640" w14:paraId="04B1833D" w14:textId="77777777" w:rsidTr="001A1F85">
        <w:tc>
          <w:tcPr>
            <w:tcW w:w="0" w:type="auto"/>
            <w:hideMark/>
          </w:tcPr>
          <w:p w14:paraId="721D9984" w14:textId="77777777" w:rsidR="00FF4640" w:rsidRPr="00FF4640" w:rsidRDefault="00FF4640" w:rsidP="00FF4640">
            <w:r w:rsidRPr="00FF4640">
              <w:t>Medicaid Payer Type</w:t>
            </w:r>
          </w:p>
        </w:tc>
        <w:tc>
          <w:tcPr>
            <w:tcW w:w="0" w:type="auto"/>
            <w:hideMark/>
          </w:tcPr>
          <w:p w14:paraId="74974B78" w14:textId="77777777" w:rsidR="00FF4640" w:rsidRPr="00FF4640" w:rsidRDefault="00FF4640" w:rsidP="00FF4640">
            <w:r w:rsidRPr="00FF4640">
              <w:t>0.0221</w:t>
            </w:r>
          </w:p>
        </w:tc>
        <w:tc>
          <w:tcPr>
            <w:tcW w:w="0" w:type="auto"/>
            <w:hideMark/>
          </w:tcPr>
          <w:p w14:paraId="6B3737CC" w14:textId="77777777" w:rsidR="00FF4640" w:rsidRPr="00FF4640" w:rsidRDefault="00FF4640" w:rsidP="00FF4640">
            <w:r w:rsidRPr="00FF4640">
              <w:t>0.0271</w:t>
            </w:r>
          </w:p>
        </w:tc>
        <w:tc>
          <w:tcPr>
            <w:tcW w:w="0" w:type="auto"/>
            <w:hideMark/>
          </w:tcPr>
          <w:p w14:paraId="40647B08" w14:textId="77777777" w:rsidR="00FF4640" w:rsidRPr="00FF4640" w:rsidRDefault="00FF4640" w:rsidP="00FF4640">
            <w:r w:rsidRPr="00FF4640">
              <w:t>0.0376*</w:t>
            </w:r>
          </w:p>
        </w:tc>
        <w:tc>
          <w:tcPr>
            <w:tcW w:w="0" w:type="auto"/>
            <w:hideMark/>
          </w:tcPr>
          <w:p w14:paraId="69D0A75D" w14:textId="77777777" w:rsidR="00FF4640" w:rsidRPr="00FF4640" w:rsidRDefault="00FF4640" w:rsidP="00FF4640">
            <w:r w:rsidRPr="00FF4640">
              <w:t>0.0368</w:t>
            </w:r>
          </w:p>
        </w:tc>
      </w:tr>
      <w:tr w:rsidR="00FF4640" w:rsidRPr="00FF4640" w14:paraId="27D7C9FE" w14:textId="77777777" w:rsidTr="001A1F85">
        <w:tc>
          <w:tcPr>
            <w:tcW w:w="0" w:type="auto"/>
            <w:hideMark/>
          </w:tcPr>
          <w:p w14:paraId="29047694" w14:textId="77777777" w:rsidR="00FF4640" w:rsidRPr="00FF4640" w:rsidRDefault="00FF4640" w:rsidP="00FF4640"/>
        </w:tc>
        <w:tc>
          <w:tcPr>
            <w:tcW w:w="0" w:type="auto"/>
            <w:hideMark/>
          </w:tcPr>
          <w:p w14:paraId="2B45E72E" w14:textId="77777777" w:rsidR="00FF4640" w:rsidRPr="00FF4640" w:rsidRDefault="00FF4640" w:rsidP="00FF4640">
            <w:r w:rsidRPr="00FF4640">
              <w:t>(0.0153)</w:t>
            </w:r>
          </w:p>
        </w:tc>
        <w:tc>
          <w:tcPr>
            <w:tcW w:w="0" w:type="auto"/>
            <w:hideMark/>
          </w:tcPr>
          <w:p w14:paraId="33C29A44" w14:textId="77777777" w:rsidR="00FF4640" w:rsidRPr="00FF4640" w:rsidRDefault="00FF4640" w:rsidP="00FF4640">
            <w:r w:rsidRPr="00FF4640">
              <w:t>(0.0310)</w:t>
            </w:r>
          </w:p>
        </w:tc>
        <w:tc>
          <w:tcPr>
            <w:tcW w:w="0" w:type="auto"/>
            <w:hideMark/>
          </w:tcPr>
          <w:p w14:paraId="4BA4F247" w14:textId="77777777" w:rsidR="00FF4640" w:rsidRPr="00FF4640" w:rsidRDefault="00FF4640" w:rsidP="00FF4640">
            <w:r w:rsidRPr="00FF4640">
              <w:t>(0.0221)</w:t>
            </w:r>
          </w:p>
        </w:tc>
        <w:tc>
          <w:tcPr>
            <w:tcW w:w="0" w:type="auto"/>
            <w:hideMark/>
          </w:tcPr>
          <w:p w14:paraId="11EF63E4" w14:textId="77777777" w:rsidR="00FF4640" w:rsidRPr="00FF4640" w:rsidRDefault="00FF4640" w:rsidP="00FF4640">
            <w:r w:rsidRPr="00FF4640">
              <w:t>(0.0282)</w:t>
            </w:r>
          </w:p>
        </w:tc>
      </w:tr>
      <w:tr w:rsidR="00FF4640" w:rsidRPr="00FF4640" w14:paraId="4D7EE58A" w14:textId="77777777" w:rsidTr="001A1F85">
        <w:tc>
          <w:tcPr>
            <w:tcW w:w="0" w:type="auto"/>
            <w:hideMark/>
          </w:tcPr>
          <w:p w14:paraId="1C6CD68A" w14:textId="77777777" w:rsidR="00FF4640" w:rsidRPr="00FF4640" w:rsidRDefault="00FF4640" w:rsidP="00FF4640">
            <w:r w:rsidRPr="00FF4640">
              <w:t>Uninsured Payer Type</w:t>
            </w:r>
          </w:p>
        </w:tc>
        <w:tc>
          <w:tcPr>
            <w:tcW w:w="0" w:type="auto"/>
            <w:hideMark/>
          </w:tcPr>
          <w:p w14:paraId="166F27A1" w14:textId="77777777" w:rsidR="00FF4640" w:rsidRPr="00FF4640" w:rsidRDefault="00FF4640" w:rsidP="00FF4640">
            <w:r w:rsidRPr="00FF4640">
              <w:t>0.0347</w:t>
            </w:r>
          </w:p>
        </w:tc>
        <w:tc>
          <w:tcPr>
            <w:tcW w:w="0" w:type="auto"/>
            <w:hideMark/>
          </w:tcPr>
          <w:p w14:paraId="41500782" w14:textId="77777777" w:rsidR="00FF4640" w:rsidRPr="00FF4640" w:rsidRDefault="00FF4640" w:rsidP="00FF4640">
            <w:r w:rsidRPr="00FF4640">
              <w:t>-0.0114</w:t>
            </w:r>
          </w:p>
        </w:tc>
        <w:tc>
          <w:tcPr>
            <w:tcW w:w="0" w:type="auto"/>
            <w:hideMark/>
          </w:tcPr>
          <w:p w14:paraId="363CCCA9" w14:textId="77777777" w:rsidR="00FF4640" w:rsidRPr="00FF4640" w:rsidRDefault="00FF4640" w:rsidP="00FF4640">
            <w:r w:rsidRPr="00FF4640">
              <w:t>0.0331</w:t>
            </w:r>
          </w:p>
        </w:tc>
        <w:tc>
          <w:tcPr>
            <w:tcW w:w="0" w:type="auto"/>
            <w:hideMark/>
          </w:tcPr>
          <w:p w14:paraId="55843F58" w14:textId="77777777" w:rsidR="00FF4640" w:rsidRPr="00FF4640" w:rsidRDefault="00FF4640" w:rsidP="00FF4640">
            <w:r w:rsidRPr="00FF4640">
              <w:t>-0.0602</w:t>
            </w:r>
          </w:p>
        </w:tc>
      </w:tr>
      <w:tr w:rsidR="00FF4640" w:rsidRPr="00FF4640" w14:paraId="364E897B" w14:textId="77777777" w:rsidTr="001A1F85">
        <w:tc>
          <w:tcPr>
            <w:tcW w:w="0" w:type="auto"/>
            <w:hideMark/>
          </w:tcPr>
          <w:p w14:paraId="1838BF6B" w14:textId="77777777" w:rsidR="00FF4640" w:rsidRPr="00FF4640" w:rsidRDefault="00FF4640" w:rsidP="00FF4640"/>
        </w:tc>
        <w:tc>
          <w:tcPr>
            <w:tcW w:w="0" w:type="auto"/>
            <w:hideMark/>
          </w:tcPr>
          <w:p w14:paraId="54142F02" w14:textId="77777777" w:rsidR="00FF4640" w:rsidRPr="00FF4640" w:rsidRDefault="00FF4640" w:rsidP="00FF4640">
            <w:r w:rsidRPr="00FF4640">
              <w:t>(0.0424)</w:t>
            </w:r>
          </w:p>
        </w:tc>
        <w:tc>
          <w:tcPr>
            <w:tcW w:w="0" w:type="auto"/>
            <w:hideMark/>
          </w:tcPr>
          <w:p w14:paraId="255C2FFA" w14:textId="77777777" w:rsidR="00FF4640" w:rsidRPr="00FF4640" w:rsidRDefault="00FF4640" w:rsidP="00FF4640">
            <w:r w:rsidRPr="00FF4640">
              <w:t>(0.0474)</w:t>
            </w:r>
          </w:p>
        </w:tc>
        <w:tc>
          <w:tcPr>
            <w:tcW w:w="0" w:type="auto"/>
            <w:hideMark/>
          </w:tcPr>
          <w:p w14:paraId="5CA951E6" w14:textId="77777777" w:rsidR="00FF4640" w:rsidRPr="00FF4640" w:rsidRDefault="00FF4640" w:rsidP="00FF4640">
            <w:r w:rsidRPr="00FF4640">
              <w:t>(0.0455)</w:t>
            </w:r>
          </w:p>
        </w:tc>
        <w:tc>
          <w:tcPr>
            <w:tcW w:w="0" w:type="auto"/>
            <w:hideMark/>
          </w:tcPr>
          <w:p w14:paraId="66B7DAB7" w14:textId="77777777" w:rsidR="00FF4640" w:rsidRPr="00FF4640" w:rsidRDefault="00FF4640" w:rsidP="00FF4640">
            <w:r w:rsidRPr="00FF4640">
              <w:t>(0.0434)</w:t>
            </w:r>
          </w:p>
        </w:tc>
      </w:tr>
      <w:tr w:rsidR="00FF4640" w:rsidRPr="00FF4640" w14:paraId="244855EC" w14:textId="77777777" w:rsidTr="001A1F85">
        <w:tc>
          <w:tcPr>
            <w:tcW w:w="0" w:type="auto"/>
            <w:hideMark/>
          </w:tcPr>
          <w:p w14:paraId="7DFCF5D8" w14:textId="77777777" w:rsidR="00FF4640" w:rsidRPr="00FF4640" w:rsidRDefault="00FF4640" w:rsidP="00FF4640">
            <w:r w:rsidRPr="00FF4640">
              <w:t>Other Payer Type</w:t>
            </w:r>
          </w:p>
        </w:tc>
        <w:tc>
          <w:tcPr>
            <w:tcW w:w="0" w:type="auto"/>
            <w:hideMark/>
          </w:tcPr>
          <w:p w14:paraId="6C704837" w14:textId="77777777" w:rsidR="00FF4640" w:rsidRPr="00FF4640" w:rsidRDefault="00FF4640" w:rsidP="00FF4640">
            <w:r w:rsidRPr="00FF4640">
              <w:t>-0.0148</w:t>
            </w:r>
          </w:p>
        </w:tc>
        <w:tc>
          <w:tcPr>
            <w:tcW w:w="0" w:type="auto"/>
            <w:hideMark/>
          </w:tcPr>
          <w:p w14:paraId="2A8F63C9" w14:textId="77777777" w:rsidR="00FF4640" w:rsidRPr="00FF4640" w:rsidRDefault="00FF4640" w:rsidP="00FF4640">
            <w:r w:rsidRPr="00FF4640">
              <w:t>0.0012</w:t>
            </w:r>
          </w:p>
        </w:tc>
        <w:tc>
          <w:tcPr>
            <w:tcW w:w="0" w:type="auto"/>
            <w:hideMark/>
          </w:tcPr>
          <w:p w14:paraId="59F3EEF5" w14:textId="77777777" w:rsidR="00FF4640" w:rsidRPr="00FF4640" w:rsidRDefault="00FF4640" w:rsidP="00FF4640">
            <w:r w:rsidRPr="00FF4640">
              <w:t>-0.0062</w:t>
            </w:r>
          </w:p>
        </w:tc>
        <w:tc>
          <w:tcPr>
            <w:tcW w:w="0" w:type="auto"/>
            <w:hideMark/>
          </w:tcPr>
          <w:p w14:paraId="7E231E24" w14:textId="77777777" w:rsidR="00FF4640" w:rsidRPr="00FF4640" w:rsidRDefault="00FF4640" w:rsidP="00FF4640">
            <w:r w:rsidRPr="00FF4640">
              <w:t>0.0049</w:t>
            </w:r>
          </w:p>
        </w:tc>
      </w:tr>
      <w:tr w:rsidR="00FF4640" w:rsidRPr="00FF4640" w14:paraId="6CA42501" w14:textId="77777777" w:rsidTr="001A1F85">
        <w:tc>
          <w:tcPr>
            <w:tcW w:w="0" w:type="auto"/>
            <w:hideMark/>
          </w:tcPr>
          <w:p w14:paraId="0615088B" w14:textId="77777777" w:rsidR="00FF4640" w:rsidRPr="00FF4640" w:rsidRDefault="00FF4640" w:rsidP="00FF4640"/>
        </w:tc>
        <w:tc>
          <w:tcPr>
            <w:tcW w:w="0" w:type="auto"/>
            <w:hideMark/>
          </w:tcPr>
          <w:p w14:paraId="6FF56CBF" w14:textId="77777777" w:rsidR="00FF4640" w:rsidRPr="00FF4640" w:rsidRDefault="00FF4640" w:rsidP="00FF4640">
            <w:r w:rsidRPr="00FF4640">
              <w:t>(0.0121)</w:t>
            </w:r>
          </w:p>
        </w:tc>
        <w:tc>
          <w:tcPr>
            <w:tcW w:w="0" w:type="auto"/>
            <w:hideMark/>
          </w:tcPr>
          <w:p w14:paraId="3559DAB1" w14:textId="77777777" w:rsidR="00FF4640" w:rsidRPr="00FF4640" w:rsidRDefault="00FF4640" w:rsidP="00FF4640">
            <w:r w:rsidRPr="00FF4640">
              <w:t>(0.0281)</w:t>
            </w:r>
          </w:p>
        </w:tc>
        <w:tc>
          <w:tcPr>
            <w:tcW w:w="0" w:type="auto"/>
            <w:hideMark/>
          </w:tcPr>
          <w:p w14:paraId="53278327" w14:textId="77777777" w:rsidR="00FF4640" w:rsidRPr="00FF4640" w:rsidRDefault="00FF4640" w:rsidP="00FF4640">
            <w:r w:rsidRPr="00FF4640">
              <w:t>(0.0136)</w:t>
            </w:r>
          </w:p>
        </w:tc>
        <w:tc>
          <w:tcPr>
            <w:tcW w:w="0" w:type="auto"/>
            <w:hideMark/>
          </w:tcPr>
          <w:p w14:paraId="2DDF5A9E" w14:textId="77777777" w:rsidR="00FF4640" w:rsidRPr="00FF4640" w:rsidRDefault="00FF4640" w:rsidP="00FF4640">
            <w:r w:rsidRPr="00FF4640">
              <w:t>(0.0266)</w:t>
            </w:r>
          </w:p>
        </w:tc>
      </w:tr>
      <w:tr w:rsidR="00FF4640" w:rsidRPr="00FF4640" w14:paraId="30BF3F98" w14:textId="77777777" w:rsidTr="001A1F85">
        <w:tc>
          <w:tcPr>
            <w:tcW w:w="0" w:type="auto"/>
            <w:hideMark/>
          </w:tcPr>
          <w:p w14:paraId="702C8DBF" w14:textId="77777777" w:rsidR="00FF4640" w:rsidRPr="00FF4640" w:rsidRDefault="00FF4640" w:rsidP="00FF4640">
            <w:r w:rsidRPr="00FF4640">
              <w:t>Observations</w:t>
            </w:r>
          </w:p>
        </w:tc>
        <w:tc>
          <w:tcPr>
            <w:tcW w:w="0" w:type="auto"/>
            <w:hideMark/>
          </w:tcPr>
          <w:p w14:paraId="7846D849" w14:textId="77777777" w:rsidR="00FF4640" w:rsidRPr="00FF4640" w:rsidRDefault="00FF4640" w:rsidP="00FF4640">
            <w:r w:rsidRPr="00FF4640">
              <w:t>5,534</w:t>
            </w:r>
          </w:p>
        </w:tc>
        <w:tc>
          <w:tcPr>
            <w:tcW w:w="0" w:type="auto"/>
            <w:hideMark/>
          </w:tcPr>
          <w:p w14:paraId="50E46B1E" w14:textId="77777777" w:rsidR="00FF4640" w:rsidRPr="00FF4640" w:rsidRDefault="00FF4640" w:rsidP="00FF4640">
            <w:r w:rsidRPr="00FF4640">
              <w:t>5,534</w:t>
            </w:r>
          </w:p>
        </w:tc>
        <w:tc>
          <w:tcPr>
            <w:tcW w:w="0" w:type="auto"/>
            <w:hideMark/>
          </w:tcPr>
          <w:p w14:paraId="65EE4ED0" w14:textId="77777777" w:rsidR="00FF4640" w:rsidRPr="00FF4640" w:rsidRDefault="00FF4640" w:rsidP="00FF4640">
            <w:r w:rsidRPr="00FF4640">
              <w:t>5,534</w:t>
            </w:r>
          </w:p>
        </w:tc>
        <w:tc>
          <w:tcPr>
            <w:tcW w:w="0" w:type="auto"/>
            <w:hideMark/>
          </w:tcPr>
          <w:p w14:paraId="02527781" w14:textId="77777777" w:rsidR="00FF4640" w:rsidRPr="00FF4640" w:rsidRDefault="00FF4640" w:rsidP="00FF4640">
            <w:r w:rsidRPr="00FF4640">
              <w:t>5,534</w:t>
            </w:r>
          </w:p>
        </w:tc>
      </w:tr>
    </w:tbl>
    <w:p w14:paraId="33F778BF" w14:textId="77777777" w:rsidR="00FF4640" w:rsidRPr="00FF4640" w:rsidRDefault="00FF4640" w:rsidP="001A1F85">
      <w:pPr>
        <w:pStyle w:val="NoSpacing"/>
      </w:pPr>
      <w:r w:rsidRPr="00FF4640">
        <w:t>*** </w:t>
      </w:r>
      <w:r w:rsidRPr="00FF4640">
        <w:rPr>
          <w:i/>
          <w:iCs/>
        </w:rPr>
        <w:t>p</w:t>
      </w:r>
      <w:r w:rsidRPr="00FF4640">
        <w:t>&lt;0.001, ** </w:t>
      </w:r>
      <w:r w:rsidRPr="00FF4640">
        <w:rPr>
          <w:i/>
          <w:iCs/>
        </w:rPr>
        <w:t>p</w:t>
      </w:r>
      <w:r w:rsidRPr="00FF4640">
        <w:t>&lt;0.01, * </w:t>
      </w:r>
      <w:r w:rsidRPr="00FF4640">
        <w:rPr>
          <w:i/>
          <w:iCs/>
        </w:rPr>
        <w:t>p</w:t>
      </w:r>
      <w:r w:rsidRPr="00FF4640">
        <w:t>&lt;0.05</w:t>
      </w:r>
    </w:p>
    <w:p w14:paraId="37E00FA7" w14:textId="1EBC0A77" w:rsidR="00FF4640" w:rsidRPr="00FF4640" w:rsidRDefault="00FF4640" w:rsidP="001A1F85">
      <w:pPr>
        <w:pStyle w:val="NoSpacing"/>
      </w:pPr>
      <w:r w:rsidRPr="00FF4640">
        <w:t>The full output including Major Diagnostic Categories is reported in the Supplemental Digital File </w:t>
      </w:r>
      <w:r w:rsidRPr="00FE3F0D">
        <w:t>Table 3</w:t>
      </w:r>
      <w:r w:rsidRPr="00FF4640">
        <w:t>.</w:t>
      </w:r>
    </w:p>
    <w:p w14:paraId="11F935B6" w14:textId="221BD46C" w:rsidR="00FF4640" w:rsidRPr="00FF4640" w:rsidRDefault="00FF4640" w:rsidP="001A1F85">
      <w:pPr>
        <w:pStyle w:val="NoSpacing"/>
      </w:pPr>
      <w:proofErr w:type="spellStart"/>
      <w:r w:rsidRPr="001A1F85">
        <w:rPr>
          <w:vertAlign w:val="superscript"/>
        </w:rPr>
        <w:t>a</w:t>
      </w:r>
      <w:r w:rsidRPr="00FF4640">
        <w:t>Reported</w:t>
      </w:r>
      <w:proofErr w:type="spellEnd"/>
      <w:r w:rsidRPr="00FF4640">
        <w:t xml:space="preserve"> as (crude or adjusted) prevalence proportions.</w:t>
      </w:r>
    </w:p>
    <w:p w14:paraId="0E3F0A4E" w14:textId="2358E137" w:rsidR="00FF4640" w:rsidRPr="00FF4640" w:rsidRDefault="00FF4640" w:rsidP="001A1F85">
      <w:pPr>
        <w:pStyle w:val="NoSpacing"/>
      </w:pPr>
      <w:proofErr w:type="spellStart"/>
      <w:r w:rsidRPr="001A1F85">
        <w:rPr>
          <w:vertAlign w:val="superscript"/>
        </w:rPr>
        <w:t>b</w:t>
      </w:r>
      <w:r w:rsidRPr="00FF4640">
        <w:t>Reported</w:t>
      </w:r>
      <w:proofErr w:type="spellEnd"/>
      <w:r w:rsidRPr="00FF4640">
        <w:t xml:space="preserve"> as absolute percentage point difference in prevalence</w:t>
      </w:r>
    </w:p>
    <w:p w14:paraId="412213AB" w14:textId="083AE1E3" w:rsidR="00FF4640" w:rsidRPr="00FF4640" w:rsidRDefault="00FF4640" w:rsidP="001A1F85">
      <w:pPr>
        <w:pStyle w:val="NoSpacing"/>
      </w:pPr>
      <w:proofErr w:type="spellStart"/>
      <w:r w:rsidRPr="001A1F85">
        <w:rPr>
          <w:vertAlign w:val="superscript"/>
        </w:rPr>
        <w:t>c</w:t>
      </w:r>
      <w:r w:rsidRPr="00FF4640">
        <w:t>Reported</w:t>
      </w:r>
      <w:proofErr w:type="spellEnd"/>
      <w:r w:rsidRPr="00FF4640">
        <w:t xml:space="preserve"> as coefficients (marginal effects); standard errors in parentheses</w:t>
      </w:r>
    </w:p>
    <w:p w14:paraId="3851CBB9" w14:textId="77777777" w:rsidR="001A1F85" w:rsidRDefault="001A1F85" w:rsidP="00FF4640"/>
    <w:p w14:paraId="53594DC7" w14:textId="55F87949" w:rsidR="00FF4640" w:rsidRPr="00FF4640" w:rsidRDefault="00FF4640" w:rsidP="00FF4640">
      <w:r w:rsidRPr="00FF4640">
        <w:t>We observed significant differences in 6 of the patient/hospitalization characteristics in our sample (age, patient-reported self-care ability and social support, ICU days, payer types [Private, Medicare, and Uninsured], and ethnicity [non-Hispanic, unknown]). The HHC matched sample was older (67.3 years [HHC]; 64.0 years [non-HHC], </w:t>
      </w:r>
      <w:r w:rsidRPr="00FF4640">
        <w:rPr>
          <w:i/>
          <w:iCs/>
        </w:rPr>
        <w:t>p</w:t>
      </w:r>
      <w:r w:rsidRPr="00FF4640">
        <w:t> &lt; 0.001), had more ICU days (1.2 days [HHC]; 1 days [non-HHC], </w:t>
      </w:r>
      <w:r w:rsidRPr="00FF4640">
        <w:rPr>
          <w:i/>
          <w:iCs/>
        </w:rPr>
        <w:t>p</w:t>
      </w:r>
      <w:r w:rsidRPr="00FF4640">
        <w:t> = 0.001), fewer with private payers (21.7% [HHC]; 26.6% [non-HHC],</w:t>
      </w:r>
      <w:r w:rsidRPr="00FF4640">
        <w:rPr>
          <w:i/>
          <w:iCs/>
        </w:rPr>
        <w:t>p</w:t>
      </w:r>
      <w:r w:rsidRPr="00FF4640">
        <w:t> &lt; 0.001), fewer uninsured (0.5% [HHC]; 1.4% [non-HHC], </w:t>
      </w:r>
      <w:r w:rsidRPr="00FF4640">
        <w:rPr>
          <w:i/>
          <w:iCs/>
        </w:rPr>
        <w:t>p</w:t>
      </w:r>
      <w:r w:rsidRPr="00FF4640">
        <w:t> = 0.001), more Medicare as payer (59.0% [HHC]; 49.8% [non-HHC], </w:t>
      </w:r>
      <w:r w:rsidRPr="00FF4640">
        <w:rPr>
          <w:i/>
          <w:iCs/>
        </w:rPr>
        <w:t>p</w:t>
      </w:r>
      <w:r w:rsidRPr="00FF4640">
        <w:t> &lt; 0.001), lower patient-reported self-care ability (8.5 [HHC]; 9.0 [non-HHC], </w:t>
      </w:r>
      <w:r w:rsidRPr="00FF4640">
        <w:rPr>
          <w:i/>
          <w:iCs/>
        </w:rPr>
        <w:t>p</w:t>
      </w:r>
      <w:r w:rsidRPr="00FF4640">
        <w:t> &lt; .001) and social support (8.3 [HHC]; 8.7 [non-HHC], </w:t>
      </w:r>
      <w:r w:rsidRPr="00FF4640">
        <w:rPr>
          <w:i/>
          <w:iCs/>
        </w:rPr>
        <w:t>p</w:t>
      </w:r>
      <w:r w:rsidRPr="00FF4640">
        <w:t> &lt; 0.001), and more patients with non-Hispanic (91.1% [HHC]; 86.6% [non-HHC], </w:t>
      </w:r>
      <w:r w:rsidRPr="00FF4640">
        <w:rPr>
          <w:i/>
          <w:iCs/>
        </w:rPr>
        <w:t>p</w:t>
      </w:r>
      <w:r w:rsidRPr="00FF4640">
        <w:t> &lt; 0.001) and unknown ethnicity (0.5% [HHC]; 4.4% [non-HHC], </w:t>
      </w:r>
      <w:r w:rsidRPr="00FF4640">
        <w:rPr>
          <w:i/>
          <w:iCs/>
        </w:rPr>
        <w:t>p</w:t>
      </w:r>
      <w:r w:rsidRPr="00FF4640">
        <w:t> &lt; 0.001).</w:t>
      </w:r>
    </w:p>
    <w:p w14:paraId="2409B026" w14:textId="2FCEDB33" w:rsidR="00FF4640" w:rsidRPr="00FF4640" w:rsidRDefault="00FF4640" w:rsidP="00FF4640">
      <w:r w:rsidRPr="00FF4640">
        <w:t>The adjusted logit models (adjusting for Major Diagnostic Category, residual differences in the matched samples, and the propensity score) also indicated no significant differences between HHC and non-HHC for readmissions and ED/Observation visits within 30 and 60-days (</w:t>
      </w:r>
      <w:r w:rsidRPr="00FE3F0D">
        <w:t>Table 3</w:t>
      </w:r>
      <w:r w:rsidRPr="00FF4640">
        <w:t>).</w:t>
      </w:r>
    </w:p>
    <w:p w14:paraId="22B76804" w14:textId="58004119" w:rsidR="00FF4640" w:rsidRPr="00FF4640" w:rsidRDefault="00FF4640" w:rsidP="00FF4640">
      <w:r w:rsidRPr="00FF4640">
        <w:t xml:space="preserve">Post-hoc power analyses indicated an adequate sample size for 80% power to detect a </w:t>
      </w:r>
      <w:proofErr w:type="gramStart"/>
      <w:r w:rsidRPr="00FF4640">
        <w:t>two percentage</w:t>
      </w:r>
      <w:proofErr w:type="gramEnd"/>
      <w:r w:rsidRPr="00FF4640">
        <w:t xml:space="preserve"> point difference between HHC and non-HHC groups at </w:t>
      </w:r>
      <w:r w:rsidRPr="00FF4640">
        <w:rPr>
          <w:i/>
          <w:iCs/>
        </w:rPr>
        <w:t>p</w:t>
      </w:r>
      <w:r w:rsidRPr="00FF4640">
        <w:t> &lt; 0.05 (</w:t>
      </w:r>
      <w:bookmarkStart w:id="50" w:name="bbib0039"/>
      <w:r w:rsidRPr="00FE3F0D">
        <w:t>UCLA: Statistical Consulting Group, n.d.</w:t>
      </w:r>
      <w:bookmarkEnd w:id="50"/>
      <w:r w:rsidRPr="00FF4640">
        <w:t xml:space="preserve">). Because the observed differences in readmission and ED/Observation rates were less than two percentage points, we further explored our findings by stratifying patients into high and low comorbidity groups using the </w:t>
      </w:r>
      <w:proofErr w:type="spellStart"/>
      <w:r w:rsidRPr="00FF4640">
        <w:t>Elixhauser</w:t>
      </w:r>
      <w:proofErr w:type="spellEnd"/>
      <w:r w:rsidRPr="00FF4640">
        <w:t xml:space="preserve"> Comorbidity Index (</w:t>
      </w:r>
      <w:proofErr w:type="spellStart"/>
      <w:r w:rsidRPr="00FE3F0D">
        <w:t>Elixhauser</w:t>
      </w:r>
      <w:proofErr w:type="spellEnd"/>
      <w:r w:rsidRPr="00FE3F0D">
        <w:t> et al., 2016</w:t>
      </w:r>
      <w:bookmarkEnd w:id="36"/>
      <w:r w:rsidRPr="00FF4640">
        <w:t>) median score. In unadjusted and adjusted models, there were no statistically significant differences between HHC and non-HHC in readmissions or in ED/Observation visits in low- and high-comorbidity patients (See </w:t>
      </w:r>
      <w:bookmarkStart w:id="51" w:name="btbl0004"/>
      <w:r w:rsidRPr="00FE3F0D">
        <w:t>Table 4</w:t>
      </w:r>
      <w:r w:rsidRPr="00FF4640">
        <w:t>).</w:t>
      </w:r>
    </w:p>
    <w:p w14:paraId="711E1C7E" w14:textId="77777777" w:rsidR="00FF4640" w:rsidRPr="00FF4640" w:rsidRDefault="00FF4640" w:rsidP="001A1F85">
      <w:pPr>
        <w:spacing w:after="0"/>
      </w:pPr>
      <w:r w:rsidRPr="00FF4640">
        <w:t xml:space="preserve">Table 4. Post-discharge utilization of matched samples with and without a Home Health Care referral stratified by low and </w:t>
      </w:r>
      <w:proofErr w:type="gramStart"/>
      <w:r w:rsidRPr="00FF4640">
        <w:t>high-comorbidity</w:t>
      </w:r>
      <w:proofErr w:type="gramEnd"/>
      <w:r w:rsidRPr="00FF4640">
        <w:t xml:space="preserve"> (</w:t>
      </w:r>
      <w:proofErr w:type="spellStart"/>
      <w:r w:rsidRPr="00FF4640">
        <w:t>Elixhauser</w:t>
      </w:r>
      <w:proofErr w:type="spellEnd"/>
      <w:r w:rsidRPr="00FF4640">
        <w:t xml:space="preserve"> Comorbidity Index ≤7 [Low], &gt;7 [High]).</w:t>
      </w:r>
    </w:p>
    <w:tbl>
      <w:tblPr>
        <w:tblStyle w:val="TableGrid"/>
        <w:tblW w:w="0" w:type="auto"/>
        <w:tblLook w:val="04A0" w:firstRow="1" w:lastRow="0" w:firstColumn="1" w:lastColumn="0" w:noHBand="0" w:noVBand="1"/>
      </w:tblPr>
      <w:tblGrid>
        <w:gridCol w:w="2355"/>
        <w:gridCol w:w="2672"/>
        <w:gridCol w:w="1377"/>
        <w:gridCol w:w="2289"/>
        <w:gridCol w:w="1377"/>
      </w:tblGrid>
      <w:tr w:rsidR="00D55E2C" w:rsidRPr="00FF4640" w14:paraId="04CA892A" w14:textId="77777777" w:rsidTr="000E5313">
        <w:tc>
          <w:tcPr>
            <w:tcW w:w="0" w:type="auto"/>
            <w:hideMark/>
          </w:tcPr>
          <w:p w14:paraId="2B381313" w14:textId="77777777" w:rsidR="00D55E2C" w:rsidRPr="00FF4640" w:rsidRDefault="00D55E2C" w:rsidP="00FF4640"/>
        </w:tc>
        <w:tc>
          <w:tcPr>
            <w:tcW w:w="0" w:type="auto"/>
            <w:hideMark/>
          </w:tcPr>
          <w:p w14:paraId="525CCE00" w14:textId="77777777" w:rsidR="00D55E2C" w:rsidRPr="00FF4640" w:rsidRDefault="00D55E2C" w:rsidP="00FF4640">
            <w:pPr>
              <w:rPr>
                <w:b/>
                <w:bCs/>
              </w:rPr>
            </w:pPr>
            <w:r w:rsidRPr="00FF4640">
              <w:rPr>
                <w:b/>
                <w:bCs/>
              </w:rPr>
              <w:t>30-Day Post-Discharge Utilization</w:t>
            </w:r>
          </w:p>
        </w:tc>
        <w:tc>
          <w:tcPr>
            <w:tcW w:w="0" w:type="auto"/>
          </w:tcPr>
          <w:p w14:paraId="214078C6" w14:textId="61D20D80" w:rsidR="00D55E2C" w:rsidRPr="00FF4640" w:rsidRDefault="00D55E2C" w:rsidP="00FF4640">
            <w:pPr>
              <w:rPr>
                <w:b/>
                <w:bCs/>
              </w:rPr>
            </w:pPr>
          </w:p>
        </w:tc>
        <w:tc>
          <w:tcPr>
            <w:tcW w:w="0" w:type="auto"/>
            <w:hideMark/>
          </w:tcPr>
          <w:p w14:paraId="0DC1EE90" w14:textId="77777777" w:rsidR="00D55E2C" w:rsidRPr="00FF4640" w:rsidRDefault="00D55E2C" w:rsidP="00FF4640">
            <w:pPr>
              <w:rPr>
                <w:b/>
                <w:bCs/>
              </w:rPr>
            </w:pPr>
            <w:r w:rsidRPr="00FF4640">
              <w:rPr>
                <w:b/>
                <w:bCs/>
              </w:rPr>
              <w:t>60-Day Post-Discharge Utilization</w:t>
            </w:r>
          </w:p>
        </w:tc>
        <w:tc>
          <w:tcPr>
            <w:tcW w:w="0" w:type="auto"/>
          </w:tcPr>
          <w:p w14:paraId="41661899" w14:textId="534B6080" w:rsidR="00D55E2C" w:rsidRPr="00FF4640" w:rsidRDefault="00D55E2C" w:rsidP="00FF4640">
            <w:pPr>
              <w:rPr>
                <w:b/>
                <w:bCs/>
              </w:rPr>
            </w:pPr>
          </w:p>
        </w:tc>
      </w:tr>
      <w:tr w:rsidR="00FF4640" w:rsidRPr="00FF4640" w14:paraId="6EC6CDDF" w14:textId="77777777" w:rsidTr="001A1F85">
        <w:tc>
          <w:tcPr>
            <w:tcW w:w="0" w:type="auto"/>
            <w:hideMark/>
          </w:tcPr>
          <w:p w14:paraId="68FCD317" w14:textId="77777777" w:rsidR="00FF4640" w:rsidRPr="00FF4640" w:rsidRDefault="00FF4640" w:rsidP="00FF4640">
            <w:pPr>
              <w:rPr>
                <w:b/>
                <w:bCs/>
              </w:rPr>
            </w:pPr>
          </w:p>
        </w:tc>
        <w:tc>
          <w:tcPr>
            <w:tcW w:w="0" w:type="auto"/>
            <w:hideMark/>
          </w:tcPr>
          <w:p w14:paraId="463B1A75" w14:textId="77777777" w:rsidR="00FF4640" w:rsidRPr="00FF4640" w:rsidRDefault="00FF4640" w:rsidP="00FF4640">
            <w:pPr>
              <w:rPr>
                <w:b/>
                <w:bCs/>
              </w:rPr>
            </w:pPr>
            <w:r w:rsidRPr="00FF4640">
              <w:rPr>
                <w:b/>
                <w:bCs/>
              </w:rPr>
              <w:t>ED/Observation Visit</w:t>
            </w:r>
          </w:p>
        </w:tc>
        <w:tc>
          <w:tcPr>
            <w:tcW w:w="0" w:type="auto"/>
            <w:hideMark/>
          </w:tcPr>
          <w:p w14:paraId="6472D311" w14:textId="77777777" w:rsidR="00FF4640" w:rsidRPr="00FF4640" w:rsidRDefault="00FF4640" w:rsidP="00FF4640">
            <w:pPr>
              <w:rPr>
                <w:b/>
                <w:bCs/>
              </w:rPr>
            </w:pPr>
            <w:r w:rsidRPr="00FF4640">
              <w:rPr>
                <w:b/>
                <w:bCs/>
              </w:rPr>
              <w:t>Readmission</w:t>
            </w:r>
          </w:p>
        </w:tc>
        <w:tc>
          <w:tcPr>
            <w:tcW w:w="0" w:type="auto"/>
            <w:hideMark/>
          </w:tcPr>
          <w:p w14:paraId="241827D7" w14:textId="77777777" w:rsidR="00FF4640" w:rsidRPr="00FF4640" w:rsidRDefault="00FF4640" w:rsidP="00FF4640">
            <w:pPr>
              <w:rPr>
                <w:b/>
                <w:bCs/>
              </w:rPr>
            </w:pPr>
            <w:r w:rsidRPr="00FF4640">
              <w:rPr>
                <w:b/>
                <w:bCs/>
              </w:rPr>
              <w:t>ED/Observation Visit</w:t>
            </w:r>
          </w:p>
        </w:tc>
        <w:tc>
          <w:tcPr>
            <w:tcW w:w="0" w:type="auto"/>
            <w:hideMark/>
          </w:tcPr>
          <w:p w14:paraId="4DBD35D3" w14:textId="77777777" w:rsidR="00FF4640" w:rsidRPr="00FF4640" w:rsidRDefault="00FF4640" w:rsidP="00FF4640">
            <w:pPr>
              <w:rPr>
                <w:b/>
                <w:bCs/>
              </w:rPr>
            </w:pPr>
            <w:r w:rsidRPr="00FF4640">
              <w:rPr>
                <w:b/>
                <w:bCs/>
              </w:rPr>
              <w:t>Readmission</w:t>
            </w:r>
          </w:p>
        </w:tc>
      </w:tr>
      <w:tr w:rsidR="00D55E2C" w:rsidRPr="00FF4640" w14:paraId="0CEE41F5" w14:textId="77777777" w:rsidTr="009B523B">
        <w:tc>
          <w:tcPr>
            <w:tcW w:w="0" w:type="auto"/>
            <w:hideMark/>
          </w:tcPr>
          <w:p w14:paraId="5BD4C544" w14:textId="77777777" w:rsidR="00D55E2C" w:rsidRPr="00FF4640" w:rsidRDefault="00D55E2C" w:rsidP="00FF4640">
            <w:pPr>
              <w:rPr>
                <w:b/>
                <w:bCs/>
              </w:rPr>
            </w:pPr>
          </w:p>
        </w:tc>
        <w:tc>
          <w:tcPr>
            <w:tcW w:w="0" w:type="auto"/>
            <w:hideMark/>
          </w:tcPr>
          <w:p w14:paraId="7FAC64BD" w14:textId="77777777" w:rsidR="00D55E2C" w:rsidRPr="00FF4640" w:rsidRDefault="00D55E2C" w:rsidP="00FF4640">
            <w:pPr>
              <w:rPr>
                <w:b/>
                <w:bCs/>
              </w:rPr>
            </w:pPr>
            <w:r w:rsidRPr="00FF4640">
              <w:rPr>
                <w:b/>
                <w:bCs/>
              </w:rPr>
              <w:t>Unadjusted Two-Sample Test of Proportions</w:t>
            </w:r>
          </w:p>
        </w:tc>
        <w:tc>
          <w:tcPr>
            <w:tcW w:w="0" w:type="auto"/>
          </w:tcPr>
          <w:p w14:paraId="13A1957B" w14:textId="77777777" w:rsidR="00D55E2C" w:rsidRPr="00FF4640" w:rsidRDefault="00D55E2C" w:rsidP="00FF4640">
            <w:pPr>
              <w:rPr>
                <w:b/>
                <w:bCs/>
              </w:rPr>
            </w:pPr>
          </w:p>
        </w:tc>
        <w:tc>
          <w:tcPr>
            <w:tcW w:w="0" w:type="auto"/>
          </w:tcPr>
          <w:p w14:paraId="38F05C09" w14:textId="77777777" w:rsidR="00D55E2C" w:rsidRPr="00FF4640" w:rsidRDefault="00D55E2C" w:rsidP="00FF4640">
            <w:pPr>
              <w:rPr>
                <w:b/>
                <w:bCs/>
              </w:rPr>
            </w:pPr>
          </w:p>
        </w:tc>
        <w:tc>
          <w:tcPr>
            <w:tcW w:w="0" w:type="auto"/>
          </w:tcPr>
          <w:p w14:paraId="0CA0B938" w14:textId="794FA651" w:rsidR="00D55E2C" w:rsidRPr="00FF4640" w:rsidRDefault="00D55E2C" w:rsidP="00FF4640">
            <w:pPr>
              <w:rPr>
                <w:b/>
                <w:bCs/>
              </w:rPr>
            </w:pPr>
          </w:p>
        </w:tc>
      </w:tr>
      <w:tr w:rsidR="00D55E2C" w:rsidRPr="00FF4640" w14:paraId="5D3365FC" w14:textId="77777777" w:rsidTr="001F6663">
        <w:tc>
          <w:tcPr>
            <w:tcW w:w="0" w:type="auto"/>
            <w:hideMark/>
          </w:tcPr>
          <w:p w14:paraId="6CBBD33E" w14:textId="77777777" w:rsidR="00D55E2C" w:rsidRPr="00FF4640" w:rsidRDefault="00D55E2C" w:rsidP="00FF4640">
            <w:bookmarkStart w:id="52" w:name="btb4fn1" w:colFirst="0" w:colLast="0"/>
            <w:r w:rsidRPr="00FF4640">
              <w:rPr>
                <w:b/>
                <w:bCs/>
              </w:rPr>
              <w:t xml:space="preserve">Low </w:t>
            </w:r>
            <w:proofErr w:type="spellStart"/>
            <w:r w:rsidRPr="00FF4640">
              <w:rPr>
                <w:b/>
                <w:bCs/>
              </w:rPr>
              <w:t>Elixhauser</w:t>
            </w:r>
            <w:proofErr w:type="spellEnd"/>
            <w:r w:rsidRPr="00FF4640">
              <w:rPr>
                <w:b/>
                <w:bCs/>
              </w:rPr>
              <w:t xml:space="preserve"> Comorbidity Index (≤7)</w:t>
            </w:r>
            <w:r w:rsidRPr="00FF4640">
              <w:t> </w:t>
            </w:r>
            <w:r w:rsidRPr="00FE3F0D">
              <w:rPr>
                <w:vertAlign w:val="superscript"/>
              </w:rPr>
              <w:t>a</w:t>
            </w:r>
          </w:p>
        </w:tc>
        <w:tc>
          <w:tcPr>
            <w:tcW w:w="0" w:type="auto"/>
          </w:tcPr>
          <w:p w14:paraId="2B6518B7" w14:textId="4400C614" w:rsidR="00D55E2C" w:rsidRPr="00FF4640" w:rsidRDefault="00D55E2C" w:rsidP="00FF4640"/>
        </w:tc>
        <w:tc>
          <w:tcPr>
            <w:tcW w:w="0" w:type="auto"/>
            <w:hideMark/>
          </w:tcPr>
          <w:p w14:paraId="6071ED9C" w14:textId="77777777" w:rsidR="00D55E2C" w:rsidRPr="00FF4640" w:rsidRDefault="00D55E2C" w:rsidP="00FF4640"/>
        </w:tc>
        <w:tc>
          <w:tcPr>
            <w:tcW w:w="0" w:type="auto"/>
            <w:hideMark/>
          </w:tcPr>
          <w:p w14:paraId="0DB55E4E" w14:textId="77777777" w:rsidR="00D55E2C" w:rsidRPr="00FF4640" w:rsidRDefault="00D55E2C" w:rsidP="00FF4640"/>
        </w:tc>
        <w:tc>
          <w:tcPr>
            <w:tcW w:w="0" w:type="auto"/>
            <w:hideMark/>
          </w:tcPr>
          <w:p w14:paraId="01EF87A5" w14:textId="77777777" w:rsidR="00D55E2C" w:rsidRPr="00FF4640" w:rsidRDefault="00D55E2C" w:rsidP="00FF4640"/>
        </w:tc>
      </w:tr>
      <w:tr w:rsidR="00FF4640" w:rsidRPr="00FF4640" w14:paraId="0682A4BF" w14:textId="77777777" w:rsidTr="001A1F85">
        <w:tc>
          <w:tcPr>
            <w:tcW w:w="0" w:type="auto"/>
            <w:hideMark/>
          </w:tcPr>
          <w:p w14:paraId="17DC525D" w14:textId="11A2528A" w:rsidR="00FF4640" w:rsidRPr="00FF4640" w:rsidRDefault="00FF4640" w:rsidP="00FF4640">
            <w:bookmarkStart w:id="53" w:name="btb4fn2" w:colFirst="0" w:colLast="0"/>
            <w:r w:rsidRPr="00FF4640">
              <w:t xml:space="preserve">HHC Referral </w:t>
            </w:r>
            <w:proofErr w:type="spellStart"/>
            <w:r w:rsidRPr="00FF4640">
              <w:t>Group</w:t>
            </w:r>
            <w:r w:rsidRPr="00FE3F0D">
              <w:rPr>
                <w:vertAlign w:val="superscript"/>
              </w:rPr>
              <w:t>b</w:t>
            </w:r>
            <w:proofErr w:type="spellEnd"/>
          </w:p>
        </w:tc>
        <w:tc>
          <w:tcPr>
            <w:tcW w:w="0" w:type="auto"/>
            <w:hideMark/>
          </w:tcPr>
          <w:p w14:paraId="7A506DC8" w14:textId="77777777" w:rsidR="00FF4640" w:rsidRPr="00FF4640" w:rsidRDefault="00FF4640" w:rsidP="00FF4640">
            <w:r w:rsidRPr="00FF4640">
              <w:t>0.070</w:t>
            </w:r>
          </w:p>
        </w:tc>
        <w:tc>
          <w:tcPr>
            <w:tcW w:w="0" w:type="auto"/>
            <w:hideMark/>
          </w:tcPr>
          <w:p w14:paraId="7A90941A" w14:textId="77777777" w:rsidR="00FF4640" w:rsidRPr="00FF4640" w:rsidRDefault="00FF4640" w:rsidP="00FF4640">
            <w:r w:rsidRPr="00FF4640">
              <w:t>0.127</w:t>
            </w:r>
          </w:p>
        </w:tc>
        <w:tc>
          <w:tcPr>
            <w:tcW w:w="0" w:type="auto"/>
            <w:hideMark/>
          </w:tcPr>
          <w:p w14:paraId="178EB2CB" w14:textId="77777777" w:rsidR="00FF4640" w:rsidRPr="00FF4640" w:rsidRDefault="00FF4640" w:rsidP="00FF4640">
            <w:r w:rsidRPr="00FF4640">
              <w:t>0.086</w:t>
            </w:r>
          </w:p>
        </w:tc>
        <w:tc>
          <w:tcPr>
            <w:tcW w:w="0" w:type="auto"/>
            <w:hideMark/>
          </w:tcPr>
          <w:p w14:paraId="586DC746" w14:textId="77777777" w:rsidR="00FF4640" w:rsidRPr="00FF4640" w:rsidRDefault="00FF4640" w:rsidP="00FF4640">
            <w:r w:rsidRPr="00FF4640">
              <w:t>0.171</w:t>
            </w:r>
          </w:p>
        </w:tc>
      </w:tr>
      <w:tr w:rsidR="00FF4640" w:rsidRPr="00FF4640" w14:paraId="19F2B615" w14:textId="77777777" w:rsidTr="001A1F85">
        <w:tc>
          <w:tcPr>
            <w:tcW w:w="0" w:type="auto"/>
            <w:hideMark/>
          </w:tcPr>
          <w:p w14:paraId="5CF6DE78" w14:textId="45A3A254" w:rsidR="00FF4640" w:rsidRPr="00FF4640" w:rsidRDefault="00FF4640" w:rsidP="00FF4640">
            <w:r w:rsidRPr="00FF4640">
              <w:t xml:space="preserve">Matched Control </w:t>
            </w:r>
            <w:proofErr w:type="spellStart"/>
            <w:r w:rsidRPr="00FF4640">
              <w:t>Group</w:t>
            </w:r>
            <w:r w:rsidRPr="00FE3F0D">
              <w:rPr>
                <w:vertAlign w:val="superscript"/>
              </w:rPr>
              <w:t>b</w:t>
            </w:r>
            <w:proofErr w:type="spellEnd"/>
          </w:p>
        </w:tc>
        <w:tc>
          <w:tcPr>
            <w:tcW w:w="0" w:type="auto"/>
            <w:hideMark/>
          </w:tcPr>
          <w:p w14:paraId="05C18C72" w14:textId="77777777" w:rsidR="00FF4640" w:rsidRPr="00FF4640" w:rsidRDefault="00FF4640" w:rsidP="00FF4640">
            <w:r w:rsidRPr="00FF4640">
              <w:t>0.054</w:t>
            </w:r>
          </w:p>
        </w:tc>
        <w:tc>
          <w:tcPr>
            <w:tcW w:w="0" w:type="auto"/>
            <w:hideMark/>
          </w:tcPr>
          <w:p w14:paraId="6D35A5A3" w14:textId="77777777" w:rsidR="00FF4640" w:rsidRPr="00FF4640" w:rsidRDefault="00FF4640" w:rsidP="00FF4640">
            <w:r w:rsidRPr="00FF4640">
              <w:t>0.110</w:t>
            </w:r>
          </w:p>
        </w:tc>
        <w:tc>
          <w:tcPr>
            <w:tcW w:w="0" w:type="auto"/>
            <w:hideMark/>
          </w:tcPr>
          <w:p w14:paraId="3E204F35" w14:textId="77777777" w:rsidR="00FF4640" w:rsidRPr="00FF4640" w:rsidRDefault="00FF4640" w:rsidP="00FF4640">
            <w:r w:rsidRPr="00FF4640">
              <w:t>0.077</w:t>
            </w:r>
          </w:p>
        </w:tc>
        <w:tc>
          <w:tcPr>
            <w:tcW w:w="0" w:type="auto"/>
            <w:hideMark/>
          </w:tcPr>
          <w:p w14:paraId="788B7ACB" w14:textId="77777777" w:rsidR="00FF4640" w:rsidRPr="00FF4640" w:rsidRDefault="00FF4640" w:rsidP="00FF4640">
            <w:r w:rsidRPr="00FF4640">
              <w:t>0.165</w:t>
            </w:r>
          </w:p>
        </w:tc>
      </w:tr>
      <w:tr w:rsidR="00FF4640" w:rsidRPr="00FF4640" w14:paraId="5765BA92" w14:textId="77777777" w:rsidTr="001A1F85">
        <w:tc>
          <w:tcPr>
            <w:tcW w:w="0" w:type="auto"/>
            <w:hideMark/>
          </w:tcPr>
          <w:p w14:paraId="0F4012AE" w14:textId="631AEC1D" w:rsidR="00FF4640" w:rsidRPr="00FF4640" w:rsidRDefault="00FF4640" w:rsidP="00FF4640">
            <w:bookmarkStart w:id="54" w:name="btb4fn3" w:colFirst="0" w:colLast="0"/>
            <w:r w:rsidRPr="00FF4640">
              <w:t>Difference (HHC - Control) </w:t>
            </w:r>
            <w:r w:rsidRPr="00FE3F0D">
              <w:rPr>
                <w:vertAlign w:val="superscript"/>
              </w:rPr>
              <w:t>c</w:t>
            </w:r>
          </w:p>
        </w:tc>
        <w:tc>
          <w:tcPr>
            <w:tcW w:w="0" w:type="auto"/>
            <w:hideMark/>
          </w:tcPr>
          <w:p w14:paraId="281968E4" w14:textId="77777777" w:rsidR="00FF4640" w:rsidRPr="00FF4640" w:rsidRDefault="00FF4640" w:rsidP="00FF4640">
            <w:r w:rsidRPr="00FF4640">
              <w:t>0.016</w:t>
            </w:r>
          </w:p>
        </w:tc>
        <w:tc>
          <w:tcPr>
            <w:tcW w:w="0" w:type="auto"/>
            <w:hideMark/>
          </w:tcPr>
          <w:p w14:paraId="71D9B7D6" w14:textId="77777777" w:rsidR="00FF4640" w:rsidRPr="00FF4640" w:rsidRDefault="00FF4640" w:rsidP="00FF4640">
            <w:r w:rsidRPr="00FF4640">
              <w:t>0.017</w:t>
            </w:r>
          </w:p>
        </w:tc>
        <w:tc>
          <w:tcPr>
            <w:tcW w:w="0" w:type="auto"/>
            <w:hideMark/>
          </w:tcPr>
          <w:p w14:paraId="486E71BF" w14:textId="77777777" w:rsidR="00FF4640" w:rsidRPr="00FF4640" w:rsidRDefault="00FF4640" w:rsidP="00FF4640">
            <w:r w:rsidRPr="00FF4640">
              <w:t>0.009</w:t>
            </w:r>
          </w:p>
        </w:tc>
        <w:tc>
          <w:tcPr>
            <w:tcW w:w="0" w:type="auto"/>
            <w:hideMark/>
          </w:tcPr>
          <w:p w14:paraId="500E8088" w14:textId="77777777" w:rsidR="00FF4640" w:rsidRPr="00FF4640" w:rsidRDefault="00FF4640" w:rsidP="00FF4640">
            <w:r w:rsidRPr="00FF4640">
              <w:t>0.006</w:t>
            </w:r>
          </w:p>
        </w:tc>
      </w:tr>
      <w:tr w:rsidR="00FF4640" w:rsidRPr="00FF4640" w14:paraId="04E5C003" w14:textId="77777777" w:rsidTr="001A1F85">
        <w:tc>
          <w:tcPr>
            <w:tcW w:w="0" w:type="auto"/>
            <w:hideMark/>
          </w:tcPr>
          <w:p w14:paraId="74B352B8" w14:textId="77777777" w:rsidR="00FF4640" w:rsidRPr="00FF4640" w:rsidRDefault="00FF4640" w:rsidP="00FF4640"/>
        </w:tc>
        <w:tc>
          <w:tcPr>
            <w:tcW w:w="0" w:type="auto"/>
            <w:hideMark/>
          </w:tcPr>
          <w:p w14:paraId="1E795B53" w14:textId="77777777" w:rsidR="00FF4640" w:rsidRPr="00FF4640" w:rsidRDefault="00FF4640" w:rsidP="00FF4640">
            <w:r w:rsidRPr="00FF4640">
              <w:t>(0.012)</w:t>
            </w:r>
          </w:p>
        </w:tc>
        <w:tc>
          <w:tcPr>
            <w:tcW w:w="0" w:type="auto"/>
            <w:hideMark/>
          </w:tcPr>
          <w:p w14:paraId="30B14A02" w14:textId="77777777" w:rsidR="00FF4640" w:rsidRPr="00FF4640" w:rsidRDefault="00FF4640" w:rsidP="00FF4640">
            <w:r w:rsidRPr="00FF4640">
              <w:t>(0.023)</w:t>
            </w:r>
          </w:p>
        </w:tc>
        <w:tc>
          <w:tcPr>
            <w:tcW w:w="0" w:type="auto"/>
            <w:hideMark/>
          </w:tcPr>
          <w:p w14:paraId="1C70F3D0" w14:textId="77777777" w:rsidR="00FF4640" w:rsidRPr="00FF4640" w:rsidRDefault="00FF4640" w:rsidP="00FF4640">
            <w:r w:rsidRPr="00FF4640">
              <w:t>(0.013)</w:t>
            </w:r>
          </w:p>
        </w:tc>
        <w:tc>
          <w:tcPr>
            <w:tcW w:w="0" w:type="auto"/>
            <w:hideMark/>
          </w:tcPr>
          <w:p w14:paraId="3446382C" w14:textId="77777777" w:rsidR="00FF4640" w:rsidRPr="00FF4640" w:rsidRDefault="00FF4640" w:rsidP="00FF4640">
            <w:r w:rsidRPr="00FF4640">
              <w:t>(0.024)</w:t>
            </w:r>
          </w:p>
        </w:tc>
      </w:tr>
      <w:tr w:rsidR="00D426F0" w:rsidRPr="00FF4640" w14:paraId="36F15862" w14:textId="77777777" w:rsidTr="00356972">
        <w:tc>
          <w:tcPr>
            <w:tcW w:w="0" w:type="auto"/>
            <w:hideMark/>
          </w:tcPr>
          <w:p w14:paraId="211907DC" w14:textId="77777777" w:rsidR="00D426F0" w:rsidRPr="00FF4640" w:rsidRDefault="00D426F0" w:rsidP="00FF4640">
            <w:r w:rsidRPr="00FF4640">
              <w:rPr>
                <w:b/>
                <w:bCs/>
              </w:rPr>
              <w:t xml:space="preserve">High </w:t>
            </w:r>
            <w:proofErr w:type="spellStart"/>
            <w:r w:rsidRPr="00FF4640">
              <w:rPr>
                <w:b/>
                <w:bCs/>
              </w:rPr>
              <w:t>Elixhauser</w:t>
            </w:r>
            <w:proofErr w:type="spellEnd"/>
            <w:r w:rsidRPr="00FF4640">
              <w:rPr>
                <w:b/>
                <w:bCs/>
              </w:rPr>
              <w:t xml:space="preserve"> Comorbidity Index (&gt;7)</w:t>
            </w:r>
            <w:r w:rsidRPr="00FF4640">
              <w:t> </w:t>
            </w:r>
            <w:r w:rsidRPr="00FE3F0D">
              <w:rPr>
                <w:vertAlign w:val="superscript"/>
              </w:rPr>
              <w:t>a</w:t>
            </w:r>
          </w:p>
        </w:tc>
        <w:tc>
          <w:tcPr>
            <w:tcW w:w="0" w:type="auto"/>
          </w:tcPr>
          <w:p w14:paraId="7D03E643" w14:textId="175E8B77" w:rsidR="00D426F0" w:rsidRPr="00FF4640" w:rsidRDefault="00D426F0" w:rsidP="00FF4640"/>
        </w:tc>
        <w:tc>
          <w:tcPr>
            <w:tcW w:w="0" w:type="auto"/>
            <w:hideMark/>
          </w:tcPr>
          <w:p w14:paraId="19A59ADE" w14:textId="77777777" w:rsidR="00D426F0" w:rsidRPr="00FF4640" w:rsidRDefault="00D426F0" w:rsidP="00FF4640"/>
        </w:tc>
        <w:tc>
          <w:tcPr>
            <w:tcW w:w="0" w:type="auto"/>
            <w:hideMark/>
          </w:tcPr>
          <w:p w14:paraId="0132FA50" w14:textId="77777777" w:rsidR="00D426F0" w:rsidRPr="00FF4640" w:rsidRDefault="00D426F0" w:rsidP="00FF4640"/>
        </w:tc>
        <w:tc>
          <w:tcPr>
            <w:tcW w:w="0" w:type="auto"/>
            <w:hideMark/>
          </w:tcPr>
          <w:p w14:paraId="1BB9835D" w14:textId="77777777" w:rsidR="00D426F0" w:rsidRPr="00FF4640" w:rsidRDefault="00D426F0" w:rsidP="00FF4640"/>
        </w:tc>
      </w:tr>
      <w:tr w:rsidR="00FF4640" w:rsidRPr="00FF4640" w14:paraId="5E1D9955" w14:textId="77777777" w:rsidTr="001A1F85">
        <w:tc>
          <w:tcPr>
            <w:tcW w:w="0" w:type="auto"/>
            <w:hideMark/>
          </w:tcPr>
          <w:p w14:paraId="63D88586" w14:textId="77E1F101" w:rsidR="00FF4640" w:rsidRPr="00FF4640" w:rsidRDefault="00FF4640" w:rsidP="00FF4640">
            <w:r w:rsidRPr="00FF4640">
              <w:t xml:space="preserve">HHC Referral </w:t>
            </w:r>
            <w:proofErr w:type="spellStart"/>
            <w:r w:rsidRPr="00FF4640">
              <w:t>Group</w:t>
            </w:r>
            <w:r w:rsidRPr="00FE3F0D">
              <w:rPr>
                <w:vertAlign w:val="superscript"/>
              </w:rPr>
              <w:t>b</w:t>
            </w:r>
            <w:proofErr w:type="spellEnd"/>
          </w:p>
        </w:tc>
        <w:tc>
          <w:tcPr>
            <w:tcW w:w="0" w:type="auto"/>
            <w:hideMark/>
          </w:tcPr>
          <w:p w14:paraId="048746A4" w14:textId="77777777" w:rsidR="00FF4640" w:rsidRPr="00FF4640" w:rsidRDefault="00FF4640" w:rsidP="00FF4640">
            <w:r w:rsidRPr="00FF4640">
              <w:t>0.075</w:t>
            </w:r>
          </w:p>
        </w:tc>
        <w:tc>
          <w:tcPr>
            <w:tcW w:w="0" w:type="auto"/>
            <w:hideMark/>
          </w:tcPr>
          <w:p w14:paraId="54ADB6B4" w14:textId="77777777" w:rsidR="00FF4640" w:rsidRPr="00FF4640" w:rsidRDefault="00FF4640" w:rsidP="00FF4640">
            <w:r w:rsidRPr="00FF4640">
              <w:t>0.171</w:t>
            </w:r>
          </w:p>
        </w:tc>
        <w:tc>
          <w:tcPr>
            <w:tcW w:w="0" w:type="auto"/>
            <w:hideMark/>
          </w:tcPr>
          <w:p w14:paraId="2746E8EA" w14:textId="77777777" w:rsidR="00FF4640" w:rsidRPr="00FF4640" w:rsidRDefault="00FF4640" w:rsidP="00FF4640">
            <w:r w:rsidRPr="00FF4640">
              <w:t>0.094</w:t>
            </w:r>
          </w:p>
        </w:tc>
        <w:tc>
          <w:tcPr>
            <w:tcW w:w="0" w:type="auto"/>
            <w:hideMark/>
          </w:tcPr>
          <w:p w14:paraId="66622475" w14:textId="77777777" w:rsidR="00FF4640" w:rsidRPr="00FF4640" w:rsidRDefault="00FF4640" w:rsidP="00FF4640">
            <w:r w:rsidRPr="00FF4640">
              <w:t>0.236</w:t>
            </w:r>
          </w:p>
        </w:tc>
      </w:tr>
      <w:tr w:rsidR="00FF4640" w:rsidRPr="00FF4640" w14:paraId="6F6D9EF8" w14:textId="77777777" w:rsidTr="001A1F85">
        <w:tc>
          <w:tcPr>
            <w:tcW w:w="0" w:type="auto"/>
            <w:hideMark/>
          </w:tcPr>
          <w:p w14:paraId="3090433F" w14:textId="5596CA3E" w:rsidR="00FF4640" w:rsidRPr="00FF4640" w:rsidRDefault="00FF4640" w:rsidP="00FF4640">
            <w:r w:rsidRPr="00FF4640">
              <w:t xml:space="preserve">Matched Control </w:t>
            </w:r>
            <w:proofErr w:type="spellStart"/>
            <w:r w:rsidRPr="00FF4640">
              <w:t>Group</w:t>
            </w:r>
            <w:r w:rsidRPr="00FE3F0D">
              <w:rPr>
                <w:vertAlign w:val="superscript"/>
              </w:rPr>
              <w:t>b</w:t>
            </w:r>
            <w:proofErr w:type="spellEnd"/>
          </w:p>
        </w:tc>
        <w:tc>
          <w:tcPr>
            <w:tcW w:w="0" w:type="auto"/>
            <w:hideMark/>
          </w:tcPr>
          <w:p w14:paraId="29709AE9" w14:textId="77777777" w:rsidR="00FF4640" w:rsidRPr="00FF4640" w:rsidRDefault="00FF4640" w:rsidP="00FF4640">
            <w:r w:rsidRPr="00FF4640">
              <w:t>0.083</w:t>
            </w:r>
          </w:p>
        </w:tc>
        <w:tc>
          <w:tcPr>
            <w:tcW w:w="0" w:type="auto"/>
            <w:hideMark/>
          </w:tcPr>
          <w:p w14:paraId="5FF39A02" w14:textId="77777777" w:rsidR="00FF4640" w:rsidRPr="00FF4640" w:rsidRDefault="00FF4640" w:rsidP="00FF4640">
            <w:r w:rsidRPr="00FF4640">
              <w:t>0.159</w:t>
            </w:r>
          </w:p>
        </w:tc>
        <w:tc>
          <w:tcPr>
            <w:tcW w:w="0" w:type="auto"/>
            <w:hideMark/>
          </w:tcPr>
          <w:p w14:paraId="1F6835DD" w14:textId="77777777" w:rsidR="00FF4640" w:rsidRPr="00FF4640" w:rsidRDefault="00FF4640" w:rsidP="00FF4640">
            <w:r w:rsidRPr="00FF4640">
              <w:t>0.105</w:t>
            </w:r>
          </w:p>
        </w:tc>
        <w:tc>
          <w:tcPr>
            <w:tcW w:w="0" w:type="auto"/>
            <w:hideMark/>
          </w:tcPr>
          <w:p w14:paraId="7BE731C7" w14:textId="77777777" w:rsidR="00FF4640" w:rsidRPr="00FF4640" w:rsidRDefault="00FF4640" w:rsidP="00FF4640">
            <w:r w:rsidRPr="00FF4640">
              <w:t>0.221</w:t>
            </w:r>
          </w:p>
        </w:tc>
      </w:tr>
      <w:tr w:rsidR="00FF4640" w:rsidRPr="00FF4640" w14:paraId="592C41CE" w14:textId="77777777" w:rsidTr="001A1F85">
        <w:tc>
          <w:tcPr>
            <w:tcW w:w="0" w:type="auto"/>
            <w:hideMark/>
          </w:tcPr>
          <w:p w14:paraId="5B787DB6" w14:textId="6089AE79" w:rsidR="00FF4640" w:rsidRPr="00FF4640" w:rsidRDefault="00FF4640" w:rsidP="00FF4640">
            <w:r w:rsidRPr="00FF4640">
              <w:t>Difference (HHC - Control) </w:t>
            </w:r>
            <w:r w:rsidRPr="00FE3F0D">
              <w:rPr>
                <w:vertAlign w:val="superscript"/>
              </w:rPr>
              <w:t>c</w:t>
            </w:r>
          </w:p>
        </w:tc>
        <w:tc>
          <w:tcPr>
            <w:tcW w:w="0" w:type="auto"/>
            <w:hideMark/>
          </w:tcPr>
          <w:p w14:paraId="387BA56E" w14:textId="77777777" w:rsidR="00FF4640" w:rsidRPr="00FF4640" w:rsidRDefault="00FF4640" w:rsidP="00FF4640">
            <w:r w:rsidRPr="00FF4640">
              <w:t>-0.007</w:t>
            </w:r>
          </w:p>
        </w:tc>
        <w:tc>
          <w:tcPr>
            <w:tcW w:w="0" w:type="auto"/>
            <w:hideMark/>
          </w:tcPr>
          <w:p w14:paraId="7A863F87" w14:textId="77777777" w:rsidR="00FF4640" w:rsidRPr="00FF4640" w:rsidRDefault="00FF4640" w:rsidP="00FF4640">
            <w:r w:rsidRPr="00FF4640">
              <w:t>0.012</w:t>
            </w:r>
          </w:p>
        </w:tc>
        <w:tc>
          <w:tcPr>
            <w:tcW w:w="0" w:type="auto"/>
            <w:hideMark/>
          </w:tcPr>
          <w:p w14:paraId="0B4024B1" w14:textId="77777777" w:rsidR="00FF4640" w:rsidRPr="00FF4640" w:rsidRDefault="00FF4640" w:rsidP="00FF4640">
            <w:r w:rsidRPr="00FF4640">
              <w:t>-0.011</w:t>
            </w:r>
          </w:p>
        </w:tc>
        <w:tc>
          <w:tcPr>
            <w:tcW w:w="0" w:type="auto"/>
            <w:hideMark/>
          </w:tcPr>
          <w:p w14:paraId="36CC5D83" w14:textId="77777777" w:rsidR="00FF4640" w:rsidRPr="00FF4640" w:rsidRDefault="00FF4640" w:rsidP="00FF4640">
            <w:r w:rsidRPr="00FF4640">
              <w:t>0.015</w:t>
            </w:r>
          </w:p>
        </w:tc>
      </w:tr>
      <w:tr w:rsidR="00FF4640" w:rsidRPr="00FF4640" w14:paraId="3A0ED195" w14:textId="77777777" w:rsidTr="001A1F85">
        <w:tc>
          <w:tcPr>
            <w:tcW w:w="0" w:type="auto"/>
            <w:hideMark/>
          </w:tcPr>
          <w:p w14:paraId="11E5662A" w14:textId="77777777" w:rsidR="00FF4640" w:rsidRPr="00FF4640" w:rsidRDefault="00FF4640" w:rsidP="00FF4640"/>
        </w:tc>
        <w:tc>
          <w:tcPr>
            <w:tcW w:w="0" w:type="auto"/>
            <w:hideMark/>
          </w:tcPr>
          <w:p w14:paraId="288D0312" w14:textId="77777777" w:rsidR="00FF4640" w:rsidRPr="00FF4640" w:rsidRDefault="00FF4640" w:rsidP="00FF4640">
            <w:r w:rsidRPr="00FF4640">
              <w:t>(0.013)</w:t>
            </w:r>
          </w:p>
        </w:tc>
        <w:tc>
          <w:tcPr>
            <w:tcW w:w="0" w:type="auto"/>
            <w:hideMark/>
          </w:tcPr>
          <w:p w14:paraId="44BB8AA7" w14:textId="77777777" w:rsidR="00FF4640" w:rsidRPr="00FF4640" w:rsidRDefault="00FF4640" w:rsidP="00FF4640">
            <w:r w:rsidRPr="00FF4640">
              <w:t>(0.016)</w:t>
            </w:r>
          </w:p>
        </w:tc>
        <w:tc>
          <w:tcPr>
            <w:tcW w:w="0" w:type="auto"/>
            <w:hideMark/>
          </w:tcPr>
          <w:p w14:paraId="69C2FC96" w14:textId="77777777" w:rsidR="00FF4640" w:rsidRPr="00FF4640" w:rsidRDefault="00FF4640" w:rsidP="00FF4640">
            <w:r w:rsidRPr="00FF4640">
              <w:t>(0.016)</w:t>
            </w:r>
          </w:p>
        </w:tc>
        <w:tc>
          <w:tcPr>
            <w:tcW w:w="0" w:type="auto"/>
            <w:hideMark/>
          </w:tcPr>
          <w:p w14:paraId="7860F11D" w14:textId="77777777" w:rsidR="00FF4640" w:rsidRPr="00FF4640" w:rsidRDefault="00FF4640" w:rsidP="00FF4640">
            <w:r w:rsidRPr="00FF4640">
              <w:t>(0.019)</w:t>
            </w:r>
          </w:p>
        </w:tc>
      </w:tr>
      <w:tr w:rsidR="00D426F0" w:rsidRPr="00FF4640" w14:paraId="3816ED88" w14:textId="77777777" w:rsidTr="00D426F0">
        <w:tc>
          <w:tcPr>
            <w:tcW w:w="0" w:type="auto"/>
            <w:hideMark/>
          </w:tcPr>
          <w:p w14:paraId="658B1845" w14:textId="77777777" w:rsidR="00D426F0" w:rsidRPr="00FF4640" w:rsidRDefault="00D426F0" w:rsidP="00FF4640"/>
        </w:tc>
        <w:tc>
          <w:tcPr>
            <w:tcW w:w="0" w:type="auto"/>
            <w:hideMark/>
          </w:tcPr>
          <w:p w14:paraId="46DE4310" w14:textId="77777777" w:rsidR="00D426F0" w:rsidRPr="00FF4640" w:rsidRDefault="00D426F0" w:rsidP="00FF4640">
            <w:r w:rsidRPr="00FF4640">
              <w:t>Adjusted Multinomial Logistic Regression</w:t>
            </w:r>
          </w:p>
        </w:tc>
        <w:tc>
          <w:tcPr>
            <w:tcW w:w="0" w:type="auto"/>
          </w:tcPr>
          <w:p w14:paraId="57BFA350" w14:textId="77777777" w:rsidR="00D426F0" w:rsidRPr="00FF4640" w:rsidRDefault="00D426F0" w:rsidP="00FF4640"/>
        </w:tc>
        <w:tc>
          <w:tcPr>
            <w:tcW w:w="0" w:type="auto"/>
          </w:tcPr>
          <w:p w14:paraId="6DE9207B" w14:textId="77777777" w:rsidR="00D426F0" w:rsidRPr="00FF4640" w:rsidRDefault="00D426F0" w:rsidP="00FF4640"/>
        </w:tc>
        <w:tc>
          <w:tcPr>
            <w:tcW w:w="0" w:type="auto"/>
          </w:tcPr>
          <w:p w14:paraId="242EF26C" w14:textId="5CE48C11" w:rsidR="00D426F0" w:rsidRPr="00FF4640" w:rsidRDefault="00D426F0" w:rsidP="00FF4640"/>
        </w:tc>
      </w:tr>
      <w:tr w:rsidR="00D426F0" w:rsidRPr="00FF4640" w14:paraId="41779A85" w14:textId="77777777" w:rsidTr="00D22EC3">
        <w:tc>
          <w:tcPr>
            <w:tcW w:w="0" w:type="auto"/>
            <w:hideMark/>
          </w:tcPr>
          <w:p w14:paraId="2E67FFD7" w14:textId="77777777" w:rsidR="00D426F0" w:rsidRPr="00FF4640" w:rsidRDefault="00D426F0" w:rsidP="00FF4640">
            <w:r w:rsidRPr="00FF4640">
              <w:rPr>
                <w:b/>
                <w:bCs/>
              </w:rPr>
              <w:t xml:space="preserve">Low </w:t>
            </w:r>
            <w:proofErr w:type="spellStart"/>
            <w:r w:rsidRPr="00FF4640">
              <w:rPr>
                <w:b/>
                <w:bCs/>
              </w:rPr>
              <w:t>Elixhauser</w:t>
            </w:r>
            <w:proofErr w:type="spellEnd"/>
            <w:r w:rsidRPr="00FF4640">
              <w:rPr>
                <w:b/>
                <w:bCs/>
              </w:rPr>
              <w:t xml:space="preserve"> Comorbidity Index (≤7)</w:t>
            </w:r>
            <w:r w:rsidRPr="00FF4640">
              <w:t> </w:t>
            </w:r>
            <w:r w:rsidRPr="00FE3F0D">
              <w:rPr>
                <w:vertAlign w:val="superscript"/>
              </w:rPr>
              <w:t>a</w:t>
            </w:r>
          </w:p>
        </w:tc>
        <w:tc>
          <w:tcPr>
            <w:tcW w:w="0" w:type="auto"/>
          </w:tcPr>
          <w:p w14:paraId="62A33B24" w14:textId="2629D89F" w:rsidR="00D426F0" w:rsidRPr="00FF4640" w:rsidRDefault="00D426F0" w:rsidP="00FF4640"/>
        </w:tc>
        <w:tc>
          <w:tcPr>
            <w:tcW w:w="0" w:type="auto"/>
            <w:hideMark/>
          </w:tcPr>
          <w:p w14:paraId="2B20D1E2" w14:textId="77777777" w:rsidR="00D426F0" w:rsidRPr="00FF4640" w:rsidRDefault="00D426F0" w:rsidP="00FF4640"/>
        </w:tc>
        <w:tc>
          <w:tcPr>
            <w:tcW w:w="0" w:type="auto"/>
            <w:hideMark/>
          </w:tcPr>
          <w:p w14:paraId="2520A3F8" w14:textId="77777777" w:rsidR="00D426F0" w:rsidRPr="00FF4640" w:rsidRDefault="00D426F0" w:rsidP="00FF4640"/>
        </w:tc>
        <w:tc>
          <w:tcPr>
            <w:tcW w:w="0" w:type="auto"/>
            <w:hideMark/>
          </w:tcPr>
          <w:p w14:paraId="703F24E7" w14:textId="77777777" w:rsidR="00D426F0" w:rsidRPr="00FF4640" w:rsidRDefault="00D426F0" w:rsidP="00FF4640"/>
        </w:tc>
      </w:tr>
      <w:tr w:rsidR="00FF4640" w:rsidRPr="00FF4640" w14:paraId="0B159683" w14:textId="77777777" w:rsidTr="001A1F85">
        <w:tc>
          <w:tcPr>
            <w:tcW w:w="0" w:type="auto"/>
            <w:hideMark/>
          </w:tcPr>
          <w:p w14:paraId="246FA9AC" w14:textId="494B9BFD" w:rsidR="00FF4640" w:rsidRPr="00FF4640" w:rsidRDefault="00FF4640" w:rsidP="00FF4640">
            <w:r w:rsidRPr="00FF4640">
              <w:t xml:space="preserve">HHC Referral </w:t>
            </w:r>
            <w:proofErr w:type="spellStart"/>
            <w:r w:rsidRPr="00FF4640">
              <w:t>Group</w:t>
            </w:r>
            <w:r w:rsidRPr="00FE3F0D">
              <w:rPr>
                <w:vertAlign w:val="superscript"/>
              </w:rPr>
              <w:t>b</w:t>
            </w:r>
            <w:proofErr w:type="spellEnd"/>
          </w:p>
        </w:tc>
        <w:tc>
          <w:tcPr>
            <w:tcW w:w="0" w:type="auto"/>
            <w:hideMark/>
          </w:tcPr>
          <w:p w14:paraId="6ACCFEA7" w14:textId="77777777" w:rsidR="00FF4640" w:rsidRPr="00FF4640" w:rsidRDefault="00FF4640" w:rsidP="00FF4640">
            <w:r w:rsidRPr="00FF4640">
              <w:t>0.073</w:t>
            </w:r>
          </w:p>
        </w:tc>
        <w:tc>
          <w:tcPr>
            <w:tcW w:w="0" w:type="auto"/>
            <w:hideMark/>
          </w:tcPr>
          <w:p w14:paraId="55523E55" w14:textId="77777777" w:rsidR="00FF4640" w:rsidRPr="00FF4640" w:rsidRDefault="00FF4640" w:rsidP="00FF4640">
            <w:r w:rsidRPr="00FF4640">
              <w:t>0.128</w:t>
            </w:r>
          </w:p>
        </w:tc>
        <w:tc>
          <w:tcPr>
            <w:tcW w:w="0" w:type="auto"/>
            <w:hideMark/>
          </w:tcPr>
          <w:p w14:paraId="4F2E31D9" w14:textId="77777777" w:rsidR="00FF4640" w:rsidRPr="00FF4640" w:rsidRDefault="00FF4640" w:rsidP="00FF4640">
            <w:r w:rsidRPr="00FF4640">
              <w:t>0.087</w:t>
            </w:r>
          </w:p>
        </w:tc>
        <w:tc>
          <w:tcPr>
            <w:tcW w:w="0" w:type="auto"/>
            <w:hideMark/>
          </w:tcPr>
          <w:p w14:paraId="3A3B2C0C" w14:textId="77777777" w:rsidR="00FF4640" w:rsidRPr="00FF4640" w:rsidRDefault="00FF4640" w:rsidP="00FF4640">
            <w:r w:rsidRPr="00FF4640">
              <w:t>0.172</w:t>
            </w:r>
          </w:p>
        </w:tc>
      </w:tr>
      <w:tr w:rsidR="00FF4640" w:rsidRPr="00FF4640" w14:paraId="3C933748" w14:textId="77777777" w:rsidTr="001A1F85">
        <w:tc>
          <w:tcPr>
            <w:tcW w:w="0" w:type="auto"/>
            <w:hideMark/>
          </w:tcPr>
          <w:p w14:paraId="563BE45F" w14:textId="23504E4E" w:rsidR="00FF4640" w:rsidRPr="00FF4640" w:rsidRDefault="00FF4640" w:rsidP="00FF4640">
            <w:r w:rsidRPr="00FF4640">
              <w:t xml:space="preserve">Matched Control </w:t>
            </w:r>
            <w:proofErr w:type="spellStart"/>
            <w:r w:rsidRPr="00FF4640">
              <w:t>Group</w:t>
            </w:r>
            <w:r w:rsidRPr="00FE3F0D">
              <w:rPr>
                <w:vertAlign w:val="superscript"/>
              </w:rPr>
              <w:t>b</w:t>
            </w:r>
            <w:proofErr w:type="spellEnd"/>
          </w:p>
        </w:tc>
        <w:tc>
          <w:tcPr>
            <w:tcW w:w="0" w:type="auto"/>
            <w:hideMark/>
          </w:tcPr>
          <w:p w14:paraId="52B506F9" w14:textId="77777777" w:rsidR="00FF4640" w:rsidRPr="00FF4640" w:rsidRDefault="00FF4640" w:rsidP="00FF4640">
            <w:r w:rsidRPr="00FF4640">
              <w:t>0.052</w:t>
            </w:r>
          </w:p>
        </w:tc>
        <w:tc>
          <w:tcPr>
            <w:tcW w:w="0" w:type="auto"/>
            <w:hideMark/>
          </w:tcPr>
          <w:p w14:paraId="05D95EF8" w14:textId="77777777" w:rsidR="00FF4640" w:rsidRPr="00FF4640" w:rsidRDefault="00FF4640" w:rsidP="00FF4640">
            <w:r w:rsidRPr="00FF4640">
              <w:t>0.109</w:t>
            </w:r>
          </w:p>
        </w:tc>
        <w:tc>
          <w:tcPr>
            <w:tcW w:w="0" w:type="auto"/>
            <w:hideMark/>
          </w:tcPr>
          <w:p w14:paraId="7F1D01C5" w14:textId="77777777" w:rsidR="00FF4640" w:rsidRPr="00FF4640" w:rsidRDefault="00FF4640" w:rsidP="00FF4640">
            <w:r w:rsidRPr="00FF4640">
              <w:t>0.076</w:t>
            </w:r>
          </w:p>
        </w:tc>
        <w:tc>
          <w:tcPr>
            <w:tcW w:w="0" w:type="auto"/>
            <w:hideMark/>
          </w:tcPr>
          <w:p w14:paraId="16D9CCD1" w14:textId="77777777" w:rsidR="00FF4640" w:rsidRPr="00FF4640" w:rsidRDefault="00FF4640" w:rsidP="00FF4640">
            <w:r w:rsidRPr="00FF4640">
              <w:t>0.163</w:t>
            </w:r>
          </w:p>
        </w:tc>
      </w:tr>
      <w:tr w:rsidR="00FF4640" w:rsidRPr="00FF4640" w14:paraId="76CF789B" w14:textId="77777777" w:rsidTr="001A1F85">
        <w:tc>
          <w:tcPr>
            <w:tcW w:w="0" w:type="auto"/>
            <w:hideMark/>
          </w:tcPr>
          <w:p w14:paraId="76BC9853" w14:textId="3D0A9A8C" w:rsidR="00FF4640" w:rsidRPr="00FF4640" w:rsidRDefault="00FF4640" w:rsidP="00FF4640">
            <w:r w:rsidRPr="00FF4640">
              <w:t>Difference (HHC - Control) </w:t>
            </w:r>
            <w:r w:rsidRPr="00FE3F0D">
              <w:rPr>
                <w:vertAlign w:val="superscript"/>
              </w:rPr>
              <w:t>c</w:t>
            </w:r>
          </w:p>
        </w:tc>
        <w:tc>
          <w:tcPr>
            <w:tcW w:w="0" w:type="auto"/>
            <w:hideMark/>
          </w:tcPr>
          <w:p w14:paraId="3C2C99D2" w14:textId="77777777" w:rsidR="00FF4640" w:rsidRPr="00FF4640" w:rsidRDefault="00FF4640" w:rsidP="00FF4640">
            <w:r w:rsidRPr="00FF4640">
              <w:t>0.021</w:t>
            </w:r>
          </w:p>
        </w:tc>
        <w:tc>
          <w:tcPr>
            <w:tcW w:w="0" w:type="auto"/>
            <w:hideMark/>
          </w:tcPr>
          <w:p w14:paraId="1615D5E6" w14:textId="77777777" w:rsidR="00FF4640" w:rsidRPr="00FF4640" w:rsidRDefault="00FF4640" w:rsidP="00FF4640">
            <w:r w:rsidRPr="00FF4640">
              <w:t>0.019</w:t>
            </w:r>
          </w:p>
        </w:tc>
        <w:tc>
          <w:tcPr>
            <w:tcW w:w="0" w:type="auto"/>
            <w:hideMark/>
          </w:tcPr>
          <w:p w14:paraId="5EBB8C67" w14:textId="77777777" w:rsidR="00FF4640" w:rsidRPr="00FF4640" w:rsidRDefault="00FF4640" w:rsidP="00FF4640">
            <w:r w:rsidRPr="00FF4640">
              <w:t>0.012</w:t>
            </w:r>
          </w:p>
        </w:tc>
        <w:tc>
          <w:tcPr>
            <w:tcW w:w="0" w:type="auto"/>
            <w:hideMark/>
          </w:tcPr>
          <w:p w14:paraId="5C063FEE" w14:textId="77777777" w:rsidR="00FF4640" w:rsidRPr="00FF4640" w:rsidRDefault="00FF4640" w:rsidP="00FF4640">
            <w:r w:rsidRPr="00FF4640">
              <w:t>0.009</w:t>
            </w:r>
          </w:p>
        </w:tc>
      </w:tr>
      <w:tr w:rsidR="00FF4640" w:rsidRPr="00FF4640" w14:paraId="6760C9AF" w14:textId="77777777" w:rsidTr="001A1F85">
        <w:tc>
          <w:tcPr>
            <w:tcW w:w="0" w:type="auto"/>
            <w:hideMark/>
          </w:tcPr>
          <w:p w14:paraId="1052C8C6" w14:textId="77777777" w:rsidR="00FF4640" w:rsidRPr="00FF4640" w:rsidRDefault="00FF4640" w:rsidP="00FF4640"/>
        </w:tc>
        <w:tc>
          <w:tcPr>
            <w:tcW w:w="0" w:type="auto"/>
            <w:hideMark/>
          </w:tcPr>
          <w:p w14:paraId="52ED0E26" w14:textId="77777777" w:rsidR="00FF4640" w:rsidRPr="00FF4640" w:rsidRDefault="00FF4640" w:rsidP="00FF4640">
            <w:r w:rsidRPr="00FF4640">
              <w:t>(0.013)</w:t>
            </w:r>
          </w:p>
        </w:tc>
        <w:tc>
          <w:tcPr>
            <w:tcW w:w="0" w:type="auto"/>
            <w:hideMark/>
          </w:tcPr>
          <w:p w14:paraId="6B44A6D0" w14:textId="77777777" w:rsidR="00FF4640" w:rsidRPr="00FF4640" w:rsidRDefault="00FF4640" w:rsidP="00FF4640">
            <w:r w:rsidRPr="00FF4640">
              <w:t>(0.028)</w:t>
            </w:r>
          </w:p>
        </w:tc>
        <w:tc>
          <w:tcPr>
            <w:tcW w:w="0" w:type="auto"/>
            <w:hideMark/>
          </w:tcPr>
          <w:p w14:paraId="43C05FB1" w14:textId="77777777" w:rsidR="00FF4640" w:rsidRPr="00FF4640" w:rsidRDefault="00FF4640" w:rsidP="00FF4640">
            <w:r w:rsidRPr="00FF4640">
              <w:t>(0.014)</w:t>
            </w:r>
          </w:p>
        </w:tc>
        <w:tc>
          <w:tcPr>
            <w:tcW w:w="0" w:type="auto"/>
            <w:hideMark/>
          </w:tcPr>
          <w:p w14:paraId="4623D2F5" w14:textId="77777777" w:rsidR="00FF4640" w:rsidRPr="00FF4640" w:rsidRDefault="00FF4640" w:rsidP="00FF4640">
            <w:r w:rsidRPr="00FF4640">
              <w:t>(0.028)</w:t>
            </w:r>
          </w:p>
        </w:tc>
      </w:tr>
      <w:tr w:rsidR="00D426F0" w:rsidRPr="00FF4640" w14:paraId="06135567" w14:textId="77777777" w:rsidTr="00BB42B3">
        <w:tc>
          <w:tcPr>
            <w:tcW w:w="0" w:type="auto"/>
            <w:hideMark/>
          </w:tcPr>
          <w:p w14:paraId="3EECD00B" w14:textId="77777777" w:rsidR="00D426F0" w:rsidRPr="00FF4640" w:rsidRDefault="00D426F0" w:rsidP="00FF4640">
            <w:r w:rsidRPr="00FF4640">
              <w:rPr>
                <w:b/>
                <w:bCs/>
              </w:rPr>
              <w:t xml:space="preserve">High </w:t>
            </w:r>
            <w:proofErr w:type="spellStart"/>
            <w:r w:rsidRPr="00FF4640">
              <w:rPr>
                <w:b/>
                <w:bCs/>
              </w:rPr>
              <w:t>Elixhauser</w:t>
            </w:r>
            <w:proofErr w:type="spellEnd"/>
            <w:r w:rsidRPr="00FF4640">
              <w:rPr>
                <w:b/>
                <w:bCs/>
              </w:rPr>
              <w:t xml:space="preserve"> Comorbidity Index (&gt;</w:t>
            </w:r>
            <w:proofErr w:type="gramStart"/>
            <w:r w:rsidRPr="00FF4640">
              <w:rPr>
                <w:b/>
                <w:bCs/>
              </w:rPr>
              <w:t>7)</w:t>
            </w:r>
            <w:r w:rsidRPr="00FE3F0D">
              <w:rPr>
                <w:b/>
                <w:bCs/>
                <w:vertAlign w:val="superscript"/>
              </w:rPr>
              <w:t>a</w:t>
            </w:r>
            <w:proofErr w:type="gramEnd"/>
          </w:p>
        </w:tc>
        <w:tc>
          <w:tcPr>
            <w:tcW w:w="0" w:type="auto"/>
          </w:tcPr>
          <w:p w14:paraId="07261FC3" w14:textId="7C3957DE" w:rsidR="00D426F0" w:rsidRPr="00FF4640" w:rsidRDefault="00D426F0" w:rsidP="00FF4640"/>
        </w:tc>
        <w:tc>
          <w:tcPr>
            <w:tcW w:w="0" w:type="auto"/>
            <w:hideMark/>
          </w:tcPr>
          <w:p w14:paraId="5C9D1F81" w14:textId="77777777" w:rsidR="00D426F0" w:rsidRPr="00FF4640" w:rsidRDefault="00D426F0" w:rsidP="00FF4640"/>
        </w:tc>
        <w:tc>
          <w:tcPr>
            <w:tcW w:w="0" w:type="auto"/>
            <w:hideMark/>
          </w:tcPr>
          <w:p w14:paraId="12CE8363" w14:textId="77777777" w:rsidR="00D426F0" w:rsidRPr="00FF4640" w:rsidRDefault="00D426F0" w:rsidP="00FF4640"/>
        </w:tc>
        <w:tc>
          <w:tcPr>
            <w:tcW w:w="0" w:type="auto"/>
            <w:hideMark/>
          </w:tcPr>
          <w:p w14:paraId="1793398B" w14:textId="77777777" w:rsidR="00D426F0" w:rsidRPr="00FF4640" w:rsidRDefault="00D426F0" w:rsidP="00FF4640"/>
        </w:tc>
      </w:tr>
      <w:bookmarkEnd w:id="52"/>
      <w:tr w:rsidR="00FF4640" w:rsidRPr="00FF4640" w14:paraId="3B07FEEA" w14:textId="77777777" w:rsidTr="001A1F85">
        <w:tc>
          <w:tcPr>
            <w:tcW w:w="0" w:type="auto"/>
            <w:hideMark/>
          </w:tcPr>
          <w:p w14:paraId="2EC003F8" w14:textId="3B5E18C3" w:rsidR="00FF4640" w:rsidRPr="00FF4640" w:rsidRDefault="00FF4640" w:rsidP="00FF4640">
            <w:r w:rsidRPr="00FF4640">
              <w:t xml:space="preserve">HHC Referral </w:t>
            </w:r>
            <w:proofErr w:type="spellStart"/>
            <w:r w:rsidRPr="00FF4640">
              <w:t>Group</w:t>
            </w:r>
            <w:r w:rsidRPr="00FE3F0D">
              <w:rPr>
                <w:vertAlign w:val="superscript"/>
              </w:rPr>
              <w:t>b</w:t>
            </w:r>
            <w:proofErr w:type="spellEnd"/>
          </w:p>
        </w:tc>
        <w:tc>
          <w:tcPr>
            <w:tcW w:w="0" w:type="auto"/>
            <w:hideMark/>
          </w:tcPr>
          <w:p w14:paraId="176519BD" w14:textId="77777777" w:rsidR="00FF4640" w:rsidRPr="00FF4640" w:rsidRDefault="00FF4640" w:rsidP="00FF4640">
            <w:r w:rsidRPr="00FF4640">
              <w:t>0.078</w:t>
            </w:r>
          </w:p>
        </w:tc>
        <w:tc>
          <w:tcPr>
            <w:tcW w:w="0" w:type="auto"/>
            <w:hideMark/>
          </w:tcPr>
          <w:p w14:paraId="1C991691" w14:textId="77777777" w:rsidR="00FF4640" w:rsidRPr="00FF4640" w:rsidRDefault="00FF4640" w:rsidP="00FF4640">
            <w:r w:rsidRPr="00FF4640">
              <w:t>0.167</w:t>
            </w:r>
          </w:p>
        </w:tc>
        <w:tc>
          <w:tcPr>
            <w:tcW w:w="0" w:type="auto"/>
            <w:hideMark/>
          </w:tcPr>
          <w:p w14:paraId="38038747" w14:textId="77777777" w:rsidR="00FF4640" w:rsidRPr="00FF4640" w:rsidRDefault="00FF4640" w:rsidP="00FF4640">
            <w:r w:rsidRPr="00FF4640">
              <w:t>0.096</w:t>
            </w:r>
          </w:p>
        </w:tc>
        <w:tc>
          <w:tcPr>
            <w:tcW w:w="0" w:type="auto"/>
            <w:hideMark/>
          </w:tcPr>
          <w:p w14:paraId="7A697705" w14:textId="77777777" w:rsidR="00FF4640" w:rsidRPr="00FF4640" w:rsidRDefault="00FF4640" w:rsidP="00FF4640">
            <w:r w:rsidRPr="00FF4640">
              <w:t>0.23</w:t>
            </w:r>
          </w:p>
        </w:tc>
      </w:tr>
      <w:tr w:rsidR="00FF4640" w:rsidRPr="00FF4640" w14:paraId="19C4E6AD" w14:textId="77777777" w:rsidTr="001A1F85">
        <w:tc>
          <w:tcPr>
            <w:tcW w:w="0" w:type="auto"/>
            <w:hideMark/>
          </w:tcPr>
          <w:p w14:paraId="3CCB39D7" w14:textId="3A4CA913" w:rsidR="00FF4640" w:rsidRPr="00FF4640" w:rsidRDefault="00FF4640" w:rsidP="00FF4640">
            <w:r w:rsidRPr="00FF4640">
              <w:t xml:space="preserve">Matched Control </w:t>
            </w:r>
            <w:proofErr w:type="spellStart"/>
            <w:r w:rsidRPr="00FF4640">
              <w:t>Group</w:t>
            </w:r>
            <w:r w:rsidRPr="00FE3F0D">
              <w:rPr>
                <w:vertAlign w:val="superscript"/>
              </w:rPr>
              <w:t>b</w:t>
            </w:r>
            <w:proofErr w:type="spellEnd"/>
          </w:p>
        </w:tc>
        <w:tc>
          <w:tcPr>
            <w:tcW w:w="0" w:type="auto"/>
            <w:hideMark/>
          </w:tcPr>
          <w:p w14:paraId="5B76B6FC" w14:textId="77777777" w:rsidR="00FF4640" w:rsidRPr="00FF4640" w:rsidRDefault="00FF4640" w:rsidP="00FF4640">
            <w:r w:rsidRPr="00FF4640">
              <w:t>0.080</w:t>
            </w:r>
          </w:p>
        </w:tc>
        <w:tc>
          <w:tcPr>
            <w:tcW w:w="0" w:type="auto"/>
            <w:hideMark/>
          </w:tcPr>
          <w:p w14:paraId="7456BF21" w14:textId="77777777" w:rsidR="00FF4640" w:rsidRPr="00FF4640" w:rsidRDefault="00FF4640" w:rsidP="00FF4640">
            <w:r w:rsidRPr="00FF4640">
              <w:t>0.162</w:t>
            </w:r>
          </w:p>
        </w:tc>
        <w:tc>
          <w:tcPr>
            <w:tcW w:w="0" w:type="auto"/>
            <w:hideMark/>
          </w:tcPr>
          <w:p w14:paraId="3EEF502C" w14:textId="77777777" w:rsidR="00FF4640" w:rsidRPr="00FF4640" w:rsidRDefault="00FF4640" w:rsidP="00FF4640">
            <w:r w:rsidRPr="00FF4640">
              <w:t>0.104</w:t>
            </w:r>
          </w:p>
        </w:tc>
        <w:tc>
          <w:tcPr>
            <w:tcW w:w="0" w:type="auto"/>
            <w:hideMark/>
          </w:tcPr>
          <w:p w14:paraId="7DE37322" w14:textId="77777777" w:rsidR="00FF4640" w:rsidRPr="00FF4640" w:rsidRDefault="00FF4640" w:rsidP="00FF4640">
            <w:r w:rsidRPr="00FF4640">
              <w:t>0.22</w:t>
            </w:r>
          </w:p>
        </w:tc>
      </w:tr>
      <w:bookmarkEnd w:id="53"/>
      <w:tr w:rsidR="00FF4640" w:rsidRPr="00FF4640" w14:paraId="2FF6119A" w14:textId="77777777" w:rsidTr="001A1F85">
        <w:tc>
          <w:tcPr>
            <w:tcW w:w="0" w:type="auto"/>
            <w:hideMark/>
          </w:tcPr>
          <w:p w14:paraId="31D2301F" w14:textId="041C40E2" w:rsidR="00FF4640" w:rsidRPr="00FF4640" w:rsidRDefault="00FF4640" w:rsidP="00FF4640">
            <w:r w:rsidRPr="00FF4640">
              <w:t>Difference (HHC - Control) </w:t>
            </w:r>
            <w:r w:rsidRPr="00FE3F0D">
              <w:rPr>
                <w:vertAlign w:val="superscript"/>
              </w:rPr>
              <w:t>c</w:t>
            </w:r>
          </w:p>
        </w:tc>
        <w:tc>
          <w:tcPr>
            <w:tcW w:w="0" w:type="auto"/>
            <w:hideMark/>
          </w:tcPr>
          <w:p w14:paraId="678CF4B8" w14:textId="77777777" w:rsidR="00FF4640" w:rsidRPr="00FF4640" w:rsidRDefault="00FF4640" w:rsidP="00FF4640">
            <w:r w:rsidRPr="00FF4640">
              <w:t>-0.002</w:t>
            </w:r>
          </w:p>
        </w:tc>
        <w:tc>
          <w:tcPr>
            <w:tcW w:w="0" w:type="auto"/>
            <w:hideMark/>
          </w:tcPr>
          <w:p w14:paraId="2595206B" w14:textId="77777777" w:rsidR="00FF4640" w:rsidRPr="00FF4640" w:rsidRDefault="00FF4640" w:rsidP="00FF4640">
            <w:r w:rsidRPr="00FF4640">
              <w:t>0.006</w:t>
            </w:r>
          </w:p>
        </w:tc>
        <w:tc>
          <w:tcPr>
            <w:tcW w:w="0" w:type="auto"/>
            <w:hideMark/>
          </w:tcPr>
          <w:p w14:paraId="65098016" w14:textId="77777777" w:rsidR="00FF4640" w:rsidRPr="00FF4640" w:rsidRDefault="00FF4640" w:rsidP="00FF4640">
            <w:r w:rsidRPr="00FF4640">
              <w:t>-0.009</w:t>
            </w:r>
          </w:p>
        </w:tc>
        <w:tc>
          <w:tcPr>
            <w:tcW w:w="0" w:type="auto"/>
            <w:hideMark/>
          </w:tcPr>
          <w:p w14:paraId="3883B651" w14:textId="77777777" w:rsidR="00FF4640" w:rsidRPr="00FF4640" w:rsidRDefault="00FF4640" w:rsidP="00FF4640">
            <w:r w:rsidRPr="00FF4640">
              <w:t>0.009</w:t>
            </w:r>
          </w:p>
        </w:tc>
      </w:tr>
      <w:bookmarkEnd w:id="54"/>
      <w:tr w:rsidR="00FF4640" w:rsidRPr="00FF4640" w14:paraId="25E21DF7" w14:textId="77777777" w:rsidTr="001A1F85">
        <w:tc>
          <w:tcPr>
            <w:tcW w:w="0" w:type="auto"/>
            <w:hideMark/>
          </w:tcPr>
          <w:p w14:paraId="0E0E0210" w14:textId="77777777" w:rsidR="00FF4640" w:rsidRPr="00FF4640" w:rsidRDefault="00FF4640" w:rsidP="00FF4640"/>
        </w:tc>
        <w:tc>
          <w:tcPr>
            <w:tcW w:w="0" w:type="auto"/>
            <w:hideMark/>
          </w:tcPr>
          <w:p w14:paraId="4A71CD5E" w14:textId="77777777" w:rsidR="00FF4640" w:rsidRPr="00FF4640" w:rsidRDefault="00FF4640" w:rsidP="00FF4640">
            <w:r w:rsidRPr="00FF4640">
              <w:t>(0.013)</w:t>
            </w:r>
          </w:p>
        </w:tc>
        <w:tc>
          <w:tcPr>
            <w:tcW w:w="0" w:type="auto"/>
            <w:hideMark/>
          </w:tcPr>
          <w:p w14:paraId="0AE079C6" w14:textId="77777777" w:rsidR="00FF4640" w:rsidRPr="00FF4640" w:rsidRDefault="00FF4640" w:rsidP="00FF4640">
            <w:r w:rsidRPr="00FF4640">
              <w:t>(0.019)</w:t>
            </w:r>
          </w:p>
        </w:tc>
        <w:tc>
          <w:tcPr>
            <w:tcW w:w="0" w:type="auto"/>
            <w:hideMark/>
          </w:tcPr>
          <w:p w14:paraId="60AC669D" w14:textId="77777777" w:rsidR="00FF4640" w:rsidRPr="00FF4640" w:rsidRDefault="00FF4640" w:rsidP="00FF4640">
            <w:r w:rsidRPr="00FF4640">
              <w:t>(0.016)</w:t>
            </w:r>
          </w:p>
        </w:tc>
        <w:tc>
          <w:tcPr>
            <w:tcW w:w="0" w:type="auto"/>
            <w:hideMark/>
          </w:tcPr>
          <w:p w14:paraId="50E96C07" w14:textId="77777777" w:rsidR="00FF4640" w:rsidRPr="00FF4640" w:rsidRDefault="00FF4640" w:rsidP="00FF4640">
            <w:r w:rsidRPr="00FF4640">
              <w:t>(0.022)</w:t>
            </w:r>
          </w:p>
        </w:tc>
      </w:tr>
      <w:tr w:rsidR="00FF4640" w:rsidRPr="00FF4640" w14:paraId="38925B1C" w14:textId="77777777" w:rsidTr="001A1F85">
        <w:tc>
          <w:tcPr>
            <w:tcW w:w="0" w:type="auto"/>
            <w:hideMark/>
          </w:tcPr>
          <w:p w14:paraId="6EA442E7" w14:textId="77777777" w:rsidR="00FF4640" w:rsidRPr="00FF4640" w:rsidRDefault="00FF4640" w:rsidP="00FF4640">
            <w:r w:rsidRPr="00FF4640">
              <w:t>Observations</w:t>
            </w:r>
          </w:p>
        </w:tc>
        <w:tc>
          <w:tcPr>
            <w:tcW w:w="0" w:type="auto"/>
            <w:hideMark/>
          </w:tcPr>
          <w:p w14:paraId="2EA77E45" w14:textId="77777777" w:rsidR="00FF4640" w:rsidRPr="00FF4640" w:rsidRDefault="00FF4640" w:rsidP="00FF4640">
            <w:r w:rsidRPr="00FF4640">
              <w:t>5,534</w:t>
            </w:r>
          </w:p>
        </w:tc>
        <w:tc>
          <w:tcPr>
            <w:tcW w:w="0" w:type="auto"/>
            <w:hideMark/>
          </w:tcPr>
          <w:p w14:paraId="6AA3FBB3" w14:textId="77777777" w:rsidR="00FF4640" w:rsidRPr="00FF4640" w:rsidRDefault="00FF4640" w:rsidP="00FF4640">
            <w:r w:rsidRPr="00FF4640">
              <w:t>5,534</w:t>
            </w:r>
          </w:p>
        </w:tc>
        <w:tc>
          <w:tcPr>
            <w:tcW w:w="0" w:type="auto"/>
            <w:hideMark/>
          </w:tcPr>
          <w:p w14:paraId="2FFBEBAD" w14:textId="77777777" w:rsidR="00FF4640" w:rsidRPr="00FF4640" w:rsidRDefault="00FF4640" w:rsidP="00FF4640">
            <w:r w:rsidRPr="00FF4640">
              <w:t>5,534</w:t>
            </w:r>
          </w:p>
        </w:tc>
        <w:tc>
          <w:tcPr>
            <w:tcW w:w="0" w:type="auto"/>
            <w:hideMark/>
          </w:tcPr>
          <w:p w14:paraId="6E8D2A08" w14:textId="77777777" w:rsidR="00FF4640" w:rsidRPr="00FF4640" w:rsidRDefault="00FF4640" w:rsidP="00FF4640">
            <w:r w:rsidRPr="00FF4640">
              <w:t>5,534</w:t>
            </w:r>
          </w:p>
        </w:tc>
      </w:tr>
    </w:tbl>
    <w:p w14:paraId="61BE11B8" w14:textId="77777777" w:rsidR="00FF4640" w:rsidRPr="00FF4640" w:rsidRDefault="00FF4640" w:rsidP="001A1F85">
      <w:pPr>
        <w:pStyle w:val="NoSpacing"/>
      </w:pPr>
      <w:r w:rsidRPr="00FF4640">
        <w:t>*** </w:t>
      </w:r>
      <w:r w:rsidRPr="00FF4640">
        <w:rPr>
          <w:i/>
          <w:iCs/>
        </w:rPr>
        <w:t>p</w:t>
      </w:r>
      <w:r w:rsidRPr="00FF4640">
        <w:t>&lt;0.001, ** </w:t>
      </w:r>
      <w:r w:rsidRPr="00FF4640">
        <w:rPr>
          <w:i/>
          <w:iCs/>
        </w:rPr>
        <w:t>p</w:t>
      </w:r>
      <w:r w:rsidRPr="00FF4640">
        <w:t>&lt;0.01, * </w:t>
      </w:r>
      <w:r w:rsidRPr="00FF4640">
        <w:rPr>
          <w:i/>
          <w:iCs/>
        </w:rPr>
        <w:t>p</w:t>
      </w:r>
      <w:r w:rsidRPr="00FF4640">
        <w:t>&lt;0.05</w:t>
      </w:r>
    </w:p>
    <w:p w14:paraId="53BAA3CC" w14:textId="47520512" w:rsidR="00FF4640" w:rsidRPr="00FF4640" w:rsidRDefault="00FF4640" w:rsidP="001A1F85">
      <w:pPr>
        <w:pStyle w:val="NoSpacing"/>
      </w:pPr>
      <w:r w:rsidRPr="00FF4640">
        <w:t>The full output including control variables (same as </w:t>
      </w:r>
      <w:r w:rsidRPr="00FE3F0D">
        <w:t>Table 3</w:t>
      </w:r>
      <w:bookmarkEnd w:id="46"/>
      <w:r w:rsidRPr="00FF4640">
        <w:t>) and Major Diagnostic Categories is reported in the Supplemental Digital File </w:t>
      </w:r>
      <w:r w:rsidRPr="00FE3F0D">
        <w:t>Table 4</w:t>
      </w:r>
      <w:bookmarkEnd w:id="51"/>
      <w:r w:rsidRPr="00FF4640">
        <w:t>.</w:t>
      </w:r>
    </w:p>
    <w:p w14:paraId="12804185" w14:textId="7DCF9822" w:rsidR="00FF4640" w:rsidRPr="00FF4640" w:rsidRDefault="00FF4640" w:rsidP="001A1F85">
      <w:pPr>
        <w:pStyle w:val="NoSpacing"/>
      </w:pPr>
      <w:proofErr w:type="spellStart"/>
      <w:r w:rsidRPr="001A1F85">
        <w:rPr>
          <w:vertAlign w:val="superscript"/>
        </w:rPr>
        <w:t>a</w:t>
      </w:r>
      <w:r w:rsidRPr="00FF4640">
        <w:t>Low</w:t>
      </w:r>
      <w:proofErr w:type="spellEnd"/>
      <w:r w:rsidRPr="00FF4640">
        <w:t xml:space="preserve"> </w:t>
      </w:r>
      <w:proofErr w:type="spellStart"/>
      <w:r w:rsidRPr="00FF4640">
        <w:t>Elixhauser</w:t>
      </w:r>
      <w:proofErr w:type="spellEnd"/>
      <w:r w:rsidRPr="00FF4640">
        <w:t xml:space="preserve"> Comorbidity Index (&lt;7) sample includes 2,802 (1,401 HHC patients and 1,401 non-HHC controls), and the high-</w:t>
      </w:r>
      <w:proofErr w:type="spellStart"/>
      <w:r w:rsidRPr="00FF4640">
        <w:t>Elixhauser</w:t>
      </w:r>
      <w:proofErr w:type="spellEnd"/>
      <w:r w:rsidRPr="00FF4640">
        <w:t xml:space="preserve"> sample includes 2,732 (1,366 HHC and 1,366 non-HHC).</w:t>
      </w:r>
    </w:p>
    <w:p w14:paraId="03B2C263" w14:textId="3C2B30D3" w:rsidR="00FF4640" w:rsidRPr="00FF4640" w:rsidRDefault="00FF4640" w:rsidP="001A1F85">
      <w:pPr>
        <w:pStyle w:val="NoSpacing"/>
      </w:pPr>
      <w:proofErr w:type="spellStart"/>
      <w:r w:rsidRPr="001A1F85">
        <w:rPr>
          <w:vertAlign w:val="superscript"/>
        </w:rPr>
        <w:t>b</w:t>
      </w:r>
      <w:r w:rsidRPr="00FF4640">
        <w:t>Reported</w:t>
      </w:r>
      <w:proofErr w:type="spellEnd"/>
      <w:r w:rsidRPr="00FF4640">
        <w:t xml:space="preserve"> as (crude or adjusted) prevalence proportions.</w:t>
      </w:r>
    </w:p>
    <w:p w14:paraId="29C68F30" w14:textId="552739BD" w:rsidR="00FF4640" w:rsidRDefault="00FF4640" w:rsidP="001A1F85">
      <w:pPr>
        <w:pStyle w:val="NoSpacing"/>
      </w:pPr>
      <w:proofErr w:type="spellStart"/>
      <w:r w:rsidRPr="001A1F85">
        <w:rPr>
          <w:vertAlign w:val="superscript"/>
        </w:rPr>
        <w:t>c</w:t>
      </w:r>
      <w:r w:rsidRPr="00FF4640">
        <w:t>Reported</w:t>
      </w:r>
      <w:proofErr w:type="spellEnd"/>
      <w:r w:rsidRPr="00FF4640">
        <w:t xml:space="preserve"> as absolute percentage point difference in prevalence, standard error in parentheses.</w:t>
      </w:r>
    </w:p>
    <w:p w14:paraId="6F7A8647" w14:textId="77777777" w:rsidR="001A1F85" w:rsidRPr="00FF4640" w:rsidRDefault="001A1F85" w:rsidP="00FF4640"/>
    <w:p w14:paraId="416FFA61" w14:textId="77777777" w:rsidR="00FF4640" w:rsidRPr="00FF4640" w:rsidRDefault="00FF4640" w:rsidP="001A1F85">
      <w:pPr>
        <w:pStyle w:val="Heading1"/>
      </w:pPr>
      <w:r w:rsidRPr="00FF4640">
        <w:t>Discussion</w:t>
      </w:r>
    </w:p>
    <w:p w14:paraId="7FE54230" w14:textId="37CD3680" w:rsidR="00FF4640" w:rsidRPr="00FF4640" w:rsidRDefault="00FF4640" w:rsidP="00FF4640">
      <w:r w:rsidRPr="00FF4640">
        <w:t>This multi-hospital US study of a matched sample of patients with a broad range of clinical conditions did not show the reductions in </w:t>
      </w:r>
      <w:r w:rsidRPr="00FE3F0D">
        <w:t>readmission rates</w:t>
      </w:r>
      <w:r w:rsidRPr="00FF4640">
        <w:t> for HHC patients previously reported by some evaluations of disease specific home-visiting management programs and case-management interventions (</w:t>
      </w:r>
      <w:r w:rsidRPr="00FE3F0D">
        <w:t>Feltner et al., 2014</w:t>
      </w:r>
      <w:bookmarkEnd w:id="22"/>
      <w:r w:rsidRPr="00FF4640">
        <w:t>; </w:t>
      </w:r>
      <w:bookmarkStart w:id="55" w:name="bbib0027"/>
      <w:proofErr w:type="spellStart"/>
      <w:r w:rsidRPr="00FE3F0D">
        <w:t>Maliakkal</w:t>
      </w:r>
      <w:proofErr w:type="spellEnd"/>
      <w:r w:rsidRPr="00FE3F0D">
        <w:t> and Sun, 2014</w:t>
      </w:r>
      <w:bookmarkEnd w:id="55"/>
      <w:r w:rsidRPr="00FF4640">
        <w:t>; </w:t>
      </w:r>
      <w:r w:rsidRPr="00FE3F0D">
        <w:t>Naylor, 2004</w:t>
      </w:r>
      <w:bookmarkEnd w:id="23"/>
      <w:r w:rsidRPr="00FF4640">
        <w:t>). Conversely, adjusted readmission rates for HHC patients were consistently higher by up to 1.5 percentage points in all comparisons, albeit these differences were not statistically significant. In post-hoc stratified analyses, no association of readmission or ED/Observation rates with the HHC discharge status was evident among high and low co-morbidity patients.</w:t>
      </w:r>
    </w:p>
    <w:p w14:paraId="19291B4F" w14:textId="08C48BBC" w:rsidR="00FF4640" w:rsidRPr="00FF4640" w:rsidRDefault="00FF4640" w:rsidP="00FF4640">
      <w:r w:rsidRPr="00FF4640">
        <w:t>Several possible factors may explain the lack of effectiveness of HHC in reducing readmissions. One explanation may be that, currently, US HHCs do not universally prioritize readmission avoidance as an organizational quality outcome. Post-acute care patients are only a portion of the patients served by HHC agencies; readmission avoidance may not be a priority if a HHC agency's volume of services generated by </w:t>
      </w:r>
      <w:r w:rsidRPr="00FE3F0D">
        <w:t>hospital discharges</w:t>
      </w:r>
      <w:r w:rsidRPr="00FF4640">
        <w:t> is low. Even though readmission is a prominent factor in home health quality reporting requirements in the US, the current payment structure does not always reward HHC agencies for preventing readmissions (</w:t>
      </w:r>
      <w:r w:rsidRPr="00FE3F0D">
        <w:t>Landers et al., 2016</w:t>
      </w:r>
      <w:r w:rsidRPr="00FF4640">
        <w:t>). Hospital penalties under HRRP are tied to readmission rates within 30 days of hospital discharge; therefore, the contribution of HHC to hospital system outcomes may not be a priority in health systems where hospital and post-acute care are not fully integrated.</w:t>
      </w:r>
    </w:p>
    <w:p w14:paraId="59096084" w14:textId="6AE97BE3" w:rsidR="00FF4640" w:rsidRPr="00FF4640" w:rsidRDefault="00FF4640" w:rsidP="00FF4640">
      <w:r w:rsidRPr="00FF4640">
        <w:t>Policy changes are on the horizon in the US that may influence HHC agencies to align their limited resources with </w:t>
      </w:r>
      <w:r w:rsidRPr="00FE3F0D">
        <w:t>reimbursement incentives</w:t>
      </w:r>
      <w:r w:rsidRPr="00FF4640">
        <w:t xml:space="preserve"> for readmission avoidance. CMS’ Home Health Care Value-Based </w:t>
      </w:r>
      <w:proofErr w:type="gramStart"/>
      <w:r w:rsidRPr="00FF4640">
        <w:t>Purchasing(</w:t>
      </w:r>
      <w:proofErr w:type="gramEnd"/>
      <w:r w:rsidRPr="00FF4640">
        <w:t>HHVBP) Model, designed to penalize poorly performing HHC providers and reward top HHC performers, is increasingly shifting their provider performance evaluation metrics to outcome-based measures (including ED use and unplanned hospital admissions), with payment adjustments of up to 8% (upward or downward) by 2022 in the pilot states (</w:t>
      </w:r>
      <w:bookmarkStart w:id="56" w:name="bbib0008"/>
      <w:r w:rsidRPr="00FE3F0D">
        <w:t>CMS, 2018c</w:t>
      </w:r>
      <w:bookmarkEnd w:id="56"/>
      <w:r w:rsidRPr="00FF4640">
        <w:t>; C. D. </w:t>
      </w:r>
      <w:r w:rsidRPr="00FE3F0D">
        <w:t>Jones et al., 2017</w:t>
      </w:r>
      <w:bookmarkEnd w:id="11"/>
      <w:r w:rsidRPr="00FF4640">
        <w:t>).</w:t>
      </w:r>
    </w:p>
    <w:p w14:paraId="57C89858" w14:textId="6D2A25F8" w:rsidR="00FF4640" w:rsidRPr="00FF4640" w:rsidRDefault="00FF4640" w:rsidP="00FF4640">
      <w:r w:rsidRPr="00FF4640">
        <w:t xml:space="preserve">Other possible factors that may interfere with HHC efforts to reduce readmissions include the HHC clinician's decision-making at the time of a HHC visit, including legal concerns. HHC visits may </w:t>
      </w:r>
      <w:proofErr w:type="gramStart"/>
      <w:r w:rsidRPr="00FF4640">
        <w:t>actually hasten</w:t>
      </w:r>
      <w:proofErr w:type="gramEnd"/>
      <w:r w:rsidRPr="00FF4640">
        <w:t xml:space="preserve"> returns to the hospital through early identification and/or cautionary escalation of problems to a higher-level care, counterbalancing efforts to avoid returns to the hospital. Patients are more likely to visit the ED on days the HHC nurse visits the home than on days without a nurse visit, a relationship that persists even among low-comorbidity patients (A. </w:t>
      </w:r>
      <w:bookmarkStart w:id="57" w:name="bbib0021"/>
      <w:r w:rsidRPr="00FE3F0D">
        <w:t>Jones et al., 2018</w:t>
      </w:r>
      <w:r w:rsidRPr="00FF4640">
        <w:t>). Medico-legal concerns may also underlie this pattern in the US and other countries. When identifying a worsening clinical condition, HHC nurses face limited immediate treatment options and respond based on patient needs and nurse competencies for the situation (</w:t>
      </w:r>
      <w:bookmarkStart w:id="58" w:name="bbib0002"/>
      <w:r w:rsidRPr="00FE3F0D">
        <w:t xml:space="preserve">Andersson, Lindholm, </w:t>
      </w:r>
      <w:proofErr w:type="spellStart"/>
      <w:r w:rsidRPr="00FE3F0D">
        <w:t>Pettersson</w:t>
      </w:r>
      <w:proofErr w:type="spellEnd"/>
      <w:r w:rsidRPr="00FE3F0D">
        <w:t xml:space="preserve">, and </w:t>
      </w:r>
      <w:proofErr w:type="spellStart"/>
      <w:r w:rsidRPr="00FE3F0D">
        <w:t>Jonasson</w:t>
      </w:r>
      <w:proofErr w:type="spellEnd"/>
      <w:r w:rsidRPr="00FE3F0D">
        <w:t>, 2017</w:t>
      </w:r>
      <w:bookmarkEnd w:id="58"/>
      <w:r w:rsidRPr="00FF4640">
        <w:t>). Without timely access to necessary resources or situation-specific guidelines, nurses may recommend returning to the hospital to prevent negative health outcomes occurring at home (A. </w:t>
      </w:r>
      <w:r w:rsidRPr="00FE3F0D">
        <w:t>Jones et al., 2018</w:t>
      </w:r>
      <w:bookmarkEnd w:id="57"/>
      <w:r w:rsidRPr="00FF4640">
        <w:t>). Lastly, considering that patients receiving home health services tend to be sicker on average that patients who do not, reducing readmissions may not be a feasible performance achievement bar for home health services.</w:t>
      </w:r>
    </w:p>
    <w:p w14:paraId="4589537E" w14:textId="766A8E9E" w:rsidR="00FF4640" w:rsidRPr="00FF4640" w:rsidRDefault="00FF4640" w:rsidP="00FF4640">
      <w:r w:rsidRPr="00FF4640">
        <w:t>To achieve readmission avoidance goals, HHC organizational structures must be realigned internally and with partner providers and organizations to improve collaboration across care teams and venues of care. (</w:t>
      </w:r>
      <w:bookmarkStart w:id="59" w:name="bbib0004"/>
      <w:proofErr w:type="spellStart"/>
      <w:r w:rsidRPr="00FE3F0D">
        <w:t>Busetto</w:t>
      </w:r>
      <w:proofErr w:type="spellEnd"/>
      <w:r w:rsidRPr="00FE3F0D">
        <w:t xml:space="preserve"> and Ger </w:t>
      </w:r>
      <w:proofErr w:type="spellStart"/>
      <w:r w:rsidRPr="00FE3F0D">
        <w:t>Luijkz</w:t>
      </w:r>
      <w:proofErr w:type="spellEnd"/>
      <w:r w:rsidRPr="00FE3F0D">
        <w:t>, 2015</w:t>
      </w:r>
      <w:bookmarkEnd w:id="59"/>
      <w:r w:rsidRPr="00FF4640">
        <w:t>; </w:t>
      </w:r>
      <w:bookmarkStart w:id="60" w:name="bbib0024"/>
      <w:proofErr w:type="spellStart"/>
      <w:r w:rsidRPr="00FE3F0D">
        <w:t>Kodner</w:t>
      </w:r>
      <w:proofErr w:type="spellEnd"/>
      <w:r w:rsidRPr="00FE3F0D">
        <w:t xml:space="preserve"> and </w:t>
      </w:r>
      <w:proofErr w:type="spellStart"/>
      <w:r w:rsidRPr="00FE3F0D">
        <w:t>Spreeuwenberg</w:t>
      </w:r>
      <w:proofErr w:type="spellEnd"/>
      <w:r w:rsidRPr="00FE3F0D">
        <w:t>, 2002</w:t>
      </w:r>
      <w:bookmarkEnd w:id="60"/>
      <w:r w:rsidRPr="00FF4640">
        <w:t>) New funding mechanisms for integrated care programs are becoming available that recognize the need for coordination among mental health services, health systems, health plans, and post-acute care health services (</w:t>
      </w:r>
      <w:r w:rsidRPr="00FE3F0D">
        <w:t>CMS, 2019b</w:t>
      </w:r>
      <w:bookmarkEnd w:id="21"/>
      <w:r w:rsidRPr="00FF4640">
        <w:t>). Creating integrated care services to meet the needs of medically complex patients will require new resources, new partners, and new skills for home care professionals.</w:t>
      </w:r>
    </w:p>
    <w:p w14:paraId="4054D55A" w14:textId="238A01B9" w:rsidR="00FF4640" w:rsidRPr="00FF4640" w:rsidRDefault="00FF4640" w:rsidP="00FF4640">
      <w:r w:rsidRPr="00FF4640">
        <w:t>The skill level of the HHC workforce is an important contributor to patient outcomes. Given the increasing complexity of patients discharged to home, the skill set required for effective HHC care is expanding. Continuing education programs such as HHC residency and nurse certification programs could offer mechanisms for building an expert home health nurse workforce. Though educational programs such as </w:t>
      </w:r>
      <w:r w:rsidRPr="00FE3F0D">
        <w:t>residency programs</w:t>
      </w:r>
      <w:r w:rsidRPr="00FF4640">
        <w:t> are effective in increasing the competency of HHC nurses, less than 5% of HHC agencies offer such courses due to a lack of preceptors and the burden of costs associated with implementation and maintenance of these programs (</w:t>
      </w:r>
      <w:r w:rsidRPr="00FE3F0D">
        <w:t>Landers et al., 2016</w:t>
      </w:r>
      <w:bookmarkEnd w:id="14"/>
      <w:r w:rsidRPr="00FF4640">
        <w:t>; </w:t>
      </w:r>
      <w:bookmarkStart w:id="61" w:name="bbib0033"/>
      <w:r w:rsidRPr="00FE3F0D">
        <w:t>Pittman, Horton, Terry, and Bass, 2014</w:t>
      </w:r>
      <w:bookmarkEnd w:id="61"/>
      <w:r w:rsidRPr="00FF4640">
        <w:t>). Certification is a mechanism for validation of a nurse's knowledge, skills, and abilities (</w:t>
      </w:r>
      <w:bookmarkStart w:id="62" w:name="bbib0005"/>
      <w:r w:rsidRPr="00FE3F0D">
        <w:t>Chappell et al., 2019</w:t>
      </w:r>
      <w:bookmarkEnd w:id="62"/>
      <w:r w:rsidRPr="00FF4640">
        <w:t>); however, home health nursing specialty certification was retired by the American Nurse Credentialing Center in 2005. Certifications for specific aspects of home care are available in </w:t>
      </w:r>
      <w:r w:rsidRPr="00FE3F0D">
        <w:t>hospice</w:t>
      </w:r>
      <w:r w:rsidRPr="00FF4640">
        <w:t> and </w:t>
      </w:r>
      <w:r w:rsidRPr="00FE3F0D">
        <w:t>palliative care</w:t>
      </w:r>
      <w:r w:rsidRPr="00FF4640">
        <w:t>, care coordination and transition management, and </w:t>
      </w:r>
      <w:r w:rsidRPr="00FE3F0D">
        <w:t>infusion therapy</w:t>
      </w:r>
      <w:r w:rsidRPr="00FF4640">
        <w:t>. Despite logistical barriers, HHC agencies must find ways to implement innovative programs for their staff as well as initiate and support efforts to reinvigorate interest in certification among the staff.</w:t>
      </w:r>
    </w:p>
    <w:p w14:paraId="1189A99A" w14:textId="77777777" w:rsidR="00FF4640" w:rsidRPr="00FF4640" w:rsidRDefault="00FF4640" w:rsidP="001A1F85">
      <w:pPr>
        <w:pStyle w:val="Heading2"/>
      </w:pPr>
      <w:r w:rsidRPr="00FF4640">
        <w:t>Strengths and limitations</w:t>
      </w:r>
    </w:p>
    <w:p w14:paraId="693C2C7E" w14:textId="58791C5B" w:rsidR="00FF4640" w:rsidRPr="00FF4640" w:rsidRDefault="00FF4640" w:rsidP="00FF4640">
      <w:r w:rsidRPr="00FF4640">
        <w:t xml:space="preserve">This study had several major strengths relative to the published literature. First, compared to other disease- or diagnosis specific studies, many of which were conducted in a single facility or a single health system, our study is the first to use a large </w:t>
      </w:r>
      <w:proofErr w:type="gramStart"/>
      <w:r w:rsidRPr="00FF4640">
        <w:t>geographically-diverse</w:t>
      </w:r>
      <w:proofErr w:type="gramEnd"/>
      <w:r w:rsidRPr="00FF4640">
        <w:t xml:space="preserve"> multi-site database of general medical-surgical patients. Second, in addition to administrative hospital databases, we had patient self-reported data on self-care ability and social support variables not commonly available in administrative datasets. Third, we used robust matching methods which allowed us to minimize confounding from selection of high-risk patients for HHC assignment that was present in previous studies. Therefore, our study likely contributes some of the most rigorous, generalizable, and accurate information on the issue of broad-scale effectiveness of </w:t>
      </w:r>
      <w:r w:rsidRPr="00FE3F0D">
        <w:t>HHC use</w:t>
      </w:r>
      <w:r w:rsidRPr="00FF4640">
        <w:t> in preventing hospital readmissions.</w:t>
      </w:r>
    </w:p>
    <w:p w14:paraId="4483DCC7" w14:textId="77777777" w:rsidR="00FF4640" w:rsidRPr="00FF4640" w:rsidRDefault="00FF4640" w:rsidP="00FF4640">
      <w:r w:rsidRPr="00FF4640">
        <w:t xml:space="preserve">There were several limitations to the design in this secondary analysis study. First, as in any observational study where a randomized controlled trial is not feasible or ethical, our matched study findings might still be confounded by unobservable and unmeasured variables. In the analysis of 60-day readmissions, the longer follow-up period may have further confounded the results. We attempted to reduce bias from sicker patients, who are, on average, more likely to be assigned to receive home health services; to do so, we matched on a comprehensive set of patient characteristics. However, </w:t>
      </w:r>
      <w:proofErr w:type="gramStart"/>
      <w:r w:rsidRPr="00FF4640">
        <w:t>a number of</w:t>
      </w:r>
      <w:proofErr w:type="gramEnd"/>
      <w:r w:rsidRPr="00FF4640">
        <w:t xml:space="preserve"> potentially important patient characteristics (e.g., depression, self-rating of health, communication challenges, adherence to the prescribed treatment plans, patient cognitive status, and caregiver status) were not available in the data and therefore could not be used in the matching protocol. To the extent that any unobserved confounding may remain in the data set, finding similar readmission rates in the HHC and the non-HHC groups may </w:t>
      </w:r>
      <w:proofErr w:type="gramStart"/>
      <w:r w:rsidRPr="00FF4640">
        <w:t>actually be</w:t>
      </w:r>
      <w:proofErr w:type="gramEnd"/>
      <w:r w:rsidRPr="00FF4640">
        <w:t xml:space="preserve"> considered a success of home health care in preventing readmissions in this high-risk patient population. Because our results were robust when additional patient variables (not used in the matching protocol) were added as direct adjustors in the final matched readmission model, residual confounding from unobserved patient characteristics is likely small.</w:t>
      </w:r>
    </w:p>
    <w:p w14:paraId="11B99391" w14:textId="066E4094" w:rsidR="00FF4640" w:rsidRPr="00FF4640" w:rsidRDefault="00FF4640" w:rsidP="00FF4640">
      <w:r w:rsidRPr="00FF4640">
        <w:t>Second, we did not have data on patient deaths outside of the hospital. A recent study of 8 million Medicare beneficiaries showed an association between readmission reductions and increased post-discharge mortality (</w:t>
      </w:r>
      <w:bookmarkStart w:id="63" w:name="bbib0041"/>
      <w:proofErr w:type="spellStart"/>
      <w:r w:rsidRPr="00FE3F0D">
        <w:t>Wadhera</w:t>
      </w:r>
      <w:proofErr w:type="spellEnd"/>
      <w:r w:rsidRPr="00FE3F0D">
        <w:t> et al., 2018</w:t>
      </w:r>
      <w:bookmarkEnd w:id="63"/>
      <w:r w:rsidRPr="00FF4640">
        <w:t>), which means that HHC effectiveness must be evaluated with respect to both outcomes. Continued prioritization of </w:t>
      </w:r>
      <w:r w:rsidRPr="00FE3F0D">
        <w:t>HHC outcomes</w:t>
      </w:r>
      <w:r w:rsidRPr="00FF4640">
        <w:t> is needed to determine its effectiveness. Aligning and incentivizing initiatives for HHC (IMPACT Act, HHVBP) is one way to motivate improvement efforts, but will take time to demonstrate. This study occurred at a time when incentivizing changes were only beginning and was not of a sufficient length to identify any differences resulting from various payment structures. Future studies using integrated data systems may be able to overcome our limitations.</w:t>
      </w:r>
    </w:p>
    <w:p w14:paraId="175EC9EA" w14:textId="343894C4" w:rsidR="00FF4640" w:rsidRPr="00FF4640" w:rsidRDefault="00FF4640" w:rsidP="00FF4640">
      <w:r w:rsidRPr="00FF4640">
        <w:t>Third, the data set applied to only those patients returning home, and not patients who were transferred to skilled or </w:t>
      </w:r>
      <w:proofErr w:type="gramStart"/>
      <w:r w:rsidRPr="00FE3F0D">
        <w:t>long term</w:t>
      </w:r>
      <w:proofErr w:type="gramEnd"/>
      <w:r w:rsidRPr="00FE3F0D">
        <w:t xml:space="preserve"> care</w:t>
      </w:r>
      <w:r w:rsidRPr="00FF4640">
        <w:t xml:space="preserve"> facilities. Patients were coded as HHC if they received a referral for HHC at the time of discharge. We did not collect information about the type of home health agency (free standing or within a health system), quality information about the agency, whether HHC services </w:t>
      </w:r>
      <w:proofErr w:type="gramStart"/>
      <w:r w:rsidRPr="00FF4640">
        <w:t>actually occurred</w:t>
      </w:r>
      <w:proofErr w:type="gramEnd"/>
      <w:r w:rsidRPr="00FF4640">
        <w:t>, number of visits, and the purpose and content of the visits. Lastly, we used same-hospital readmission and ED visits. Same-hospital readmissions may not accurately represent all hospital readmissions (</w:t>
      </w:r>
      <w:bookmarkStart w:id="64" w:name="bbib0017"/>
      <w:r w:rsidRPr="00FE3F0D">
        <w:t xml:space="preserve">Gonzalez, Shih, </w:t>
      </w:r>
      <w:proofErr w:type="spellStart"/>
      <w:r w:rsidRPr="00FE3F0D">
        <w:t>Dimick</w:t>
      </w:r>
      <w:proofErr w:type="spellEnd"/>
      <w:r w:rsidRPr="00FE3F0D">
        <w:t xml:space="preserve">, and </w:t>
      </w:r>
      <w:proofErr w:type="spellStart"/>
      <w:r w:rsidRPr="00FE3F0D">
        <w:t>Ghaferi</w:t>
      </w:r>
      <w:proofErr w:type="spellEnd"/>
      <w:r w:rsidRPr="00FE3F0D">
        <w:t>, 2013</w:t>
      </w:r>
      <w:bookmarkEnd w:id="64"/>
      <w:r w:rsidRPr="00FF4640">
        <w:t>). Our results were derived from a sample of patients discharged home within the US healthcare system and therefore may not represent outcomes in countries with different clinical care approaches and funding priorities for delivery of post-hospitalization home health care services.</w:t>
      </w:r>
    </w:p>
    <w:p w14:paraId="2A74DE3E" w14:textId="77777777" w:rsidR="00FF4640" w:rsidRPr="00FF4640" w:rsidRDefault="00FF4640" w:rsidP="001A1F85">
      <w:pPr>
        <w:pStyle w:val="Heading1"/>
      </w:pPr>
      <w:r w:rsidRPr="00FF4640">
        <w:t>Conclusion</w:t>
      </w:r>
    </w:p>
    <w:p w14:paraId="607EA7E5" w14:textId="5AE35BEB" w:rsidR="00FF4640" w:rsidRPr="00FF4640" w:rsidRDefault="00FF4640" w:rsidP="00FF4640">
      <w:r w:rsidRPr="00FF4640">
        <w:t>Quality measurement and the business case for the value of HHC services for transitional care require demonstration of effectiveness in reducing return to the hospital post-discharge. In this study of comparable samples of US patients, HHC did not reduce </w:t>
      </w:r>
      <w:r w:rsidRPr="00FE3F0D">
        <w:t>readmissions</w:t>
      </w:r>
      <w:r w:rsidRPr="00FF4640">
        <w:t> or ED visits post-discharge. With HHC </w:t>
      </w:r>
      <w:r w:rsidRPr="00FE3F0D">
        <w:t>reimbursement</w:t>
      </w:r>
      <w:r w:rsidRPr="00FF4640">
        <w:t> becoming increasingly linked to quality measure reporting and contributing to health system performance outcomes in the US and internationally, prioritization of readmission avoidance as an HHC organizational outcome is imperative for demonstrating value to the healthcare system. New models aligning HHC with the larger health system will need to be developed, with targeted integrated care processes, payment models, and clinical staff with appropriate skills, resources, and decision support to improve their effectiveness in reducing readmission rates in the types of patients referred to HHC.</w:t>
      </w:r>
    </w:p>
    <w:p w14:paraId="75FBDEF2" w14:textId="77777777" w:rsidR="00FF4640" w:rsidRPr="00FF4640" w:rsidRDefault="00FF4640" w:rsidP="001A1F85">
      <w:pPr>
        <w:pStyle w:val="Heading1"/>
      </w:pPr>
      <w:r w:rsidRPr="00FF4640">
        <w:t>Funding sources</w:t>
      </w:r>
    </w:p>
    <w:p w14:paraId="5AA4D330" w14:textId="77777777" w:rsidR="00FF4640" w:rsidRPr="00FF4640" w:rsidRDefault="00FF4640" w:rsidP="00FF4640">
      <w:r w:rsidRPr="00FF4640">
        <w:t>The READI study (Weiss, PI), the data source for this analysis, was commissioned by the American Nurse Credentialing Center (ANCC) following a competitive application process. Participating hospitals paid a fee to the ANCC to participate. The ANCC had no role in the design and conduct of the study; collection, management, analysis, and interpretation of the data; preparation, review, or approval of the manuscript; and the decision to submit the manuscript for publication.</w:t>
      </w:r>
    </w:p>
    <w:p w14:paraId="0046BA39" w14:textId="77777777" w:rsidR="00FF4640" w:rsidRPr="00FF4640" w:rsidRDefault="00FF4640" w:rsidP="001A1F85">
      <w:pPr>
        <w:pStyle w:val="Heading1"/>
      </w:pPr>
      <w:proofErr w:type="spellStart"/>
      <w:r w:rsidRPr="00FF4640">
        <w:t>CRediT</w:t>
      </w:r>
      <w:proofErr w:type="spellEnd"/>
      <w:r w:rsidRPr="00FF4640">
        <w:t xml:space="preserve"> authorship contribution statement</w:t>
      </w:r>
    </w:p>
    <w:p w14:paraId="3462D1C2" w14:textId="352A34E6" w:rsidR="00FF4640" w:rsidRPr="00FF4640" w:rsidRDefault="00FF4640" w:rsidP="00FF4640">
      <w:r w:rsidRPr="00FF4640">
        <w:t xml:space="preserve">All authors have made substantial contributions to </w:t>
      </w:r>
      <w:proofErr w:type="gramStart"/>
      <w:r w:rsidRPr="00FF4640">
        <w:t>all of</w:t>
      </w:r>
      <w:proofErr w:type="gramEnd"/>
      <w:r w:rsidRPr="00FF4640">
        <w:t xml:space="preserve"> the following: (1) the conception and design of the study, or acquisition of data, or analysis and interpretation of data, (2) drafting the article or revising it critically for important intellectual content, (3) final approval of the version to be submitted.</w:t>
      </w:r>
    </w:p>
    <w:p w14:paraId="4E15CA08" w14:textId="77777777" w:rsidR="00FF4640" w:rsidRPr="00FF4640" w:rsidRDefault="00FF4640" w:rsidP="001A1F85">
      <w:pPr>
        <w:pStyle w:val="Heading1"/>
      </w:pPr>
      <w:r w:rsidRPr="00FF4640">
        <w:t>Declaration of Competing Interest</w:t>
      </w:r>
    </w:p>
    <w:p w14:paraId="34F472DE" w14:textId="77777777" w:rsidR="00FF4640" w:rsidRPr="00FF4640" w:rsidRDefault="00FF4640" w:rsidP="00FF4640">
      <w:r w:rsidRPr="00FF4640">
        <w:t>None</w:t>
      </w:r>
    </w:p>
    <w:p w14:paraId="464AD87C" w14:textId="77777777" w:rsidR="00FF4640" w:rsidRPr="00FF4640" w:rsidRDefault="00FF4640" w:rsidP="001A1F85">
      <w:pPr>
        <w:pStyle w:val="Heading1"/>
      </w:pPr>
      <w:r w:rsidRPr="00FF4640">
        <w:t>References</w:t>
      </w:r>
    </w:p>
    <w:p w14:paraId="37C7FF8E" w14:textId="09FD54B0" w:rsidR="00FF4640" w:rsidRPr="00FF4640" w:rsidRDefault="00FF4640" w:rsidP="00FE3F0D">
      <w:pPr>
        <w:spacing w:after="0"/>
        <w:ind w:left="720" w:hanging="720"/>
      </w:pPr>
      <w:r w:rsidRPr="001A1F85">
        <w:t>Alliance for Home Health Quality and Innovation,</w:t>
      </w:r>
      <w:r w:rsidR="0087734B">
        <w:t xml:space="preserve"> </w:t>
      </w:r>
      <w:r w:rsidRPr="00FF4640">
        <w:t xml:space="preserve">Alliance for Home Health </w:t>
      </w:r>
      <w:proofErr w:type="gramStart"/>
      <w:r w:rsidRPr="00FF4640">
        <w:t>Quality</w:t>
      </w:r>
      <w:proofErr w:type="gramEnd"/>
      <w:r w:rsidRPr="00FF4640">
        <w:t xml:space="preserve"> and Innovation. (n.d.). Home health care data &amp; readmissions. Retrieved from </w:t>
      </w:r>
      <w:r w:rsidRPr="001A1F85">
        <w:t>http://www.ahhqi.org/images/pdf/what-is-hhc-data-readmissions.pdf</w:t>
      </w:r>
    </w:p>
    <w:p w14:paraId="4B88E3AB" w14:textId="20085C61" w:rsidR="00FF4640" w:rsidRPr="00FF4640" w:rsidRDefault="00FF4640" w:rsidP="00FE3F0D">
      <w:pPr>
        <w:spacing w:after="0"/>
        <w:ind w:left="720" w:hanging="720"/>
      </w:pPr>
      <w:r w:rsidRPr="001A1F85">
        <w:t>Andersson et al., 2017</w:t>
      </w:r>
      <w:r w:rsidR="0087734B">
        <w:t xml:space="preserve">. </w:t>
      </w:r>
      <w:r w:rsidRPr="00FF4640">
        <w:t>H. Andersson, M. Lindholm, M. </w:t>
      </w:r>
      <w:proofErr w:type="spellStart"/>
      <w:r w:rsidRPr="00FF4640">
        <w:t>Pettersson</w:t>
      </w:r>
      <w:proofErr w:type="spellEnd"/>
      <w:r w:rsidRPr="00FF4640">
        <w:t>, L.L. </w:t>
      </w:r>
      <w:proofErr w:type="spellStart"/>
      <w:r w:rsidRPr="00FF4640">
        <w:t>Jonasson</w:t>
      </w:r>
      <w:proofErr w:type="spellEnd"/>
      <w:r w:rsidR="0087734B">
        <w:t xml:space="preserve">. </w:t>
      </w:r>
      <w:r w:rsidRPr="00FF4640">
        <w:rPr>
          <w:b/>
          <w:bCs/>
        </w:rPr>
        <w:t>Nurses' competencies in home healthcare: an interview study</w:t>
      </w:r>
      <w:r w:rsidR="00FD2B72">
        <w:rPr>
          <w:b/>
          <w:bCs/>
        </w:rPr>
        <w:t xml:space="preserve">. </w:t>
      </w:r>
      <w:r w:rsidRPr="00FF4640">
        <w:t xml:space="preserve">BMC </w:t>
      </w:r>
      <w:proofErr w:type="spellStart"/>
      <w:r w:rsidRPr="00FF4640">
        <w:t>Nurs</w:t>
      </w:r>
      <w:proofErr w:type="spellEnd"/>
      <w:r w:rsidRPr="00FF4640">
        <w:t>., 16 (2017), p. 65, </w:t>
      </w:r>
      <w:r w:rsidRPr="001A1F85">
        <w:t>10.1186/s12912-017-0264-9</w:t>
      </w:r>
    </w:p>
    <w:p w14:paraId="27264E84" w14:textId="65524CB2" w:rsidR="00FF4640" w:rsidRPr="00FF4640" w:rsidRDefault="00FF4640" w:rsidP="00FE3F0D">
      <w:pPr>
        <w:spacing w:after="0"/>
        <w:ind w:left="720" w:hanging="720"/>
      </w:pPr>
      <w:r w:rsidRPr="001A1F85">
        <w:t>Bobay et al., 2015</w:t>
      </w:r>
      <w:r w:rsidR="00FD2B72">
        <w:t xml:space="preserve">. </w:t>
      </w:r>
      <w:r w:rsidRPr="00FF4640">
        <w:t>KL Bobay, S Bahr, ME Weiss, R Hughes, L Costa</w:t>
      </w:r>
      <w:r w:rsidR="00FD2B72">
        <w:t xml:space="preserve">. </w:t>
      </w:r>
      <w:r w:rsidRPr="00FF4640">
        <w:rPr>
          <w:b/>
          <w:bCs/>
        </w:rPr>
        <w:t>Models of discharge care in Magnet hospitals</w:t>
      </w:r>
      <w:r w:rsidR="00FD2B72">
        <w:rPr>
          <w:b/>
          <w:bCs/>
        </w:rPr>
        <w:t xml:space="preserve">. </w:t>
      </w:r>
      <w:r w:rsidRPr="00FF4640">
        <w:t>Journal of Nursing Administration, 45 (10) (2015), pp. 485-491, </w:t>
      </w:r>
      <w:r w:rsidRPr="001A1F85">
        <w:t>10.1097/NNA.0000000000000239</w:t>
      </w:r>
    </w:p>
    <w:p w14:paraId="4300A0DE" w14:textId="415B3E17" w:rsidR="00FF4640" w:rsidRPr="00FF4640" w:rsidRDefault="00FF4640" w:rsidP="00FE3F0D">
      <w:pPr>
        <w:spacing w:after="0"/>
        <w:ind w:left="720" w:hanging="720"/>
      </w:pPr>
      <w:proofErr w:type="spellStart"/>
      <w:r w:rsidRPr="001A1F85">
        <w:t>Braet</w:t>
      </w:r>
      <w:proofErr w:type="spellEnd"/>
      <w:r w:rsidRPr="001A1F85">
        <w:t xml:space="preserve"> et al., 2016</w:t>
      </w:r>
      <w:r w:rsidR="00FD2B72">
        <w:t xml:space="preserve">. </w:t>
      </w:r>
      <w:r w:rsidRPr="00FF4640">
        <w:t>A. </w:t>
      </w:r>
      <w:proofErr w:type="spellStart"/>
      <w:r w:rsidRPr="00FF4640">
        <w:t>Braet</w:t>
      </w:r>
      <w:proofErr w:type="spellEnd"/>
      <w:r w:rsidRPr="00FF4640">
        <w:t>, C. </w:t>
      </w:r>
      <w:proofErr w:type="spellStart"/>
      <w:r w:rsidRPr="00FF4640">
        <w:t>Weltens</w:t>
      </w:r>
      <w:proofErr w:type="spellEnd"/>
      <w:r w:rsidRPr="00FF4640">
        <w:t>, W. </w:t>
      </w:r>
      <w:proofErr w:type="spellStart"/>
      <w:r w:rsidRPr="00FF4640">
        <w:t>Sermeus</w:t>
      </w:r>
      <w:proofErr w:type="spellEnd"/>
      <w:r w:rsidR="00FD2B72">
        <w:t xml:space="preserve">. </w:t>
      </w:r>
      <w:r w:rsidRPr="00FF4640">
        <w:rPr>
          <w:b/>
          <w:bCs/>
        </w:rPr>
        <w:t>Effectiveness of discharge interventions from hospital to home on hospital readmissions: a systematic review</w:t>
      </w:r>
      <w:r w:rsidR="00FD2B72">
        <w:rPr>
          <w:b/>
          <w:bCs/>
        </w:rPr>
        <w:t xml:space="preserve">. </w:t>
      </w:r>
      <w:r w:rsidRPr="00FF4640">
        <w:t>JBI Database Syst. Rev Implement. Rep., 14 (2) (2016), pp. 106-173, </w:t>
      </w:r>
      <w:r w:rsidRPr="001A1F85">
        <w:t>10.11124/jbisrir-2016-2381</w:t>
      </w:r>
    </w:p>
    <w:p w14:paraId="49BDCC8B" w14:textId="26C5CEEE" w:rsidR="00FF4640" w:rsidRPr="00FF4640" w:rsidRDefault="00FF4640" w:rsidP="00FE3F0D">
      <w:pPr>
        <w:spacing w:after="0"/>
        <w:ind w:left="720" w:hanging="720"/>
      </w:pPr>
      <w:proofErr w:type="spellStart"/>
      <w:r w:rsidRPr="001A1F85">
        <w:t>Busetto</w:t>
      </w:r>
      <w:proofErr w:type="spellEnd"/>
      <w:r w:rsidRPr="001A1F85">
        <w:t xml:space="preserve"> and Ger </w:t>
      </w:r>
      <w:proofErr w:type="spellStart"/>
      <w:r w:rsidRPr="001A1F85">
        <w:t>Luijkz</w:t>
      </w:r>
      <w:proofErr w:type="spellEnd"/>
      <w:r w:rsidRPr="001A1F85">
        <w:t>, 2015</w:t>
      </w:r>
      <w:r w:rsidR="00FD2B72">
        <w:t xml:space="preserve">. </w:t>
      </w:r>
      <w:r w:rsidRPr="00FF4640">
        <w:t>L. </w:t>
      </w:r>
      <w:proofErr w:type="spellStart"/>
      <w:r w:rsidRPr="00FF4640">
        <w:t>Busetto</w:t>
      </w:r>
      <w:proofErr w:type="spellEnd"/>
      <w:r w:rsidRPr="00FF4640">
        <w:t xml:space="preserve">, K. Ger </w:t>
      </w:r>
      <w:proofErr w:type="spellStart"/>
      <w:r w:rsidRPr="00FF4640">
        <w:t>Luijkz</w:t>
      </w:r>
      <w:proofErr w:type="spellEnd"/>
      <w:r w:rsidR="00FD2B72">
        <w:t xml:space="preserve">. </w:t>
      </w:r>
      <w:r w:rsidRPr="00FF4640">
        <w:rPr>
          <w:b/>
          <w:bCs/>
        </w:rPr>
        <w:t>Intervention types and outcomes of integrated care for diabetes mellitus type 2: a systematic review</w:t>
      </w:r>
      <w:r w:rsidR="00FD2B72">
        <w:rPr>
          <w:b/>
          <w:bCs/>
        </w:rPr>
        <w:t xml:space="preserve">. </w:t>
      </w:r>
      <w:r w:rsidRPr="00FF4640">
        <w:t xml:space="preserve">J. Eval. Clin. </w:t>
      </w:r>
      <w:proofErr w:type="spellStart"/>
      <w:r w:rsidRPr="00FF4640">
        <w:t>Pract</w:t>
      </w:r>
      <w:proofErr w:type="spellEnd"/>
      <w:r w:rsidRPr="00FF4640">
        <w:t>., 22 (3) (2015), pp. 299-310</w:t>
      </w:r>
    </w:p>
    <w:p w14:paraId="3532F144" w14:textId="3A21EFF3" w:rsidR="00FF4640" w:rsidRPr="00FF4640" w:rsidRDefault="00FF4640" w:rsidP="00FE3F0D">
      <w:pPr>
        <w:spacing w:after="0"/>
        <w:ind w:left="720" w:hanging="720"/>
      </w:pPr>
      <w:r w:rsidRPr="001A1F85">
        <w:t>Chappell et al., 2019</w:t>
      </w:r>
      <w:r w:rsidR="00FD2B72">
        <w:t xml:space="preserve">. </w:t>
      </w:r>
      <w:r w:rsidRPr="00FF4640">
        <w:t>K. Chappell, D. Jeong, E.C. R., V. Lundmark, D. Kendall-Gallagher, E. Salt, S. Kitto</w:t>
      </w:r>
      <w:r w:rsidR="00FD2B72">
        <w:t xml:space="preserve">. </w:t>
      </w:r>
      <w:r w:rsidRPr="00FF4640">
        <w:rPr>
          <w:b/>
          <w:bCs/>
        </w:rPr>
        <w:t>Constructing a sensitizing definition of a certification in nursing for research purposes: a hybrid methodology using consensus-building approach</w:t>
      </w:r>
      <w:r w:rsidR="00FD2B72">
        <w:rPr>
          <w:b/>
          <w:bCs/>
        </w:rPr>
        <w:t xml:space="preserve">. </w:t>
      </w:r>
      <w:r w:rsidRPr="00FF4640">
        <w:t xml:space="preserve">J. </w:t>
      </w:r>
      <w:proofErr w:type="spellStart"/>
      <w:r w:rsidRPr="00FF4640">
        <w:t>Nurs</w:t>
      </w:r>
      <w:proofErr w:type="spellEnd"/>
      <w:r w:rsidRPr="00FF4640">
        <w:t>. Adm., 49 (1) (2019), pp. 12-18, </w:t>
      </w:r>
      <w:r w:rsidRPr="001A1F85">
        <w:t>10.1097/NNA.0000000000000701</w:t>
      </w:r>
    </w:p>
    <w:p w14:paraId="79D96F19" w14:textId="37A34031" w:rsidR="00FF4640" w:rsidRPr="00FF4640" w:rsidRDefault="00FF4640" w:rsidP="00FE3F0D">
      <w:pPr>
        <w:spacing w:after="0"/>
        <w:ind w:left="720" w:hanging="720"/>
      </w:pPr>
      <w:r w:rsidRPr="001A1F85">
        <w:t>CMS 2018a</w:t>
      </w:r>
      <w:r w:rsidR="00FD2B72">
        <w:t xml:space="preserve">. </w:t>
      </w:r>
      <w:r w:rsidRPr="00FF4640">
        <w:t>CMS. (2018a, August 31, 2018). Accountable Care Organizations (ACOs): General Information. Retrieved from </w:t>
      </w:r>
      <w:r w:rsidRPr="001A1F85">
        <w:t>https://innovation.cms.gov/initiatives/aco/</w:t>
      </w:r>
    </w:p>
    <w:p w14:paraId="604C3FA8" w14:textId="5D306E66" w:rsidR="00FF4640" w:rsidRPr="00FF4640" w:rsidRDefault="00FF4640" w:rsidP="00FE3F0D">
      <w:pPr>
        <w:spacing w:after="0"/>
        <w:ind w:left="720" w:hanging="720"/>
      </w:pPr>
      <w:r w:rsidRPr="001A1F85">
        <w:t>CMS 2018b</w:t>
      </w:r>
      <w:r w:rsidR="00FD2B72">
        <w:t xml:space="preserve">. </w:t>
      </w:r>
      <w:r w:rsidRPr="00FF4640">
        <w:t>CMS. (2018b). Home Health Star Ratings. Retrieved from </w:t>
      </w:r>
      <w:r w:rsidRPr="001A1F85">
        <w:t>https://www.cms.gov/Medicare/Quality-Initiatives-Patient-Assessment-Instruments/HomeHealthQualityInits/HHQIHomeHealthStarRatings.html</w:t>
      </w:r>
    </w:p>
    <w:p w14:paraId="595BCFE9" w14:textId="72658813" w:rsidR="00FF4640" w:rsidRPr="00FF4640" w:rsidRDefault="00FF4640" w:rsidP="00FE3F0D">
      <w:pPr>
        <w:spacing w:after="0"/>
        <w:ind w:left="720" w:hanging="720"/>
      </w:pPr>
      <w:r w:rsidRPr="001A1F85">
        <w:t>CMS 2018c</w:t>
      </w:r>
      <w:r w:rsidR="00FD2B72">
        <w:t xml:space="preserve">. </w:t>
      </w:r>
      <w:r w:rsidRPr="00FF4640">
        <w:t>CMS. (2018c). Home Health Value-Based Purchasing Model. Retrieved from </w:t>
      </w:r>
      <w:r w:rsidRPr="001A1F85">
        <w:t>https://innovation.cms.gov/initiatives/home-health-value-based-purchasing-model</w:t>
      </w:r>
    </w:p>
    <w:p w14:paraId="04B1BBE0" w14:textId="4276C28A" w:rsidR="00FF4640" w:rsidRPr="00FF4640" w:rsidRDefault="00FF4640" w:rsidP="00FE3F0D">
      <w:pPr>
        <w:spacing w:after="0"/>
        <w:ind w:left="720" w:hanging="720"/>
      </w:pPr>
      <w:r w:rsidRPr="001A1F85">
        <w:t>CMS 2018d</w:t>
      </w:r>
      <w:r w:rsidR="00FD2B72">
        <w:t xml:space="preserve">. </w:t>
      </w:r>
      <w:r w:rsidRPr="00FF4640">
        <w:t xml:space="preserve">CMS. (2018d). Home </w:t>
      </w:r>
      <w:proofErr w:type="spellStart"/>
      <w:r w:rsidRPr="00FF4640">
        <w:t>helath</w:t>
      </w:r>
      <w:proofErr w:type="spellEnd"/>
      <w:r w:rsidRPr="00FF4640">
        <w:t xml:space="preserve"> Quality Reporting Requirements. Retrieved from </w:t>
      </w:r>
      <w:r w:rsidRPr="001A1F85">
        <w:t>https://www.cms.gov/Medicare/Quality-Initiatives-Patient-Assessment-Instruments/HomeHealthQualityInits/Home-Health-Quality-Reporting-Requirements.html</w:t>
      </w:r>
    </w:p>
    <w:p w14:paraId="074D50FA" w14:textId="2C1F18FF" w:rsidR="00FF4640" w:rsidRPr="00FF4640" w:rsidRDefault="00FF4640" w:rsidP="00FE3F0D">
      <w:pPr>
        <w:spacing w:after="0"/>
        <w:ind w:left="720" w:hanging="720"/>
      </w:pPr>
      <w:r w:rsidRPr="001A1F85">
        <w:t>CMS 2018e</w:t>
      </w:r>
      <w:r w:rsidR="00FD2B72">
        <w:t xml:space="preserve">. </w:t>
      </w:r>
      <w:r w:rsidRPr="00FF4640">
        <w:t>CMS. (2018e). IMPACT Act Spotlights and Announcements. Retrieved from </w:t>
      </w:r>
      <w:r w:rsidRPr="001A1F85">
        <w:t>https://www.cms.gov/Medicare/Quality-Initiatives-Patient-Assessment-Instruments/Post-Acute-Care-Quality-Initiatives/IMPACT-Act-of-2014/Spotlights-and-Announcements-.html</w:t>
      </w:r>
    </w:p>
    <w:p w14:paraId="7DD7A531" w14:textId="7A2ADB74" w:rsidR="00FF4640" w:rsidRPr="00FF4640" w:rsidRDefault="00FF4640" w:rsidP="00FE3F0D">
      <w:pPr>
        <w:spacing w:after="0"/>
        <w:ind w:left="720" w:hanging="720"/>
      </w:pPr>
      <w:r w:rsidRPr="001A1F85">
        <w:t>CMS 2019a</w:t>
      </w:r>
      <w:r w:rsidR="00FD2B72">
        <w:t xml:space="preserve">. </w:t>
      </w:r>
      <w:r w:rsidRPr="00FF4640">
        <w:t>CMS. (2019a, April 10, 2019). Home health quality reporting program. Retrieved from </w:t>
      </w:r>
      <w:r w:rsidRPr="001A1F85">
        <w:t>https://www.cms.gov/medicare/quality-initiatives-patient-assessment-instruments/homehealthqualityinits/index.html</w:t>
      </w:r>
    </w:p>
    <w:p w14:paraId="7055B374" w14:textId="2F1DFA26" w:rsidR="00FF4640" w:rsidRPr="00FF4640" w:rsidRDefault="00FF4640" w:rsidP="00FE3F0D">
      <w:pPr>
        <w:spacing w:after="0"/>
        <w:ind w:left="720" w:hanging="720"/>
      </w:pPr>
      <w:r w:rsidRPr="001A1F85">
        <w:t>CMS 2019b</w:t>
      </w:r>
      <w:r w:rsidR="00FD2B72">
        <w:t xml:space="preserve">. </w:t>
      </w:r>
      <w:r w:rsidRPr="00FF4640">
        <w:t xml:space="preserve">CMS. (2019b). What is Home Health </w:t>
      </w:r>
      <w:proofErr w:type="gramStart"/>
      <w:r w:rsidRPr="00FF4640">
        <w:t>Compare.</w:t>
      </w:r>
      <w:proofErr w:type="gramEnd"/>
      <w:r w:rsidRPr="00FF4640">
        <w:t xml:space="preserve"> Retrieved from </w:t>
      </w:r>
      <w:r w:rsidRPr="001A1F85">
        <w:t>https://www.medicare.gov/HomeHealthCompare/About/What-Is-HHC.html</w:t>
      </w:r>
    </w:p>
    <w:p w14:paraId="589A4C4C" w14:textId="3D0DB101" w:rsidR="00FF4640" w:rsidRPr="00FF4640" w:rsidRDefault="00FF4640" w:rsidP="00FE3F0D">
      <w:pPr>
        <w:spacing w:after="0"/>
        <w:ind w:left="720" w:hanging="720"/>
      </w:pPr>
      <w:r w:rsidRPr="001A1F85">
        <w:t xml:space="preserve">de </w:t>
      </w:r>
      <w:proofErr w:type="spellStart"/>
      <w:r w:rsidRPr="001A1F85">
        <w:t>Mestral</w:t>
      </w:r>
      <w:proofErr w:type="spellEnd"/>
      <w:r w:rsidRPr="001A1F85">
        <w:t xml:space="preserve"> et al., 2019</w:t>
      </w:r>
      <w:r w:rsidR="00B31DCF">
        <w:t xml:space="preserve">. </w:t>
      </w:r>
      <w:r w:rsidRPr="00FF4640">
        <w:t xml:space="preserve">C. de </w:t>
      </w:r>
      <w:proofErr w:type="spellStart"/>
      <w:r w:rsidRPr="00FF4640">
        <w:t>Mestral</w:t>
      </w:r>
      <w:proofErr w:type="spellEnd"/>
      <w:r w:rsidRPr="00FF4640">
        <w:t>, A. </w:t>
      </w:r>
      <w:proofErr w:type="spellStart"/>
      <w:r w:rsidRPr="00FF4640">
        <w:t>Kayssi</w:t>
      </w:r>
      <w:proofErr w:type="spellEnd"/>
      <w:r w:rsidRPr="00FF4640">
        <w:t>, M. Al-</w:t>
      </w:r>
      <w:proofErr w:type="spellStart"/>
      <w:r w:rsidRPr="00FF4640">
        <w:t>Omran</w:t>
      </w:r>
      <w:proofErr w:type="spellEnd"/>
      <w:r w:rsidRPr="00FF4640">
        <w:t>, K. </w:t>
      </w:r>
      <w:proofErr w:type="spellStart"/>
      <w:r w:rsidRPr="00FF4640">
        <w:t>Salata</w:t>
      </w:r>
      <w:proofErr w:type="spellEnd"/>
      <w:r w:rsidRPr="00FF4640">
        <w:t>, M. Anas Hussain, G. Roche-Nagle</w:t>
      </w:r>
      <w:r w:rsidR="00B31DCF">
        <w:t xml:space="preserve">. </w:t>
      </w:r>
      <w:r w:rsidRPr="00FF4640">
        <w:rPr>
          <w:b/>
          <w:bCs/>
        </w:rPr>
        <w:t xml:space="preserve">Home care nursing after elective vascular surgery: an opportunity to reduce emergency department visits and </w:t>
      </w:r>
      <w:proofErr w:type="spellStart"/>
      <w:r w:rsidRPr="00FF4640">
        <w:rPr>
          <w:b/>
          <w:bCs/>
        </w:rPr>
        <w:t>hosptial</w:t>
      </w:r>
      <w:proofErr w:type="spellEnd"/>
      <w:r w:rsidRPr="00FF4640">
        <w:rPr>
          <w:b/>
          <w:bCs/>
        </w:rPr>
        <w:t xml:space="preserve"> readmission</w:t>
      </w:r>
      <w:r w:rsidR="00B31DCF">
        <w:rPr>
          <w:b/>
          <w:bCs/>
        </w:rPr>
        <w:t xml:space="preserve">. </w:t>
      </w:r>
      <w:r w:rsidRPr="00FF4640">
        <w:t>BMJ Qual. Safety (2019), </w:t>
      </w:r>
      <w:r w:rsidRPr="001A1F85">
        <w:t>10.1136/bmjqs-2018-009161</w:t>
      </w:r>
    </w:p>
    <w:p w14:paraId="722A3D94" w14:textId="685C0609" w:rsidR="00FF4640" w:rsidRPr="00FF4640" w:rsidRDefault="00FF4640" w:rsidP="00FE3F0D">
      <w:pPr>
        <w:spacing w:after="0"/>
        <w:ind w:left="720" w:hanging="720"/>
      </w:pPr>
      <w:r w:rsidRPr="001A1F85">
        <w:t>Dong et al., 2017</w:t>
      </w:r>
      <w:r w:rsidR="00B31DCF">
        <w:t xml:space="preserve">. </w:t>
      </w:r>
      <w:r w:rsidRPr="00FF4640">
        <w:t>T. Dong, J.F. </w:t>
      </w:r>
      <w:proofErr w:type="spellStart"/>
      <w:r w:rsidRPr="00FF4640">
        <w:t>Cursio</w:t>
      </w:r>
      <w:proofErr w:type="spellEnd"/>
      <w:r w:rsidRPr="00FF4640">
        <w:t>, S. Qadir, P.K. </w:t>
      </w:r>
      <w:proofErr w:type="spellStart"/>
      <w:r w:rsidRPr="00FF4640">
        <w:t>Lindenauer</w:t>
      </w:r>
      <w:proofErr w:type="spellEnd"/>
      <w:r w:rsidRPr="00FF4640">
        <w:t>, G.W. </w:t>
      </w:r>
      <w:proofErr w:type="spellStart"/>
      <w:r w:rsidRPr="00FF4640">
        <w:t>Ruhnke</w:t>
      </w:r>
      <w:proofErr w:type="spellEnd"/>
      <w:r w:rsidR="00B31DCF">
        <w:t xml:space="preserve">. </w:t>
      </w:r>
      <w:r w:rsidRPr="00FF4640">
        <w:rPr>
          <w:b/>
          <w:bCs/>
        </w:rPr>
        <w:t xml:space="preserve">Discharge disposition as an independent predictor of readmission among patients </w:t>
      </w:r>
      <w:proofErr w:type="spellStart"/>
      <w:r w:rsidRPr="00FF4640">
        <w:rPr>
          <w:b/>
          <w:bCs/>
        </w:rPr>
        <w:t>hospitalised</w:t>
      </w:r>
      <w:proofErr w:type="spellEnd"/>
      <w:r w:rsidRPr="00FF4640">
        <w:rPr>
          <w:b/>
          <w:bCs/>
        </w:rPr>
        <w:t xml:space="preserve"> for community-acquired pneumonia</w:t>
      </w:r>
      <w:r w:rsidR="00B31DCF">
        <w:rPr>
          <w:b/>
          <w:bCs/>
        </w:rPr>
        <w:t xml:space="preserve">. </w:t>
      </w:r>
      <w:r w:rsidRPr="00FF4640">
        <w:t>Int. J. Clin. Practice, 71 (3-4) (2017)</w:t>
      </w:r>
    </w:p>
    <w:p w14:paraId="2B1E33D8" w14:textId="24066623" w:rsidR="00FF4640" w:rsidRPr="00FF4640" w:rsidRDefault="00FF4640" w:rsidP="00FE3F0D">
      <w:pPr>
        <w:spacing w:after="0"/>
        <w:ind w:left="720" w:hanging="720"/>
      </w:pPr>
      <w:proofErr w:type="spellStart"/>
      <w:r w:rsidRPr="001A1F85">
        <w:t>Elixhauser</w:t>
      </w:r>
      <w:proofErr w:type="spellEnd"/>
      <w:r w:rsidRPr="001A1F85">
        <w:t xml:space="preserve"> et al., 2016</w:t>
      </w:r>
      <w:r w:rsidR="00B31DCF">
        <w:t xml:space="preserve">. </w:t>
      </w:r>
      <w:proofErr w:type="spellStart"/>
      <w:r w:rsidRPr="00FF4640">
        <w:t>Elixhauser</w:t>
      </w:r>
      <w:proofErr w:type="spellEnd"/>
      <w:r w:rsidRPr="00FF4640">
        <w:t xml:space="preserve">, A., Steiner, C., Harris, D. R., &amp; Coffey, R. M. (2016). Concept: </w:t>
      </w:r>
      <w:proofErr w:type="spellStart"/>
      <w:r w:rsidRPr="00FF4640">
        <w:t>Elixhauser</w:t>
      </w:r>
      <w:proofErr w:type="spellEnd"/>
      <w:r w:rsidRPr="00FF4640">
        <w:t xml:space="preserve"> comorbidity index. Retrieved from </w:t>
      </w:r>
      <w:r w:rsidRPr="001A1F85">
        <w:t>http://mchp-appserv.cpe.umanitoba.ca/viewConcept.php?printer=Y&amp;conceptID=1436</w:t>
      </w:r>
    </w:p>
    <w:p w14:paraId="10830924" w14:textId="6E5C3DC3" w:rsidR="00FF4640" w:rsidRPr="00FF4640" w:rsidRDefault="00FF4640" w:rsidP="00FE3F0D">
      <w:pPr>
        <w:spacing w:after="0"/>
        <w:ind w:left="720" w:hanging="720"/>
      </w:pPr>
      <w:r w:rsidRPr="001A1F85">
        <w:t>Feltner et al., 2014</w:t>
      </w:r>
      <w:r w:rsidR="00B31DCF">
        <w:t xml:space="preserve">. </w:t>
      </w:r>
      <w:r w:rsidRPr="00FF4640">
        <w:t>C. Feltner, C.D. Jones, C.W. Cene, Z. Zheng, C.A. Sueta, E.J.L. Coker-Schwimmer, D.E. Jonas</w:t>
      </w:r>
      <w:r w:rsidR="00B31DCF">
        <w:t xml:space="preserve">. </w:t>
      </w:r>
      <w:r w:rsidRPr="00FF4640">
        <w:rPr>
          <w:b/>
          <w:bCs/>
        </w:rPr>
        <w:t>Transitional care interventions to prevent readmissions for persons with heart failure: a systematic review and meta-analysis</w:t>
      </w:r>
      <w:r w:rsidR="00B31DCF">
        <w:rPr>
          <w:b/>
          <w:bCs/>
        </w:rPr>
        <w:t xml:space="preserve">. </w:t>
      </w:r>
      <w:r w:rsidRPr="00FF4640">
        <w:t>Ann. Intern. Med., 160 (11) (2014), pp. 774-784</w:t>
      </w:r>
    </w:p>
    <w:p w14:paraId="2269BD31" w14:textId="7792DA18" w:rsidR="00FF4640" w:rsidRPr="00FF4640" w:rsidRDefault="00FF4640" w:rsidP="00FE3F0D">
      <w:pPr>
        <w:spacing w:after="0"/>
        <w:ind w:left="720" w:hanging="720"/>
      </w:pPr>
      <w:r w:rsidRPr="001A1F85">
        <w:t>Genet et al., 2011</w:t>
      </w:r>
      <w:r w:rsidR="00B31DCF">
        <w:t xml:space="preserve">. </w:t>
      </w:r>
      <w:r w:rsidRPr="00FF4640">
        <w:t>N. Genet, W.G. Boerma, D.S. Kringos, A. Bouman, A.L. Francke, C. Fagerström, M.G. Melchiorre, C. Greco, W. Devillé</w:t>
      </w:r>
      <w:r w:rsidR="00B31DCF">
        <w:t xml:space="preserve">. </w:t>
      </w:r>
      <w:r w:rsidRPr="00FF4640">
        <w:rPr>
          <w:b/>
          <w:bCs/>
        </w:rPr>
        <w:t>Home care in Europe: a systematic literature review</w:t>
      </w:r>
      <w:r w:rsidR="00B31DCF">
        <w:rPr>
          <w:b/>
          <w:bCs/>
        </w:rPr>
        <w:t xml:space="preserve">. </w:t>
      </w:r>
      <w:r w:rsidRPr="00FF4640">
        <w:t>BMC health services research, 11 (2011), p. 207</w:t>
      </w:r>
      <w:r w:rsidR="00B31DCF">
        <w:t xml:space="preserve">. </w:t>
      </w:r>
      <w:r w:rsidRPr="001A1F85">
        <w:t>https://doi.org/10.1186/1472-6963-11-207</w:t>
      </w:r>
    </w:p>
    <w:p w14:paraId="0FB833AB" w14:textId="6F99EDA8" w:rsidR="00FF4640" w:rsidRPr="00FF4640" w:rsidRDefault="00FF4640" w:rsidP="00FE3F0D">
      <w:pPr>
        <w:spacing w:after="0"/>
        <w:ind w:left="720" w:hanging="720"/>
      </w:pPr>
      <w:r w:rsidRPr="001A1F85">
        <w:t>Gonzalez et al., 2013</w:t>
      </w:r>
      <w:r w:rsidR="00B31DCF">
        <w:t xml:space="preserve">. </w:t>
      </w:r>
      <w:r w:rsidRPr="00FF4640">
        <w:t>A. Gonzalez, T. Shih, J.B. </w:t>
      </w:r>
      <w:proofErr w:type="spellStart"/>
      <w:r w:rsidRPr="00FF4640">
        <w:t>Dimick</w:t>
      </w:r>
      <w:proofErr w:type="spellEnd"/>
      <w:r w:rsidRPr="00FF4640">
        <w:t>, A.A. </w:t>
      </w:r>
      <w:proofErr w:type="spellStart"/>
      <w:r w:rsidRPr="00FF4640">
        <w:t>Ghaferi</w:t>
      </w:r>
      <w:proofErr w:type="spellEnd"/>
      <w:r w:rsidR="00B31DCF">
        <w:t xml:space="preserve">. </w:t>
      </w:r>
      <w:r w:rsidRPr="00FF4640">
        <w:rPr>
          <w:b/>
          <w:bCs/>
        </w:rPr>
        <w:t>Does same-hospital readmission rate correlate with all-hospital readmission rate?</w:t>
      </w:r>
      <w:r w:rsidR="00B31DCF">
        <w:rPr>
          <w:b/>
          <w:bCs/>
        </w:rPr>
        <w:t xml:space="preserve"> </w:t>
      </w:r>
      <w:r w:rsidRPr="00FF4640">
        <w:t>J. Am. Coll. Surg., 217 (3) (2013), </w:t>
      </w:r>
      <w:r w:rsidRPr="001A1F85">
        <w:t>10.1016/j.jamcollsurg.2013.07.240</w:t>
      </w:r>
      <w:r w:rsidR="00B31DCF">
        <w:t xml:space="preserve"> </w:t>
      </w:r>
      <w:r w:rsidRPr="00FF4640">
        <w:t>Supplement, S105</w:t>
      </w:r>
    </w:p>
    <w:p w14:paraId="11FF1634" w14:textId="15D642F4" w:rsidR="00FF4640" w:rsidRPr="00FF4640" w:rsidRDefault="00FF4640" w:rsidP="00FE3F0D">
      <w:pPr>
        <w:spacing w:after="0"/>
        <w:ind w:left="720" w:hanging="720"/>
      </w:pPr>
      <w:r w:rsidRPr="001A1F85">
        <w:t>Guo and Fraser, 2015</w:t>
      </w:r>
      <w:r w:rsidR="00B31DCF">
        <w:t xml:space="preserve">. </w:t>
      </w:r>
      <w:r w:rsidRPr="00FF4640">
        <w:t>S. Guo, M. Fraser</w:t>
      </w:r>
      <w:r w:rsidR="00B31DCF">
        <w:t xml:space="preserve">. </w:t>
      </w:r>
      <w:r w:rsidRPr="00FF4640">
        <w:rPr>
          <w:b/>
          <w:bCs/>
        </w:rPr>
        <w:t>Propensity Score Analysis: Statistical Methods and Applications</w:t>
      </w:r>
      <w:r w:rsidR="00B31DCF">
        <w:rPr>
          <w:b/>
          <w:bCs/>
        </w:rPr>
        <w:t xml:space="preserve">. </w:t>
      </w:r>
      <w:r w:rsidRPr="00FF4640">
        <w:t>(2nd ed.), Sage publications, Thousand Oaks, CA (2015)</w:t>
      </w:r>
    </w:p>
    <w:p w14:paraId="379B7C0A" w14:textId="446752FA" w:rsidR="00FF4640" w:rsidRPr="00FF4640" w:rsidRDefault="00FF4640" w:rsidP="00FE3F0D">
      <w:pPr>
        <w:spacing w:after="0"/>
        <w:ind w:left="720" w:hanging="720"/>
      </w:pPr>
      <w:r w:rsidRPr="001A1F85">
        <w:t>Hansen et al., 2011</w:t>
      </w:r>
      <w:r w:rsidR="00B31DCF">
        <w:t xml:space="preserve">. </w:t>
      </w:r>
      <w:r w:rsidRPr="00FF4640">
        <w:t>L.O. Hansen, R.S. Young, K. Hinami, A. Leung, M.V. Williams</w:t>
      </w:r>
      <w:r w:rsidR="00B31DCF">
        <w:t xml:space="preserve">. </w:t>
      </w:r>
      <w:r w:rsidRPr="00FF4640">
        <w:rPr>
          <w:b/>
          <w:bCs/>
        </w:rPr>
        <w:t xml:space="preserve">Interventions to reduce 30-day rehospitalization: a systematic </w:t>
      </w:r>
      <w:r w:rsidR="00B31DCF">
        <w:rPr>
          <w:b/>
          <w:bCs/>
        </w:rPr>
        <w:t xml:space="preserve">review. </w:t>
      </w:r>
      <w:r w:rsidRPr="00FF4640">
        <w:t>Ann. Intern. Med., 155 (8) (2011), pp. 520-528</w:t>
      </w:r>
    </w:p>
    <w:p w14:paraId="480AAC54" w14:textId="11645AB6" w:rsidR="00FF4640" w:rsidRPr="00FF4640" w:rsidRDefault="00FF4640" w:rsidP="00FE3F0D">
      <w:pPr>
        <w:spacing w:after="0"/>
        <w:ind w:left="720" w:hanging="720"/>
      </w:pPr>
      <w:r w:rsidRPr="001A1F85">
        <w:t>Henry, 2019</w:t>
      </w:r>
      <w:r w:rsidR="00B31DCF">
        <w:t xml:space="preserve">. </w:t>
      </w:r>
      <w:r w:rsidRPr="00FF4640">
        <w:t>Henry J, Kaiser Family Foundation. (2019). A Dozen Facts Abou Medicare Advantage in 2019. Retrieved from </w:t>
      </w:r>
      <w:r w:rsidRPr="001A1F85">
        <w:t>https://www.kff.org/medicare/issue-brief/a-dozen-facts-about-medicare-advantage-in-2019/</w:t>
      </w:r>
    </w:p>
    <w:p w14:paraId="6617B963" w14:textId="0005D8D5" w:rsidR="00FF4640" w:rsidRPr="00FF4640" w:rsidRDefault="00FF4640" w:rsidP="00FE3F0D">
      <w:pPr>
        <w:spacing w:after="0"/>
        <w:ind w:left="720" w:hanging="720"/>
      </w:pPr>
      <w:r w:rsidRPr="001A1F85">
        <w:t>Jones et al., 2018</w:t>
      </w:r>
      <w:r w:rsidR="00B31DCF">
        <w:t xml:space="preserve">. </w:t>
      </w:r>
      <w:r w:rsidRPr="00FF4640">
        <w:t>A. Jones, C. Schumacher, S.E. Bronskill, M.A. Campitelli, J.W. Poss, H. Seow, A.P. Costa</w:t>
      </w:r>
      <w:r w:rsidR="00B31DCF">
        <w:t xml:space="preserve">. </w:t>
      </w:r>
      <w:r w:rsidRPr="00FF4640">
        <w:rPr>
          <w:b/>
          <w:bCs/>
        </w:rPr>
        <w:t>The association between home care visits and same-day emergency department use: a case-crossover study</w:t>
      </w:r>
      <w:r w:rsidR="00B31DCF">
        <w:rPr>
          <w:b/>
          <w:bCs/>
        </w:rPr>
        <w:t xml:space="preserve">. </w:t>
      </w:r>
      <w:r w:rsidRPr="00FF4640">
        <w:t>CMAJ, 190 (17) (2018), pp. E525-E531, </w:t>
      </w:r>
      <w:r w:rsidRPr="001A1F85">
        <w:t>10.1503/cmaj.170892</w:t>
      </w:r>
    </w:p>
    <w:p w14:paraId="55B8C88C" w14:textId="3308098B" w:rsidR="00FF4640" w:rsidRPr="00FF4640" w:rsidRDefault="00FF4640" w:rsidP="00FE3F0D">
      <w:pPr>
        <w:spacing w:after="0"/>
        <w:ind w:left="720" w:hanging="720"/>
      </w:pPr>
      <w:r w:rsidRPr="001A1F85">
        <w:t>Jones et al., 2017</w:t>
      </w:r>
      <w:r w:rsidR="00B31DCF">
        <w:t xml:space="preserve">. </w:t>
      </w:r>
      <w:r w:rsidRPr="00FF4640">
        <w:t>C.D. Jones, K.H. Bowles, A. Richard, R.S. Boxer, F.A. </w:t>
      </w:r>
      <w:proofErr w:type="spellStart"/>
      <w:r w:rsidRPr="00FF4640">
        <w:t>Masoudi</w:t>
      </w:r>
      <w:proofErr w:type="spellEnd"/>
      <w:r w:rsidR="00B31DCF">
        <w:t xml:space="preserve">. </w:t>
      </w:r>
      <w:r w:rsidRPr="00FF4640">
        <w:rPr>
          <w:b/>
          <w:bCs/>
        </w:rPr>
        <w:t>High-value home health care for patients with heart failure: an opportunity to optimize transitions from hospital to home</w:t>
      </w:r>
      <w:r w:rsidR="00B31DCF">
        <w:rPr>
          <w:b/>
          <w:bCs/>
        </w:rPr>
        <w:t xml:space="preserve">. </w:t>
      </w:r>
      <w:r w:rsidRPr="00FF4640">
        <w:t>Circulation, 10 (5) (2017), pp. 1-5, </w:t>
      </w:r>
      <w:r w:rsidRPr="001A1F85">
        <w:t>10.1161/CIRCOUTCOMES.117.003676</w:t>
      </w:r>
    </w:p>
    <w:p w14:paraId="5201BB86" w14:textId="4C9E627E" w:rsidR="00FF4640" w:rsidRPr="00FF4640" w:rsidRDefault="00FF4640" w:rsidP="00FE3F0D">
      <w:pPr>
        <w:spacing w:after="0"/>
        <w:ind w:left="720" w:hanging="720"/>
      </w:pPr>
      <w:r w:rsidRPr="001A1F85">
        <w:t>Kantor, 2006</w:t>
      </w:r>
      <w:r w:rsidR="00B31DCF">
        <w:t xml:space="preserve">. </w:t>
      </w:r>
      <w:r w:rsidRPr="00FF4640">
        <w:t>D. Kantor</w:t>
      </w:r>
      <w:r w:rsidR="00B31DCF">
        <w:t xml:space="preserve">. </w:t>
      </w:r>
      <w:r w:rsidRPr="00FF4640">
        <w:rPr>
          <w:b/>
          <w:bCs/>
        </w:rPr>
        <w:t xml:space="preserve">MAHAPICK: Stata module to select matching observations based on a </w:t>
      </w:r>
      <w:proofErr w:type="spellStart"/>
      <w:r w:rsidRPr="00FF4640">
        <w:rPr>
          <w:b/>
          <w:bCs/>
        </w:rPr>
        <w:t>Mahalanobis</w:t>
      </w:r>
      <w:proofErr w:type="spellEnd"/>
      <w:r w:rsidRPr="00FF4640">
        <w:rPr>
          <w:b/>
          <w:bCs/>
        </w:rPr>
        <w:t xml:space="preserve"> distance measure (Version Revised 15 Nov 2012)</w:t>
      </w:r>
      <w:r w:rsidR="00B31DCF">
        <w:rPr>
          <w:b/>
          <w:bCs/>
        </w:rPr>
        <w:t xml:space="preserve">. </w:t>
      </w:r>
      <w:r w:rsidRPr="00FF4640">
        <w:t>Boston College Depart. Econ. (2006)</w:t>
      </w:r>
      <w:r w:rsidR="00B31DCF">
        <w:t xml:space="preserve"> </w:t>
      </w:r>
      <w:r w:rsidRPr="00FF4640">
        <w:t>S456703</w:t>
      </w:r>
    </w:p>
    <w:p w14:paraId="35593605" w14:textId="02FA5465" w:rsidR="00FF4640" w:rsidRPr="00FF4640" w:rsidRDefault="00FF4640" w:rsidP="00FE3F0D">
      <w:pPr>
        <w:spacing w:after="0"/>
        <w:ind w:left="720" w:hanging="720"/>
      </w:pPr>
      <w:proofErr w:type="spellStart"/>
      <w:r w:rsidRPr="001A1F85">
        <w:t>Kodner</w:t>
      </w:r>
      <w:proofErr w:type="spellEnd"/>
      <w:r w:rsidRPr="001A1F85">
        <w:t xml:space="preserve"> and </w:t>
      </w:r>
      <w:proofErr w:type="spellStart"/>
      <w:r w:rsidRPr="001A1F85">
        <w:t>Spreeuwenberg</w:t>
      </w:r>
      <w:proofErr w:type="spellEnd"/>
      <w:r w:rsidRPr="001A1F85">
        <w:t>, 2002</w:t>
      </w:r>
      <w:r w:rsidR="00B31DCF">
        <w:t xml:space="preserve">. </w:t>
      </w:r>
      <w:r w:rsidRPr="00FF4640">
        <w:t>D.L. </w:t>
      </w:r>
      <w:proofErr w:type="spellStart"/>
      <w:r w:rsidRPr="00FF4640">
        <w:t>Kodner</w:t>
      </w:r>
      <w:proofErr w:type="spellEnd"/>
      <w:r w:rsidRPr="00FF4640">
        <w:t>, C. </w:t>
      </w:r>
      <w:proofErr w:type="spellStart"/>
      <w:r w:rsidRPr="00FF4640">
        <w:t>Spreeuwenberg</w:t>
      </w:r>
      <w:proofErr w:type="spellEnd"/>
      <w:r w:rsidR="00B31DCF">
        <w:t xml:space="preserve">. </w:t>
      </w:r>
      <w:r w:rsidRPr="00FF4640">
        <w:rPr>
          <w:b/>
          <w:bCs/>
        </w:rPr>
        <w:t>Integrated care: meaning, logic, applications, and implications-a discussion paper</w:t>
      </w:r>
      <w:r w:rsidR="00B31DCF">
        <w:rPr>
          <w:b/>
          <w:bCs/>
        </w:rPr>
        <w:t xml:space="preserve">. </w:t>
      </w:r>
      <w:r w:rsidRPr="00FF4640">
        <w:t xml:space="preserve">Int. J. </w:t>
      </w:r>
      <w:proofErr w:type="spellStart"/>
      <w:r w:rsidRPr="00FF4640">
        <w:t>Integr</w:t>
      </w:r>
      <w:proofErr w:type="spellEnd"/>
      <w:r w:rsidRPr="00FF4640">
        <w:t>. Care, 2 (14) (2002), pp. 1-6</w:t>
      </w:r>
    </w:p>
    <w:p w14:paraId="1FF25244" w14:textId="24185E9C" w:rsidR="00FF4640" w:rsidRPr="00FF4640" w:rsidRDefault="00FF4640" w:rsidP="00FE3F0D">
      <w:pPr>
        <w:spacing w:after="0"/>
        <w:ind w:left="720" w:hanging="720"/>
      </w:pPr>
      <w:r w:rsidRPr="001A1F85">
        <w:t>Landers et al., 2016</w:t>
      </w:r>
      <w:r w:rsidR="00B31DCF">
        <w:t xml:space="preserve">. </w:t>
      </w:r>
      <w:r w:rsidRPr="00FF4640">
        <w:t xml:space="preserve">Landers, S., Madigan, E., </w:t>
      </w:r>
      <w:proofErr w:type="spellStart"/>
      <w:r w:rsidRPr="00FF4640">
        <w:t>Leff</w:t>
      </w:r>
      <w:proofErr w:type="spellEnd"/>
      <w:r w:rsidRPr="00FF4640">
        <w:t xml:space="preserve">, B., Rosati, R. J., McCann, B. A., </w:t>
      </w:r>
      <w:proofErr w:type="spellStart"/>
      <w:r w:rsidRPr="00FF4640">
        <w:t>Hornbake</w:t>
      </w:r>
      <w:proofErr w:type="spellEnd"/>
      <w:r w:rsidRPr="00FF4640">
        <w:t>, R., . . . Breese, E. (2016). The future of home health care: a strategic framework for optimizing value. </w:t>
      </w:r>
      <w:r w:rsidRPr="00FF4640">
        <w:rPr>
          <w:i/>
          <w:iCs/>
        </w:rPr>
        <w:t xml:space="preserve">Home Health Care </w:t>
      </w:r>
      <w:proofErr w:type="spellStart"/>
      <w:r w:rsidRPr="00FF4640">
        <w:rPr>
          <w:i/>
          <w:iCs/>
        </w:rPr>
        <w:t>Manag</w:t>
      </w:r>
      <w:proofErr w:type="spellEnd"/>
      <w:r w:rsidRPr="00FF4640">
        <w:rPr>
          <w:i/>
          <w:iCs/>
        </w:rPr>
        <w:t xml:space="preserve"> </w:t>
      </w:r>
      <w:proofErr w:type="spellStart"/>
      <w:r w:rsidRPr="00FF4640">
        <w:rPr>
          <w:i/>
          <w:iCs/>
        </w:rPr>
        <w:t>Pract</w:t>
      </w:r>
      <w:proofErr w:type="spellEnd"/>
      <w:r w:rsidRPr="00FF4640">
        <w:rPr>
          <w:i/>
          <w:iCs/>
        </w:rPr>
        <w:t>,</w:t>
      </w:r>
      <w:r w:rsidRPr="00FF4640">
        <w:t> 28(4), 262-278. doi:10.1177/1084822316666368</w:t>
      </w:r>
    </w:p>
    <w:p w14:paraId="42F03152" w14:textId="624141EB" w:rsidR="00FF4640" w:rsidRPr="00FF4640" w:rsidRDefault="00FF4640" w:rsidP="00FE3F0D">
      <w:pPr>
        <w:spacing w:after="0"/>
        <w:ind w:left="720" w:hanging="720"/>
      </w:pPr>
      <w:r w:rsidRPr="001A1F85">
        <w:t>Kristensen et al., 2015</w:t>
      </w:r>
      <w:r w:rsidR="00B31DCF">
        <w:t xml:space="preserve">. </w:t>
      </w:r>
      <w:r w:rsidRPr="00FF4640">
        <w:t>SR Kristensen, M </w:t>
      </w:r>
      <w:proofErr w:type="spellStart"/>
      <w:r w:rsidRPr="00FF4640">
        <w:t>Bech</w:t>
      </w:r>
      <w:proofErr w:type="spellEnd"/>
      <w:r w:rsidRPr="00FF4640">
        <w:t>, W Quentin</w:t>
      </w:r>
      <w:r w:rsidR="00B31DCF">
        <w:t xml:space="preserve">. </w:t>
      </w:r>
      <w:r w:rsidRPr="00FF4640">
        <w:t xml:space="preserve">A roadmap for comparing readmission policies with application to Denmark, England, </w:t>
      </w:r>
      <w:proofErr w:type="gramStart"/>
      <w:r w:rsidRPr="00FF4640">
        <w:t>Germany</w:t>
      </w:r>
      <w:proofErr w:type="gramEnd"/>
      <w:r w:rsidRPr="00FF4640">
        <w:t xml:space="preserve"> and the United States, 119, Health Policy (Amsterdam, Netherlands (2015 Mar), pp. 264-273, </w:t>
      </w:r>
      <w:r w:rsidRPr="001A1F85">
        <w:t>10.1016/j.healthpol.2014.12.009</w:t>
      </w:r>
    </w:p>
    <w:p w14:paraId="251F90A0" w14:textId="0FE5DEC8" w:rsidR="00FF4640" w:rsidRPr="00FF4640" w:rsidRDefault="00FF4640" w:rsidP="00FE3F0D">
      <w:pPr>
        <w:spacing w:after="0"/>
        <w:ind w:left="720" w:hanging="720"/>
      </w:pPr>
      <w:proofErr w:type="spellStart"/>
      <w:r w:rsidRPr="001A1F85">
        <w:t>Leppin</w:t>
      </w:r>
      <w:proofErr w:type="spellEnd"/>
      <w:r w:rsidRPr="001A1F85">
        <w:t xml:space="preserve"> et al., 2014</w:t>
      </w:r>
      <w:r w:rsidR="00B31DCF">
        <w:t xml:space="preserve">. </w:t>
      </w:r>
      <w:r w:rsidRPr="00FF4640">
        <w:t>A.L. Leppin, M.R. Gionfriddo, M. Kessler, J.P. Brito, F.S. Mair, K. Gallacher, V.M. Montori</w:t>
      </w:r>
      <w:r w:rsidR="00B31DCF">
        <w:t xml:space="preserve">. </w:t>
      </w:r>
      <w:r w:rsidRPr="00FF4640">
        <w:rPr>
          <w:b/>
          <w:bCs/>
        </w:rPr>
        <w:t>Preventing 30-day hospital readmissions: a systematic review and meta-analysis of randomized trials</w:t>
      </w:r>
      <w:r w:rsidR="00B31DCF">
        <w:rPr>
          <w:b/>
          <w:bCs/>
        </w:rPr>
        <w:t xml:space="preserve">. </w:t>
      </w:r>
      <w:r w:rsidRPr="00FF4640">
        <w:t>JAMA Intern. Med., 174 (7) (2014), pp. 1095-1107, </w:t>
      </w:r>
      <w:r w:rsidRPr="001A1F85">
        <w:t>10.1001/jamainternmed.2014.1608</w:t>
      </w:r>
    </w:p>
    <w:p w14:paraId="1CBFBAD6" w14:textId="6A224A19" w:rsidR="00FF4640" w:rsidRPr="00FF4640" w:rsidRDefault="00FF4640" w:rsidP="00FE3F0D">
      <w:pPr>
        <w:spacing w:after="0"/>
        <w:ind w:left="720" w:hanging="720"/>
      </w:pPr>
      <w:proofErr w:type="spellStart"/>
      <w:r w:rsidRPr="001A1F85">
        <w:t>Maliakkal</w:t>
      </w:r>
      <w:proofErr w:type="spellEnd"/>
      <w:r w:rsidRPr="001A1F85">
        <w:t xml:space="preserve"> and Sun, 2014</w:t>
      </w:r>
      <w:r w:rsidR="00B31DCF">
        <w:t xml:space="preserve">. </w:t>
      </w:r>
      <w:proofErr w:type="spellStart"/>
      <w:r w:rsidRPr="00FF4640">
        <w:t>Maliakkal</w:t>
      </w:r>
      <w:proofErr w:type="spellEnd"/>
      <w:r w:rsidRPr="00FF4640">
        <w:t>, A. V., &amp; Sun, A. Z. (2014). Home care program reduces hospital readmissions in patients with Congestive Heart Failure and improves other associated indicators of health. </w:t>
      </w:r>
      <w:r w:rsidRPr="00FF4640">
        <w:rPr>
          <w:i/>
          <w:iCs/>
        </w:rPr>
        <w:t>Home Health Care Management &amp; Practice,</w:t>
      </w:r>
      <w:r w:rsidRPr="00FF4640">
        <w:t> 26(4), 191-197. doi:10.1177/1084822314527763</w:t>
      </w:r>
    </w:p>
    <w:p w14:paraId="531C5598" w14:textId="0B20ED86" w:rsidR="00FF4640" w:rsidRPr="00FF4640" w:rsidRDefault="00FF4640" w:rsidP="00FE3F0D">
      <w:pPr>
        <w:spacing w:after="0"/>
        <w:ind w:left="720" w:hanging="720"/>
      </w:pPr>
      <w:r w:rsidRPr="001A1F85">
        <w:t>Martin et al., 2011</w:t>
      </w:r>
      <w:r w:rsidR="00B31DCF">
        <w:t xml:space="preserve">. </w:t>
      </w:r>
      <w:r w:rsidRPr="00FF4640">
        <w:t>R.C.G. Martin, R. Brown, L. Puffer, S. Block, G. Callender, A. Quillo, K.M. McMasters</w:t>
      </w:r>
      <w:r w:rsidR="00B31DCF">
        <w:t xml:space="preserve">. </w:t>
      </w:r>
      <w:r w:rsidRPr="00FF4640">
        <w:rPr>
          <w:b/>
          <w:bCs/>
        </w:rPr>
        <w:t xml:space="preserve">Readmission rates after abdominal surgery: the role of surgeon, primary caregiver, </w:t>
      </w:r>
      <w:proofErr w:type="spellStart"/>
      <w:r w:rsidRPr="00FF4640">
        <w:rPr>
          <w:b/>
          <w:bCs/>
        </w:rPr>
        <w:t>homehealth</w:t>
      </w:r>
      <w:proofErr w:type="spellEnd"/>
      <w:r w:rsidRPr="00FF4640">
        <w:rPr>
          <w:b/>
          <w:bCs/>
        </w:rPr>
        <w:t>, and subacute rehab</w:t>
      </w:r>
      <w:r w:rsidR="00B31DCF">
        <w:rPr>
          <w:b/>
          <w:bCs/>
        </w:rPr>
        <w:t xml:space="preserve">. </w:t>
      </w:r>
      <w:r w:rsidRPr="00FF4640">
        <w:t>Ann. Surg., 254 (4) (2011), pp. 591-597</w:t>
      </w:r>
    </w:p>
    <w:p w14:paraId="24E05F58" w14:textId="0D3FEB65" w:rsidR="00FF4640" w:rsidRPr="00FF4640" w:rsidRDefault="00FF4640" w:rsidP="00FE3F0D">
      <w:pPr>
        <w:spacing w:after="0"/>
        <w:ind w:left="720" w:hanging="720"/>
      </w:pPr>
      <w:proofErr w:type="spellStart"/>
      <w:r w:rsidRPr="001A1F85">
        <w:t>Meleis</w:t>
      </w:r>
      <w:proofErr w:type="spellEnd"/>
      <w:r w:rsidRPr="001A1F85">
        <w:t xml:space="preserve"> et al., 2000</w:t>
      </w:r>
      <w:r w:rsidR="00B31DCF">
        <w:t xml:space="preserve">. </w:t>
      </w:r>
      <w:r w:rsidRPr="00FF4640">
        <w:t>A.I. </w:t>
      </w:r>
      <w:proofErr w:type="spellStart"/>
      <w:r w:rsidRPr="00FF4640">
        <w:t>Meleis</w:t>
      </w:r>
      <w:proofErr w:type="spellEnd"/>
      <w:r w:rsidRPr="00FF4640">
        <w:t>, L.M. Sawyer, E. </w:t>
      </w:r>
      <w:proofErr w:type="spellStart"/>
      <w:r w:rsidRPr="00FF4640">
        <w:t>Im</w:t>
      </w:r>
      <w:proofErr w:type="spellEnd"/>
      <w:r w:rsidRPr="00FF4640">
        <w:t>, D.K. </w:t>
      </w:r>
      <w:proofErr w:type="spellStart"/>
      <w:r w:rsidRPr="00FF4640">
        <w:t>Hilfinger</w:t>
      </w:r>
      <w:proofErr w:type="spellEnd"/>
      <w:r w:rsidRPr="00FF4640">
        <w:t xml:space="preserve"> </w:t>
      </w:r>
      <w:proofErr w:type="spellStart"/>
      <w:r w:rsidRPr="00FF4640">
        <w:t>Messias</w:t>
      </w:r>
      <w:proofErr w:type="spellEnd"/>
      <w:r w:rsidRPr="00FF4640">
        <w:t>, K. Schumacher</w:t>
      </w:r>
      <w:r w:rsidR="00B31DCF">
        <w:t xml:space="preserve">. </w:t>
      </w:r>
      <w:r w:rsidRPr="00FF4640">
        <w:rPr>
          <w:b/>
          <w:bCs/>
        </w:rPr>
        <w:t>Experiencing transitions: an emerging middle-range theory</w:t>
      </w:r>
      <w:r w:rsidR="00B31DCF">
        <w:rPr>
          <w:b/>
          <w:bCs/>
        </w:rPr>
        <w:t xml:space="preserve">. </w:t>
      </w:r>
      <w:r w:rsidRPr="00FF4640">
        <w:t xml:space="preserve">Adv. </w:t>
      </w:r>
      <w:proofErr w:type="spellStart"/>
      <w:r w:rsidRPr="00FF4640">
        <w:t>Nurs</w:t>
      </w:r>
      <w:proofErr w:type="spellEnd"/>
      <w:r w:rsidRPr="00FF4640">
        <w:t>. Sci., 23 (1) (2000), pp. 12-28</w:t>
      </w:r>
    </w:p>
    <w:p w14:paraId="1D26FDAD" w14:textId="32CB27A1" w:rsidR="00FF4640" w:rsidRPr="00FF4640" w:rsidRDefault="00FF4640" w:rsidP="00FE3F0D">
      <w:pPr>
        <w:spacing w:after="0"/>
        <w:ind w:left="720" w:hanging="720"/>
      </w:pPr>
      <w:r w:rsidRPr="001A1F85">
        <w:t>Naylor et al., 2004</w:t>
      </w:r>
      <w:r w:rsidR="00B31DCF">
        <w:t xml:space="preserve">. </w:t>
      </w:r>
      <w:r w:rsidRPr="00FF4640">
        <w:t>M.D. Naylor, D.A. Brooten, R.L. Campbell, G. Maislin, K.M. McCauley, J.S. Schwartz</w:t>
      </w:r>
      <w:r w:rsidR="00B31DCF">
        <w:t xml:space="preserve">. </w:t>
      </w:r>
      <w:r w:rsidRPr="00FF4640">
        <w:rPr>
          <w:b/>
          <w:bCs/>
        </w:rPr>
        <w:t>Transitional care of older adults hospitalized with heart failure: A randomized controlled trial</w:t>
      </w:r>
      <w:r w:rsidR="00B31DCF">
        <w:rPr>
          <w:b/>
          <w:bCs/>
        </w:rPr>
        <w:t xml:space="preserve">. </w:t>
      </w:r>
      <w:r w:rsidRPr="00FF4640">
        <w:t xml:space="preserve">J. Am. </w:t>
      </w:r>
      <w:proofErr w:type="spellStart"/>
      <w:r w:rsidRPr="00FF4640">
        <w:t>Geriatr</w:t>
      </w:r>
      <w:proofErr w:type="spellEnd"/>
      <w:r w:rsidRPr="00FF4640">
        <w:t>. Soc., 52 (5) (2004), pp. 675-684</w:t>
      </w:r>
    </w:p>
    <w:p w14:paraId="2582592C" w14:textId="155A6DD0" w:rsidR="00FF4640" w:rsidRPr="00FF4640" w:rsidRDefault="00FF4640" w:rsidP="00FE3F0D">
      <w:pPr>
        <w:spacing w:after="0"/>
        <w:ind w:left="720" w:hanging="720"/>
      </w:pPr>
      <w:r w:rsidRPr="001A1F85">
        <w:t>Nelson and Pulley, 2015</w:t>
      </w:r>
      <w:r w:rsidR="00B31DCF">
        <w:t xml:space="preserve">. </w:t>
      </w:r>
      <w:r w:rsidRPr="00FF4640">
        <w:t>J.M. Nelson, A.L. Pulley</w:t>
      </w:r>
      <w:r w:rsidR="00B31DCF">
        <w:t xml:space="preserve">. </w:t>
      </w:r>
      <w:r w:rsidRPr="00FF4640">
        <w:rPr>
          <w:b/>
          <w:bCs/>
        </w:rPr>
        <w:t xml:space="preserve">Transitional care can reduce hospital readmissions: A bundle of </w:t>
      </w:r>
      <w:proofErr w:type="spellStart"/>
      <w:r w:rsidRPr="00FF4640">
        <w:rPr>
          <w:b/>
          <w:bCs/>
        </w:rPr>
        <w:t>actvities</w:t>
      </w:r>
      <w:proofErr w:type="spellEnd"/>
      <w:r w:rsidRPr="00FF4640">
        <w:rPr>
          <w:b/>
          <w:bCs/>
        </w:rPr>
        <w:t xml:space="preserve"> linked to transitional care principles can reduce both short-and </w:t>
      </w:r>
      <w:proofErr w:type="spellStart"/>
      <w:r w:rsidRPr="00FF4640">
        <w:rPr>
          <w:b/>
          <w:bCs/>
        </w:rPr>
        <w:t>lont</w:t>
      </w:r>
      <w:proofErr w:type="spellEnd"/>
      <w:r w:rsidRPr="00FF4640">
        <w:rPr>
          <w:b/>
          <w:bCs/>
        </w:rPr>
        <w:t>-term readmission risk</w:t>
      </w:r>
      <w:r w:rsidR="00B31DCF">
        <w:rPr>
          <w:b/>
          <w:bCs/>
        </w:rPr>
        <w:t xml:space="preserve">. </w:t>
      </w:r>
      <w:r w:rsidRPr="00FF4640">
        <w:t xml:space="preserve">American </w:t>
      </w:r>
      <w:proofErr w:type="spellStart"/>
      <w:r w:rsidRPr="00FF4640">
        <w:t>Nurs</w:t>
      </w:r>
      <w:proofErr w:type="spellEnd"/>
      <w:r w:rsidRPr="00FF4640">
        <w:t>. Today, 10 (4) (2015), pp. 1-8</w:t>
      </w:r>
    </w:p>
    <w:p w14:paraId="73F0352C" w14:textId="0FB850A8" w:rsidR="00FF4640" w:rsidRPr="00FF4640" w:rsidRDefault="00FF4640" w:rsidP="00FE3F0D">
      <w:pPr>
        <w:spacing w:after="0"/>
        <w:ind w:left="720" w:hanging="720"/>
      </w:pPr>
      <w:r w:rsidRPr="001A1F85">
        <w:t>O'Connor et al., 2015</w:t>
      </w:r>
      <w:r w:rsidR="00B31DCF">
        <w:t xml:space="preserve">. </w:t>
      </w:r>
      <w:r w:rsidRPr="00FF4640">
        <w:t>M. O'Connor, A. Hanlon, M.D. Naylor, K.H. Bowles</w:t>
      </w:r>
      <w:r w:rsidR="00B31DCF">
        <w:t xml:space="preserve">. </w:t>
      </w:r>
      <w:r w:rsidRPr="00FF4640">
        <w:rPr>
          <w:b/>
          <w:bCs/>
        </w:rPr>
        <w:t xml:space="preserve">The impact of home health length of stay and number of skilled nursing visits on hospitalization among </w:t>
      </w:r>
      <w:proofErr w:type="spellStart"/>
      <w:r w:rsidRPr="00FF4640">
        <w:rPr>
          <w:b/>
          <w:bCs/>
        </w:rPr>
        <w:t>medicare</w:t>
      </w:r>
      <w:proofErr w:type="spellEnd"/>
      <w:r w:rsidRPr="00FF4640">
        <w:rPr>
          <w:b/>
          <w:bCs/>
        </w:rPr>
        <w:t>-reimbursed skilled home health beneficiaries</w:t>
      </w:r>
      <w:r w:rsidR="00B31DCF">
        <w:rPr>
          <w:b/>
          <w:bCs/>
        </w:rPr>
        <w:t xml:space="preserve">. </w:t>
      </w:r>
      <w:r w:rsidRPr="00FF4640">
        <w:t xml:space="preserve">Res. </w:t>
      </w:r>
      <w:proofErr w:type="spellStart"/>
      <w:r w:rsidRPr="00FF4640">
        <w:t>Nurs</w:t>
      </w:r>
      <w:proofErr w:type="spellEnd"/>
      <w:r w:rsidRPr="00FF4640">
        <w:t>. Health, 38 (4) (2015), pp. 257-267, </w:t>
      </w:r>
      <w:r w:rsidRPr="001A1F85">
        <w:t>10.1002/nur.21665</w:t>
      </w:r>
    </w:p>
    <w:p w14:paraId="2878C713" w14:textId="4BD3CA11" w:rsidR="00FF4640" w:rsidRPr="00FF4640" w:rsidRDefault="00FF4640" w:rsidP="00FE3F0D">
      <w:pPr>
        <w:spacing w:after="0"/>
        <w:ind w:left="720" w:hanging="720"/>
      </w:pPr>
      <w:r w:rsidRPr="001A1F85">
        <w:t>Pittman et al., 2014</w:t>
      </w:r>
      <w:r w:rsidR="00B31DCF">
        <w:t xml:space="preserve">. </w:t>
      </w:r>
      <w:r w:rsidRPr="00FF4640">
        <w:t>P. Pittman, K. Horton, M. Terry, E. Bass</w:t>
      </w:r>
      <w:r w:rsidR="00B31DCF">
        <w:t xml:space="preserve">. </w:t>
      </w:r>
      <w:r w:rsidRPr="00FF4640">
        <w:rPr>
          <w:b/>
          <w:bCs/>
        </w:rPr>
        <w:t>Residency programs for home health and hospice nurses: Prevalence, barriers, and potential policy responses</w:t>
      </w:r>
      <w:r w:rsidR="00B31DCF">
        <w:rPr>
          <w:b/>
          <w:bCs/>
        </w:rPr>
        <w:t xml:space="preserve">. </w:t>
      </w:r>
      <w:r w:rsidRPr="00FF4640">
        <w:t xml:space="preserve">Home Health Care Manage. </w:t>
      </w:r>
      <w:proofErr w:type="spellStart"/>
      <w:r w:rsidRPr="00FF4640">
        <w:t>Pract</w:t>
      </w:r>
      <w:proofErr w:type="spellEnd"/>
      <w:r w:rsidRPr="00FF4640">
        <w:t>., 26 (2) (2014), pp. 86-91</w:t>
      </w:r>
      <w:r w:rsidR="00B31DCF">
        <w:t xml:space="preserve">. </w:t>
      </w:r>
      <w:proofErr w:type="spellStart"/>
      <w:proofErr w:type="gramStart"/>
      <w:r w:rsidRPr="00FF4640">
        <w:t>doi:https</w:t>
      </w:r>
      <w:proofErr w:type="spellEnd"/>
      <w:r w:rsidRPr="00FF4640">
        <w:t>://doi.org/10.1177%2F1084822313511457</w:t>
      </w:r>
      <w:proofErr w:type="gramEnd"/>
    </w:p>
    <w:p w14:paraId="6DE5E67C" w14:textId="4262C943" w:rsidR="00FF4640" w:rsidRPr="00FF4640" w:rsidRDefault="00FF4640" w:rsidP="00FE3F0D">
      <w:pPr>
        <w:spacing w:after="0"/>
        <w:ind w:left="720" w:hanging="720"/>
      </w:pPr>
      <w:r w:rsidRPr="001A1F85">
        <w:t>Riggs et al., 2010</w:t>
      </w:r>
      <w:r w:rsidR="00B31DCF">
        <w:t xml:space="preserve">. </w:t>
      </w:r>
      <w:r w:rsidRPr="00FF4640">
        <w:t>R.V. Riggs, P.S. Roberts, H. </w:t>
      </w:r>
      <w:proofErr w:type="spellStart"/>
      <w:r w:rsidRPr="00FF4640">
        <w:t>Aronow</w:t>
      </w:r>
      <w:proofErr w:type="spellEnd"/>
      <w:r w:rsidRPr="00FF4640">
        <w:t>, T. </w:t>
      </w:r>
      <w:proofErr w:type="spellStart"/>
      <w:r w:rsidRPr="00FF4640">
        <w:t>Younan</w:t>
      </w:r>
      <w:proofErr w:type="spellEnd"/>
      <w:r w:rsidR="00B31DCF">
        <w:t xml:space="preserve">. </w:t>
      </w:r>
      <w:r w:rsidRPr="00FF4640">
        <w:rPr>
          <w:b/>
          <w:bCs/>
        </w:rPr>
        <w:t>Joint replacement and hip fracture readmission rates: impact of discharge destination</w:t>
      </w:r>
      <w:r w:rsidR="00B31DCF">
        <w:rPr>
          <w:b/>
          <w:bCs/>
        </w:rPr>
        <w:t xml:space="preserve">. </w:t>
      </w:r>
      <w:r w:rsidRPr="00FF4640">
        <w:t xml:space="preserve">Phys. Med. </w:t>
      </w:r>
      <w:proofErr w:type="spellStart"/>
      <w:r w:rsidRPr="00FF4640">
        <w:t>Rehabil</w:t>
      </w:r>
      <w:proofErr w:type="spellEnd"/>
      <w:r w:rsidRPr="00FF4640">
        <w:t>., 2 (2010), pp. 806-810</w:t>
      </w:r>
    </w:p>
    <w:p w14:paraId="0569AF63" w14:textId="1666EE4C" w:rsidR="00FF4640" w:rsidRPr="00FF4640" w:rsidRDefault="00FF4640" w:rsidP="00FE3F0D">
      <w:pPr>
        <w:spacing w:after="0"/>
        <w:ind w:left="720" w:hanging="720"/>
      </w:pPr>
      <w:r w:rsidRPr="001A1F85">
        <w:t>Sanford et al., 2014</w:t>
      </w:r>
      <w:r w:rsidR="00B31DCF">
        <w:t xml:space="preserve">. </w:t>
      </w:r>
      <w:r w:rsidRPr="00FF4640">
        <w:t>D.E. Sanford, M.A. Olsen, K.M. Bommarito, M. Shah, R.C. Fields, W.G. Hawkins, D.C. Linehan</w:t>
      </w:r>
      <w:r w:rsidR="00B31DCF">
        <w:t xml:space="preserve">. </w:t>
      </w:r>
      <w:r w:rsidRPr="00FF4640">
        <w:rPr>
          <w:b/>
          <w:bCs/>
        </w:rPr>
        <w:t>Association of discharge home with home health care and 30-day readmission after pancreatectomy</w:t>
      </w:r>
      <w:r w:rsidR="004205A6">
        <w:rPr>
          <w:b/>
          <w:bCs/>
        </w:rPr>
        <w:t xml:space="preserve">. </w:t>
      </w:r>
      <w:r w:rsidRPr="00FF4640">
        <w:t>J. Am. Coll. Surg., 219 (5) (2014), </w:t>
      </w:r>
      <w:r w:rsidRPr="001A1F85">
        <w:t>10.1016/j.jamcollsurg.2014.07.008</w:t>
      </w:r>
      <w:r w:rsidR="004205A6">
        <w:t xml:space="preserve">. </w:t>
      </w:r>
      <w:r w:rsidRPr="00FF4640">
        <w:t>875-886 e871</w:t>
      </w:r>
    </w:p>
    <w:p w14:paraId="01FCABDF" w14:textId="41F0940B" w:rsidR="00FF4640" w:rsidRPr="00FF4640" w:rsidRDefault="00FF4640" w:rsidP="00FE3F0D">
      <w:pPr>
        <w:spacing w:after="0"/>
        <w:ind w:left="720" w:hanging="720"/>
      </w:pPr>
      <w:proofErr w:type="spellStart"/>
      <w:r w:rsidRPr="001A1F85">
        <w:t>Siclovan</w:t>
      </w:r>
      <w:proofErr w:type="spellEnd"/>
      <w:r w:rsidRPr="001A1F85">
        <w:t>, 2018</w:t>
      </w:r>
      <w:r w:rsidR="004205A6">
        <w:t xml:space="preserve">. </w:t>
      </w:r>
      <w:r w:rsidRPr="00FF4640">
        <w:t>D.M. </w:t>
      </w:r>
      <w:proofErr w:type="spellStart"/>
      <w:r w:rsidRPr="00FF4640">
        <w:t>Siclovan</w:t>
      </w:r>
      <w:proofErr w:type="spellEnd"/>
      <w:r w:rsidR="004205A6">
        <w:t xml:space="preserve">. </w:t>
      </w:r>
      <w:r w:rsidRPr="00FF4640">
        <w:rPr>
          <w:b/>
          <w:bCs/>
        </w:rPr>
        <w:t>The effectiveness of home health care for reducing readmissions: an integrative review</w:t>
      </w:r>
      <w:r w:rsidR="004205A6">
        <w:rPr>
          <w:b/>
          <w:bCs/>
        </w:rPr>
        <w:t xml:space="preserve">. </w:t>
      </w:r>
      <w:r w:rsidRPr="00FF4640">
        <w:t>Home Health Care Serv. Q., 37 (3) (2018), pp. 187-210, </w:t>
      </w:r>
      <w:r w:rsidRPr="001A1F85">
        <w:t>10.1080/01621424.2018.1472702</w:t>
      </w:r>
    </w:p>
    <w:p w14:paraId="5D2F2E01" w14:textId="67DD4F25" w:rsidR="00FF4640" w:rsidRPr="00FF4640" w:rsidRDefault="00FF4640" w:rsidP="00FE3F0D">
      <w:pPr>
        <w:spacing w:after="0"/>
        <w:ind w:left="720" w:hanging="720"/>
      </w:pPr>
      <w:proofErr w:type="spellStart"/>
      <w:r w:rsidRPr="001A1F85">
        <w:t>StataCorp</w:t>
      </w:r>
      <w:proofErr w:type="spellEnd"/>
      <w:r w:rsidRPr="001A1F85">
        <w:t xml:space="preserve"> [computer program] 2015</w:t>
      </w:r>
      <w:r w:rsidR="004205A6">
        <w:t xml:space="preserve">. </w:t>
      </w:r>
      <w:proofErr w:type="spellStart"/>
      <w:r w:rsidRPr="00FF4640">
        <w:t>StataCorp</w:t>
      </w:r>
      <w:proofErr w:type="spellEnd"/>
      <w:r w:rsidRPr="00FF4640">
        <w:t xml:space="preserve"> [computer program]</w:t>
      </w:r>
      <w:r w:rsidR="004205A6">
        <w:t xml:space="preserve">. </w:t>
      </w:r>
      <w:r w:rsidRPr="00FF4640">
        <w:rPr>
          <w:b/>
          <w:bCs/>
        </w:rPr>
        <w:t>Stata Statistical Software (Version 14)</w:t>
      </w:r>
      <w:r w:rsidR="004205A6">
        <w:rPr>
          <w:b/>
          <w:bCs/>
        </w:rPr>
        <w:t xml:space="preserve">. </w:t>
      </w:r>
      <w:proofErr w:type="spellStart"/>
      <w:r w:rsidRPr="00FF4640">
        <w:t>StataCorp</w:t>
      </w:r>
      <w:proofErr w:type="spellEnd"/>
      <w:r w:rsidRPr="00FF4640">
        <w:t xml:space="preserve"> LP, TX (2015)</w:t>
      </w:r>
      <w:r w:rsidR="004205A6">
        <w:t xml:space="preserve">. </w:t>
      </w:r>
      <w:r w:rsidRPr="00FF4640">
        <w:t>College Station</w:t>
      </w:r>
    </w:p>
    <w:p w14:paraId="65BFB70B" w14:textId="75C76CA2" w:rsidR="00FF4640" w:rsidRPr="00FF4640" w:rsidRDefault="00FF4640" w:rsidP="00FE3F0D">
      <w:pPr>
        <w:spacing w:after="0"/>
        <w:ind w:left="720" w:hanging="720"/>
      </w:pPr>
      <w:r w:rsidRPr="001A1F85">
        <w:t>Tao et al., 2012</w:t>
      </w:r>
      <w:r w:rsidR="004205A6">
        <w:t xml:space="preserve">. </w:t>
      </w:r>
      <w:r w:rsidRPr="00FF4640">
        <w:t>H. Tao, C.H. </w:t>
      </w:r>
      <w:proofErr w:type="spellStart"/>
      <w:r w:rsidRPr="00FF4640">
        <w:t>Ellenbecker</w:t>
      </w:r>
      <w:proofErr w:type="spellEnd"/>
      <w:r w:rsidRPr="00FF4640">
        <w:t>, J. Chen, L. Zhan, J. Dalton</w:t>
      </w:r>
      <w:r w:rsidR="004205A6">
        <w:t xml:space="preserve">. </w:t>
      </w:r>
      <w:r w:rsidRPr="00FF4640">
        <w:rPr>
          <w:b/>
          <w:bCs/>
        </w:rPr>
        <w:t>The Influence of social environmental factors on rehospitalization among patients receiving home health care services</w:t>
      </w:r>
      <w:r w:rsidR="004205A6">
        <w:rPr>
          <w:b/>
          <w:bCs/>
        </w:rPr>
        <w:t xml:space="preserve">. </w:t>
      </w:r>
      <w:r w:rsidRPr="00FF4640">
        <w:t xml:space="preserve">Adv. </w:t>
      </w:r>
      <w:proofErr w:type="spellStart"/>
      <w:r w:rsidRPr="00FF4640">
        <w:t>Nurs</w:t>
      </w:r>
      <w:proofErr w:type="spellEnd"/>
      <w:r w:rsidRPr="00FF4640">
        <w:t>. Sci., 35 (4) (2012), pp. 346-358, </w:t>
      </w:r>
      <w:r w:rsidRPr="001A1F85">
        <w:t>10.1097/ANS.0b013e318271d2ad</w:t>
      </w:r>
    </w:p>
    <w:p w14:paraId="0BC1D77B" w14:textId="42A2A330" w:rsidR="00FF4640" w:rsidRPr="00FF4640" w:rsidRDefault="00FF4640" w:rsidP="00FE3F0D">
      <w:pPr>
        <w:spacing w:after="0"/>
        <w:ind w:left="720" w:hanging="720"/>
      </w:pPr>
      <w:r w:rsidRPr="001A1F85">
        <w:t>UCLA: Statistical Consulting Group,</w:t>
      </w:r>
      <w:r w:rsidR="004205A6">
        <w:t xml:space="preserve"> </w:t>
      </w:r>
      <w:r w:rsidRPr="00FF4640">
        <w:t xml:space="preserve">UCLA: Statistical Consulting Group. (n.d.). </w:t>
      </w:r>
      <w:proofErr w:type="spellStart"/>
      <w:r w:rsidRPr="00FF4640">
        <w:t>Powerlog</w:t>
      </w:r>
      <w:proofErr w:type="spellEnd"/>
      <w:r w:rsidRPr="00FF4640">
        <w:t>: Command to compute power for logistic regression. Retrieved from </w:t>
      </w:r>
      <w:r w:rsidRPr="001A1F85">
        <w:t>https://stats.idre.ucla.edu/stata/dae/logistic-regression-power-analysis/</w:t>
      </w:r>
    </w:p>
    <w:p w14:paraId="7E28B7AB" w14:textId="56853230" w:rsidR="00FF4640" w:rsidRPr="00FF4640" w:rsidRDefault="00FF4640" w:rsidP="00FE3F0D">
      <w:pPr>
        <w:spacing w:after="0"/>
        <w:ind w:left="720" w:hanging="720"/>
      </w:pPr>
      <w:r w:rsidRPr="001A1F85">
        <w:t>United Health Foundation et al.,</w:t>
      </w:r>
      <w:r w:rsidR="00FE3F0D">
        <w:t xml:space="preserve"> </w:t>
      </w:r>
      <w:r w:rsidRPr="00FF4640">
        <w:t>United Health Foundation. (n.d.). America's Health Rankings. Retrieved from </w:t>
      </w:r>
      <w:r w:rsidRPr="001A1F85">
        <w:t>https://www.americashealthrankings.org/explore/senior/measure/hospital_readmissions_sr/state/ALL</w:t>
      </w:r>
    </w:p>
    <w:p w14:paraId="067B0D53" w14:textId="38E3F2B5" w:rsidR="00FF4640" w:rsidRPr="00FF4640" w:rsidRDefault="00FF4640" w:rsidP="00FE3F0D">
      <w:pPr>
        <w:spacing w:after="0"/>
        <w:ind w:left="720" w:hanging="720"/>
      </w:pPr>
      <w:r w:rsidRPr="001A1F85">
        <w:t xml:space="preserve">Van </w:t>
      </w:r>
      <w:proofErr w:type="spellStart"/>
      <w:r w:rsidRPr="001A1F85">
        <w:t>Eenoo</w:t>
      </w:r>
      <w:proofErr w:type="spellEnd"/>
      <w:r w:rsidRPr="001A1F85">
        <w:t xml:space="preserve"> et al., 2018</w:t>
      </w:r>
      <w:r w:rsidR="00FE3F0D">
        <w:t xml:space="preserve">. </w:t>
      </w:r>
      <w:r w:rsidRPr="00FF4640">
        <w:t xml:space="preserve">L. Van </w:t>
      </w:r>
      <w:proofErr w:type="spellStart"/>
      <w:r w:rsidRPr="00FF4640">
        <w:t>Eenoo</w:t>
      </w:r>
      <w:proofErr w:type="spellEnd"/>
      <w:r w:rsidRPr="00FF4640">
        <w:t xml:space="preserve">, H. van der Roest, G. Onder, H. Finne-Soveri, V. Garms-Homolova, P.V. Jonsson, S. Draisma, H. van </w:t>
      </w:r>
      <w:proofErr w:type="spellStart"/>
      <w:r w:rsidRPr="00FF4640">
        <w:t>Hout</w:t>
      </w:r>
      <w:proofErr w:type="spellEnd"/>
      <w:r w:rsidRPr="00FF4640">
        <w:t>, A. </w:t>
      </w:r>
      <w:proofErr w:type="spellStart"/>
      <w:r w:rsidRPr="00FF4640">
        <w:t>Declercq</w:t>
      </w:r>
      <w:proofErr w:type="spellEnd"/>
      <w:r w:rsidR="00FE3F0D">
        <w:t xml:space="preserve">. </w:t>
      </w:r>
      <w:r w:rsidRPr="00FF4640">
        <w:rPr>
          <w:b/>
          <w:bCs/>
        </w:rPr>
        <w:t>Organizational home care models across Europe: A cross sectional study</w:t>
      </w:r>
      <w:r w:rsidR="00FE3F0D">
        <w:rPr>
          <w:b/>
          <w:bCs/>
        </w:rPr>
        <w:t xml:space="preserve">. </w:t>
      </w:r>
      <w:r w:rsidRPr="00FF4640">
        <w:t>International Journal of Nursing Studies, 77 (2018), pp. 39-45, </w:t>
      </w:r>
      <w:r w:rsidRPr="001A1F85">
        <w:t>10.1016/j.ijnurstu.2017.09.013</w:t>
      </w:r>
    </w:p>
    <w:p w14:paraId="7DEB4A12" w14:textId="59CD87E2" w:rsidR="00FF4640" w:rsidRPr="00FF4640" w:rsidRDefault="00FF4640" w:rsidP="00FE3F0D">
      <w:pPr>
        <w:spacing w:after="0"/>
        <w:ind w:left="720" w:hanging="720"/>
      </w:pPr>
      <w:proofErr w:type="spellStart"/>
      <w:r w:rsidRPr="001A1F85">
        <w:t>Wadhera</w:t>
      </w:r>
      <w:proofErr w:type="spellEnd"/>
      <w:r w:rsidRPr="001A1F85">
        <w:t xml:space="preserve"> et al., 2018</w:t>
      </w:r>
      <w:r w:rsidR="00FE3F0D">
        <w:t xml:space="preserve">. </w:t>
      </w:r>
      <w:r w:rsidRPr="00FF4640">
        <w:t>R.K. </w:t>
      </w:r>
      <w:proofErr w:type="spellStart"/>
      <w:r w:rsidRPr="00FF4640">
        <w:t>Wadhera</w:t>
      </w:r>
      <w:proofErr w:type="spellEnd"/>
      <w:r w:rsidRPr="00FF4640">
        <w:t>, K.E. Joynt Maddox, J.H. </w:t>
      </w:r>
      <w:proofErr w:type="spellStart"/>
      <w:r w:rsidRPr="00FF4640">
        <w:t>Wasfy</w:t>
      </w:r>
      <w:proofErr w:type="spellEnd"/>
      <w:r w:rsidRPr="00FF4640">
        <w:t>, S. </w:t>
      </w:r>
      <w:proofErr w:type="spellStart"/>
      <w:r w:rsidRPr="00FF4640">
        <w:t>Haneuse</w:t>
      </w:r>
      <w:proofErr w:type="spellEnd"/>
      <w:r w:rsidRPr="00FF4640">
        <w:t>, C. Shen, R.W Yeh</w:t>
      </w:r>
      <w:r w:rsidR="00FE3F0D">
        <w:t xml:space="preserve">. </w:t>
      </w:r>
      <w:r w:rsidRPr="00FF4640">
        <w:rPr>
          <w:b/>
          <w:bCs/>
        </w:rPr>
        <w:t xml:space="preserve">Association of the hospital readmissions reductions program with mortality among </w:t>
      </w:r>
      <w:proofErr w:type="spellStart"/>
      <w:r w:rsidRPr="00FF4640">
        <w:rPr>
          <w:b/>
          <w:bCs/>
        </w:rPr>
        <w:t>medicare</w:t>
      </w:r>
      <w:proofErr w:type="spellEnd"/>
      <w:r w:rsidRPr="00FF4640">
        <w:rPr>
          <w:b/>
          <w:bCs/>
        </w:rPr>
        <w:t xml:space="preserve"> beneficiaries hospitalized for heart failure, acute myocardial infarction, and pneumonia</w:t>
      </w:r>
      <w:r w:rsidR="00FE3F0D">
        <w:rPr>
          <w:b/>
          <w:bCs/>
        </w:rPr>
        <w:t xml:space="preserve">. </w:t>
      </w:r>
      <w:r w:rsidRPr="00FF4640">
        <w:t>JAMA, 320 (24) (2018), pp. 2542-2552, </w:t>
      </w:r>
      <w:r w:rsidRPr="001A1F85">
        <w:t>10.1001/jama.2018.19232</w:t>
      </w:r>
    </w:p>
    <w:p w14:paraId="4FE82E86" w14:textId="1EF28324" w:rsidR="00FF4640" w:rsidRPr="00FF4640" w:rsidRDefault="00FF4640" w:rsidP="00FE3F0D">
      <w:pPr>
        <w:spacing w:after="0"/>
        <w:ind w:left="720" w:hanging="720"/>
      </w:pPr>
      <w:r w:rsidRPr="001A1F85">
        <w:t>Warner, 2013</w:t>
      </w:r>
      <w:r w:rsidR="00FE3F0D">
        <w:t xml:space="preserve">. </w:t>
      </w:r>
      <w:r w:rsidRPr="00FF4640">
        <w:t>R. Warner</w:t>
      </w:r>
      <w:r w:rsidR="00FE3F0D">
        <w:t xml:space="preserve">. </w:t>
      </w:r>
      <w:r w:rsidRPr="00FF4640">
        <w:rPr>
          <w:b/>
          <w:bCs/>
        </w:rPr>
        <w:t>Applied Statistics: From Bivariate Through Multivariate Techniques</w:t>
      </w:r>
      <w:r w:rsidR="00FE3F0D">
        <w:rPr>
          <w:b/>
          <w:bCs/>
        </w:rPr>
        <w:t xml:space="preserve">. </w:t>
      </w:r>
      <w:r w:rsidRPr="00FF4640">
        <w:t>(2nd ed.), Sage Publications, Thousand Oaks, CA (2013)</w:t>
      </w:r>
    </w:p>
    <w:p w14:paraId="0409D2F5" w14:textId="229C235B" w:rsidR="00FF4640" w:rsidRPr="00FF4640" w:rsidRDefault="00FF4640" w:rsidP="00FE3F0D">
      <w:pPr>
        <w:spacing w:after="0"/>
        <w:ind w:left="720" w:hanging="720"/>
      </w:pPr>
      <w:r w:rsidRPr="001A1F85">
        <w:t>Weiss et al., 2019</w:t>
      </w:r>
      <w:r w:rsidR="00FE3F0D">
        <w:t xml:space="preserve">. </w:t>
      </w:r>
      <w:r w:rsidRPr="00FF4640">
        <w:t>ME Weiss, O Yakusheva, KL Bobay, L Costa, RG Hughes, S Nuccio, M Hamilton, S Bahr, D Siclovan, J Bang</w:t>
      </w:r>
      <w:r w:rsidR="00FE3F0D">
        <w:t xml:space="preserve">. </w:t>
      </w:r>
      <w:r w:rsidRPr="00FF4640">
        <w:rPr>
          <w:b/>
          <w:bCs/>
        </w:rPr>
        <w:t>Effect of implementing discharge readiness assessment in adult medical-surgical units on 30-day return to hospital: The READI randomized clinical trial</w:t>
      </w:r>
      <w:r w:rsidR="00FE3F0D">
        <w:rPr>
          <w:b/>
          <w:bCs/>
        </w:rPr>
        <w:t xml:space="preserve">. </w:t>
      </w:r>
      <w:r w:rsidRPr="00FF4640">
        <w:t>JAMA Network Open, 2 (1) (2019), p. e187387, </w:t>
      </w:r>
      <w:r w:rsidRPr="001A1F85">
        <w:t>10.1001/jamanetworkopen.2018.7387</w:t>
      </w:r>
      <w:r w:rsidR="00FE3F0D">
        <w:t xml:space="preserve">. </w:t>
      </w:r>
      <w:r w:rsidRPr="001A1F85">
        <w:t>https://jamanetwork.com/journals/jamanetworkopen/fullarticle/2722575</w:t>
      </w:r>
    </w:p>
    <w:p w14:paraId="36346BC6" w14:textId="49EEF93F" w:rsidR="00FF4640" w:rsidRPr="00FF4640" w:rsidRDefault="00FF4640" w:rsidP="00FE3F0D">
      <w:pPr>
        <w:spacing w:after="0"/>
        <w:ind w:left="720" w:hanging="720"/>
      </w:pPr>
      <w:r w:rsidRPr="001A1F85">
        <w:t>Xiao et al., 2018</w:t>
      </w:r>
      <w:r w:rsidR="00FE3F0D">
        <w:t xml:space="preserve">. </w:t>
      </w:r>
      <w:r w:rsidRPr="00FF4640">
        <w:t>R. Xiao, J.A. Miller, W.J. </w:t>
      </w:r>
      <w:proofErr w:type="spellStart"/>
      <w:r w:rsidRPr="00FF4640">
        <w:t>Zafirau</w:t>
      </w:r>
      <w:proofErr w:type="spellEnd"/>
      <w:r w:rsidRPr="00FF4640">
        <w:t>, E.Z. </w:t>
      </w:r>
      <w:proofErr w:type="spellStart"/>
      <w:r w:rsidRPr="00FF4640">
        <w:t>Gorodeski</w:t>
      </w:r>
      <w:proofErr w:type="spellEnd"/>
      <w:r w:rsidRPr="00FF4640">
        <w:t>, J.B. Young</w:t>
      </w:r>
      <w:r w:rsidR="00FE3F0D">
        <w:t xml:space="preserve">. </w:t>
      </w:r>
      <w:r w:rsidRPr="00FF4640">
        <w:rPr>
          <w:b/>
          <w:bCs/>
        </w:rPr>
        <w:t>Impact of home health care on health care resource utilization following hospital discharge: a cohort study</w:t>
      </w:r>
      <w:r w:rsidR="00FE3F0D">
        <w:rPr>
          <w:b/>
          <w:bCs/>
        </w:rPr>
        <w:t xml:space="preserve">. </w:t>
      </w:r>
      <w:r w:rsidRPr="00FF4640">
        <w:t>Am. J. Med., 131 (4) (2018), </w:t>
      </w:r>
      <w:r w:rsidRPr="001A1F85">
        <w:t>10.1016/j.amjmed.2017.11.010</w:t>
      </w:r>
      <w:r w:rsidR="00FE3F0D">
        <w:t xml:space="preserve">. </w:t>
      </w:r>
      <w:r w:rsidRPr="00FF4640">
        <w:t>395-407.e335</w:t>
      </w:r>
    </w:p>
    <w:p w14:paraId="513E84B3" w14:textId="3782DAD4" w:rsidR="00FF4640" w:rsidRPr="00FF4640" w:rsidRDefault="00FF4640" w:rsidP="00FE3F0D">
      <w:pPr>
        <w:spacing w:after="0"/>
        <w:ind w:left="720" w:hanging="720"/>
      </w:pPr>
      <w:r w:rsidRPr="001A1F85">
        <w:t>World Health Organization, 2015</w:t>
      </w:r>
      <w:r w:rsidR="00FE3F0D">
        <w:t xml:space="preserve">. </w:t>
      </w:r>
      <w:r w:rsidRPr="00FF4640">
        <w:t>World Health Organization (2015). </w:t>
      </w:r>
      <w:r w:rsidRPr="00FF4640">
        <w:rPr>
          <w:i/>
          <w:iCs/>
        </w:rPr>
        <w:t>World report on ageing and health</w:t>
      </w:r>
      <w:r w:rsidRPr="00FF4640">
        <w:t>. Geneva, Switzerland: World Health Organization. Available at: </w:t>
      </w:r>
      <w:r w:rsidRPr="001A1F85">
        <w:t>https://apps.who.int/iris/bitstream/handle/10665/186463/9789240694811_eng.pdf;jsessionid=AED196F6CCBCB9F8690DFC5DAA901668?sequence=1</w:t>
      </w:r>
    </w:p>
    <w:p w14:paraId="5F7E721E" w14:textId="77777777" w:rsidR="00FF4640" w:rsidRPr="00FF4640" w:rsidRDefault="00FF4640" w:rsidP="0087734B">
      <w:pPr>
        <w:ind w:left="720" w:hanging="720"/>
      </w:pPr>
    </w:p>
    <w:sectPr w:rsidR="00FF4640" w:rsidRPr="00FF464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AF6774"/>
    <w:multiLevelType w:val="multilevel"/>
    <w:tmpl w:val="4AA8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3"/>
  </w:num>
  <w:num w:numId="6">
    <w:abstractNumId w:val="17"/>
  </w:num>
  <w:num w:numId="7">
    <w:abstractNumId w:val="1"/>
  </w:num>
  <w:num w:numId="8">
    <w:abstractNumId w:val="12"/>
  </w:num>
  <w:num w:numId="9">
    <w:abstractNumId w:val="8"/>
  </w:num>
  <w:num w:numId="10">
    <w:abstractNumId w:val="3"/>
  </w:num>
  <w:num w:numId="11">
    <w:abstractNumId w:val="14"/>
  </w:num>
  <w:num w:numId="12">
    <w:abstractNumId w:val="18"/>
  </w:num>
  <w:num w:numId="13">
    <w:abstractNumId w:val="10"/>
  </w:num>
  <w:num w:numId="14">
    <w:abstractNumId w:val="6"/>
  </w:num>
  <w:num w:numId="15">
    <w:abstractNumId w:val="15"/>
  </w:num>
  <w:num w:numId="16">
    <w:abstractNumId w:val="7"/>
  </w:num>
  <w:num w:numId="17">
    <w:abstractNumId w:val="5"/>
  </w:num>
  <w:num w:numId="18">
    <w:abstractNumId w:val="1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GmO2gyoPdT6NhgLQiC41REzSxaKIztuFm6zWq6JT1jnMWEtXQK8eC2bBEYpm44RAA7siouTCkfUhCulQvPAMw==" w:salt="O4Iq/7XI8OVkQfAhUnEux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34A2"/>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1F85"/>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1F27"/>
    <w:rsid w:val="00272AF4"/>
    <w:rsid w:val="00276C06"/>
    <w:rsid w:val="00280198"/>
    <w:rsid w:val="00282094"/>
    <w:rsid w:val="002843BC"/>
    <w:rsid w:val="00284A84"/>
    <w:rsid w:val="0029129F"/>
    <w:rsid w:val="00296399"/>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05A6"/>
    <w:rsid w:val="00421CBC"/>
    <w:rsid w:val="0043008C"/>
    <w:rsid w:val="00430B91"/>
    <w:rsid w:val="004374EF"/>
    <w:rsid w:val="00440F61"/>
    <w:rsid w:val="004441CB"/>
    <w:rsid w:val="00450DB8"/>
    <w:rsid w:val="00453D2C"/>
    <w:rsid w:val="00454851"/>
    <w:rsid w:val="00456070"/>
    <w:rsid w:val="00456B26"/>
    <w:rsid w:val="004570E7"/>
    <w:rsid w:val="004609A1"/>
    <w:rsid w:val="00460A1D"/>
    <w:rsid w:val="004613DF"/>
    <w:rsid w:val="00461BB2"/>
    <w:rsid w:val="00463F96"/>
    <w:rsid w:val="00464E4A"/>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16A"/>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664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34B"/>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DCF"/>
    <w:rsid w:val="00B32160"/>
    <w:rsid w:val="00B32B07"/>
    <w:rsid w:val="00B336E9"/>
    <w:rsid w:val="00B3397D"/>
    <w:rsid w:val="00B3426B"/>
    <w:rsid w:val="00B34EF6"/>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6F0"/>
    <w:rsid w:val="00D42AE0"/>
    <w:rsid w:val="00D43F4A"/>
    <w:rsid w:val="00D45330"/>
    <w:rsid w:val="00D45705"/>
    <w:rsid w:val="00D45A48"/>
    <w:rsid w:val="00D45DB8"/>
    <w:rsid w:val="00D45FAE"/>
    <w:rsid w:val="00D505CD"/>
    <w:rsid w:val="00D50821"/>
    <w:rsid w:val="00D52D25"/>
    <w:rsid w:val="00D55E2C"/>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3552"/>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7C6D"/>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2B72"/>
    <w:rsid w:val="00FE2208"/>
    <w:rsid w:val="00FE2769"/>
    <w:rsid w:val="00FE2ED0"/>
    <w:rsid w:val="00FE3C8C"/>
    <w:rsid w:val="00FE3E6D"/>
    <w:rsid w:val="00FE3F0D"/>
    <w:rsid w:val="00FE430B"/>
    <w:rsid w:val="00FE46AF"/>
    <w:rsid w:val="00FE73C3"/>
    <w:rsid w:val="00FF1F94"/>
    <w:rsid w:val="00FF2B49"/>
    <w:rsid w:val="00FF3001"/>
    <w:rsid w:val="00FF4640"/>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FF46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omponent">
    <w:name w:val="e-component"/>
    <w:basedOn w:val="DefaultParagraphFont"/>
    <w:rsid w:val="00FF4640"/>
  </w:style>
  <w:style w:type="character" w:customStyle="1" w:styleId="article-attachment">
    <w:name w:val="article-attachment"/>
    <w:basedOn w:val="DefaultParagraphFont"/>
    <w:rsid w:val="00FF4640"/>
  </w:style>
  <w:style w:type="character" w:customStyle="1" w:styleId="text">
    <w:name w:val="text"/>
    <w:basedOn w:val="DefaultParagraphFont"/>
    <w:rsid w:val="00FF4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522048">
      <w:bodyDiv w:val="1"/>
      <w:marLeft w:val="0"/>
      <w:marRight w:val="0"/>
      <w:marTop w:val="0"/>
      <w:marBottom w:val="0"/>
      <w:divBdr>
        <w:top w:val="none" w:sz="0" w:space="0" w:color="auto"/>
        <w:left w:val="none" w:sz="0" w:space="0" w:color="auto"/>
        <w:bottom w:val="none" w:sz="0" w:space="0" w:color="auto"/>
        <w:right w:val="none" w:sz="0" w:space="0" w:color="auto"/>
      </w:divBdr>
      <w:divsChild>
        <w:div w:id="1894341953">
          <w:marLeft w:val="0"/>
          <w:marRight w:val="0"/>
          <w:marTop w:val="0"/>
          <w:marBottom w:val="0"/>
          <w:divBdr>
            <w:top w:val="none" w:sz="0" w:space="0" w:color="auto"/>
            <w:left w:val="none" w:sz="0" w:space="0" w:color="auto"/>
            <w:bottom w:val="none" w:sz="0" w:space="0" w:color="auto"/>
            <w:right w:val="none" w:sz="0" w:space="0" w:color="auto"/>
          </w:divBdr>
          <w:divsChild>
            <w:div w:id="51853439">
              <w:marLeft w:val="0"/>
              <w:marRight w:val="0"/>
              <w:marTop w:val="0"/>
              <w:marBottom w:val="120"/>
              <w:divBdr>
                <w:top w:val="none" w:sz="0" w:space="0" w:color="auto"/>
                <w:left w:val="none" w:sz="0" w:space="0" w:color="auto"/>
                <w:bottom w:val="none" w:sz="0" w:space="0" w:color="auto"/>
                <w:right w:val="none" w:sz="0" w:space="0" w:color="auto"/>
              </w:divBdr>
              <w:divsChild>
                <w:div w:id="386610192">
                  <w:marLeft w:val="0"/>
                  <w:marRight w:val="0"/>
                  <w:marTop w:val="0"/>
                  <w:marBottom w:val="0"/>
                  <w:divBdr>
                    <w:top w:val="none" w:sz="0" w:space="0" w:color="auto"/>
                    <w:left w:val="none" w:sz="0" w:space="0" w:color="auto"/>
                    <w:bottom w:val="none" w:sz="0" w:space="0" w:color="auto"/>
                    <w:right w:val="none" w:sz="0" w:space="0" w:color="auto"/>
                  </w:divBdr>
                </w:div>
                <w:div w:id="1890804375">
                  <w:marLeft w:val="0"/>
                  <w:marRight w:val="0"/>
                  <w:marTop w:val="0"/>
                  <w:marBottom w:val="0"/>
                  <w:divBdr>
                    <w:top w:val="none" w:sz="0" w:space="0" w:color="auto"/>
                    <w:left w:val="none" w:sz="0" w:space="0" w:color="auto"/>
                    <w:bottom w:val="none" w:sz="0" w:space="0" w:color="auto"/>
                    <w:right w:val="none" w:sz="0" w:space="0" w:color="auto"/>
                  </w:divBdr>
                </w:div>
                <w:div w:id="1450663294">
                  <w:marLeft w:val="0"/>
                  <w:marRight w:val="0"/>
                  <w:marTop w:val="0"/>
                  <w:marBottom w:val="0"/>
                  <w:divBdr>
                    <w:top w:val="none" w:sz="0" w:space="0" w:color="auto"/>
                    <w:left w:val="none" w:sz="0" w:space="0" w:color="auto"/>
                    <w:bottom w:val="none" w:sz="0" w:space="0" w:color="auto"/>
                    <w:right w:val="none" w:sz="0" w:space="0" w:color="auto"/>
                  </w:divBdr>
                </w:div>
                <w:div w:id="1603495592">
                  <w:marLeft w:val="0"/>
                  <w:marRight w:val="0"/>
                  <w:marTop w:val="0"/>
                  <w:marBottom w:val="0"/>
                  <w:divBdr>
                    <w:top w:val="none" w:sz="0" w:space="0" w:color="auto"/>
                    <w:left w:val="none" w:sz="0" w:space="0" w:color="auto"/>
                    <w:bottom w:val="none" w:sz="0" w:space="0" w:color="auto"/>
                    <w:right w:val="none" w:sz="0" w:space="0" w:color="auto"/>
                  </w:divBdr>
                </w:div>
                <w:div w:id="1874151463">
                  <w:marLeft w:val="0"/>
                  <w:marRight w:val="0"/>
                  <w:marTop w:val="0"/>
                  <w:marBottom w:val="0"/>
                  <w:divBdr>
                    <w:top w:val="none" w:sz="0" w:space="0" w:color="auto"/>
                    <w:left w:val="none" w:sz="0" w:space="0" w:color="auto"/>
                    <w:bottom w:val="none" w:sz="0" w:space="0" w:color="auto"/>
                    <w:right w:val="none" w:sz="0" w:space="0" w:color="auto"/>
                  </w:divBdr>
                </w:div>
                <w:div w:id="429933027">
                  <w:marLeft w:val="0"/>
                  <w:marRight w:val="0"/>
                  <w:marTop w:val="0"/>
                  <w:marBottom w:val="0"/>
                  <w:divBdr>
                    <w:top w:val="none" w:sz="0" w:space="0" w:color="auto"/>
                    <w:left w:val="none" w:sz="0" w:space="0" w:color="auto"/>
                    <w:bottom w:val="none" w:sz="0" w:space="0" w:color="auto"/>
                    <w:right w:val="none" w:sz="0" w:space="0" w:color="auto"/>
                  </w:divBdr>
                </w:div>
                <w:div w:id="855773262">
                  <w:marLeft w:val="0"/>
                  <w:marRight w:val="0"/>
                  <w:marTop w:val="0"/>
                  <w:marBottom w:val="0"/>
                  <w:divBdr>
                    <w:top w:val="none" w:sz="0" w:space="0" w:color="auto"/>
                    <w:left w:val="none" w:sz="0" w:space="0" w:color="auto"/>
                    <w:bottom w:val="none" w:sz="0" w:space="0" w:color="auto"/>
                    <w:right w:val="none" w:sz="0" w:space="0" w:color="auto"/>
                  </w:divBdr>
                </w:div>
                <w:div w:id="41251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57358">
          <w:marLeft w:val="0"/>
          <w:marRight w:val="0"/>
          <w:marTop w:val="0"/>
          <w:marBottom w:val="480"/>
          <w:divBdr>
            <w:top w:val="none" w:sz="0" w:space="0" w:color="auto"/>
            <w:left w:val="none" w:sz="0" w:space="0" w:color="auto"/>
            <w:bottom w:val="single" w:sz="12" w:space="24" w:color="EBEBEB"/>
            <w:right w:val="none" w:sz="0" w:space="0" w:color="auto"/>
          </w:divBdr>
          <w:divsChild>
            <w:div w:id="733116326">
              <w:marLeft w:val="0"/>
              <w:marRight w:val="0"/>
              <w:marTop w:val="0"/>
              <w:marBottom w:val="0"/>
              <w:divBdr>
                <w:top w:val="none" w:sz="0" w:space="0" w:color="auto"/>
                <w:left w:val="none" w:sz="0" w:space="0" w:color="auto"/>
                <w:bottom w:val="none" w:sz="0" w:space="0" w:color="auto"/>
                <w:right w:val="none" w:sz="0" w:space="0" w:color="auto"/>
              </w:divBdr>
              <w:divsChild>
                <w:div w:id="655183360">
                  <w:marLeft w:val="0"/>
                  <w:marRight w:val="0"/>
                  <w:marTop w:val="0"/>
                  <w:marBottom w:val="0"/>
                  <w:divBdr>
                    <w:top w:val="none" w:sz="0" w:space="0" w:color="auto"/>
                    <w:left w:val="none" w:sz="0" w:space="0" w:color="auto"/>
                    <w:bottom w:val="none" w:sz="0" w:space="0" w:color="auto"/>
                    <w:right w:val="none" w:sz="0" w:space="0" w:color="auto"/>
                  </w:divBdr>
                </w:div>
                <w:div w:id="1683240340">
                  <w:marLeft w:val="0"/>
                  <w:marRight w:val="0"/>
                  <w:marTop w:val="0"/>
                  <w:marBottom w:val="0"/>
                  <w:divBdr>
                    <w:top w:val="none" w:sz="0" w:space="0" w:color="auto"/>
                    <w:left w:val="none" w:sz="0" w:space="0" w:color="auto"/>
                    <w:bottom w:val="none" w:sz="0" w:space="0" w:color="auto"/>
                    <w:right w:val="none" w:sz="0" w:space="0" w:color="auto"/>
                  </w:divBdr>
                </w:div>
                <w:div w:id="338122357">
                  <w:marLeft w:val="0"/>
                  <w:marRight w:val="0"/>
                  <w:marTop w:val="0"/>
                  <w:marBottom w:val="0"/>
                  <w:divBdr>
                    <w:top w:val="none" w:sz="0" w:space="0" w:color="auto"/>
                    <w:left w:val="none" w:sz="0" w:space="0" w:color="auto"/>
                    <w:bottom w:val="none" w:sz="0" w:space="0" w:color="auto"/>
                    <w:right w:val="none" w:sz="0" w:space="0" w:color="auto"/>
                  </w:divBdr>
                </w:div>
                <w:div w:id="1780679860">
                  <w:marLeft w:val="0"/>
                  <w:marRight w:val="0"/>
                  <w:marTop w:val="0"/>
                  <w:marBottom w:val="0"/>
                  <w:divBdr>
                    <w:top w:val="none" w:sz="0" w:space="0" w:color="auto"/>
                    <w:left w:val="none" w:sz="0" w:space="0" w:color="auto"/>
                    <w:bottom w:val="none" w:sz="0" w:space="0" w:color="auto"/>
                    <w:right w:val="none" w:sz="0" w:space="0" w:color="auto"/>
                  </w:divBdr>
                </w:div>
                <w:div w:id="197332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550546">
          <w:marLeft w:val="0"/>
          <w:marRight w:val="0"/>
          <w:marTop w:val="0"/>
          <w:marBottom w:val="0"/>
          <w:divBdr>
            <w:top w:val="none" w:sz="0" w:space="0" w:color="auto"/>
            <w:left w:val="none" w:sz="0" w:space="0" w:color="auto"/>
            <w:bottom w:val="none" w:sz="0" w:space="0" w:color="auto"/>
            <w:right w:val="none" w:sz="0" w:space="0" w:color="auto"/>
          </w:divBdr>
          <w:divsChild>
            <w:div w:id="438255317">
              <w:marLeft w:val="0"/>
              <w:marRight w:val="0"/>
              <w:marTop w:val="0"/>
              <w:marBottom w:val="0"/>
              <w:divBdr>
                <w:top w:val="none" w:sz="0" w:space="0" w:color="auto"/>
                <w:left w:val="none" w:sz="0" w:space="0" w:color="auto"/>
                <w:bottom w:val="none" w:sz="0" w:space="0" w:color="auto"/>
                <w:right w:val="none" w:sz="0" w:space="0" w:color="auto"/>
              </w:divBdr>
              <w:divsChild>
                <w:div w:id="2060738179">
                  <w:marLeft w:val="0"/>
                  <w:marRight w:val="0"/>
                  <w:marTop w:val="0"/>
                  <w:marBottom w:val="0"/>
                  <w:divBdr>
                    <w:top w:val="none" w:sz="0" w:space="0" w:color="auto"/>
                    <w:left w:val="none" w:sz="0" w:space="0" w:color="auto"/>
                    <w:bottom w:val="none" w:sz="0" w:space="0" w:color="auto"/>
                    <w:right w:val="none" w:sz="0" w:space="0" w:color="auto"/>
                  </w:divBdr>
                  <w:divsChild>
                    <w:div w:id="1517498331">
                      <w:marLeft w:val="0"/>
                      <w:marRight w:val="0"/>
                      <w:marTop w:val="240"/>
                      <w:marBottom w:val="240"/>
                      <w:divBdr>
                        <w:top w:val="single" w:sz="12" w:space="0" w:color="EBEBEB"/>
                        <w:left w:val="none" w:sz="0" w:space="0" w:color="auto"/>
                        <w:bottom w:val="single" w:sz="12" w:space="0" w:color="EBEBEB"/>
                        <w:right w:val="none" w:sz="0" w:space="0" w:color="auto"/>
                      </w:divBdr>
                      <w:divsChild>
                        <w:div w:id="16133675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51131729">
                  <w:marLeft w:val="0"/>
                  <w:marRight w:val="0"/>
                  <w:marTop w:val="0"/>
                  <w:marBottom w:val="0"/>
                  <w:divBdr>
                    <w:top w:val="none" w:sz="0" w:space="0" w:color="auto"/>
                    <w:left w:val="none" w:sz="0" w:space="0" w:color="auto"/>
                    <w:bottom w:val="none" w:sz="0" w:space="0" w:color="auto"/>
                    <w:right w:val="none" w:sz="0" w:space="0" w:color="auto"/>
                  </w:divBdr>
                  <w:divsChild>
                    <w:div w:id="1262225483">
                      <w:marLeft w:val="0"/>
                      <w:marRight w:val="0"/>
                      <w:marTop w:val="240"/>
                      <w:marBottom w:val="240"/>
                      <w:divBdr>
                        <w:top w:val="single" w:sz="12" w:space="0" w:color="EBEBEB"/>
                        <w:left w:val="none" w:sz="0" w:space="0" w:color="auto"/>
                        <w:bottom w:val="single" w:sz="12" w:space="0" w:color="EBEBEB"/>
                        <w:right w:val="none" w:sz="0" w:space="0" w:color="auto"/>
                      </w:divBdr>
                      <w:divsChild>
                        <w:div w:id="12211383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21068759">
                  <w:marLeft w:val="0"/>
                  <w:marRight w:val="0"/>
                  <w:marTop w:val="0"/>
                  <w:marBottom w:val="0"/>
                  <w:divBdr>
                    <w:top w:val="none" w:sz="0" w:space="0" w:color="auto"/>
                    <w:left w:val="none" w:sz="0" w:space="0" w:color="auto"/>
                    <w:bottom w:val="none" w:sz="0" w:space="0" w:color="auto"/>
                    <w:right w:val="none" w:sz="0" w:space="0" w:color="auto"/>
                  </w:divBdr>
                  <w:divsChild>
                    <w:div w:id="1994332560">
                      <w:marLeft w:val="0"/>
                      <w:marRight w:val="0"/>
                      <w:marTop w:val="240"/>
                      <w:marBottom w:val="240"/>
                      <w:divBdr>
                        <w:top w:val="single" w:sz="12" w:space="0" w:color="EBEBEB"/>
                        <w:left w:val="none" w:sz="0" w:space="0" w:color="auto"/>
                        <w:bottom w:val="single" w:sz="12" w:space="0" w:color="EBEBEB"/>
                        <w:right w:val="none" w:sz="0" w:space="0" w:color="auto"/>
                      </w:divBdr>
                      <w:divsChild>
                        <w:div w:id="1733113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17416767">
                  <w:marLeft w:val="0"/>
                  <w:marRight w:val="0"/>
                  <w:marTop w:val="0"/>
                  <w:marBottom w:val="0"/>
                  <w:divBdr>
                    <w:top w:val="none" w:sz="0" w:space="0" w:color="auto"/>
                    <w:left w:val="none" w:sz="0" w:space="0" w:color="auto"/>
                    <w:bottom w:val="none" w:sz="0" w:space="0" w:color="auto"/>
                    <w:right w:val="none" w:sz="0" w:space="0" w:color="auto"/>
                  </w:divBdr>
                  <w:divsChild>
                    <w:div w:id="1799032732">
                      <w:marLeft w:val="0"/>
                      <w:marRight w:val="0"/>
                      <w:marTop w:val="240"/>
                      <w:marBottom w:val="240"/>
                      <w:divBdr>
                        <w:top w:val="single" w:sz="12" w:space="0" w:color="EBEBEB"/>
                        <w:left w:val="none" w:sz="0" w:space="0" w:color="auto"/>
                        <w:bottom w:val="single" w:sz="12" w:space="0" w:color="EBEBEB"/>
                        <w:right w:val="none" w:sz="0" w:space="0" w:color="auto"/>
                      </w:divBdr>
                      <w:divsChild>
                        <w:div w:id="1212664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661531">
              <w:marLeft w:val="0"/>
              <w:marRight w:val="0"/>
              <w:marTop w:val="0"/>
              <w:marBottom w:val="0"/>
              <w:divBdr>
                <w:top w:val="none" w:sz="0" w:space="0" w:color="auto"/>
                <w:left w:val="none" w:sz="0" w:space="0" w:color="auto"/>
                <w:bottom w:val="none" w:sz="0" w:space="0" w:color="auto"/>
                <w:right w:val="none" w:sz="0" w:space="0" w:color="auto"/>
              </w:divBdr>
            </w:div>
          </w:divsChild>
        </w:div>
        <w:div w:id="836772435">
          <w:marLeft w:val="0"/>
          <w:marRight w:val="0"/>
          <w:marTop w:val="0"/>
          <w:marBottom w:val="0"/>
          <w:divBdr>
            <w:top w:val="none" w:sz="0" w:space="0" w:color="auto"/>
            <w:left w:val="none" w:sz="0" w:space="0" w:color="auto"/>
            <w:bottom w:val="none" w:sz="0" w:space="0" w:color="auto"/>
            <w:right w:val="none" w:sz="0" w:space="0" w:color="auto"/>
          </w:divBdr>
        </w:div>
        <w:div w:id="1931699261">
          <w:marLeft w:val="0"/>
          <w:marRight w:val="0"/>
          <w:marTop w:val="0"/>
          <w:marBottom w:val="0"/>
          <w:divBdr>
            <w:top w:val="none" w:sz="0" w:space="0" w:color="auto"/>
            <w:left w:val="none" w:sz="0" w:space="0" w:color="auto"/>
            <w:bottom w:val="none" w:sz="0" w:space="0" w:color="auto"/>
            <w:right w:val="none" w:sz="0" w:space="0" w:color="auto"/>
          </w:divBdr>
          <w:divsChild>
            <w:div w:id="1620990281">
              <w:marLeft w:val="0"/>
              <w:marRight w:val="0"/>
              <w:marTop w:val="0"/>
              <w:marBottom w:val="0"/>
              <w:divBdr>
                <w:top w:val="none" w:sz="0" w:space="0" w:color="auto"/>
                <w:left w:val="none" w:sz="0" w:space="0" w:color="auto"/>
                <w:bottom w:val="none" w:sz="0" w:space="0" w:color="auto"/>
                <w:right w:val="none" w:sz="0" w:space="0" w:color="auto"/>
              </w:divBdr>
            </w:div>
          </w:divsChild>
        </w:div>
        <w:div w:id="593516345">
          <w:marLeft w:val="0"/>
          <w:marRight w:val="0"/>
          <w:marTop w:val="0"/>
          <w:marBottom w:val="0"/>
          <w:divBdr>
            <w:top w:val="none" w:sz="0" w:space="0" w:color="auto"/>
            <w:left w:val="none" w:sz="0" w:space="0" w:color="auto"/>
            <w:bottom w:val="none" w:sz="0" w:space="0" w:color="auto"/>
            <w:right w:val="none" w:sz="0" w:space="0" w:color="auto"/>
          </w:divBdr>
        </w:div>
        <w:div w:id="989099230">
          <w:marLeft w:val="0"/>
          <w:marRight w:val="0"/>
          <w:marTop w:val="0"/>
          <w:marBottom w:val="0"/>
          <w:divBdr>
            <w:top w:val="none" w:sz="0" w:space="0" w:color="auto"/>
            <w:left w:val="none" w:sz="0" w:space="0" w:color="auto"/>
            <w:bottom w:val="none" w:sz="0" w:space="0" w:color="auto"/>
            <w:right w:val="none" w:sz="0" w:space="0" w:color="auto"/>
          </w:divBdr>
          <w:divsChild>
            <w:div w:id="1022826406">
              <w:marLeft w:val="0"/>
              <w:marRight w:val="360"/>
              <w:marTop w:val="0"/>
              <w:marBottom w:val="0"/>
              <w:divBdr>
                <w:top w:val="none" w:sz="0" w:space="0" w:color="auto"/>
                <w:left w:val="none" w:sz="0" w:space="0" w:color="auto"/>
                <w:bottom w:val="none" w:sz="0" w:space="0" w:color="auto"/>
                <w:right w:val="none" w:sz="0" w:space="0" w:color="auto"/>
              </w:divBdr>
            </w:div>
          </w:divsChild>
        </w:div>
        <w:div w:id="1330987831">
          <w:marLeft w:val="0"/>
          <w:marRight w:val="0"/>
          <w:marTop w:val="0"/>
          <w:marBottom w:val="0"/>
          <w:divBdr>
            <w:top w:val="none" w:sz="0" w:space="0" w:color="auto"/>
            <w:left w:val="none" w:sz="0" w:space="0" w:color="auto"/>
            <w:bottom w:val="none" w:sz="0" w:space="0" w:color="auto"/>
            <w:right w:val="none" w:sz="0" w:space="0" w:color="auto"/>
          </w:divBdr>
          <w:divsChild>
            <w:div w:id="375853216">
              <w:marLeft w:val="0"/>
              <w:marRight w:val="0"/>
              <w:marTop w:val="0"/>
              <w:marBottom w:val="0"/>
              <w:divBdr>
                <w:top w:val="none" w:sz="0" w:space="0" w:color="auto"/>
                <w:left w:val="none" w:sz="0" w:space="0" w:color="auto"/>
                <w:bottom w:val="none" w:sz="0" w:space="0" w:color="auto"/>
                <w:right w:val="none" w:sz="0" w:space="0" w:color="auto"/>
              </w:divBdr>
            </w:div>
          </w:divsChild>
        </w:div>
        <w:div w:id="948241031">
          <w:marLeft w:val="0"/>
          <w:marRight w:val="0"/>
          <w:marTop w:val="0"/>
          <w:marBottom w:val="0"/>
          <w:divBdr>
            <w:top w:val="none" w:sz="0" w:space="0" w:color="auto"/>
            <w:left w:val="none" w:sz="0" w:space="0" w:color="auto"/>
            <w:bottom w:val="none" w:sz="0" w:space="0" w:color="auto"/>
            <w:right w:val="none" w:sz="0" w:space="0" w:color="auto"/>
          </w:divBdr>
        </w:div>
        <w:div w:id="1336760936">
          <w:marLeft w:val="0"/>
          <w:marRight w:val="0"/>
          <w:marTop w:val="0"/>
          <w:marBottom w:val="0"/>
          <w:divBdr>
            <w:top w:val="none" w:sz="0" w:space="0" w:color="auto"/>
            <w:left w:val="none" w:sz="0" w:space="0" w:color="auto"/>
            <w:bottom w:val="none" w:sz="0" w:space="0" w:color="auto"/>
            <w:right w:val="none" w:sz="0" w:space="0" w:color="auto"/>
          </w:divBdr>
          <w:divsChild>
            <w:div w:id="50005144">
              <w:marLeft w:val="0"/>
              <w:marRight w:val="360"/>
              <w:marTop w:val="0"/>
              <w:marBottom w:val="0"/>
              <w:divBdr>
                <w:top w:val="none" w:sz="0" w:space="0" w:color="auto"/>
                <w:left w:val="none" w:sz="0" w:space="0" w:color="auto"/>
                <w:bottom w:val="none" w:sz="0" w:space="0" w:color="auto"/>
                <w:right w:val="none" w:sz="0" w:space="0" w:color="auto"/>
              </w:divBdr>
            </w:div>
          </w:divsChild>
        </w:div>
        <w:div w:id="484854658">
          <w:marLeft w:val="0"/>
          <w:marRight w:val="0"/>
          <w:marTop w:val="0"/>
          <w:marBottom w:val="0"/>
          <w:divBdr>
            <w:top w:val="none" w:sz="0" w:space="0" w:color="auto"/>
            <w:left w:val="none" w:sz="0" w:space="0" w:color="auto"/>
            <w:bottom w:val="none" w:sz="0" w:space="0" w:color="auto"/>
            <w:right w:val="none" w:sz="0" w:space="0" w:color="auto"/>
          </w:divBdr>
          <w:divsChild>
            <w:div w:id="1494449218">
              <w:marLeft w:val="0"/>
              <w:marRight w:val="0"/>
              <w:marTop w:val="0"/>
              <w:marBottom w:val="0"/>
              <w:divBdr>
                <w:top w:val="none" w:sz="0" w:space="0" w:color="auto"/>
                <w:left w:val="none" w:sz="0" w:space="0" w:color="auto"/>
                <w:bottom w:val="none" w:sz="0" w:space="0" w:color="auto"/>
                <w:right w:val="none" w:sz="0" w:space="0" w:color="auto"/>
              </w:divBdr>
            </w:div>
          </w:divsChild>
        </w:div>
        <w:div w:id="1417050995">
          <w:marLeft w:val="0"/>
          <w:marRight w:val="0"/>
          <w:marTop w:val="0"/>
          <w:marBottom w:val="0"/>
          <w:divBdr>
            <w:top w:val="none" w:sz="0" w:space="0" w:color="auto"/>
            <w:left w:val="none" w:sz="0" w:space="0" w:color="auto"/>
            <w:bottom w:val="none" w:sz="0" w:space="0" w:color="auto"/>
            <w:right w:val="none" w:sz="0" w:space="0" w:color="auto"/>
          </w:divBdr>
        </w:div>
        <w:div w:id="1022434642">
          <w:marLeft w:val="0"/>
          <w:marRight w:val="0"/>
          <w:marTop w:val="0"/>
          <w:marBottom w:val="0"/>
          <w:divBdr>
            <w:top w:val="none" w:sz="0" w:space="0" w:color="auto"/>
            <w:left w:val="none" w:sz="0" w:space="0" w:color="auto"/>
            <w:bottom w:val="none" w:sz="0" w:space="0" w:color="auto"/>
            <w:right w:val="none" w:sz="0" w:space="0" w:color="auto"/>
          </w:divBdr>
          <w:divsChild>
            <w:div w:id="369576286">
              <w:marLeft w:val="0"/>
              <w:marRight w:val="360"/>
              <w:marTop w:val="0"/>
              <w:marBottom w:val="0"/>
              <w:divBdr>
                <w:top w:val="none" w:sz="0" w:space="0" w:color="auto"/>
                <w:left w:val="none" w:sz="0" w:space="0" w:color="auto"/>
                <w:bottom w:val="none" w:sz="0" w:space="0" w:color="auto"/>
                <w:right w:val="none" w:sz="0" w:space="0" w:color="auto"/>
              </w:divBdr>
            </w:div>
          </w:divsChild>
        </w:div>
        <w:div w:id="1240745859">
          <w:marLeft w:val="0"/>
          <w:marRight w:val="0"/>
          <w:marTop w:val="0"/>
          <w:marBottom w:val="0"/>
          <w:divBdr>
            <w:top w:val="none" w:sz="0" w:space="0" w:color="auto"/>
            <w:left w:val="none" w:sz="0" w:space="0" w:color="auto"/>
            <w:bottom w:val="none" w:sz="0" w:space="0" w:color="auto"/>
            <w:right w:val="none" w:sz="0" w:space="0" w:color="auto"/>
          </w:divBdr>
          <w:divsChild>
            <w:div w:id="1879970002">
              <w:marLeft w:val="0"/>
              <w:marRight w:val="0"/>
              <w:marTop w:val="0"/>
              <w:marBottom w:val="0"/>
              <w:divBdr>
                <w:top w:val="none" w:sz="0" w:space="0" w:color="auto"/>
                <w:left w:val="none" w:sz="0" w:space="0" w:color="auto"/>
                <w:bottom w:val="none" w:sz="0" w:space="0" w:color="auto"/>
                <w:right w:val="none" w:sz="0" w:space="0" w:color="auto"/>
              </w:divBdr>
            </w:div>
          </w:divsChild>
        </w:div>
        <w:div w:id="18625656">
          <w:marLeft w:val="0"/>
          <w:marRight w:val="0"/>
          <w:marTop w:val="0"/>
          <w:marBottom w:val="0"/>
          <w:divBdr>
            <w:top w:val="none" w:sz="0" w:space="0" w:color="auto"/>
            <w:left w:val="none" w:sz="0" w:space="0" w:color="auto"/>
            <w:bottom w:val="none" w:sz="0" w:space="0" w:color="auto"/>
            <w:right w:val="none" w:sz="0" w:space="0" w:color="auto"/>
          </w:divBdr>
        </w:div>
        <w:div w:id="1907061400">
          <w:marLeft w:val="0"/>
          <w:marRight w:val="0"/>
          <w:marTop w:val="0"/>
          <w:marBottom w:val="0"/>
          <w:divBdr>
            <w:top w:val="none" w:sz="0" w:space="0" w:color="auto"/>
            <w:left w:val="none" w:sz="0" w:space="0" w:color="auto"/>
            <w:bottom w:val="none" w:sz="0" w:space="0" w:color="auto"/>
            <w:right w:val="none" w:sz="0" w:space="0" w:color="auto"/>
          </w:divBdr>
        </w:div>
        <w:div w:id="1145584212">
          <w:marLeft w:val="0"/>
          <w:marRight w:val="0"/>
          <w:marTop w:val="0"/>
          <w:marBottom w:val="0"/>
          <w:divBdr>
            <w:top w:val="none" w:sz="0" w:space="0" w:color="auto"/>
            <w:left w:val="none" w:sz="0" w:space="0" w:color="auto"/>
            <w:bottom w:val="none" w:sz="0" w:space="0" w:color="auto"/>
            <w:right w:val="none" w:sz="0" w:space="0" w:color="auto"/>
          </w:divBdr>
          <w:divsChild>
            <w:div w:id="1656883679">
              <w:marLeft w:val="0"/>
              <w:marRight w:val="0"/>
              <w:marTop w:val="0"/>
              <w:marBottom w:val="0"/>
              <w:divBdr>
                <w:top w:val="none" w:sz="0" w:space="0" w:color="auto"/>
                <w:left w:val="none" w:sz="0" w:space="0" w:color="auto"/>
                <w:bottom w:val="none" w:sz="0" w:space="0" w:color="auto"/>
                <w:right w:val="none" w:sz="0" w:space="0" w:color="auto"/>
              </w:divBdr>
            </w:div>
          </w:divsChild>
        </w:div>
        <w:div w:id="1343049998">
          <w:marLeft w:val="0"/>
          <w:marRight w:val="0"/>
          <w:marTop w:val="0"/>
          <w:marBottom w:val="0"/>
          <w:divBdr>
            <w:top w:val="none" w:sz="0" w:space="0" w:color="auto"/>
            <w:left w:val="none" w:sz="0" w:space="0" w:color="auto"/>
            <w:bottom w:val="none" w:sz="0" w:space="0" w:color="auto"/>
            <w:right w:val="none" w:sz="0" w:space="0" w:color="auto"/>
          </w:divBdr>
        </w:div>
        <w:div w:id="108085598">
          <w:marLeft w:val="0"/>
          <w:marRight w:val="0"/>
          <w:marTop w:val="0"/>
          <w:marBottom w:val="0"/>
          <w:divBdr>
            <w:top w:val="none" w:sz="0" w:space="0" w:color="auto"/>
            <w:left w:val="none" w:sz="0" w:space="0" w:color="auto"/>
            <w:bottom w:val="none" w:sz="0" w:space="0" w:color="auto"/>
            <w:right w:val="none" w:sz="0" w:space="0" w:color="auto"/>
          </w:divBdr>
          <w:divsChild>
            <w:div w:id="330455283">
              <w:marLeft w:val="0"/>
              <w:marRight w:val="360"/>
              <w:marTop w:val="0"/>
              <w:marBottom w:val="0"/>
              <w:divBdr>
                <w:top w:val="none" w:sz="0" w:space="0" w:color="auto"/>
                <w:left w:val="none" w:sz="0" w:space="0" w:color="auto"/>
                <w:bottom w:val="none" w:sz="0" w:space="0" w:color="auto"/>
                <w:right w:val="none" w:sz="0" w:space="0" w:color="auto"/>
              </w:divBdr>
            </w:div>
          </w:divsChild>
        </w:div>
        <w:div w:id="1037773368">
          <w:marLeft w:val="0"/>
          <w:marRight w:val="0"/>
          <w:marTop w:val="0"/>
          <w:marBottom w:val="0"/>
          <w:divBdr>
            <w:top w:val="none" w:sz="0" w:space="0" w:color="auto"/>
            <w:left w:val="none" w:sz="0" w:space="0" w:color="auto"/>
            <w:bottom w:val="none" w:sz="0" w:space="0" w:color="auto"/>
            <w:right w:val="none" w:sz="0" w:space="0" w:color="auto"/>
          </w:divBdr>
        </w:div>
        <w:div w:id="1177576091">
          <w:marLeft w:val="0"/>
          <w:marRight w:val="0"/>
          <w:marTop w:val="0"/>
          <w:marBottom w:val="0"/>
          <w:divBdr>
            <w:top w:val="none" w:sz="0" w:space="0" w:color="auto"/>
            <w:left w:val="none" w:sz="0" w:space="0" w:color="auto"/>
            <w:bottom w:val="none" w:sz="0" w:space="0" w:color="auto"/>
            <w:right w:val="none" w:sz="0" w:space="0" w:color="auto"/>
          </w:divBdr>
        </w:div>
        <w:div w:id="130558443">
          <w:marLeft w:val="0"/>
          <w:marRight w:val="0"/>
          <w:marTop w:val="0"/>
          <w:marBottom w:val="0"/>
          <w:divBdr>
            <w:top w:val="none" w:sz="0" w:space="0" w:color="auto"/>
            <w:left w:val="none" w:sz="0" w:space="0" w:color="auto"/>
            <w:bottom w:val="none" w:sz="0" w:space="0" w:color="auto"/>
            <w:right w:val="none" w:sz="0" w:space="0" w:color="auto"/>
          </w:divBdr>
        </w:div>
        <w:div w:id="647133847">
          <w:marLeft w:val="0"/>
          <w:marRight w:val="0"/>
          <w:marTop w:val="0"/>
          <w:marBottom w:val="0"/>
          <w:divBdr>
            <w:top w:val="none" w:sz="0" w:space="0" w:color="auto"/>
            <w:left w:val="none" w:sz="0" w:space="0" w:color="auto"/>
            <w:bottom w:val="none" w:sz="0" w:space="0" w:color="auto"/>
            <w:right w:val="none" w:sz="0" w:space="0" w:color="auto"/>
          </w:divBdr>
        </w:div>
        <w:div w:id="554781756">
          <w:marLeft w:val="0"/>
          <w:marRight w:val="0"/>
          <w:marTop w:val="0"/>
          <w:marBottom w:val="0"/>
          <w:divBdr>
            <w:top w:val="none" w:sz="0" w:space="0" w:color="auto"/>
            <w:left w:val="none" w:sz="0" w:space="0" w:color="auto"/>
            <w:bottom w:val="none" w:sz="0" w:space="0" w:color="auto"/>
            <w:right w:val="none" w:sz="0" w:space="0" w:color="auto"/>
          </w:divBdr>
        </w:div>
        <w:div w:id="681275722">
          <w:marLeft w:val="0"/>
          <w:marRight w:val="0"/>
          <w:marTop w:val="0"/>
          <w:marBottom w:val="0"/>
          <w:divBdr>
            <w:top w:val="none" w:sz="0" w:space="0" w:color="auto"/>
            <w:left w:val="none" w:sz="0" w:space="0" w:color="auto"/>
            <w:bottom w:val="none" w:sz="0" w:space="0" w:color="auto"/>
            <w:right w:val="none" w:sz="0" w:space="0" w:color="auto"/>
          </w:divBdr>
        </w:div>
        <w:div w:id="1448697992">
          <w:marLeft w:val="0"/>
          <w:marRight w:val="0"/>
          <w:marTop w:val="0"/>
          <w:marBottom w:val="0"/>
          <w:divBdr>
            <w:top w:val="none" w:sz="0" w:space="0" w:color="auto"/>
            <w:left w:val="none" w:sz="0" w:space="0" w:color="auto"/>
            <w:bottom w:val="none" w:sz="0" w:space="0" w:color="auto"/>
            <w:right w:val="none" w:sz="0" w:space="0" w:color="auto"/>
          </w:divBdr>
        </w:div>
        <w:div w:id="409304395">
          <w:marLeft w:val="0"/>
          <w:marRight w:val="0"/>
          <w:marTop w:val="0"/>
          <w:marBottom w:val="0"/>
          <w:divBdr>
            <w:top w:val="none" w:sz="0" w:space="0" w:color="auto"/>
            <w:left w:val="none" w:sz="0" w:space="0" w:color="auto"/>
            <w:bottom w:val="none" w:sz="0" w:space="0" w:color="auto"/>
            <w:right w:val="none" w:sz="0" w:space="0" w:color="auto"/>
          </w:divBdr>
          <w:divsChild>
            <w:div w:id="1654527672">
              <w:marLeft w:val="0"/>
              <w:marRight w:val="0"/>
              <w:marTop w:val="0"/>
              <w:marBottom w:val="0"/>
              <w:divBdr>
                <w:top w:val="none" w:sz="0" w:space="0" w:color="auto"/>
                <w:left w:val="none" w:sz="0" w:space="0" w:color="auto"/>
                <w:bottom w:val="none" w:sz="0" w:space="0" w:color="auto"/>
                <w:right w:val="none" w:sz="0" w:space="0" w:color="auto"/>
              </w:divBdr>
            </w:div>
          </w:divsChild>
        </w:div>
        <w:div w:id="1299334395">
          <w:marLeft w:val="0"/>
          <w:marRight w:val="0"/>
          <w:marTop w:val="0"/>
          <w:marBottom w:val="0"/>
          <w:divBdr>
            <w:top w:val="none" w:sz="0" w:space="0" w:color="auto"/>
            <w:left w:val="none" w:sz="0" w:space="0" w:color="auto"/>
            <w:bottom w:val="none" w:sz="0" w:space="0" w:color="auto"/>
            <w:right w:val="none" w:sz="0" w:space="0" w:color="auto"/>
          </w:divBdr>
        </w:div>
        <w:div w:id="1848016751">
          <w:marLeft w:val="0"/>
          <w:marRight w:val="0"/>
          <w:marTop w:val="0"/>
          <w:marBottom w:val="0"/>
          <w:divBdr>
            <w:top w:val="none" w:sz="0" w:space="0" w:color="auto"/>
            <w:left w:val="none" w:sz="0" w:space="0" w:color="auto"/>
            <w:bottom w:val="none" w:sz="0" w:space="0" w:color="auto"/>
            <w:right w:val="none" w:sz="0" w:space="0" w:color="auto"/>
          </w:divBdr>
          <w:divsChild>
            <w:div w:id="1915620763">
              <w:marLeft w:val="0"/>
              <w:marRight w:val="360"/>
              <w:marTop w:val="0"/>
              <w:marBottom w:val="0"/>
              <w:divBdr>
                <w:top w:val="none" w:sz="0" w:space="0" w:color="auto"/>
                <w:left w:val="none" w:sz="0" w:space="0" w:color="auto"/>
                <w:bottom w:val="none" w:sz="0" w:space="0" w:color="auto"/>
                <w:right w:val="none" w:sz="0" w:space="0" w:color="auto"/>
              </w:divBdr>
            </w:div>
          </w:divsChild>
        </w:div>
        <w:div w:id="2096631838">
          <w:marLeft w:val="0"/>
          <w:marRight w:val="0"/>
          <w:marTop w:val="0"/>
          <w:marBottom w:val="0"/>
          <w:divBdr>
            <w:top w:val="none" w:sz="0" w:space="0" w:color="auto"/>
            <w:left w:val="none" w:sz="0" w:space="0" w:color="auto"/>
            <w:bottom w:val="none" w:sz="0" w:space="0" w:color="auto"/>
            <w:right w:val="none" w:sz="0" w:space="0" w:color="auto"/>
          </w:divBdr>
          <w:divsChild>
            <w:div w:id="1742210989">
              <w:marLeft w:val="0"/>
              <w:marRight w:val="0"/>
              <w:marTop w:val="0"/>
              <w:marBottom w:val="0"/>
              <w:divBdr>
                <w:top w:val="none" w:sz="0" w:space="0" w:color="auto"/>
                <w:left w:val="none" w:sz="0" w:space="0" w:color="auto"/>
                <w:bottom w:val="none" w:sz="0" w:space="0" w:color="auto"/>
                <w:right w:val="none" w:sz="0" w:space="0" w:color="auto"/>
              </w:divBdr>
            </w:div>
          </w:divsChild>
        </w:div>
        <w:div w:id="1225604076">
          <w:marLeft w:val="0"/>
          <w:marRight w:val="0"/>
          <w:marTop w:val="0"/>
          <w:marBottom w:val="0"/>
          <w:divBdr>
            <w:top w:val="none" w:sz="0" w:space="0" w:color="auto"/>
            <w:left w:val="none" w:sz="0" w:space="0" w:color="auto"/>
            <w:bottom w:val="none" w:sz="0" w:space="0" w:color="auto"/>
            <w:right w:val="none" w:sz="0" w:space="0" w:color="auto"/>
          </w:divBdr>
        </w:div>
        <w:div w:id="1962609804">
          <w:marLeft w:val="0"/>
          <w:marRight w:val="0"/>
          <w:marTop w:val="0"/>
          <w:marBottom w:val="0"/>
          <w:divBdr>
            <w:top w:val="none" w:sz="0" w:space="0" w:color="auto"/>
            <w:left w:val="none" w:sz="0" w:space="0" w:color="auto"/>
            <w:bottom w:val="none" w:sz="0" w:space="0" w:color="auto"/>
            <w:right w:val="none" w:sz="0" w:space="0" w:color="auto"/>
          </w:divBdr>
        </w:div>
        <w:div w:id="1928491637">
          <w:marLeft w:val="0"/>
          <w:marRight w:val="0"/>
          <w:marTop w:val="0"/>
          <w:marBottom w:val="0"/>
          <w:divBdr>
            <w:top w:val="none" w:sz="0" w:space="0" w:color="auto"/>
            <w:left w:val="none" w:sz="0" w:space="0" w:color="auto"/>
            <w:bottom w:val="none" w:sz="0" w:space="0" w:color="auto"/>
            <w:right w:val="none" w:sz="0" w:space="0" w:color="auto"/>
          </w:divBdr>
        </w:div>
        <w:div w:id="901210848">
          <w:marLeft w:val="0"/>
          <w:marRight w:val="0"/>
          <w:marTop w:val="0"/>
          <w:marBottom w:val="0"/>
          <w:divBdr>
            <w:top w:val="none" w:sz="0" w:space="0" w:color="auto"/>
            <w:left w:val="none" w:sz="0" w:space="0" w:color="auto"/>
            <w:bottom w:val="none" w:sz="0" w:space="0" w:color="auto"/>
            <w:right w:val="none" w:sz="0" w:space="0" w:color="auto"/>
          </w:divBdr>
          <w:divsChild>
            <w:div w:id="779105792">
              <w:marLeft w:val="0"/>
              <w:marRight w:val="0"/>
              <w:marTop w:val="0"/>
              <w:marBottom w:val="0"/>
              <w:divBdr>
                <w:top w:val="none" w:sz="0" w:space="0" w:color="auto"/>
                <w:left w:val="none" w:sz="0" w:space="0" w:color="auto"/>
                <w:bottom w:val="none" w:sz="0" w:space="0" w:color="auto"/>
                <w:right w:val="none" w:sz="0" w:space="0" w:color="auto"/>
              </w:divBdr>
            </w:div>
          </w:divsChild>
        </w:div>
        <w:div w:id="1537154145">
          <w:marLeft w:val="0"/>
          <w:marRight w:val="0"/>
          <w:marTop w:val="0"/>
          <w:marBottom w:val="0"/>
          <w:divBdr>
            <w:top w:val="none" w:sz="0" w:space="0" w:color="auto"/>
            <w:left w:val="none" w:sz="0" w:space="0" w:color="auto"/>
            <w:bottom w:val="none" w:sz="0" w:space="0" w:color="auto"/>
            <w:right w:val="none" w:sz="0" w:space="0" w:color="auto"/>
          </w:divBdr>
        </w:div>
        <w:div w:id="1239637827">
          <w:marLeft w:val="0"/>
          <w:marRight w:val="0"/>
          <w:marTop w:val="0"/>
          <w:marBottom w:val="0"/>
          <w:divBdr>
            <w:top w:val="none" w:sz="0" w:space="0" w:color="auto"/>
            <w:left w:val="none" w:sz="0" w:space="0" w:color="auto"/>
            <w:bottom w:val="none" w:sz="0" w:space="0" w:color="auto"/>
            <w:right w:val="none" w:sz="0" w:space="0" w:color="auto"/>
          </w:divBdr>
          <w:divsChild>
            <w:div w:id="1258248103">
              <w:marLeft w:val="0"/>
              <w:marRight w:val="360"/>
              <w:marTop w:val="0"/>
              <w:marBottom w:val="0"/>
              <w:divBdr>
                <w:top w:val="none" w:sz="0" w:space="0" w:color="auto"/>
                <w:left w:val="none" w:sz="0" w:space="0" w:color="auto"/>
                <w:bottom w:val="none" w:sz="0" w:space="0" w:color="auto"/>
                <w:right w:val="none" w:sz="0" w:space="0" w:color="auto"/>
              </w:divBdr>
            </w:div>
          </w:divsChild>
        </w:div>
        <w:div w:id="630677067">
          <w:marLeft w:val="0"/>
          <w:marRight w:val="0"/>
          <w:marTop w:val="0"/>
          <w:marBottom w:val="0"/>
          <w:divBdr>
            <w:top w:val="none" w:sz="0" w:space="0" w:color="auto"/>
            <w:left w:val="none" w:sz="0" w:space="0" w:color="auto"/>
            <w:bottom w:val="none" w:sz="0" w:space="0" w:color="auto"/>
            <w:right w:val="none" w:sz="0" w:space="0" w:color="auto"/>
          </w:divBdr>
          <w:divsChild>
            <w:div w:id="687025590">
              <w:marLeft w:val="0"/>
              <w:marRight w:val="0"/>
              <w:marTop w:val="0"/>
              <w:marBottom w:val="0"/>
              <w:divBdr>
                <w:top w:val="none" w:sz="0" w:space="0" w:color="auto"/>
                <w:left w:val="none" w:sz="0" w:space="0" w:color="auto"/>
                <w:bottom w:val="none" w:sz="0" w:space="0" w:color="auto"/>
                <w:right w:val="none" w:sz="0" w:space="0" w:color="auto"/>
              </w:divBdr>
            </w:div>
          </w:divsChild>
        </w:div>
        <w:div w:id="1996102980">
          <w:marLeft w:val="0"/>
          <w:marRight w:val="0"/>
          <w:marTop w:val="0"/>
          <w:marBottom w:val="0"/>
          <w:divBdr>
            <w:top w:val="none" w:sz="0" w:space="0" w:color="auto"/>
            <w:left w:val="none" w:sz="0" w:space="0" w:color="auto"/>
            <w:bottom w:val="none" w:sz="0" w:space="0" w:color="auto"/>
            <w:right w:val="none" w:sz="0" w:space="0" w:color="auto"/>
          </w:divBdr>
        </w:div>
        <w:div w:id="1235777064">
          <w:marLeft w:val="0"/>
          <w:marRight w:val="0"/>
          <w:marTop w:val="0"/>
          <w:marBottom w:val="0"/>
          <w:divBdr>
            <w:top w:val="none" w:sz="0" w:space="0" w:color="auto"/>
            <w:left w:val="none" w:sz="0" w:space="0" w:color="auto"/>
            <w:bottom w:val="none" w:sz="0" w:space="0" w:color="auto"/>
            <w:right w:val="none" w:sz="0" w:space="0" w:color="auto"/>
          </w:divBdr>
        </w:div>
        <w:div w:id="1390232163">
          <w:marLeft w:val="0"/>
          <w:marRight w:val="0"/>
          <w:marTop w:val="0"/>
          <w:marBottom w:val="0"/>
          <w:divBdr>
            <w:top w:val="none" w:sz="0" w:space="0" w:color="auto"/>
            <w:left w:val="none" w:sz="0" w:space="0" w:color="auto"/>
            <w:bottom w:val="none" w:sz="0" w:space="0" w:color="auto"/>
            <w:right w:val="none" w:sz="0" w:space="0" w:color="auto"/>
          </w:divBdr>
          <w:divsChild>
            <w:div w:id="224029275">
              <w:marLeft w:val="0"/>
              <w:marRight w:val="360"/>
              <w:marTop w:val="0"/>
              <w:marBottom w:val="0"/>
              <w:divBdr>
                <w:top w:val="none" w:sz="0" w:space="0" w:color="auto"/>
                <w:left w:val="none" w:sz="0" w:space="0" w:color="auto"/>
                <w:bottom w:val="none" w:sz="0" w:space="0" w:color="auto"/>
                <w:right w:val="none" w:sz="0" w:space="0" w:color="auto"/>
              </w:divBdr>
            </w:div>
          </w:divsChild>
        </w:div>
        <w:div w:id="1570339945">
          <w:marLeft w:val="0"/>
          <w:marRight w:val="0"/>
          <w:marTop w:val="0"/>
          <w:marBottom w:val="0"/>
          <w:divBdr>
            <w:top w:val="none" w:sz="0" w:space="0" w:color="auto"/>
            <w:left w:val="none" w:sz="0" w:space="0" w:color="auto"/>
            <w:bottom w:val="none" w:sz="0" w:space="0" w:color="auto"/>
            <w:right w:val="none" w:sz="0" w:space="0" w:color="auto"/>
          </w:divBdr>
          <w:divsChild>
            <w:div w:id="2051227585">
              <w:marLeft w:val="0"/>
              <w:marRight w:val="0"/>
              <w:marTop w:val="0"/>
              <w:marBottom w:val="0"/>
              <w:divBdr>
                <w:top w:val="none" w:sz="0" w:space="0" w:color="auto"/>
                <w:left w:val="none" w:sz="0" w:space="0" w:color="auto"/>
                <w:bottom w:val="none" w:sz="0" w:space="0" w:color="auto"/>
                <w:right w:val="none" w:sz="0" w:space="0" w:color="auto"/>
              </w:divBdr>
            </w:div>
          </w:divsChild>
        </w:div>
        <w:div w:id="2124416636">
          <w:marLeft w:val="0"/>
          <w:marRight w:val="0"/>
          <w:marTop w:val="0"/>
          <w:marBottom w:val="0"/>
          <w:divBdr>
            <w:top w:val="none" w:sz="0" w:space="0" w:color="auto"/>
            <w:left w:val="none" w:sz="0" w:space="0" w:color="auto"/>
            <w:bottom w:val="none" w:sz="0" w:space="0" w:color="auto"/>
            <w:right w:val="none" w:sz="0" w:space="0" w:color="auto"/>
          </w:divBdr>
        </w:div>
        <w:div w:id="1562907718">
          <w:marLeft w:val="0"/>
          <w:marRight w:val="0"/>
          <w:marTop w:val="0"/>
          <w:marBottom w:val="0"/>
          <w:divBdr>
            <w:top w:val="none" w:sz="0" w:space="0" w:color="auto"/>
            <w:left w:val="none" w:sz="0" w:space="0" w:color="auto"/>
            <w:bottom w:val="none" w:sz="0" w:space="0" w:color="auto"/>
            <w:right w:val="none" w:sz="0" w:space="0" w:color="auto"/>
          </w:divBdr>
        </w:div>
        <w:div w:id="1034891865">
          <w:marLeft w:val="0"/>
          <w:marRight w:val="0"/>
          <w:marTop w:val="0"/>
          <w:marBottom w:val="0"/>
          <w:divBdr>
            <w:top w:val="none" w:sz="0" w:space="0" w:color="auto"/>
            <w:left w:val="none" w:sz="0" w:space="0" w:color="auto"/>
            <w:bottom w:val="none" w:sz="0" w:space="0" w:color="auto"/>
            <w:right w:val="none" w:sz="0" w:space="0" w:color="auto"/>
          </w:divBdr>
          <w:divsChild>
            <w:div w:id="1289044308">
              <w:marLeft w:val="0"/>
              <w:marRight w:val="360"/>
              <w:marTop w:val="0"/>
              <w:marBottom w:val="0"/>
              <w:divBdr>
                <w:top w:val="none" w:sz="0" w:space="0" w:color="auto"/>
                <w:left w:val="none" w:sz="0" w:space="0" w:color="auto"/>
                <w:bottom w:val="none" w:sz="0" w:space="0" w:color="auto"/>
                <w:right w:val="none" w:sz="0" w:space="0" w:color="auto"/>
              </w:divBdr>
            </w:div>
          </w:divsChild>
        </w:div>
        <w:div w:id="2048479832">
          <w:marLeft w:val="0"/>
          <w:marRight w:val="0"/>
          <w:marTop w:val="0"/>
          <w:marBottom w:val="0"/>
          <w:divBdr>
            <w:top w:val="none" w:sz="0" w:space="0" w:color="auto"/>
            <w:left w:val="none" w:sz="0" w:space="0" w:color="auto"/>
            <w:bottom w:val="none" w:sz="0" w:space="0" w:color="auto"/>
            <w:right w:val="none" w:sz="0" w:space="0" w:color="auto"/>
          </w:divBdr>
          <w:divsChild>
            <w:div w:id="293756187">
              <w:marLeft w:val="0"/>
              <w:marRight w:val="0"/>
              <w:marTop w:val="0"/>
              <w:marBottom w:val="0"/>
              <w:divBdr>
                <w:top w:val="none" w:sz="0" w:space="0" w:color="auto"/>
                <w:left w:val="none" w:sz="0" w:space="0" w:color="auto"/>
                <w:bottom w:val="none" w:sz="0" w:space="0" w:color="auto"/>
                <w:right w:val="none" w:sz="0" w:space="0" w:color="auto"/>
              </w:divBdr>
            </w:div>
          </w:divsChild>
        </w:div>
        <w:div w:id="552153069">
          <w:marLeft w:val="0"/>
          <w:marRight w:val="0"/>
          <w:marTop w:val="0"/>
          <w:marBottom w:val="0"/>
          <w:divBdr>
            <w:top w:val="none" w:sz="0" w:space="0" w:color="auto"/>
            <w:left w:val="none" w:sz="0" w:space="0" w:color="auto"/>
            <w:bottom w:val="none" w:sz="0" w:space="0" w:color="auto"/>
            <w:right w:val="none" w:sz="0" w:space="0" w:color="auto"/>
          </w:divBdr>
        </w:div>
        <w:div w:id="984771534">
          <w:marLeft w:val="0"/>
          <w:marRight w:val="0"/>
          <w:marTop w:val="0"/>
          <w:marBottom w:val="0"/>
          <w:divBdr>
            <w:top w:val="none" w:sz="0" w:space="0" w:color="auto"/>
            <w:left w:val="none" w:sz="0" w:space="0" w:color="auto"/>
            <w:bottom w:val="none" w:sz="0" w:space="0" w:color="auto"/>
            <w:right w:val="none" w:sz="0" w:space="0" w:color="auto"/>
          </w:divBdr>
        </w:div>
        <w:div w:id="1242593991">
          <w:marLeft w:val="0"/>
          <w:marRight w:val="0"/>
          <w:marTop w:val="0"/>
          <w:marBottom w:val="0"/>
          <w:divBdr>
            <w:top w:val="none" w:sz="0" w:space="0" w:color="auto"/>
            <w:left w:val="none" w:sz="0" w:space="0" w:color="auto"/>
            <w:bottom w:val="none" w:sz="0" w:space="0" w:color="auto"/>
            <w:right w:val="none" w:sz="0" w:space="0" w:color="auto"/>
          </w:divBdr>
          <w:divsChild>
            <w:div w:id="1537111397">
              <w:marLeft w:val="0"/>
              <w:marRight w:val="0"/>
              <w:marTop w:val="0"/>
              <w:marBottom w:val="0"/>
              <w:divBdr>
                <w:top w:val="none" w:sz="0" w:space="0" w:color="auto"/>
                <w:left w:val="none" w:sz="0" w:space="0" w:color="auto"/>
                <w:bottom w:val="none" w:sz="0" w:space="0" w:color="auto"/>
                <w:right w:val="none" w:sz="0" w:space="0" w:color="auto"/>
              </w:divBdr>
            </w:div>
          </w:divsChild>
        </w:div>
        <w:div w:id="1209492100">
          <w:marLeft w:val="0"/>
          <w:marRight w:val="0"/>
          <w:marTop w:val="0"/>
          <w:marBottom w:val="0"/>
          <w:divBdr>
            <w:top w:val="none" w:sz="0" w:space="0" w:color="auto"/>
            <w:left w:val="none" w:sz="0" w:space="0" w:color="auto"/>
            <w:bottom w:val="none" w:sz="0" w:space="0" w:color="auto"/>
            <w:right w:val="none" w:sz="0" w:space="0" w:color="auto"/>
          </w:divBdr>
        </w:div>
        <w:div w:id="253712019">
          <w:marLeft w:val="0"/>
          <w:marRight w:val="0"/>
          <w:marTop w:val="0"/>
          <w:marBottom w:val="0"/>
          <w:divBdr>
            <w:top w:val="none" w:sz="0" w:space="0" w:color="auto"/>
            <w:left w:val="none" w:sz="0" w:space="0" w:color="auto"/>
            <w:bottom w:val="none" w:sz="0" w:space="0" w:color="auto"/>
            <w:right w:val="none" w:sz="0" w:space="0" w:color="auto"/>
          </w:divBdr>
          <w:divsChild>
            <w:div w:id="81952504">
              <w:marLeft w:val="0"/>
              <w:marRight w:val="360"/>
              <w:marTop w:val="0"/>
              <w:marBottom w:val="0"/>
              <w:divBdr>
                <w:top w:val="none" w:sz="0" w:space="0" w:color="auto"/>
                <w:left w:val="none" w:sz="0" w:space="0" w:color="auto"/>
                <w:bottom w:val="none" w:sz="0" w:space="0" w:color="auto"/>
                <w:right w:val="none" w:sz="0" w:space="0" w:color="auto"/>
              </w:divBdr>
            </w:div>
          </w:divsChild>
        </w:div>
        <w:div w:id="1835796603">
          <w:marLeft w:val="0"/>
          <w:marRight w:val="0"/>
          <w:marTop w:val="0"/>
          <w:marBottom w:val="0"/>
          <w:divBdr>
            <w:top w:val="none" w:sz="0" w:space="0" w:color="auto"/>
            <w:left w:val="none" w:sz="0" w:space="0" w:color="auto"/>
            <w:bottom w:val="none" w:sz="0" w:space="0" w:color="auto"/>
            <w:right w:val="none" w:sz="0" w:space="0" w:color="auto"/>
          </w:divBdr>
        </w:div>
        <w:div w:id="632058789">
          <w:marLeft w:val="0"/>
          <w:marRight w:val="0"/>
          <w:marTop w:val="0"/>
          <w:marBottom w:val="0"/>
          <w:divBdr>
            <w:top w:val="none" w:sz="0" w:space="0" w:color="auto"/>
            <w:left w:val="none" w:sz="0" w:space="0" w:color="auto"/>
            <w:bottom w:val="none" w:sz="0" w:space="0" w:color="auto"/>
            <w:right w:val="none" w:sz="0" w:space="0" w:color="auto"/>
          </w:divBdr>
          <w:divsChild>
            <w:div w:id="1753623429">
              <w:marLeft w:val="0"/>
              <w:marRight w:val="0"/>
              <w:marTop w:val="0"/>
              <w:marBottom w:val="0"/>
              <w:divBdr>
                <w:top w:val="none" w:sz="0" w:space="0" w:color="auto"/>
                <w:left w:val="none" w:sz="0" w:space="0" w:color="auto"/>
                <w:bottom w:val="none" w:sz="0" w:space="0" w:color="auto"/>
                <w:right w:val="none" w:sz="0" w:space="0" w:color="auto"/>
              </w:divBdr>
            </w:div>
          </w:divsChild>
        </w:div>
        <w:div w:id="829952776">
          <w:marLeft w:val="0"/>
          <w:marRight w:val="0"/>
          <w:marTop w:val="0"/>
          <w:marBottom w:val="0"/>
          <w:divBdr>
            <w:top w:val="none" w:sz="0" w:space="0" w:color="auto"/>
            <w:left w:val="none" w:sz="0" w:space="0" w:color="auto"/>
            <w:bottom w:val="none" w:sz="0" w:space="0" w:color="auto"/>
            <w:right w:val="none" w:sz="0" w:space="0" w:color="auto"/>
          </w:divBdr>
        </w:div>
        <w:div w:id="101003338">
          <w:marLeft w:val="0"/>
          <w:marRight w:val="0"/>
          <w:marTop w:val="0"/>
          <w:marBottom w:val="0"/>
          <w:divBdr>
            <w:top w:val="none" w:sz="0" w:space="0" w:color="auto"/>
            <w:left w:val="none" w:sz="0" w:space="0" w:color="auto"/>
            <w:bottom w:val="none" w:sz="0" w:space="0" w:color="auto"/>
            <w:right w:val="none" w:sz="0" w:space="0" w:color="auto"/>
          </w:divBdr>
          <w:divsChild>
            <w:div w:id="379402784">
              <w:marLeft w:val="0"/>
              <w:marRight w:val="360"/>
              <w:marTop w:val="0"/>
              <w:marBottom w:val="0"/>
              <w:divBdr>
                <w:top w:val="none" w:sz="0" w:space="0" w:color="auto"/>
                <w:left w:val="none" w:sz="0" w:space="0" w:color="auto"/>
                <w:bottom w:val="none" w:sz="0" w:space="0" w:color="auto"/>
                <w:right w:val="none" w:sz="0" w:space="0" w:color="auto"/>
              </w:divBdr>
            </w:div>
          </w:divsChild>
        </w:div>
        <w:div w:id="1668633644">
          <w:marLeft w:val="0"/>
          <w:marRight w:val="0"/>
          <w:marTop w:val="0"/>
          <w:marBottom w:val="0"/>
          <w:divBdr>
            <w:top w:val="none" w:sz="0" w:space="0" w:color="auto"/>
            <w:left w:val="none" w:sz="0" w:space="0" w:color="auto"/>
            <w:bottom w:val="none" w:sz="0" w:space="0" w:color="auto"/>
            <w:right w:val="none" w:sz="0" w:space="0" w:color="auto"/>
          </w:divBdr>
          <w:divsChild>
            <w:div w:id="546264643">
              <w:marLeft w:val="0"/>
              <w:marRight w:val="0"/>
              <w:marTop w:val="0"/>
              <w:marBottom w:val="0"/>
              <w:divBdr>
                <w:top w:val="none" w:sz="0" w:space="0" w:color="auto"/>
                <w:left w:val="none" w:sz="0" w:space="0" w:color="auto"/>
                <w:bottom w:val="none" w:sz="0" w:space="0" w:color="auto"/>
                <w:right w:val="none" w:sz="0" w:space="0" w:color="auto"/>
              </w:divBdr>
            </w:div>
          </w:divsChild>
        </w:div>
        <w:div w:id="1118723653">
          <w:marLeft w:val="0"/>
          <w:marRight w:val="0"/>
          <w:marTop w:val="0"/>
          <w:marBottom w:val="0"/>
          <w:divBdr>
            <w:top w:val="none" w:sz="0" w:space="0" w:color="auto"/>
            <w:left w:val="none" w:sz="0" w:space="0" w:color="auto"/>
            <w:bottom w:val="none" w:sz="0" w:space="0" w:color="auto"/>
            <w:right w:val="none" w:sz="0" w:space="0" w:color="auto"/>
          </w:divBdr>
        </w:div>
        <w:div w:id="410469059">
          <w:marLeft w:val="0"/>
          <w:marRight w:val="0"/>
          <w:marTop w:val="0"/>
          <w:marBottom w:val="0"/>
          <w:divBdr>
            <w:top w:val="none" w:sz="0" w:space="0" w:color="auto"/>
            <w:left w:val="none" w:sz="0" w:space="0" w:color="auto"/>
            <w:bottom w:val="none" w:sz="0" w:space="0" w:color="auto"/>
            <w:right w:val="none" w:sz="0" w:space="0" w:color="auto"/>
          </w:divBdr>
          <w:divsChild>
            <w:div w:id="640115352">
              <w:marLeft w:val="0"/>
              <w:marRight w:val="360"/>
              <w:marTop w:val="0"/>
              <w:marBottom w:val="0"/>
              <w:divBdr>
                <w:top w:val="none" w:sz="0" w:space="0" w:color="auto"/>
                <w:left w:val="none" w:sz="0" w:space="0" w:color="auto"/>
                <w:bottom w:val="none" w:sz="0" w:space="0" w:color="auto"/>
                <w:right w:val="none" w:sz="0" w:space="0" w:color="auto"/>
              </w:divBdr>
            </w:div>
          </w:divsChild>
        </w:div>
        <w:div w:id="727846432">
          <w:marLeft w:val="0"/>
          <w:marRight w:val="0"/>
          <w:marTop w:val="0"/>
          <w:marBottom w:val="0"/>
          <w:divBdr>
            <w:top w:val="none" w:sz="0" w:space="0" w:color="auto"/>
            <w:left w:val="none" w:sz="0" w:space="0" w:color="auto"/>
            <w:bottom w:val="none" w:sz="0" w:space="0" w:color="auto"/>
            <w:right w:val="none" w:sz="0" w:space="0" w:color="auto"/>
          </w:divBdr>
          <w:divsChild>
            <w:div w:id="1346860175">
              <w:marLeft w:val="0"/>
              <w:marRight w:val="0"/>
              <w:marTop w:val="0"/>
              <w:marBottom w:val="0"/>
              <w:divBdr>
                <w:top w:val="none" w:sz="0" w:space="0" w:color="auto"/>
                <w:left w:val="none" w:sz="0" w:space="0" w:color="auto"/>
                <w:bottom w:val="none" w:sz="0" w:space="0" w:color="auto"/>
                <w:right w:val="none" w:sz="0" w:space="0" w:color="auto"/>
              </w:divBdr>
            </w:div>
          </w:divsChild>
        </w:div>
        <w:div w:id="2033071136">
          <w:marLeft w:val="0"/>
          <w:marRight w:val="0"/>
          <w:marTop w:val="0"/>
          <w:marBottom w:val="0"/>
          <w:divBdr>
            <w:top w:val="none" w:sz="0" w:space="0" w:color="auto"/>
            <w:left w:val="none" w:sz="0" w:space="0" w:color="auto"/>
            <w:bottom w:val="none" w:sz="0" w:space="0" w:color="auto"/>
            <w:right w:val="none" w:sz="0" w:space="0" w:color="auto"/>
          </w:divBdr>
        </w:div>
        <w:div w:id="1029453662">
          <w:marLeft w:val="0"/>
          <w:marRight w:val="0"/>
          <w:marTop w:val="0"/>
          <w:marBottom w:val="0"/>
          <w:divBdr>
            <w:top w:val="none" w:sz="0" w:space="0" w:color="auto"/>
            <w:left w:val="none" w:sz="0" w:space="0" w:color="auto"/>
            <w:bottom w:val="none" w:sz="0" w:space="0" w:color="auto"/>
            <w:right w:val="none" w:sz="0" w:space="0" w:color="auto"/>
          </w:divBdr>
        </w:div>
        <w:div w:id="996345487">
          <w:marLeft w:val="0"/>
          <w:marRight w:val="0"/>
          <w:marTop w:val="0"/>
          <w:marBottom w:val="0"/>
          <w:divBdr>
            <w:top w:val="none" w:sz="0" w:space="0" w:color="auto"/>
            <w:left w:val="none" w:sz="0" w:space="0" w:color="auto"/>
            <w:bottom w:val="none" w:sz="0" w:space="0" w:color="auto"/>
            <w:right w:val="none" w:sz="0" w:space="0" w:color="auto"/>
          </w:divBdr>
        </w:div>
        <w:div w:id="1195920559">
          <w:marLeft w:val="0"/>
          <w:marRight w:val="0"/>
          <w:marTop w:val="0"/>
          <w:marBottom w:val="0"/>
          <w:divBdr>
            <w:top w:val="none" w:sz="0" w:space="0" w:color="auto"/>
            <w:left w:val="none" w:sz="0" w:space="0" w:color="auto"/>
            <w:bottom w:val="none" w:sz="0" w:space="0" w:color="auto"/>
            <w:right w:val="none" w:sz="0" w:space="0" w:color="auto"/>
          </w:divBdr>
          <w:divsChild>
            <w:div w:id="735472686">
              <w:marLeft w:val="0"/>
              <w:marRight w:val="0"/>
              <w:marTop w:val="0"/>
              <w:marBottom w:val="0"/>
              <w:divBdr>
                <w:top w:val="none" w:sz="0" w:space="0" w:color="auto"/>
                <w:left w:val="none" w:sz="0" w:space="0" w:color="auto"/>
                <w:bottom w:val="none" w:sz="0" w:space="0" w:color="auto"/>
                <w:right w:val="none" w:sz="0" w:space="0" w:color="auto"/>
              </w:divBdr>
            </w:div>
          </w:divsChild>
        </w:div>
        <w:div w:id="2128700464">
          <w:marLeft w:val="0"/>
          <w:marRight w:val="0"/>
          <w:marTop w:val="0"/>
          <w:marBottom w:val="0"/>
          <w:divBdr>
            <w:top w:val="none" w:sz="0" w:space="0" w:color="auto"/>
            <w:left w:val="none" w:sz="0" w:space="0" w:color="auto"/>
            <w:bottom w:val="none" w:sz="0" w:space="0" w:color="auto"/>
            <w:right w:val="none" w:sz="0" w:space="0" w:color="auto"/>
          </w:divBdr>
        </w:div>
        <w:div w:id="666514443">
          <w:marLeft w:val="0"/>
          <w:marRight w:val="0"/>
          <w:marTop w:val="0"/>
          <w:marBottom w:val="0"/>
          <w:divBdr>
            <w:top w:val="none" w:sz="0" w:space="0" w:color="auto"/>
            <w:left w:val="none" w:sz="0" w:space="0" w:color="auto"/>
            <w:bottom w:val="none" w:sz="0" w:space="0" w:color="auto"/>
            <w:right w:val="none" w:sz="0" w:space="0" w:color="auto"/>
          </w:divBdr>
        </w:div>
        <w:div w:id="264192860">
          <w:marLeft w:val="0"/>
          <w:marRight w:val="0"/>
          <w:marTop w:val="0"/>
          <w:marBottom w:val="0"/>
          <w:divBdr>
            <w:top w:val="none" w:sz="0" w:space="0" w:color="auto"/>
            <w:left w:val="none" w:sz="0" w:space="0" w:color="auto"/>
            <w:bottom w:val="none" w:sz="0" w:space="0" w:color="auto"/>
            <w:right w:val="none" w:sz="0" w:space="0" w:color="auto"/>
          </w:divBdr>
        </w:div>
        <w:div w:id="984309735">
          <w:marLeft w:val="0"/>
          <w:marRight w:val="0"/>
          <w:marTop w:val="0"/>
          <w:marBottom w:val="0"/>
          <w:divBdr>
            <w:top w:val="none" w:sz="0" w:space="0" w:color="auto"/>
            <w:left w:val="none" w:sz="0" w:space="0" w:color="auto"/>
            <w:bottom w:val="none" w:sz="0" w:space="0" w:color="auto"/>
            <w:right w:val="none" w:sz="0" w:space="0" w:color="auto"/>
          </w:divBdr>
        </w:div>
        <w:div w:id="1376200012">
          <w:marLeft w:val="0"/>
          <w:marRight w:val="0"/>
          <w:marTop w:val="0"/>
          <w:marBottom w:val="0"/>
          <w:divBdr>
            <w:top w:val="none" w:sz="0" w:space="0" w:color="auto"/>
            <w:left w:val="none" w:sz="0" w:space="0" w:color="auto"/>
            <w:bottom w:val="none" w:sz="0" w:space="0" w:color="auto"/>
            <w:right w:val="none" w:sz="0" w:space="0" w:color="auto"/>
          </w:divBdr>
        </w:div>
        <w:div w:id="1610165901">
          <w:marLeft w:val="0"/>
          <w:marRight w:val="0"/>
          <w:marTop w:val="0"/>
          <w:marBottom w:val="0"/>
          <w:divBdr>
            <w:top w:val="none" w:sz="0" w:space="0" w:color="auto"/>
            <w:left w:val="none" w:sz="0" w:space="0" w:color="auto"/>
            <w:bottom w:val="none" w:sz="0" w:space="0" w:color="auto"/>
            <w:right w:val="none" w:sz="0" w:space="0" w:color="auto"/>
          </w:divBdr>
        </w:div>
        <w:div w:id="213664261">
          <w:marLeft w:val="0"/>
          <w:marRight w:val="0"/>
          <w:marTop w:val="0"/>
          <w:marBottom w:val="0"/>
          <w:divBdr>
            <w:top w:val="none" w:sz="0" w:space="0" w:color="auto"/>
            <w:left w:val="none" w:sz="0" w:space="0" w:color="auto"/>
            <w:bottom w:val="none" w:sz="0" w:space="0" w:color="auto"/>
            <w:right w:val="none" w:sz="0" w:space="0" w:color="auto"/>
          </w:divBdr>
          <w:divsChild>
            <w:div w:id="1967808355">
              <w:marLeft w:val="0"/>
              <w:marRight w:val="0"/>
              <w:marTop w:val="0"/>
              <w:marBottom w:val="0"/>
              <w:divBdr>
                <w:top w:val="none" w:sz="0" w:space="0" w:color="auto"/>
                <w:left w:val="none" w:sz="0" w:space="0" w:color="auto"/>
                <w:bottom w:val="none" w:sz="0" w:space="0" w:color="auto"/>
                <w:right w:val="none" w:sz="0" w:space="0" w:color="auto"/>
              </w:divBdr>
            </w:div>
          </w:divsChild>
        </w:div>
        <w:div w:id="1510370408">
          <w:marLeft w:val="0"/>
          <w:marRight w:val="0"/>
          <w:marTop w:val="0"/>
          <w:marBottom w:val="0"/>
          <w:divBdr>
            <w:top w:val="none" w:sz="0" w:space="0" w:color="auto"/>
            <w:left w:val="none" w:sz="0" w:space="0" w:color="auto"/>
            <w:bottom w:val="none" w:sz="0" w:space="0" w:color="auto"/>
            <w:right w:val="none" w:sz="0" w:space="0" w:color="auto"/>
          </w:divBdr>
        </w:div>
        <w:div w:id="32387120">
          <w:marLeft w:val="0"/>
          <w:marRight w:val="0"/>
          <w:marTop w:val="0"/>
          <w:marBottom w:val="0"/>
          <w:divBdr>
            <w:top w:val="none" w:sz="0" w:space="0" w:color="auto"/>
            <w:left w:val="none" w:sz="0" w:space="0" w:color="auto"/>
            <w:bottom w:val="none" w:sz="0" w:space="0" w:color="auto"/>
            <w:right w:val="none" w:sz="0" w:space="0" w:color="auto"/>
          </w:divBdr>
          <w:divsChild>
            <w:div w:id="2132554802">
              <w:marLeft w:val="0"/>
              <w:marRight w:val="360"/>
              <w:marTop w:val="0"/>
              <w:marBottom w:val="0"/>
              <w:divBdr>
                <w:top w:val="none" w:sz="0" w:space="0" w:color="auto"/>
                <w:left w:val="none" w:sz="0" w:space="0" w:color="auto"/>
                <w:bottom w:val="none" w:sz="0" w:space="0" w:color="auto"/>
                <w:right w:val="none" w:sz="0" w:space="0" w:color="auto"/>
              </w:divBdr>
            </w:div>
          </w:divsChild>
        </w:div>
        <w:div w:id="1157183567">
          <w:marLeft w:val="0"/>
          <w:marRight w:val="0"/>
          <w:marTop w:val="0"/>
          <w:marBottom w:val="0"/>
          <w:divBdr>
            <w:top w:val="none" w:sz="0" w:space="0" w:color="auto"/>
            <w:left w:val="none" w:sz="0" w:space="0" w:color="auto"/>
            <w:bottom w:val="none" w:sz="0" w:space="0" w:color="auto"/>
            <w:right w:val="none" w:sz="0" w:space="0" w:color="auto"/>
          </w:divBdr>
        </w:div>
        <w:div w:id="1181317123">
          <w:marLeft w:val="0"/>
          <w:marRight w:val="0"/>
          <w:marTop w:val="0"/>
          <w:marBottom w:val="0"/>
          <w:divBdr>
            <w:top w:val="none" w:sz="0" w:space="0" w:color="auto"/>
            <w:left w:val="none" w:sz="0" w:space="0" w:color="auto"/>
            <w:bottom w:val="none" w:sz="0" w:space="0" w:color="auto"/>
            <w:right w:val="none" w:sz="0" w:space="0" w:color="auto"/>
          </w:divBdr>
          <w:divsChild>
            <w:div w:id="1221283310">
              <w:marLeft w:val="0"/>
              <w:marRight w:val="0"/>
              <w:marTop w:val="0"/>
              <w:marBottom w:val="0"/>
              <w:divBdr>
                <w:top w:val="none" w:sz="0" w:space="0" w:color="auto"/>
                <w:left w:val="none" w:sz="0" w:space="0" w:color="auto"/>
                <w:bottom w:val="none" w:sz="0" w:space="0" w:color="auto"/>
                <w:right w:val="none" w:sz="0" w:space="0" w:color="auto"/>
              </w:divBdr>
            </w:div>
          </w:divsChild>
        </w:div>
        <w:div w:id="793714854">
          <w:marLeft w:val="0"/>
          <w:marRight w:val="0"/>
          <w:marTop w:val="0"/>
          <w:marBottom w:val="0"/>
          <w:divBdr>
            <w:top w:val="none" w:sz="0" w:space="0" w:color="auto"/>
            <w:left w:val="none" w:sz="0" w:space="0" w:color="auto"/>
            <w:bottom w:val="none" w:sz="0" w:space="0" w:color="auto"/>
            <w:right w:val="none" w:sz="0" w:space="0" w:color="auto"/>
          </w:divBdr>
        </w:div>
        <w:div w:id="505442390">
          <w:marLeft w:val="0"/>
          <w:marRight w:val="0"/>
          <w:marTop w:val="0"/>
          <w:marBottom w:val="0"/>
          <w:divBdr>
            <w:top w:val="none" w:sz="0" w:space="0" w:color="auto"/>
            <w:left w:val="none" w:sz="0" w:space="0" w:color="auto"/>
            <w:bottom w:val="none" w:sz="0" w:space="0" w:color="auto"/>
            <w:right w:val="none" w:sz="0" w:space="0" w:color="auto"/>
          </w:divBdr>
        </w:div>
        <w:div w:id="479271847">
          <w:marLeft w:val="0"/>
          <w:marRight w:val="0"/>
          <w:marTop w:val="0"/>
          <w:marBottom w:val="0"/>
          <w:divBdr>
            <w:top w:val="none" w:sz="0" w:space="0" w:color="auto"/>
            <w:left w:val="none" w:sz="0" w:space="0" w:color="auto"/>
            <w:bottom w:val="none" w:sz="0" w:space="0" w:color="auto"/>
            <w:right w:val="none" w:sz="0" w:space="0" w:color="auto"/>
          </w:divBdr>
          <w:divsChild>
            <w:div w:id="1035883116">
              <w:marLeft w:val="0"/>
              <w:marRight w:val="0"/>
              <w:marTop w:val="0"/>
              <w:marBottom w:val="0"/>
              <w:divBdr>
                <w:top w:val="none" w:sz="0" w:space="0" w:color="auto"/>
                <w:left w:val="none" w:sz="0" w:space="0" w:color="auto"/>
                <w:bottom w:val="none" w:sz="0" w:space="0" w:color="auto"/>
                <w:right w:val="none" w:sz="0" w:space="0" w:color="auto"/>
              </w:divBdr>
            </w:div>
          </w:divsChild>
        </w:div>
        <w:div w:id="1866207785">
          <w:marLeft w:val="0"/>
          <w:marRight w:val="0"/>
          <w:marTop w:val="0"/>
          <w:marBottom w:val="0"/>
          <w:divBdr>
            <w:top w:val="none" w:sz="0" w:space="0" w:color="auto"/>
            <w:left w:val="none" w:sz="0" w:space="0" w:color="auto"/>
            <w:bottom w:val="none" w:sz="0" w:space="0" w:color="auto"/>
            <w:right w:val="none" w:sz="0" w:space="0" w:color="auto"/>
          </w:divBdr>
        </w:div>
        <w:div w:id="1814253618">
          <w:marLeft w:val="0"/>
          <w:marRight w:val="0"/>
          <w:marTop w:val="0"/>
          <w:marBottom w:val="0"/>
          <w:divBdr>
            <w:top w:val="none" w:sz="0" w:space="0" w:color="auto"/>
            <w:left w:val="none" w:sz="0" w:space="0" w:color="auto"/>
            <w:bottom w:val="none" w:sz="0" w:space="0" w:color="auto"/>
            <w:right w:val="none" w:sz="0" w:space="0" w:color="auto"/>
          </w:divBdr>
          <w:divsChild>
            <w:div w:id="688681975">
              <w:marLeft w:val="0"/>
              <w:marRight w:val="360"/>
              <w:marTop w:val="0"/>
              <w:marBottom w:val="0"/>
              <w:divBdr>
                <w:top w:val="none" w:sz="0" w:space="0" w:color="auto"/>
                <w:left w:val="none" w:sz="0" w:space="0" w:color="auto"/>
                <w:bottom w:val="none" w:sz="0" w:space="0" w:color="auto"/>
                <w:right w:val="none" w:sz="0" w:space="0" w:color="auto"/>
              </w:divBdr>
            </w:div>
          </w:divsChild>
        </w:div>
        <w:div w:id="232400776">
          <w:marLeft w:val="0"/>
          <w:marRight w:val="0"/>
          <w:marTop w:val="0"/>
          <w:marBottom w:val="0"/>
          <w:divBdr>
            <w:top w:val="none" w:sz="0" w:space="0" w:color="auto"/>
            <w:left w:val="none" w:sz="0" w:space="0" w:color="auto"/>
            <w:bottom w:val="none" w:sz="0" w:space="0" w:color="auto"/>
            <w:right w:val="none" w:sz="0" w:space="0" w:color="auto"/>
          </w:divBdr>
          <w:divsChild>
            <w:div w:id="1038965523">
              <w:marLeft w:val="0"/>
              <w:marRight w:val="0"/>
              <w:marTop w:val="0"/>
              <w:marBottom w:val="0"/>
              <w:divBdr>
                <w:top w:val="none" w:sz="0" w:space="0" w:color="auto"/>
                <w:left w:val="none" w:sz="0" w:space="0" w:color="auto"/>
                <w:bottom w:val="none" w:sz="0" w:space="0" w:color="auto"/>
                <w:right w:val="none" w:sz="0" w:space="0" w:color="auto"/>
              </w:divBdr>
            </w:div>
          </w:divsChild>
        </w:div>
        <w:div w:id="516162632">
          <w:marLeft w:val="0"/>
          <w:marRight w:val="0"/>
          <w:marTop w:val="0"/>
          <w:marBottom w:val="0"/>
          <w:divBdr>
            <w:top w:val="none" w:sz="0" w:space="0" w:color="auto"/>
            <w:left w:val="none" w:sz="0" w:space="0" w:color="auto"/>
            <w:bottom w:val="none" w:sz="0" w:space="0" w:color="auto"/>
            <w:right w:val="none" w:sz="0" w:space="0" w:color="auto"/>
          </w:divBdr>
        </w:div>
        <w:div w:id="213084046">
          <w:marLeft w:val="0"/>
          <w:marRight w:val="0"/>
          <w:marTop w:val="0"/>
          <w:marBottom w:val="0"/>
          <w:divBdr>
            <w:top w:val="none" w:sz="0" w:space="0" w:color="auto"/>
            <w:left w:val="none" w:sz="0" w:space="0" w:color="auto"/>
            <w:bottom w:val="none" w:sz="0" w:space="0" w:color="auto"/>
            <w:right w:val="none" w:sz="0" w:space="0" w:color="auto"/>
          </w:divBdr>
          <w:divsChild>
            <w:div w:id="1227303989">
              <w:marLeft w:val="0"/>
              <w:marRight w:val="360"/>
              <w:marTop w:val="0"/>
              <w:marBottom w:val="0"/>
              <w:divBdr>
                <w:top w:val="none" w:sz="0" w:space="0" w:color="auto"/>
                <w:left w:val="none" w:sz="0" w:space="0" w:color="auto"/>
                <w:bottom w:val="none" w:sz="0" w:space="0" w:color="auto"/>
                <w:right w:val="none" w:sz="0" w:space="0" w:color="auto"/>
              </w:divBdr>
            </w:div>
          </w:divsChild>
        </w:div>
        <w:div w:id="651178279">
          <w:marLeft w:val="0"/>
          <w:marRight w:val="0"/>
          <w:marTop w:val="0"/>
          <w:marBottom w:val="0"/>
          <w:divBdr>
            <w:top w:val="none" w:sz="0" w:space="0" w:color="auto"/>
            <w:left w:val="none" w:sz="0" w:space="0" w:color="auto"/>
            <w:bottom w:val="none" w:sz="0" w:space="0" w:color="auto"/>
            <w:right w:val="none" w:sz="0" w:space="0" w:color="auto"/>
          </w:divBdr>
          <w:divsChild>
            <w:div w:id="1490364807">
              <w:marLeft w:val="0"/>
              <w:marRight w:val="0"/>
              <w:marTop w:val="0"/>
              <w:marBottom w:val="0"/>
              <w:divBdr>
                <w:top w:val="none" w:sz="0" w:space="0" w:color="auto"/>
                <w:left w:val="none" w:sz="0" w:space="0" w:color="auto"/>
                <w:bottom w:val="none" w:sz="0" w:space="0" w:color="auto"/>
                <w:right w:val="none" w:sz="0" w:space="0" w:color="auto"/>
              </w:divBdr>
            </w:div>
          </w:divsChild>
        </w:div>
        <w:div w:id="1042949185">
          <w:marLeft w:val="0"/>
          <w:marRight w:val="0"/>
          <w:marTop w:val="0"/>
          <w:marBottom w:val="0"/>
          <w:divBdr>
            <w:top w:val="none" w:sz="0" w:space="0" w:color="auto"/>
            <w:left w:val="none" w:sz="0" w:space="0" w:color="auto"/>
            <w:bottom w:val="none" w:sz="0" w:space="0" w:color="auto"/>
            <w:right w:val="none" w:sz="0" w:space="0" w:color="auto"/>
          </w:divBdr>
        </w:div>
        <w:div w:id="639768194">
          <w:marLeft w:val="0"/>
          <w:marRight w:val="0"/>
          <w:marTop w:val="0"/>
          <w:marBottom w:val="0"/>
          <w:divBdr>
            <w:top w:val="none" w:sz="0" w:space="0" w:color="auto"/>
            <w:left w:val="none" w:sz="0" w:space="0" w:color="auto"/>
            <w:bottom w:val="none" w:sz="0" w:space="0" w:color="auto"/>
            <w:right w:val="none" w:sz="0" w:space="0" w:color="auto"/>
          </w:divBdr>
          <w:divsChild>
            <w:div w:id="1803308015">
              <w:marLeft w:val="0"/>
              <w:marRight w:val="360"/>
              <w:marTop w:val="0"/>
              <w:marBottom w:val="0"/>
              <w:divBdr>
                <w:top w:val="none" w:sz="0" w:space="0" w:color="auto"/>
                <w:left w:val="none" w:sz="0" w:space="0" w:color="auto"/>
                <w:bottom w:val="none" w:sz="0" w:space="0" w:color="auto"/>
                <w:right w:val="none" w:sz="0" w:space="0" w:color="auto"/>
              </w:divBdr>
            </w:div>
          </w:divsChild>
        </w:div>
        <w:div w:id="1288707376">
          <w:marLeft w:val="0"/>
          <w:marRight w:val="0"/>
          <w:marTop w:val="0"/>
          <w:marBottom w:val="0"/>
          <w:divBdr>
            <w:top w:val="none" w:sz="0" w:space="0" w:color="auto"/>
            <w:left w:val="none" w:sz="0" w:space="0" w:color="auto"/>
            <w:bottom w:val="none" w:sz="0" w:space="0" w:color="auto"/>
            <w:right w:val="none" w:sz="0" w:space="0" w:color="auto"/>
          </w:divBdr>
          <w:divsChild>
            <w:div w:id="32318188">
              <w:marLeft w:val="0"/>
              <w:marRight w:val="0"/>
              <w:marTop w:val="0"/>
              <w:marBottom w:val="0"/>
              <w:divBdr>
                <w:top w:val="none" w:sz="0" w:space="0" w:color="auto"/>
                <w:left w:val="none" w:sz="0" w:space="0" w:color="auto"/>
                <w:bottom w:val="none" w:sz="0" w:space="0" w:color="auto"/>
                <w:right w:val="none" w:sz="0" w:space="0" w:color="auto"/>
              </w:divBdr>
            </w:div>
          </w:divsChild>
        </w:div>
        <w:div w:id="1507748121">
          <w:marLeft w:val="0"/>
          <w:marRight w:val="0"/>
          <w:marTop w:val="0"/>
          <w:marBottom w:val="0"/>
          <w:divBdr>
            <w:top w:val="none" w:sz="0" w:space="0" w:color="auto"/>
            <w:left w:val="none" w:sz="0" w:space="0" w:color="auto"/>
            <w:bottom w:val="none" w:sz="0" w:space="0" w:color="auto"/>
            <w:right w:val="none" w:sz="0" w:space="0" w:color="auto"/>
          </w:divBdr>
        </w:div>
        <w:div w:id="358317557">
          <w:marLeft w:val="0"/>
          <w:marRight w:val="0"/>
          <w:marTop w:val="0"/>
          <w:marBottom w:val="0"/>
          <w:divBdr>
            <w:top w:val="none" w:sz="0" w:space="0" w:color="auto"/>
            <w:left w:val="none" w:sz="0" w:space="0" w:color="auto"/>
            <w:bottom w:val="none" w:sz="0" w:space="0" w:color="auto"/>
            <w:right w:val="none" w:sz="0" w:space="0" w:color="auto"/>
          </w:divBdr>
          <w:divsChild>
            <w:div w:id="171843340">
              <w:marLeft w:val="0"/>
              <w:marRight w:val="360"/>
              <w:marTop w:val="0"/>
              <w:marBottom w:val="0"/>
              <w:divBdr>
                <w:top w:val="none" w:sz="0" w:space="0" w:color="auto"/>
                <w:left w:val="none" w:sz="0" w:space="0" w:color="auto"/>
                <w:bottom w:val="none" w:sz="0" w:space="0" w:color="auto"/>
                <w:right w:val="none" w:sz="0" w:space="0" w:color="auto"/>
              </w:divBdr>
            </w:div>
          </w:divsChild>
        </w:div>
        <w:div w:id="1267886166">
          <w:marLeft w:val="0"/>
          <w:marRight w:val="0"/>
          <w:marTop w:val="0"/>
          <w:marBottom w:val="0"/>
          <w:divBdr>
            <w:top w:val="none" w:sz="0" w:space="0" w:color="auto"/>
            <w:left w:val="none" w:sz="0" w:space="0" w:color="auto"/>
            <w:bottom w:val="none" w:sz="0" w:space="0" w:color="auto"/>
            <w:right w:val="none" w:sz="0" w:space="0" w:color="auto"/>
          </w:divBdr>
          <w:divsChild>
            <w:div w:id="1450733384">
              <w:marLeft w:val="0"/>
              <w:marRight w:val="0"/>
              <w:marTop w:val="0"/>
              <w:marBottom w:val="0"/>
              <w:divBdr>
                <w:top w:val="none" w:sz="0" w:space="0" w:color="auto"/>
                <w:left w:val="none" w:sz="0" w:space="0" w:color="auto"/>
                <w:bottom w:val="none" w:sz="0" w:space="0" w:color="auto"/>
                <w:right w:val="none" w:sz="0" w:space="0" w:color="auto"/>
              </w:divBdr>
            </w:div>
          </w:divsChild>
        </w:div>
        <w:div w:id="1465002927">
          <w:marLeft w:val="0"/>
          <w:marRight w:val="0"/>
          <w:marTop w:val="0"/>
          <w:marBottom w:val="0"/>
          <w:divBdr>
            <w:top w:val="none" w:sz="0" w:space="0" w:color="auto"/>
            <w:left w:val="none" w:sz="0" w:space="0" w:color="auto"/>
            <w:bottom w:val="none" w:sz="0" w:space="0" w:color="auto"/>
            <w:right w:val="none" w:sz="0" w:space="0" w:color="auto"/>
          </w:divBdr>
        </w:div>
        <w:div w:id="2037458586">
          <w:marLeft w:val="0"/>
          <w:marRight w:val="0"/>
          <w:marTop w:val="0"/>
          <w:marBottom w:val="0"/>
          <w:divBdr>
            <w:top w:val="none" w:sz="0" w:space="0" w:color="auto"/>
            <w:left w:val="none" w:sz="0" w:space="0" w:color="auto"/>
            <w:bottom w:val="none" w:sz="0" w:space="0" w:color="auto"/>
            <w:right w:val="none" w:sz="0" w:space="0" w:color="auto"/>
          </w:divBdr>
        </w:div>
        <w:div w:id="1598632796">
          <w:marLeft w:val="0"/>
          <w:marRight w:val="0"/>
          <w:marTop w:val="0"/>
          <w:marBottom w:val="0"/>
          <w:divBdr>
            <w:top w:val="none" w:sz="0" w:space="0" w:color="auto"/>
            <w:left w:val="none" w:sz="0" w:space="0" w:color="auto"/>
            <w:bottom w:val="none" w:sz="0" w:space="0" w:color="auto"/>
            <w:right w:val="none" w:sz="0" w:space="0" w:color="auto"/>
          </w:divBdr>
          <w:divsChild>
            <w:div w:id="1906338182">
              <w:marLeft w:val="0"/>
              <w:marRight w:val="360"/>
              <w:marTop w:val="0"/>
              <w:marBottom w:val="0"/>
              <w:divBdr>
                <w:top w:val="none" w:sz="0" w:space="0" w:color="auto"/>
                <w:left w:val="none" w:sz="0" w:space="0" w:color="auto"/>
                <w:bottom w:val="none" w:sz="0" w:space="0" w:color="auto"/>
                <w:right w:val="none" w:sz="0" w:space="0" w:color="auto"/>
              </w:divBdr>
            </w:div>
          </w:divsChild>
        </w:div>
        <w:div w:id="1829438373">
          <w:marLeft w:val="0"/>
          <w:marRight w:val="0"/>
          <w:marTop w:val="0"/>
          <w:marBottom w:val="0"/>
          <w:divBdr>
            <w:top w:val="none" w:sz="0" w:space="0" w:color="auto"/>
            <w:left w:val="none" w:sz="0" w:space="0" w:color="auto"/>
            <w:bottom w:val="none" w:sz="0" w:space="0" w:color="auto"/>
            <w:right w:val="none" w:sz="0" w:space="0" w:color="auto"/>
          </w:divBdr>
          <w:divsChild>
            <w:div w:id="2007898567">
              <w:marLeft w:val="0"/>
              <w:marRight w:val="0"/>
              <w:marTop w:val="0"/>
              <w:marBottom w:val="0"/>
              <w:divBdr>
                <w:top w:val="none" w:sz="0" w:space="0" w:color="auto"/>
                <w:left w:val="none" w:sz="0" w:space="0" w:color="auto"/>
                <w:bottom w:val="none" w:sz="0" w:space="0" w:color="auto"/>
                <w:right w:val="none" w:sz="0" w:space="0" w:color="auto"/>
              </w:divBdr>
            </w:div>
          </w:divsChild>
        </w:div>
        <w:div w:id="1228612782">
          <w:marLeft w:val="0"/>
          <w:marRight w:val="0"/>
          <w:marTop w:val="0"/>
          <w:marBottom w:val="0"/>
          <w:divBdr>
            <w:top w:val="none" w:sz="0" w:space="0" w:color="auto"/>
            <w:left w:val="none" w:sz="0" w:space="0" w:color="auto"/>
            <w:bottom w:val="none" w:sz="0" w:space="0" w:color="auto"/>
            <w:right w:val="none" w:sz="0" w:space="0" w:color="auto"/>
          </w:divBdr>
        </w:div>
        <w:div w:id="1247958810">
          <w:marLeft w:val="0"/>
          <w:marRight w:val="0"/>
          <w:marTop w:val="0"/>
          <w:marBottom w:val="0"/>
          <w:divBdr>
            <w:top w:val="none" w:sz="0" w:space="0" w:color="auto"/>
            <w:left w:val="none" w:sz="0" w:space="0" w:color="auto"/>
            <w:bottom w:val="none" w:sz="0" w:space="0" w:color="auto"/>
            <w:right w:val="none" w:sz="0" w:space="0" w:color="auto"/>
          </w:divBdr>
        </w:div>
        <w:div w:id="1946422239">
          <w:marLeft w:val="0"/>
          <w:marRight w:val="0"/>
          <w:marTop w:val="0"/>
          <w:marBottom w:val="0"/>
          <w:divBdr>
            <w:top w:val="none" w:sz="0" w:space="0" w:color="auto"/>
            <w:left w:val="none" w:sz="0" w:space="0" w:color="auto"/>
            <w:bottom w:val="none" w:sz="0" w:space="0" w:color="auto"/>
            <w:right w:val="none" w:sz="0" w:space="0" w:color="auto"/>
          </w:divBdr>
          <w:divsChild>
            <w:div w:id="531303901">
              <w:marLeft w:val="0"/>
              <w:marRight w:val="0"/>
              <w:marTop w:val="0"/>
              <w:marBottom w:val="0"/>
              <w:divBdr>
                <w:top w:val="none" w:sz="0" w:space="0" w:color="auto"/>
                <w:left w:val="none" w:sz="0" w:space="0" w:color="auto"/>
                <w:bottom w:val="none" w:sz="0" w:space="0" w:color="auto"/>
                <w:right w:val="none" w:sz="0" w:space="0" w:color="auto"/>
              </w:divBdr>
            </w:div>
          </w:divsChild>
        </w:div>
        <w:div w:id="1829402125">
          <w:marLeft w:val="0"/>
          <w:marRight w:val="0"/>
          <w:marTop w:val="0"/>
          <w:marBottom w:val="0"/>
          <w:divBdr>
            <w:top w:val="none" w:sz="0" w:space="0" w:color="auto"/>
            <w:left w:val="none" w:sz="0" w:space="0" w:color="auto"/>
            <w:bottom w:val="none" w:sz="0" w:space="0" w:color="auto"/>
            <w:right w:val="none" w:sz="0" w:space="0" w:color="auto"/>
          </w:divBdr>
        </w:div>
        <w:div w:id="2128622681">
          <w:marLeft w:val="0"/>
          <w:marRight w:val="0"/>
          <w:marTop w:val="0"/>
          <w:marBottom w:val="0"/>
          <w:divBdr>
            <w:top w:val="none" w:sz="0" w:space="0" w:color="auto"/>
            <w:left w:val="none" w:sz="0" w:space="0" w:color="auto"/>
            <w:bottom w:val="none" w:sz="0" w:space="0" w:color="auto"/>
            <w:right w:val="none" w:sz="0" w:space="0" w:color="auto"/>
          </w:divBdr>
        </w:div>
        <w:div w:id="288707350">
          <w:marLeft w:val="0"/>
          <w:marRight w:val="0"/>
          <w:marTop w:val="0"/>
          <w:marBottom w:val="0"/>
          <w:divBdr>
            <w:top w:val="none" w:sz="0" w:space="0" w:color="auto"/>
            <w:left w:val="none" w:sz="0" w:space="0" w:color="auto"/>
            <w:bottom w:val="none" w:sz="0" w:space="0" w:color="auto"/>
            <w:right w:val="none" w:sz="0" w:space="0" w:color="auto"/>
          </w:divBdr>
          <w:divsChild>
            <w:div w:id="1451827369">
              <w:marLeft w:val="0"/>
              <w:marRight w:val="360"/>
              <w:marTop w:val="0"/>
              <w:marBottom w:val="0"/>
              <w:divBdr>
                <w:top w:val="none" w:sz="0" w:space="0" w:color="auto"/>
                <w:left w:val="none" w:sz="0" w:space="0" w:color="auto"/>
                <w:bottom w:val="none" w:sz="0" w:space="0" w:color="auto"/>
                <w:right w:val="none" w:sz="0" w:space="0" w:color="auto"/>
              </w:divBdr>
            </w:div>
          </w:divsChild>
        </w:div>
        <w:div w:id="526334700">
          <w:marLeft w:val="0"/>
          <w:marRight w:val="0"/>
          <w:marTop w:val="0"/>
          <w:marBottom w:val="0"/>
          <w:divBdr>
            <w:top w:val="none" w:sz="0" w:space="0" w:color="auto"/>
            <w:left w:val="none" w:sz="0" w:space="0" w:color="auto"/>
            <w:bottom w:val="none" w:sz="0" w:space="0" w:color="auto"/>
            <w:right w:val="none" w:sz="0" w:space="0" w:color="auto"/>
          </w:divBdr>
          <w:divsChild>
            <w:div w:id="508570531">
              <w:marLeft w:val="0"/>
              <w:marRight w:val="0"/>
              <w:marTop w:val="0"/>
              <w:marBottom w:val="0"/>
              <w:divBdr>
                <w:top w:val="none" w:sz="0" w:space="0" w:color="auto"/>
                <w:left w:val="none" w:sz="0" w:space="0" w:color="auto"/>
                <w:bottom w:val="none" w:sz="0" w:space="0" w:color="auto"/>
                <w:right w:val="none" w:sz="0" w:space="0" w:color="auto"/>
              </w:divBdr>
            </w:div>
          </w:divsChild>
        </w:div>
        <w:div w:id="273291458">
          <w:marLeft w:val="0"/>
          <w:marRight w:val="0"/>
          <w:marTop w:val="0"/>
          <w:marBottom w:val="0"/>
          <w:divBdr>
            <w:top w:val="none" w:sz="0" w:space="0" w:color="auto"/>
            <w:left w:val="none" w:sz="0" w:space="0" w:color="auto"/>
            <w:bottom w:val="none" w:sz="0" w:space="0" w:color="auto"/>
            <w:right w:val="none" w:sz="0" w:space="0" w:color="auto"/>
          </w:divBdr>
        </w:div>
        <w:div w:id="1967080610">
          <w:marLeft w:val="0"/>
          <w:marRight w:val="0"/>
          <w:marTop w:val="0"/>
          <w:marBottom w:val="0"/>
          <w:divBdr>
            <w:top w:val="none" w:sz="0" w:space="0" w:color="auto"/>
            <w:left w:val="none" w:sz="0" w:space="0" w:color="auto"/>
            <w:bottom w:val="none" w:sz="0" w:space="0" w:color="auto"/>
            <w:right w:val="none" w:sz="0" w:space="0" w:color="auto"/>
          </w:divBdr>
          <w:divsChild>
            <w:div w:id="1805348067">
              <w:marLeft w:val="0"/>
              <w:marRight w:val="360"/>
              <w:marTop w:val="0"/>
              <w:marBottom w:val="0"/>
              <w:divBdr>
                <w:top w:val="none" w:sz="0" w:space="0" w:color="auto"/>
                <w:left w:val="none" w:sz="0" w:space="0" w:color="auto"/>
                <w:bottom w:val="none" w:sz="0" w:space="0" w:color="auto"/>
                <w:right w:val="none" w:sz="0" w:space="0" w:color="auto"/>
              </w:divBdr>
            </w:div>
          </w:divsChild>
        </w:div>
        <w:div w:id="981930589">
          <w:marLeft w:val="0"/>
          <w:marRight w:val="0"/>
          <w:marTop w:val="0"/>
          <w:marBottom w:val="0"/>
          <w:divBdr>
            <w:top w:val="none" w:sz="0" w:space="0" w:color="auto"/>
            <w:left w:val="none" w:sz="0" w:space="0" w:color="auto"/>
            <w:bottom w:val="none" w:sz="0" w:space="0" w:color="auto"/>
            <w:right w:val="none" w:sz="0" w:space="0" w:color="auto"/>
          </w:divBdr>
          <w:divsChild>
            <w:div w:id="352152572">
              <w:marLeft w:val="0"/>
              <w:marRight w:val="0"/>
              <w:marTop w:val="0"/>
              <w:marBottom w:val="0"/>
              <w:divBdr>
                <w:top w:val="none" w:sz="0" w:space="0" w:color="auto"/>
                <w:left w:val="none" w:sz="0" w:space="0" w:color="auto"/>
                <w:bottom w:val="none" w:sz="0" w:space="0" w:color="auto"/>
                <w:right w:val="none" w:sz="0" w:space="0" w:color="auto"/>
              </w:divBdr>
            </w:div>
          </w:divsChild>
        </w:div>
        <w:div w:id="409889302">
          <w:marLeft w:val="0"/>
          <w:marRight w:val="0"/>
          <w:marTop w:val="0"/>
          <w:marBottom w:val="0"/>
          <w:divBdr>
            <w:top w:val="none" w:sz="0" w:space="0" w:color="auto"/>
            <w:left w:val="none" w:sz="0" w:space="0" w:color="auto"/>
            <w:bottom w:val="none" w:sz="0" w:space="0" w:color="auto"/>
            <w:right w:val="none" w:sz="0" w:space="0" w:color="auto"/>
          </w:divBdr>
        </w:div>
        <w:div w:id="1990162456">
          <w:marLeft w:val="0"/>
          <w:marRight w:val="0"/>
          <w:marTop w:val="0"/>
          <w:marBottom w:val="0"/>
          <w:divBdr>
            <w:top w:val="none" w:sz="0" w:space="0" w:color="auto"/>
            <w:left w:val="none" w:sz="0" w:space="0" w:color="auto"/>
            <w:bottom w:val="none" w:sz="0" w:space="0" w:color="auto"/>
            <w:right w:val="none" w:sz="0" w:space="0" w:color="auto"/>
          </w:divBdr>
        </w:div>
        <w:div w:id="1741514679">
          <w:marLeft w:val="0"/>
          <w:marRight w:val="0"/>
          <w:marTop w:val="0"/>
          <w:marBottom w:val="0"/>
          <w:divBdr>
            <w:top w:val="none" w:sz="0" w:space="0" w:color="auto"/>
            <w:left w:val="none" w:sz="0" w:space="0" w:color="auto"/>
            <w:bottom w:val="none" w:sz="0" w:space="0" w:color="auto"/>
            <w:right w:val="none" w:sz="0" w:space="0" w:color="auto"/>
          </w:divBdr>
        </w:div>
        <w:div w:id="504051833">
          <w:marLeft w:val="0"/>
          <w:marRight w:val="0"/>
          <w:marTop w:val="0"/>
          <w:marBottom w:val="0"/>
          <w:divBdr>
            <w:top w:val="none" w:sz="0" w:space="0" w:color="auto"/>
            <w:left w:val="none" w:sz="0" w:space="0" w:color="auto"/>
            <w:bottom w:val="none" w:sz="0" w:space="0" w:color="auto"/>
            <w:right w:val="none" w:sz="0" w:space="0" w:color="auto"/>
          </w:divBdr>
          <w:divsChild>
            <w:div w:id="2093620624">
              <w:marLeft w:val="0"/>
              <w:marRight w:val="0"/>
              <w:marTop w:val="0"/>
              <w:marBottom w:val="0"/>
              <w:divBdr>
                <w:top w:val="none" w:sz="0" w:space="0" w:color="auto"/>
                <w:left w:val="none" w:sz="0" w:space="0" w:color="auto"/>
                <w:bottom w:val="none" w:sz="0" w:space="0" w:color="auto"/>
                <w:right w:val="none" w:sz="0" w:space="0" w:color="auto"/>
              </w:divBdr>
            </w:div>
          </w:divsChild>
        </w:div>
        <w:div w:id="85613711">
          <w:marLeft w:val="0"/>
          <w:marRight w:val="0"/>
          <w:marTop w:val="0"/>
          <w:marBottom w:val="0"/>
          <w:divBdr>
            <w:top w:val="none" w:sz="0" w:space="0" w:color="auto"/>
            <w:left w:val="none" w:sz="0" w:space="0" w:color="auto"/>
            <w:bottom w:val="none" w:sz="0" w:space="0" w:color="auto"/>
            <w:right w:val="none" w:sz="0" w:space="0" w:color="auto"/>
          </w:divBdr>
        </w:div>
        <w:div w:id="1394624612">
          <w:marLeft w:val="0"/>
          <w:marRight w:val="0"/>
          <w:marTop w:val="0"/>
          <w:marBottom w:val="0"/>
          <w:divBdr>
            <w:top w:val="none" w:sz="0" w:space="0" w:color="auto"/>
            <w:left w:val="none" w:sz="0" w:space="0" w:color="auto"/>
            <w:bottom w:val="none" w:sz="0" w:space="0" w:color="auto"/>
            <w:right w:val="none" w:sz="0" w:space="0" w:color="auto"/>
          </w:divBdr>
          <w:divsChild>
            <w:div w:id="2038851700">
              <w:marLeft w:val="0"/>
              <w:marRight w:val="360"/>
              <w:marTop w:val="0"/>
              <w:marBottom w:val="0"/>
              <w:divBdr>
                <w:top w:val="none" w:sz="0" w:space="0" w:color="auto"/>
                <w:left w:val="none" w:sz="0" w:space="0" w:color="auto"/>
                <w:bottom w:val="none" w:sz="0" w:space="0" w:color="auto"/>
                <w:right w:val="none" w:sz="0" w:space="0" w:color="auto"/>
              </w:divBdr>
            </w:div>
          </w:divsChild>
        </w:div>
        <w:div w:id="1285889851">
          <w:marLeft w:val="0"/>
          <w:marRight w:val="0"/>
          <w:marTop w:val="0"/>
          <w:marBottom w:val="0"/>
          <w:divBdr>
            <w:top w:val="none" w:sz="0" w:space="0" w:color="auto"/>
            <w:left w:val="none" w:sz="0" w:space="0" w:color="auto"/>
            <w:bottom w:val="none" w:sz="0" w:space="0" w:color="auto"/>
            <w:right w:val="none" w:sz="0" w:space="0" w:color="auto"/>
          </w:divBdr>
        </w:div>
        <w:div w:id="770200585">
          <w:marLeft w:val="0"/>
          <w:marRight w:val="0"/>
          <w:marTop w:val="0"/>
          <w:marBottom w:val="0"/>
          <w:divBdr>
            <w:top w:val="none" w:sz="0" w:space="0" w:color="auto"/>
            <w:left w:val="none" w:sz="0" w:space="0" w:color="auto"/>
            <w:bottom w:val="none" w:sz="0" w:space="0" w:color="auto"/>
            <w:right w:val="none" w:sz="0" w:space="0" w:color="auto"/>
          </w:divBdr>
        </w:div>
        <w:div w:id="967587092">
          <w:marLeft w:val="0"/>
          <w:marRight w:val="0"/>
          <w:marTop w:val="0"/>
          <w:marBottom w:val="0"/>
          <w:divBdr>
            <w:top w:val="none" w:sz="0" w:space="0" w:color="auto"/>
            <w:left w:val="none" w:sz="0" w:space="0" w:color="auto"/>
            <w:bottom w:val="none" w:sz="0" w:space="0" w:color="auto"/>
            <w:right w:val="none" w:sz="0" w:space="0" w:color="auto"/>
          </w:divBdr>
          <w:divsChild>
            <w:div w:id="62530430">
              <w:marLeft w:val="0"/>
              <w:marRight w:val="0"/>
              <w:marTop w:val="0"/>
              <w:marBottom w:val="0"/>
              <w:divBdr>
                <w:top w:val="none" w:sz="0" w:space="0" w:color="auto"/>
                <w:left w:val="none" w:sz="0" w:space="0" w:color="auto"/>
                <w:bottom w:val="none" w:sz="0" w:space="0" w:color="auto"/>
                <w:right w:val="none" w:sz="0" w:space="0" w:color="auto"/>
              </w:divBdr>
            </w:div>
          </w:divsChild>
        </w:div>
        <w:div w:id="1161190799">
          <w:marLeft w:val="0"/>
          <w:marRight w:val="0"/>
          <w:marTop w:val="0"/>
          <w:marBottom w:val="0"/>
          <w:divBdr>
            <w:top w:val="none" w:sz="0" w:space="0" w:color="auto"/>
            <w:left w:val="none" w:sz="0" w:space="0" w:color="auto"/>
            <w:bottom w:val="none" w:sz="0" w:space="0" w:color="auto"/>
            <w:right w:val="none" w:sz="0" w:space="0" w:color="auto"/>
          </w:divBdr>
        </w:div>
        <w:div w:id="1765372642">
          <w:marLeft w:val="0"/>
          <w:marRight w:val="0"/>
          <w:marTop w:val="0"/>
          <w:marBottom w:val="0"/>
          <w:divBdr>
            <w:top w:val="none" w:sz="0" w:space="0" w:color="auto"/>
            <w:left w:val="none" w:sz="0" w:space="0" w:color="auto"/>
            <w:bottom w:val="none" w:sz="0" w:space="0" w:color="auto"/>
            <w:right w:val="none" w:sz="0" w:space="0" w:color="auto"/>
          </w:divBdr>
        </w:div>
        <w:div w:id="299502240">
          <w:marLeft w:val="0"/>
          <w:marRight w:val="0"/>
          <w:marTop w:val="0"/>
          <w:marBottom w:val="0"/>
          <w:divBdr>
            <w:top w:val="none" w:sz="0" w:space="0" w:color="auto"/>
            <w:left w:val="none" w:sz="0" w:space="0" w:color="auto"/>
            <w:bottom w:val="none" w:sz="0" w:space="0" w:color="auto"/>
            <w:right w:val="none" w:sz="0" w:space="0" w:color="auto"/>
          </w:divBdr>
          <w:divsChild>
            <w:div w:id="1834291652">
              <w:marLeft w:val="0"/>
              <w:marRight w:val="0"/>
              <w:marTop w:val="0"/>
              <w:marBottom w:val="0"/>
              <w:divBdr>
                <w:top w:val="none" w:sz="0" w:space="0" w:color="auto"/>
                <w:left w:val="none" w:sz="0" w:space="0" w:color="auto"/>
                <w:bottom w:val="none" w:sz="0" w:space="0" w:color="auto"/>
                <w:right w:val="none" w:sz="0" w:space="0" w:color="auto"/>
              </w:divBdr>
            </w:div>
          </w:divsChild>
        </w:div>
        <w:div w:id="629214971">
          <w:marLeft w:val="0"/>
          <w:marRight w:val="0"/>
          <w:marTop w:val="0"/>
          <w:marBottom w:val="0"/>
          <w:divBdr>
            <w:top w:val="none" w:sz="0" w:space="0" w:color="auto"/>
            <w:left w:val="none" w:sz="0" w:space="0" w:color="auto"/>
            <w:bottom w:val="none" w:sz="0" w:space="0" w:color="auto"/>
            <w:right w:val="none" w:sz="0" w:space="0" w:color="auto"/>
          </w:divBdr>
        </w:div>
        <w:div w:id="121312888">
          <w:marLeft w:val="0"/>
          <w:marRight w:val="0"/>
          <w:marTop w:val="0"/>
          <w:marBottom w:val="0"/>
          <w:divBdr>
            <w:top w:val="none" w:sz="0" w:space="0" w:color="auto"/>
            <w:left w:val="none" w:sz="0" w:space="0" w:color="auto"/>
            <w:bottom w:val="none" w:sz="0" w:space="0" w:color="auto"/>
            <w:right w:val="none" w:sz="0" w:space="0" w:color="auto"/>
          </w:divBdr>
          <w:divsChild>
            <w:div w:id="1275937690">
              <w:marLeft w:val="0"/>
              <w:marRight w:val="360"/>
              <w:marTop w:val="0"/>
              <w:marBottom w:val="0"/>
              <w:divBdr>
                <w:top w:val="none" w:sz="0" w:space="0" w:color="auto"/>
                <w:left w:val="none" w:sz="0" w:space="0" w:color="auto"/>
                <w:bottom w:val="none" w:sz="0" w:space="0" w:color="auto"/>
                <w:right w:val="none" w:sz="0" w:space="0" w:color="auto"/>
              </w:divBdr>
            </w:div>
          </w:divsChild>
        </w:div>
        <w:div w:id="300353332">
          <w:marLeft w:val="0"/>
          <w:marRight w:val="0"/>
          <w:marTop w:val="0"/>
          <w:marBottom w:val="0"/>
          <w:divBdr>
            <w:top w:val="none" w:sz="0" w:space="0" w:color="auto"/>
            <w:left w:val="none" w:sz="0" w:space="0" w:color="auto"/>
            <w:bottom w:val="none" w:sz="0" w:space="0" w:color="auto"/>
            <w:right w:val="none" w:sz="0" w:space="0" w:color="auto"/>
          </w:divBdr>
          <w:divsChild>
            <w:div w:id="72364730">
              <w:marLeft w:val="0"/>
              <w:marRight w:val="0"/>
              <w:marTop w:val="0"/>
              <w:marBottom w:val="0"/>
              <w:divBdr>
                <w:top w:val="none" w:sz="0" w:space="0" w:color="auto"/>
                <w:left w:val="none" w:sz="0" w:space="0" w:color="auto"/>
                <w:bottom w:val="none" w:sz="0" w:space="0" w:color="auto"/>
                <w:right w:val="none" w:sz="0" w:space="0" w:color="auto"/>
              </w:divBdr>
            </w:div>
          </w:divsChild>
        </w:div>
        <w:div w:id="1307394108">
          <w:marLeft w:val="0"/>
          <w:marRight w:val="0"/>
          <w:marTop w:val="0"/>
          <w:marBottom w:val="0"/>
          <w:divBdr>
            <w:top w:val="none" w:sz="0" w:space="0" w:color="auto"/>
            <w:left w:val="none" w:sz="0" w:space="0" w:color="auto"/>
            <w:bottom w:val="none" w:sz="0" w:space="0" w:color="auto"/>
            <w:right w:val="none" w:sz="0" w:space="0" w:color="auto"/>
          </w:divBdr>
        </w:div>
        <w:div w:id="1736004795">
          <w:marLeft w:val="0"/>
          <w:marRight w:val="0"/>
          <w:marTop w:val="0"/>
          <w:marBottom w:val="0"/>
          <w:divBdr>
            <w:top w:val="none" w:sz="0" w:space="0" w:color="auto"/>
            <w:left w:val="none" w:sz="0" w:space="0" w:color="auto"/>
            <w:bottom w:val="none" w:sz="0" w:space="0" w:color="auto"/>
            <w:right w:val="none" w:sz="0" w:space="0" w:color="auto"/>
          </w:divBdr>
        </w:div>
        <w:div w:id="1204630662">
          <w:marLeft w:val="0"/>
          <w:marRight w:val="0"/>
          <w:marTop w:val="0"/>
          <w:marBottom w:val="0"/>
          <w:divBdr>
            <w:top w:val="none" w:sz="0" w:space="0" w:color="auto"/>
            <w:left w:val="none" w:sz="0" w:space="0" w:color="auto"/>
            <w:bottom w:val="none" w:sz="0" w:space="0" w:color="auto"/>
            <w:right w:val="none" w:sz="0" w:space="0" w:color="auto"/>
          </w:divBdr>
          <w:divsChild>
            <w:div w:id="603924928">
              <w:marLeft w:val="0"/>
              <w:marRight w:val="0"/>
              <w:marTop w:val="0"/>
              <w:marBottom w:val="0"/>
              <w:divBdr>
                <w:top w:val="none" w:sz="0" w:space="0" w:color="auto"/>
                <w:left w:val="none" w:sz="0" w:space="0" w:color="auto"/>
                <w:bottom w:val="none" w:sz="0" w:space="0" w:color="auto"/>
                <w:right w:val="none" w:sz="0" w:space="0" w:color="auto"/>
              </w:divBdr>
            </w:div>
          </w:divsChild>
        </w:div>
        <w:div w:id="275332481">
          <w:marLeft w:val="0"/>
          <w:marRight w:val="0"/>
          <w:marTop w:val="0"/>
          <w:marBottom w:val="0"/>
          <w:divBdr>
            <w:top w:val="none" w:sz="0" w:space="0" w:color="auto"/>
            <w:left w:val="none" w:sz="0" w:space="0" w:color="auto"/>
            <w:bottom w:val="none" w:sz="0" w:space="0" w:color="auto"/>
            <w:right w:val="none" w:sz="0" w:space="0" w:color="auto"/>
          </w:divBdr>
        </w:div>
        <w:div w:id="710885780">
          <w:marLeft w:val="0"/>
          <w:marRight w:val="0"/>
          <w:marTop w:val="0"/>
          <w:marBottom w:val="0"/>
          <w:divBdr>
            <w:top w:val="none" w:sz="0" w:space="0" w:color="auto"/>
            <w:left w:val="none" w:sz="0" w:space="0" w:color="auto"/>
            <w:bottom w:val="none" w:sz="0" w:space="0" w:color="auto"/>
            <w:right w:val="none" w:sz="0" w:space="0" w:color="auto"/>
          </w:divBdr>
        </w:div>
        <w:div w:id="1417820507">
          <w:marLeft w:val="0"/>
          <w:marRight w:val="0"/>
          <w:marTop w:val="0"/>
          <w:marBottom w:val="0"/>
          <w:divBdr>
            <w:top w:val="none" w:sz="0" w:space="0" w:color="auto"/>
            <w:left w:val="none" w:sz="0" w:space="0" w:color="auto"/>
            <w:bottom w:val="none" w:sz="0" w:space="0" w:color="auto"/>
            <w:right w:val="none" w:sz="0" w:space="0" w:color="auto"/>
          </w:divBdr>
          <w:divsChild>
            <w:div w:id="1604873813">
              <w:marLeft w:val="0"/>
              <w:marRight w:val="360"/>
              <w:marTop w:val="0"/>
              <w:marBottom w:val="0"/>
              <w:divBdr>
                <w:top w:val="none" w:sz="0" w:space="0" w:color="auto"/>
                <w:left w:val="none" w:sz="0" w:space="0" w:color="auto"/>
                <w:bottom w:val="none" w:sz="0" w:space="0" w:color="auto"/>
                <w:right w:val="none" w:sz="0" w:space="0" w:color="auto"/>
              </w:divBdr>
            </w:div>
          </w:divsChild>
        </w:div>
        <w:div w:id="777337666">
          <w:marLeft w:val="0"/>
          <w:marRight w:val="0"/>
          <w:marTop w:val="0"/>
          <w:marBottom w:val="0"/>
          <w:divBdr>
            <w:top w:val="none" w:sz="0" w:space="0" w:color="auto"/>
            <w:left w:val="none" w:sz="0" w:space="0" w:color="auto"/>
            <w:bottom w:val="none" w:sz="0" w:space="0" w:color="auto"/>
            <w:right w:val="none" w:sz="0" w:space="0" w:color="auto"/>
          </w:divBdr>
          <w:divsChild>
            <w:div w:id="1698702640">
              <w:marLeft w:val="0"/>
              <w:marRight w:val="0"/>
              <w:marTop w:val="0"/>
              <w:marBottom w:val="0"/>
              <w:divBdr>
                <w:top w:val="none" w:sz="0" w:space="0" w:color="auto"/>
                <w:left w:val="none" w:sz="0" w:space="0" w:color="auto"/>
                <w:bottom w:val="none" w:sz="0" w:space="0" w:color="auto"/>
                <w:right w:val="none" w:sz="0" w:space="0" w:color="auto"/>
              </w:divBdr>
            </w:div>
          </w:divsChild>
        </w:div>
        <w:div w:id="2045596311">
          <w:marLeft w:val="0"/>
          <w:marRight w:val="0"/>
          <w:marTop w:val="0"/>
          <w:marBottom w:val="0"/>
          <w:divBdr>
            <w:top w:val="none" w:sz="0" w:space="0" w:color="auto"/>
            <w:left w:val="none" w:sz="0" w:space="0" w:color="auto"/>
            <w:bottom w:val="none" w:sz="0" w:space="0" w:color="auto"/>
            <w:right w:val="none" w:sz="0" w:space="0" w:color="auto"/>
          </w:divBdr>
        </w:div>
        <w:div w:id="129247469">
          <w:marLeft w:val="0"/>
          <w:marRight w:val="0"/>
          <w:marTop w:val="0"/>
          <w:marBottom w:val="0"/>
          <w:divBdr>
            <w:top w:val="none" w:sz="0" w:space="0" w:color="auto"/>
            <w:left w:val="none" w:sz="0" w:space="0" w:color="auto"/>
            <w:bottom w:val="none" w:sz="0" w:space="0" w:color="auto"/>
            <w:right w:val="none" w:sz="0" w:space="0" w:color="auto"/>
          </w:divBdr>
        </w:div>
        <w:div w:id="2108041267">
          <w:marLeft w:val="0"/>
          <w:marRight w:val="0"/>
          <w:marTop w:val="0"/>
          <w:marBottom w:val="0"/>
          <w:divBdr>
            <w:top w:val="none" w:sz="0" w:space="0" w:color="auto"/>
            <w:left w:val="none" w:sz="0" w:space="0" w:color="auto"/>
            <w:bottom w:val="none" w:sz="0" w:space="0" w:color="auto"/>
            <w:right w:val="none" w:sz="0" w:space="0" w:color="auto"/>
          </w:divBdr>
          <w:divsChild>
            <w:div w:id="321084039">
              <w:marLeft w:val="0"/>
              <w:marRight w:val="360"/>
              <w:marTop w:val="0"/>
              <w:marBottom w:val="0"/>
              <w:divBdr>
                <w:top w:val="none" w:sz="0" w:space="0" w:color="auto"/>
                <w:left w:val="none" w:sz="0" w:space="0" w:color="auto"/>
                <w:bottom w:val="none" w:sz="0" w:space="0" w:color="auto"/>
                <w:right w:val="none" w:sz="0" w:space="0" w:color="auto"/>
              </w:divBdr>
            </w:div>
          </w:divsChild>
        </w:div>
        <w:div w:id="957637773">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jnurstu.2021.10394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8685</Words>
  <Characters>49510</Characters>
  <Application>Microsoft Office Word</Application>
  <DocSecurity>8</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2022-02-14T16:28:00Z</dcterms:created>
  <dcterms:modified xsi:type="dcterms:W3CDTF">2022-02-17T14:48:00Z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