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4FB179D" w:rsidR="000A7622" w:rsidRPr="00C04F25" w:rsidRDefault="0015307F"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F816C0">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4720CA7" w:rsidR="000A7622" w:rsidRPr="00C04F25" w:rsidRDefault="00C90A22" w:rsidP="0095652D">
      <w:pPr>
        <w:rPr>
          <w:rFonts w:cstheme="minorHAnsi"/>
          <w:sz w:val="24"/>
          <w:szCs w:val="24"/>
        </w:rPr>
      </w:pPr>
      <w:r>
        <w:rPr>
          <w:rFonts w:cstheme="minorHAnsi"/>
          <w:i/>
          <w:sz w:val="24"/>
          <w:szCs w:val="24"/>
          <w:lang w:val="fr-FR"/>
        </w:rPr>
        <w:t>Anti</w:t>
      </w:r>
      <w:r w:rsidR="001E003B">
        <w:rPr>
          <w:rFonts w:cstheme="minorHAnsi"/>
          <w:i/>
          <w:sz w:val="24"/>
          <w:szCs w:val="24"/>
          <w:lang w:val="fr-FR"/>
        </w:rPr>
        <w:t>biotics</w:t>
      </w:r>
      <w:r w:rsidR="000A7622" w:rsidRPr="00C04F25">
        <w:rPr>
          <w:rFonts w:cstheme="minorHAnsi"/>
          <w:sz w:val="24"/>
          <w:szCs w:val="24"/>
          <w:lang w:val="fr-FR"/>
        </w:rPr>
        <w:t xml:space="preserve">, Vol. </w:t>
      </w:r>
      <w:r w:rsidR="001E003B">
        <w:rPr>
          <w:rFonts w:cstheme="minorHAnsi"/>
          <w:sz w:val="24"/>
          <w:szCs w:val="24"/>
          <w:lang w:val="fr-FR"/>
        </w:rPr>
        <w:t>11</w:t>
      </w:r>
      <w:r w:rsidR="000A7622" w:rsidRPr="00C04F25">
        <w:rPr>
          <w:rFonts w:cstheme="minorHAnsi"/>
          <w:sz w:val="24"/>
          <w:szCs w:val="24"/>
          <w:lang w:val="fr-FR"/>
        </w:rPr>
        <w:t xml:space="preserve">, No. </w:t>
      </w:r>
      <w:r w:rsidR="001E003B">
        <w:rPr>
          <w:rFonts w:cstheme="minorHAnsi"/>
          <w:sz w:val="24"/>
          <w:szCs w:val="24"/>
          <w:lang w:val="fr-FR"/>
        </w:rPr>
        <w:t>2</w:t>
      </w:r>
      <w:r w:rsidR="000A7622" w:rsidRPr="00C04F25">
        <w:rPr>
          <w:rFonts w:cstheme="minorHAnsi"/>
          <w:sz w:val="24"/>
          <w:szCs w:val="24"/>
          <w:lang w:val="fr-FR"/>
        </w:rPr>
        <w:t xml:space="preserve"> (</w:t>
      </w:r>
      <w:r w:rsidR="001E003B">
        <w:rPr>
          <w:rFonts w:cstheme="minorHAnsi"/>
          <w:sz w:val="24"/>
          <w:szCs w:val="24"/>
          <w:lang w:val="fr-FR"/>
        </w:rPr>
        <w:t>February 2022</w:t>
      </w:r>
      <w:r w:rsidR="000A7622" w:rsidRPr="00C04F25">
        <w:rPr>
          <w:rFonts w:cstheme="minorHAnsi"/>
          <w:sz w:val="24"/>
          <w:szCs w:val="24"/>
          <w:lang w:val="fr-FR"/>
        </w:rPr>
        <w:t xml:space="preserve">): </w:t>
      </w:r>
      <w:r w:rsidR="00ED2794">
        <w:rPr>
          <w:rFonts w:cstheme="minorHAnsi"/>
          <w:sz w:val="24"/>
          <w:szCs w:val="24"/>
          <w:lang w:val="fr-FR"/>
        </w:rPr>
        <w:t>260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5652D" w:rsidRPr="0095652D">
        <w:rPr>
          <w:rFonts w:cstheme="minorHAnsi"/>
          <w:sz w:val="24"/>
          <w:szCs w:val="24"/>
        </w:rPr>
        <w:t>2022 by</w:t>
      </w:r>
      <w:r w:rsidR="0095652D" w:rsidRPr="0095652D">
        <w:rPr>
          <w:rFonts w:cstheme="minorHAnsi"/>
          <w:sz w:val="24"/>
          <w:szCs w:val="24"/>
        </w:rPr>
        <w:t xml:space="preserve"> the authors.</w:t>
      </w:r>
      <w:r w:rsidR="0095652D">
        <w:rPr>
          <w:rFonts w:cstheme="minorHAnsi"/>
          <w:sz w:val="24"/>
          <w:szCs w:val="24"/>
        </w:rPr>
        <w:t xml:space="preserve"> </w:t>
      </w:r>
      <w:r w:rsidR="0095652D" w:rsidRPr="0095652D">
        <w:rPr>
          <w:rFonts w:cstheme="minorHAnsi"/>
          <w:sz w:val="24"/>
          <w:szCs w:val="24"/>
        </w:rPr>
        <w:t xml:space="preserve">Licensee   </w:t>
      </w:r>
      <w:r w:rsidR="0095652D" w:rsidRPr="0095652D">
        <w:rPr>
          <w:rFonts w:cstheme="minorHAnsi"/>
          <w:sz w:val="24"/>
          <w:szCs w:val="24"/>
        </w:rPr>
        <w:t>MDPI, Basel</w:t>
      </w:r>
      <w:r w:rsidR="0095652D" w:rsidRPr="0095652D">
        <w:rPr>
          <w:rFonts w:cstheme="minorHAnsi"/>
          <w:sz w:val="24"/>
          <w:szCs w:val="24"/>
        </w:rPr>
        <w:t>, Switzerland.</w:t>
      </w:r>
      <w:r w:rsidR="000A7622" w:rsidRPr="00C04F25">
        <w:rPr>
          <w:rFonts w:cstheme="minorHAnsi"/>
          <w:sz w:val="24"/>
          <w:szCs w:val="24"/>
        </w:rPr>
        <w:t xml:space="preserve"> </w:t>
      </w:r>
      <w:r w:rsidR="0095652D">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672D7" w:rsidRPr="004672D7">
        <w:rPr>
          <w:rFonts w:cstheme="minorHAnsi"/>
          <w:sz w:val="24"/>
          <w:szCs w:val="24"/>
        </w:rPr>
        <w:t>This article is an open access article distributed under the terms and conditions of the Creative Commons Attribution (CC BY) license (https://creativecommons.org/licenses/by/4.0/).</w:t>
      </w:r>
      <w:r w:rsidR="000A7622" w:rsidRPr="00C04F25">
        <w:rPr>
          <w:rFonts w:cstheme="minorHAnsi"/>
          <w:sz w:val="24"/>
          <w:szCs w:val="24"/>
        </w:rPr>
        <w:t xml:space="preserve"> </w:t>
      </w:r>
    </w:p>
    <w:bookmarkEnd w:id="1"/>
    <w:p w14:paraId="5BC0075B" w14:textId="3E066754" w:rsidR="000A7622" w:rsidRDefault="000A7622" w:rsidP="00437F2B">
      <w:pPr>
        <w:pStyle w:val="Title"/>
      </w:pPr>
    </w:p>
    <w:p w14:paraId="16B6CE2C" w14:textId="039706EF" w:rsidR="00414591" w:rsidRDefault="00437F2B" w:rsidP="00437F2B">
      <w:pPr>
        <w:pStyle w:val="Title"/>
      </w:pPr>
      <w:r w:rsidRPr="00437F2B">
        <w:t>Similarities in Virulence and Extended Spectrum Beta-Lactamase Gene Profiles among Cefotaxime-Resistant Escherichia coli Wastewater and Clinical Isolates</w:t>
      </w:r>
    </w:p>
    <w:p w14:paraId="1F24594B" w14:textId="77777777" w:rsidR="00F816C0" w:rsidRDefault="00F816C0" w:rsidP="00437F2B"/>
    <w:p w14:paraId="330CB4A2" w14:textId="77777777" w:rsidR="009D7EB3" w:rsidRPr="00397F4F" w:rsidRDefault="009D7EB3" w:rsidP="00397F4F">
      <w:pPr>
        <w:pStyle w:val="NoSpacing"/>
        <w:rPr>
          <w:sz w:val="32"/>
          <w:szCs w:val="32"/>
        </w:rPr>
      </w:pPr>
      <w:r w:rsidRPr="00397F4F">
        <w:rPr>
          <w:sz w:val="32"/>
          <w:szCs w:val="32"/>
        </w:rPr>
        <w:t>Elizabeth Liedhegner</w:t>
      </w:r>
    </w:p>
    <w:p w14:paraId="39B1E976" w14:textId="4AC1B967" w:rsidR="009D7EB3" w:rsidRPr="00397F4F" w:rsidRDefault="0068295A" w:rsidP="00397F4F">
      <w:pPr>
        <w:pStyle w:val="NoSpacing"/>
        <w:rPr>
          <w:sz w:val="24"/>
          <w:szCs w:val="24"/>
        </w:rPr>
      </w:pPr>
      <w:r w:rsidRPr="00397F4F">
        <w:rPr>
          <w:sz w:val="24"/>
          <w:szCs w:val="24"/>
        </w:rPr>
        <w:t>Department of Biomedical Sciences, College of Health Sciences, University of Wisconsin-Milwaukee, Milwaukee, WI</w:t>
      </w:r>
    </w:p>
    <w:p w14:paraId="3E0D303D" w14:textId="77777777" w:rsidR="009D7EB3" w:rsidRPr="00397F4F" w:rsidRDefault="009D7EB3" w:rsidP="00397F4F">
      <w:pPr>
        <w:pStyle w:val="NoSpacing"/>
        <w:rPr>
          <w:sz w:val="32"/>
          <w:szCs w:val="32"/>
        </w:rPr>
      </w:pPr>
      <w:r w:rsidRPr="00397F4F">
        <w:rPr>
          <w:sz w:val="32"/>
          <w:szCs w:val="32"/>
        </w:rPr>
        <w:t>Brandon Bojar</w:t>
      </w:r>
    </w:p>
    <w:p w14:paraId="7910389C" w14:textId="2C526FE0" w:rsidR="009D7EB3" w:rsidRPr="00397F4F" w:rsidRDefault="0068295A" w:rsidP="00397F4F">
      <w:pPr>
        <w:pStyle w:val="NoSpacing"/>
        <w:rPr>
          <w:sz w:val="24"/>
          <w:szCs w:val="24"/>
        </w:rPr>
      </w:pPr>
      <w:r w:rsidRPr="00397F4F">
        <w:rPr>
          <w:sz w:val="24"/>
          <w:szCs w:val="24"/>
        </w:rPr>
        <w:t>Department of Biomedical Sciences, College of Health Sciences, University of Wisconsin-Milwaukee, Milwaukee, WI</w:t>
      </w:r>
    </w:p>
    <w:p w14:paraId="5A3CD54E" w14:textId="77777777" w:rsidR="009D7EB3" w:rsidRPr="00397F4F" w:rsidRDefault="009D7EB3" w:rsidP="00397F4F">
      <w:pPr>
        <w:pStyle w:val="NoSpacing"/>
        <w:rPr>
          <w:sz w:val="32"/>
          <w:szCs w:val="32"/>
        </w:rPr>
      </w:pPr>
      <w:r w:rsidRPr="00397F4F">
        <w:rPr>
          <w:sz w:val="32"/>
          <w:szCs w:val="32"/>
        </w:rPr>
        <w:t>Rachelle E. Beattie</w:t>
      </w:r>
    </w:p>
    <w:p w14:paraId="494F430C" w14:textId="5BB6EAA3" w:rsidR="009D7EB3" w:rsidRPr="00397F4F" w:rsidRDefault="0068295A" w:rsidP="00397F4F">
      <w:pPr>
        <w:pStyle w:val="NoSpacing"/>
        <w:rPr>
          <w:sz w:val="24"/>
          <w:szCs w:val="24"/>
        </w:rPr>
      </w:pPr>
      <w:r w:rsidRPr="00397F4F">
        <w:rPr>
          <w:sz w:val="24"/>
          <w:szCs w:val="24"/>
        </w:rPr>
        <w:t>Department of Biological Sciences, Marquette University, Milwaukee, WI</w:t>
      </w:r>
    </w:p>
    <w:p w14:paraId="1A20AF02" w14:textId="77777777" w:rsidR="009D7EB3" w:rsidRPr="00397F4F" w:rsidRDefault="009D7EB3" w:rsidP="00397F4F">
      <w:pPr>
        <w:pStyle w:val="NoSpacing"/>
        <w:rPr>
          <w:sz w:val="32"/>
          <w:szCs w:val="32"/>
        </w:rPr>
      </w:pPr>
      <w:r w:rsidRPr="00397F4F">
        <w:rPr>
          <w:sz w:val="32"/>
          <w:szCs w:val="32"/>
        </w:rPr>
        <w:t>Caitlin Cahak</w:t>
      </w:r>
    </w:p>
    <w:p w14:paraId="138A397A" w14:textId="06618452" w:rsidR="009D7EB3" w:rsidRPr="00397F4F" w:rsidRDefault="00397F4F" w:rsidP="00397F4F">
      <w:pPr>
        <w:pStyle w:val="NoSpacing"/>
        <w:rPr>
          <w:sz w:val="24"/>
          <w:szCs w:val="24"/>
        </w:rPr>
      </w:pPr>
      <w:r w:rsidRPr="00397F4F">
        <w:rPr>
          <w:sz w:val="24"/>
          <w:szCs w:val="24"/>
        </w:rPr>
        <w:t>Wisconsin Diagnostic Laboratories, Milwaukee, WI</w:t>
      </w:r>
    </w:p>
    <w:p w14:paraId="71F03984" w14:textId="77777777" w:rsidR="009D7EB3" w:rsidRPr="00397F4F" w:rsidRDefault="009D7EB3" w:rsidP="00397F4F">
      <w:pPr>
        <w:pStyle w:val="NoSpacing"/>
        <w:rPr>
          <w:sz w:val="32"/>
          <w:szCs w:val="32"/>
        </w:rPr>
      </w:pPr>
      <w:r w:rsidRPr="00397F4F">
        <w:rPr>
          <w:sz w:val="32"/>
          <w:szCs w:val="32"/>
        </w:rPr>
        <w:t>Krassimira R. Hristova</w:t>
      </w:r>
    </w:p>
    <w:p w14:paraId="2746BCC5" w14:textId="04729773" w:rsidR="009D7EB3" w:rsidRPr="00397F4F" w:rsidRDefault="0068295A" w:rsidP="00397F4F">
      <w:pPr>
        <w:pStyle w:val="NoSpacing"/>
        <w:rPr>
          <w:sz w:val="24"/>
          <w:szCs w:val="24"/>
        </w:rPr>
      </w:pPr>
      <w:r w:rsidRPr="00397F4F">
        <w:rPr>
          <w:sz w:val="24"/>
          <w:szCs w:val="24"/>
        </w:rPr>
        <w:t>Department of Biological Sciences, Marquette University, Milwaukee, WI</w:t>
      </w:r>
    </w:p>
    <w:p w14:paraId="2906E2DC" w14:textId="590DFB8D" w:rsidR="00437F2B" w:rsidRPr="00397F4F" w:rsidRDefault="009D7EB3" w:rsidP="00397F4F">
      <w:pPr>
        <w:pStyle w:val="NoSpacing"/>
        <w:rPr>
          <w:sz w:val="32"/>
          <w:szCs w:val="32"/>
        </w:rPr>
      </w:pPr>
      <w:r w:rsidRPr="00397F4F">
        <w:rPr>
          <w:sz w:val="32"/>
          <w:szCs w:val="32"/>
        </w:rPr>
        <w:t>Troy Skwor</w:t>
      </w:r>
    </w:p>
    <w:p w14:paraId="7727ACD3" w14:textId="481DE40E" w:rsidR="009D7EB3" w:rsidRPr="00397F4F" w:rsidRDefault="0068295A" w:rsidP="00397F4F">
      <w:pPr>
        <w:pStyle w:val="NoSpacing"/>
        <w:rPr>
          <w:sz w:val="24"/>
          <w:szCs w:val="24"/>
        </w:rPr>
      </w:pPr>
      <w:r w:rsidRPr="00397F4F">
        <w:rPr>
          <w:sz w:val="24"/>
          <w:szCs w:val="24"/>
        </w:rPr>
        <w:t>Department of Biomedical Sciences, College of Health Sciences, University of Wisconsin-Milwaukee, Milwaukee, WI</w:t>
      </w:r>
    </w:p>
    <w:p w14:paraId="43753246" w14:textId="77777777" w:rsidR="009D7EB3" w:rsidRDefault="009D7EB3" w:rsidP="00437F2B"/>
    <w:p w14:paraId="15679A18" w14:textId="77777777" w:rsidR="00437F2B" w:rsidRPr="00437F2B" w:rsidRDefault="00437F2B" w:rsidP="00397F4F">
      <w:pPr>
        <w:pStyle w:val="Heading1"/>
      </w:pPr>
      <w:r w:rsidRPr="00437F2B">
        <w:t>Abstract</w:t>
      </w:r>
    </w:p>
    <w:p w14:paraId="428F3A4C" w14:textId="77777777" w:rsidR="00437F2B" w:rsidRPr="00437F2B" w:rsidRDefault="00437F2B" w:rsidP="00437F2B">
      <w:r w:rsidRPr="00437F2B">
        <w:t>The World Health Organization has identified antibiotic resistance as one of the largest threats to human health and food security. In this study, we compared antibiotic resistance patterns between ESBL-producing </w:t>
      </w:r>
      <w:r w:rsidRPr="00437F2B">
        <w:rPr>
          <w:i/>
          <w:iCs/>
        </w:rPr>
        <w:t>Escherichia coli</w:t>
      </w:r>
      <w:r w:rsidRPr="00437F2B">
        <w:t> from human clinical diseases and cefotaxime-resistant environmental strains, as well as their potential to be pathogenic. Antibiotic susceptibility was tested amongst clinical isolates (</w:t>
      </w:r>
      <w:r w:rsidRPr="00437F2B">
        <w:rPr>
          <w:i/>
          <w:iCs/>
        </w:rPr>
        <w:t>n</w:t>
      </w:r>
      <w:r w:rsidRPr="00437F2B">
        <w:t> = 11), hospital wastewater (</w:t>
      </w:r>
      <w:r w:rsidRPr="00437F2B">
        <w:rPr>
          <w:i/>
          <w:iCs/>
        </w:rPr>
        <w:t>n</w:t>
      </w:r>
      <w:r w:rsidRPr="00437F2B">
        <w:t> = 22), and urban wastewater (</w:t>
      </w:r>
      <w:r w:rsidRPr="00437F2B">
        <w:rPr>
          <w:i/>
          <w:iCs/>
        </w:rPr>
        <w:t>n</w:t>
      </w:r>
      <w:r w:rsidRPr="00437F2B">
        <w:t> = 36, both influent and treated effluents). Multi-drug resistance predominated (&gt;70%) among hospitalwastewater and urban wastewater influent isolates. Interestingly, isolates from clinical and urban treated effluents showed similar multi-drug resistance rates (~50%). Most hospital wastewater isolates were Phylogroup A, while clinical isolates were predominately B2, with a more diverse phylogroup population in urban wastewater. ESBL characterization of cefotaxime-resistant populations identified </w:t>
      </w:r>
      <w:r w:rsidRPr="00437F2B">
        <w:rPr>
          <w:i/>
          <w:iCs/>
        </w:rPr>
        <w:t>bla</w:t>
      </w:r>
      <w:r w:rsidRPr="00437F2B">
        <w:rPr>
          <w:vertAlign w:val="subscript"/>
        </w:rPr>
        <w:t>CTX-M-1</w:t>
      </w:r>
      <w:r w:rsidRPr="00437F2B">
        <w:t> subgroup as the most common, whereby </w:t>
      </w:r>
      <w:r w:rsidRPr="00437F2B">
        <w:rPr>
          <w:i/>
          <w:iCs/>
        </w:rPr>
        <w:t>bla</w:t>
      </w:r>
      <w:r w:rsidRPr="00437F2B">
        <w:rPr>
          <w:vertAlign w:val="subscript"/>
        </w:rPr>
        <w:t>KPC</w:t>
      </w:r>
      <w:r w:rsidRPr="00437F2B">
        <w:t> was more associated with ceftazidime and ertapenem resistance. Whole-</w:t>
      </w:r>
      <w:r w:rsidRPr="00437F2B">
        <w:lastRenderedPageBreak/>
        <w:t>genome sequencing of a carbapenemase-producing hospital wastewater </w:t>
      </w:r>
      <w:r w:rsidRPr="00437F2B">
        <w:rPr>
          <w:i/>
          <w:iCs/>
        </w:rPr>
        <w:t>E. coli</w:t>
      </w:r>
      <w:r w:rsidRPr="00437F2B">
        <w:t> strain revealed plasmid-mediated </w:t>
      </w:r>
      <w:r w:rsidRPr="00437F2B">
        <w:rPr>
          <w:i/>
          <w:iCs/>
        </w:rPr>
        <w:t>bla</w:t>
      </w:r>
      <w:r w:rsidRPr="00437F2B">
        <w:rPr>
          <w:vertAlign w:val="subscript"/>
        </w:rPr>
        <w:t>KPC-2.</w:t>
      </w:r>
      <w:r w:rsidRPr="00437F2B">
        <w:t> Among cefotaxime-resistant populations, over 60% of clinical and 30% of treated effluent </w:t>
      </w:r>
      <w:r w:rsidRPr="00437F2B">
        <w:rPr>
          <w:i/>
          <w:iCs/>
        </w:rPr>
        <w:t>E. coli</w:t>
      </w:r>
      <w:r w:rsidRPr="00437F2B">
        <w:t> encoded three or more virulence genes exhibiting a pathogenic potential. Together, the similarity among treated effluent </w:t>
      </w:r>
      <w:r w:rsidRPr="00437F2B">
        <w:rPr>
          <w:i/>
          <w:iCs/>
        </w:rPr>
        <w:t>E. coli</w:t>
      </w:r>
      <w:r w:rsidRPr="00437F2B">
        <w:t> populations and clinical strains suggest effluents could serve as a reservoir for future multi-drug resistant </w:t>
      </w:r>
      <w:r w:rsidRPr="00437F2B">
        <w:rPr>
          <w:i/>
          <w:iCs/>
        </w:rPr>
        <w:t>E. coli</w:t>
      </w:r>
      <w:r w:rsidRPr="00437F2B">
        <w:t> clinical infections.</w:t>
      </w:r>
    </w:p>
    <w:p w14:paraId="4B88ADAA" w14:textId="77777777" w:rsidR="00397F4F" w:rsidRDefault="00437F2B" w:rsidP="00397F4F">
      <w:pPr>
        <w:pStyle w:val="Heading1"/>
      </w:pPr>
      <w:r w:rsidRPr="00437F2B">
        <w:t>Keywords:</w:t>
      </w:r>
    </w:p>
    <w:p w14:paraId="0BBC5C90" w14:textId="440C8C1D" w:rsidR="00437F2B" w:rsidRPr="00437F2B" w:rsidRDefault="00437F2B" w:rsidP="00437F2B">
      <w:r w:rsidRPr="00C90A22">
        <w:rPr>
          <w:b/>
          <w:bCs/>
        </w:rPr>
        <w:t>wastewater</w:t>
      </w:r>
      <w:r w:rsidRPr="00437F2B">
        <w:t>; </w:t>
      </w:r>
      <w:r w:rsidRPr="00C90A22">
        <w:rPr>
          <w:b/>
          <w:bCs/>
        </w:rPr>
        <w:t>ESBL</w:t>
      </w:r>
      <w:r w:rsidRPr="00437F2B">
        <w:t>; </w:t>
      </w:r>
      <w:r w:rsidRPr="00C90A22">
        <w:rPr>
          <w:b/>
          <w:bCs/>
        </w:rPr>
        <w:t>KPC</w:t>
      </w:r>
      <w:r w:rsidRPr="00437F2B">
        <w:t>; </w:t>
      </w:r>
      <w:r w:rsidRPr="00C90A22">
        <w:rPr>
          <w:b/>
          <w:bCs/>
        </w:rPr>
        <w:t>CTX-M</w:t>
      </w:r>
      <w:r w:rsidRPr="00437F2B">
        <w:t>; </w:t>
      </w:r>
      <w:r w:rsidRPr="00C90A22">
        <w:rPr>
          <w:b/>
          <w:bCs/>
        </w:rPr>
        <w:t>virulence</w:t>
      </w:r>
      <w:r w:rsidRPr="00437F2B">
        <w:t>; </w:t>
      </w:r>
      <w:r w:rsidRPr="00C90A22">
        <w:rPr>
          <w:b/>
          <w:bCs/>
        </w:rPr>
        <w:t>uropathogenic</w:t>
      </w:r>
    </w:p>
    <w:p w14:paraId="5437C9D1" w14:textId="77777777" w:rsidR="00437F2B" w:rsidRPr="00437F2B" w:rsidRDefault="00437F2B" w:rsidP="00397F4F">
      <w:pPr>
        <w:pStyle w:val="Heading1"/>
      </w:pPr>
      <w:r w:rsidRPr="00437F2B">
        <w:t>1. Introduction</w:t>
      </w:r>
    </w:p>
    <w:p w14:paraId="7B463808" w14:textId="03E0312D" w:rsidR="00437F2B" w:rsidRPr="00437F2B" w:rsidRDefault="00437F2B" w:rsidP="00437F2B">
      <w:r w:rsidRPr="00437F2B">
        <w:t>Antimicrobial resistance (AMR) is a serious global health concern. In the United States alone, over 2 million AMR infections are reported annually, resulting in approximately 23,000 deaths [</w:t>
      </w:r>
      <w:r w:rsidRPr="00C90A22">
        <w:rPr>
          <w:b/>
          <w:bCs/>
        </w:rPr>
        <w:t>1</w:t>
      </w:r>
      <w:r w:rsidRPr="00437F2B">
        <w:t>]. Although AMR is frequently associated with the overuse and misuse of antibiotics in clinical settings, resistant bacteria and their genes are widespread within human, animal, and environmental settings, indicating the need for a One Health approach [</w:t>
      </w:r>
      <w:r w:rsidRPr="00C90A22">
        <w:rPr>
          <w:b/>
          <w:bCs/>
        </w:rPr>
        <w:t>2</w:t>
      </w:r>
      <w:r w:rsidRPr="00437F2B">
        <w:t>]. Wastewaters are ideal for the study of AMR as they serve as a bridge between human, animal, and environmental settings and have been frequently implicated in the acquisition and dissemination of AMR bacteria and genes [</w:t>
      </w:r>
      <w:r w:rsidRPr="00C90A22">
        <w:rPr>
          <w:b/>
          <w:bCs/>
        </w:rPr>
        <w:t>3</w:t>
      </w:r>
      <w:r w:rsidRPr="00437F2B">
        <w:t>,</w:t>
      </w:r>
      <w:r w:rsidRPr="00C90A22">
        <w:rPr>
          <w:b/>
          <w:bCs/>
        </w:rPr>
        <w:t>4</w:t>
      </w:r>
      <w:r w:rsidRPr="00437F2B">
        <w:t>]. Additionally, wastewaters are rich in selective pressures including antibiotics, pharmaceuticals, and biocides that can increase microbial horizontal gene transfer (HGT) and mutation rates, leading to an increase in AMR [</w:t>
      </w:r>
      <w:r w:rsidRPr="00C90A22">
        <w:rPr>
          <w:b/>
          <w:bCs/>
        </w:rPr>
        <w:t>5</w:t>
      </w:r>
      <w:r w:rsidRPr="00437F2B">
        <w:t>,</w:t>
      </w:r>
      <w:r w:rsidRPr="00C90A22">
        <w:rPr>
          <w:b/>
          <w:bCs/>
        </w:rPr>
        <w:t>6</w:t>
      </w:r>
      <w:r w:rsidRPr="00437F2B">
        <w:t>].</w:t>
      </w:r>
    </w:p>
    <w:p w14:paraId="4FE07454" w14:textId="04243285" w:rsidR="00437F2B" w:rsidRPr="00437F2B" w:rsidRDefault="00437F2B" w:rsidP="00437F2B">
      <w:r w:rsidRPr="00437F2B">
        <w:t>Wastewaters contain bacteria from a variety of sources including human waste, stormwater, and hospital sewage. Due to the widespread use of broad-spectrum antibiotics for disease treatment in hospital settings, hospital wastewater frequently contains elevated levels of antibiotic residues and antibiotic resistant bacteria, many of which are resistant or resilient to wastewater (WW) treatment processes [</w:t>
      </w:r>
      <w:r w:rsidRPr="00C90A22">
        <w:rPr>
          <w:b/>
          <w:bCs/>
        </w:rPr>
        <w:t>7</w:t>
      </w:r>
      <w:r w:rsidRPr="00437F2B">
        <w:t>,</w:t>
      </w:r>
      <w:r w:rsidRPr="00C90A22">
        <w:rPr>
          <w:b/>
          <w:bCs/>
        </w:rPr>
        <w:t>8</w:t>
      </w:r>
      <w:r w:rsidRPr="00437F2B">
        <w:t>] and enter urban waterways and recreational waters [</w:t>
      </w:r>
      <w:r w:rsidRPr="00C90A22">
        <w:rPr>
          <w:b/>
          <w:bCs/>
        </w:rPr>
        <w:t>9</w:t>
      </w:r>
      <w:r w:rsidRPr="00437F2B">
        <w:t>,</w:t>
      </w:r>
      <w:r w:rsidRPr="00C90A22">
        <w:rPr>
          <w:b/>
          <w:bCs/>
        </w:rPr>
        <w:t>10</w:t>
      </w:r>
      <w:r w:rsidRPr="00437F2B">
        <w:t>]. Bacterial populations that survive the WW treatment process, whether pathogenic or not, serve as a health risk in downstream receiving waters by increasing the dissemination of AMR bacteria and their genes.</w:t>
      </w:r>
    </w:p>
    <w:p w14:paraId="70DBAA3B" w14:textId="44B8B8F2" w:rsidR="00437F2B" w:rsidRPr="00437F2B" w:rsidRDefault="00437F2B" w:rsidP="00437F2B">
      <w:r w:rsidRPr="00437F2B">
        <w:t>Specific classes of hospital-administered antibiotics pose greater human health risk if disseminated into the environment. One such last-resort antibiotic class, third-generation cephalosporins, is frequently used as a front-line therapeutic against serious Gram-negative bacterial infections [</w:t>
      </w:r>
      <w:r w:rsidRPr="00C90A22">
        <w:rPr>
          <w:b/>
          <w:bCs/>
        </w:rPr>
        <w:t>1</w:t>
      </w:r>
      <w:r w:rsidRPr="00437F2B">
        <w:t>]. Increased activity beta-lactams comprise 10.6% of all prescribed antibiotics in the United States [</w:t>
      </w:r>
      <w:r w:rsidRPr="00C90A22">
        <w:rPr>
          <w:b/>
          <w:bCs/>
        </w:rPr>
        <w:t>11</w:t>
      </w:r>
      <w:r w:rsidRPr="00437F2B">
        <w:t>]. However, The United States Center for Disease Control and Prevention (CDC) has identified strains of the family Enterobacterales resistant to this class of antibiotics as a major public health threat [</w:t>
      </w:r>
      <w:r w:rsidRPr="00C90A22">
        <w:rPr>
          <w:b/>
          <w:bCs/>
        </w:rPr>
        <w:t>1</w:t>
      </w:r>
      <w:r w:rsidRPr="00437F2B">
        <w:t>]. Resistance to cephalosporins is mediated by a diverse group of antibiotic resistance genes (ARGs) called extended spectrum beta-lactamase (ESBLs) [</w:t>
      </w:r>
      <w:r w:rsidRPr="00C90A22">
        <w:rPr>
          <w:b/>
          <w:bCs/>
        </w:rPr>
        <w:t>12</w:t>
      </w:r>
      <w:r w:rsidRPr="00437F2B">
        <w:t>]. ESBL-producing </w:t>
      </w:r>
      <w:r w:rsidRPr="00437F2B">
        <w:rPr>
          <w:i/>
          <w:iCs/>
        </w:rPr>
        <w:t>E. coli</w:t>
      </w:r>
      <w:r w:rsidRPr="00437F2B">
        <w:t> populations are defined by resistance to penicillins, cephalosporins, and aztreonam that can be inhibited by beta-lactamase inhibitors like clavulanic acid [</w:t>
      </w:r>
      <w:r w:rsidRPr="00C90A22">
        <w:rPr>
          <w:b/>
          <w:bCs/>
        </w:rPr>
        <w:t>13</w:t>
      </w:r>
      <w:r w:rsidRPr="00437F2B">
        <w:t>]. These ESBLs are highly associated with mobile genetic elements capable of being passed to other bacteria via horizontal gene transfer (HGT) [</w:t>
      </w:r>
      <w:r w:rsidRPr="00C90A22">
        <w:rPr>
          <w:b/>
          <w:bCs/>
        </w:rPr>
        <w:t>14</w:t>
      </w:r>
      <w:r w:rsidRPr="00437F2B">
        <w:t>], which can be elevated by many stressors present in the WW [</w:t>
      </w:r>
      <w:r w:rsidRPr="00C90A22">
        <w:rPr>
          <w:b/>
          <w:bCs/>
        </w:rPr>
        <w:t>15</w:t>
      </w:r>
      <w:r w:rsidRPr="00437F2B">
        <w:t>]. A better understanding of the contribution of hospital WW to the presence and dissemination of ESBLs throughout the WW treatment system is necessary to determine human health risk in downstream receiving waters, as well as further assessing the potential of resistant populations to be pathogenic.</w:t>
      </w:r>
    </w:p>
    <w:p w14:paraId="361E92F8" w14:textId="226B377A" w:rsidR="00437F2B" w:rsidRPr="00437F2B" w:rsidRDefault="00437F2B" w:rsidP="00437F2B">
      <w:r w:rsidRPr="00437F2B">
        <w:rPr>
          <w:i/>
          <w:iCs/>
        </w:rPr>
        <w:t>Escherichia coli</w:t>
      </w:r>
      <w:r w:rsidRPr="00437F2B">
        <w:t> populations comprise both pathogenic and commensal strains and are strong indicator species of warm-blooded animal and human fecal waste [</w:t>
      </w:r>
      <w:r w:rsidRPr="00C90A22">
        <w:rPr>
          <w:b/>
          <w:bCs/>
        </w:rPr>
        <w:t>16</w:t>
      </w:r>
      <w:r w:rsidRPr="00437F2B">
        <w:t>]. AMR populations of </w:t>
      </w:r>
      <w:r w:rsidRPr="00437F2B">
        <w:rPr>
          <w:i/>
          <w:iCs/>
        </w:rPr>
        <w:t>E. coli</w:t>
      </w:r>
      <w:r w:rsidRPr="00437F2B">
        <w:t> present two public health threats: increased difficulty to treat clinically and ability to transfer ARGs both intra- and interspecies [</w:t>
      </w:r>
      <w:r w:rsidRPr="00C90A22">
        <w:rPr>
          <w:b/>
          <w:bCs/>
        </w:rPr>
        <w:t>17</w:t>
      </w:r>
      <w:r w:rsidRPr="00437F2B">
        <w:t>], thus being a vehicle of ARG dissemination. Identifying similarities in AMR phenotypes and genotypes, as well as virulence factors between isolates from interconnected ecosystems, can help identify areas in which gene transfer may be occurring that are in critical need of AMR mitigation and control measures. In areas that release treated wastewater into local receiving waters accessed by humans and animals, this evaluation is vital to reduce potential health risks. Previous studies by our labs have characterized antibiotic resistance phenotypes and genotypes of </w:t>
      </w:r>
      <w:r w:rsidRPr="00437F2B">
        <w:rPr>
          <w:i/>
          <w:iCs/>
        </w:rPr>
        <w:t>E. coli</w:t>
      </w:r>
      <w:r w:rsidRPr="00437F2B">
        <w:t> from manure, wastewater, sediment and surface waters, hospital wastewater, and clinical strains [</w:t>
      </w:r>
      <w:r w:rsidRPr="00C90A22">
        <w:rPr>
          <w:b/>
          <w:bCs/>
        </w:rPr>
        <w:t>10</w:t>
      </w:r>
      <w:r w:rsidRPr="00437F2B">
        <w:t>,</w:t>
      </w:r>
      <w:r w:rsidRPr="00C90A22">
        <w:rPr>
          <w:b/>
          <w:bCs/>
        </w:rPr>
        <w:t>18</w:t>
      </w:r>
      <w:r w:rsidRPr="00437F2B">
        <w:t>,</w:t>
      </w:r>
      <w:r w:rsidRPr="00C90A22">
        <w:rPr>
          <w:b/>
          <w:bCs/>
        </w:rPr>
        <w:t>19</w:t>
      </w:r>
      <w:r w:rsidRPr="00437F2B">
        <w:t>]. This study expands on our previous findings through the following aims: (i) to assess the presence of cefotaxime (CTX)-resistant </w:t>
      </w:r>
      <w:r w:rsidRPr="00437F2B">
        <w:rPr>
          <w:i/>
          <w:iCs/>
        </w:rPr>
        <w:t>Escherichia coli</w:t>
      </w:r>
      <w:r w:rsidRPr="00437F2B">
        <w:t> populations in hospital and urban WW; (ii) to compare resistance patterns among clinical ESBL-producing </w:t>
      </w:r>
      <w:r w:rsidRPr="00437F2B">
        <w:rPr>
          <w:i/>
          <w:iCs/>
        </w:rPr>
        <w:t>E. coli</w:t>
      </w:r>
      <w:r w:rsidRPr="00437F2B">
        <w:t> to urban and hospital WW strains within a defined geographical location; and (iii) to further assess the presence of virulence factors among cefotaxime resistant populations to provide a more complete public health risk analysis.</w:t>
      </w:r>
    </w:p>
    <w:p w14:paraId="4DF8FF8C" w14:textId="77777777" w:rsidR="00437F2B" w:rsidRPr="00437F2B" w:rsidRDefault="00437F2B" w:rsidP="00397F4F">
      <w:pPr>
        <w:pStyle w:val="Heading1"/>
      </w:pPr>
      <w:r w:rsidRPr="00437F2B">
        <w:t>2. Results and Discussion</w:t>
      </w:r>
    </w:p>
    <w:p w14:paraId="64707453" w14:textId="77777777" w:rsidR="00437F2B" w:rsidRPr="00437F2B" w:rsidRDefault="00437F2B" w:rsidP="00397F4F">
      <w:pPr>
        <w:pStyle w:val="Heading2"/>
      </w:pPr>
      <w:r w:rsidRPr="00437F2B">
        <w:t>2.1. Characterization of Antibiotic Resistance Profiles of Cefotaxime-Resistant E. coli</w:t>
      </w:r>
    </w:p>
    <w:p w14:paraId="492B8585" w14:textId="7262996E" w:rsidR="00437F2B" w:rsidRPr="00437F2B" w:rsidRDefault="00437F2B" w:rsidP="00437F2B">
      <w:r w:rsidRPr="00437F2B">
        <w:t>Among the leading antimicrobial resistance threats facing healthcare, ESBL-producing Enterobacterales pose a serious health threat with higher healthcare costs and longer hospital stays [</w:t>
      </w:r>
      <w:r w:rsidRPr="00C90A22">
        <w:rPr>
          <w:b/>
          <w:bCs/>
        </w:rPr>
        <w:t>20</w:t>
      </w:r>
      <w:r w:rsidRPr="00437F2B">
        <w:t>]. Furthermore, the worldwide carriage rate of ESBL-producing </w:t>
      </w:r>
      <w:r w:rsidRPr="00437F2B">
        <w:rPr>
          <w:i/>
          <w:iCs/>
        </w:rPr>
        <w:t>E. coli</w:t>
      </w:r>
      <w:r w:rsidRPr="00437F2B">
        <w:t> populations has significantly increased over eight-fold (2.6% to 21.1%) in less than 15 years [</w:t>
      </w:r>
      <w:r w:rsidRPr="00C90A22">
        <w:rPr>
          <w:b/>
          <w:bCs/>
        </w:rPr>
        <w:t>21</w:t>
      </w:r>
      <w:r w:rsidRPr="00437F2B">
        <w:t>]. Combating this issue involves utilizing a One Health approach, recognizing that AMR is interconnected between the clinic, agriculture, and the environment. In this study, we examined ESBL-producing </w:t>
      </w:r>
      <w:r w:rsidRPr="00437F2B">
        <w:rPr>
          <w:i/>
          <w:iCs/>
        </w:rPr>
        <w:t>E. coli</w:t>
      </w:r>
      <w:r w:rsidRPr="00437F2B">
        <w:t> isolates from a variety of clinical sources (7- uropathogenic </w:t>
      </w:r>
      <w:r w:rsidRPr="00437F2B">
        <w:rPr>
          <w:i/>
          <w:iCs/>
        </w:rPr>
        <w:t>E. coli</w:t>
      </w:r>
      <w:r w:rsidRPr="00437F2B">
        <w:t> (UPEC), 2- bacteremia, 1- wound infection, and 1- surgical tissue infections) from Milwaukee, Wisconsin, U.S.A. All selected isolates exhibited at least intermediate resistance to third-generation cephalosporins or carbapenems. Clinical isolates were analyzed for their antibiotic resistance profiles and were compared to cefotaxime-resistant </w:t>
      </w:r>
      <w:r w:rsidRPr="00437F2B">
        <w:rPr>
          <w:i/>
          <w:iCs/>
        </w:rPr>
        <w:t>E. coli</w:t>
      </w:r>
      <w:r w:rsidRPr="00437F2B">
        <w:t> isolates from WW effluents of the same hospital (</w:t>
      </w:r>
      <w:r w:rsidRPr="00437F2B">
        <w:rPr>
          <w:i/>
          <w:iCs/>
        </w:rPr>
        <w:t>n</w:t>
      </w:r>
      <w:r w:rsidRPr="00437F2B">
        <w:t> = 22), as well as influents (</w:t>
      </w:r>
      <w:r w:rsidRPr="00437F2B">
        <w:rPr>
          <w:i/>
          <w:iCs/>
        </w:rPr>
        <w:t>n</w:t>
      </w:r>
      <w:r w:rsidRPr="00437F2B">
        <w:t> = 19) and treated effluents (</w:t>
      </w:r>
      <w:r w:rsidRPr="00437F2B">
        <w:rPr>
          <w:i/>
          <w:iCs/>
        </w:rPr>
        <w:t>n</w:t>
      </w:r>
      <w:r w:rsidRPr="00437F2B">
        <w:t> = 17) from urban wastewater reclamation facility in the same city. The Milwaukee wastewater reclamation facility services 1.1 million people within a 681 km</w:t>
      </w:r>
      <w:r w:rsidRPr="00437F2B">
        <w:rPr>
          <w:vertAlign w:val="superscript"/>
        </w:rPr>
        <w:t>2</w:t>
      </w:r>
      <w:r w:rsidRPr="00437F2B">
        <w:t> area collecting and treating on average 265 mL/day of sewage during dry days. The sewage comprises domestic urban surface runoff, industrial, and hospital wastewater. The final treated wastewater is discharged into Lake Michigan within the Milwaukee Bay area (43.02329162715021, −87.89408612678749). Similar to a global analysis of disinfected WW effluents [</w:t>
      </w:r>
      <w:r w:rsidRPr="00C90A22">
        <w:rPr>
          <w:b/>
          <w:bCs/>
        </w:rPr>
        <w:t>22</w:t>
      </w:r>
      <w:r w:rsidRPr="00437F2B">
        <w:t>], no CTX-resistant </w:t>
      </w:r>
      <w:r w:rsidRPr="00437F2B">
        <w:rPr>
          <w:i/>
          <w:iCs/>
        </w:rPr>
        <w:t>E. coli</w:t>
      </w:r>
      <w:r w:rsidRPr="00437F2B">
        <w:t> isolates were identified in post-chlorinated WW effluents. The 69 </w:t>
      </w:r>
      <w:r w:rsidRPr="00437F2B">
        <w:rPr>
          <w:i/>
          <w:iCs/>
        </w:rPr>
        <w:t>E. coli</w:t>
      </w:r>
      <w:r w:rsidRPr="00437F2B">
        <w:t> isolates were tested for resistance against twelve different antibiotics. Hospital WW displayed the same or highest prevalence of antibiotic resistance compared to all other </w:t>
      </w:r>
      <w:r w:rsidRPr="00437F2B">
        <w:rPr>
          <w:i/>
          <w:iCs/>
        </w:rPr>
        <w:t>E. coli</w:t>
      </w:r>
      <w:r w:rsidRPr="00437F2B">
        <w:t> sources except for chloramphenicol (CHL), to which all isolates were fully susceptible (</w:t>
      </w:r>
      <w:r w:rsidRPr="00C90A22">
        <w:rPr>
          <w:b/>
          <w:bCs/>
        </w:rPr>
        <w:t>Figure 1</w:t>
      </w:r>
      <w:r w:rsidRPr="00437F2B">
        <w:t>). Although antibiotic resistance was not as prevalent among WW influents and effluents, more than 25% of isolates were resistant to five antibiotics (sulfamethoxazole-trimethoprim (SXT), tetracycline (TET), ceftriaxone (CRO), ceftazidime (CAZ), and CTX) (</w:t>
      </w:r>
      <w:r w:rsidRPr="00C90A22">
        <w:rPr>
          <w:b/>
          <w:bCs/>
        </w:rPr>
        <w:t>Supplementary Table S2</w:t>
      </w:r>
      <w:r w:rsidRPr="00437F2B">
        <w:t>).</w:t>
      </w:r>
    </w:p>
    <w:p w14:paraId="25AE1257" w14:textId="7164730B" w:rsidR="00437F2B" w:rsidRPr="00437F2B" w:rsidRDefault="00437F2B" w:rsidP="00397F4F">
      <w:pPr>
        <w:pStyle w:val="NoSpacing"/>
      </w:pPr>
      <w:r w:rsidRPr="00437F2B">
        <w:rPr>
          <w:noProof/>
        </w:rPr>
        <w:drawing>
          <wp:inline distT="0" distB="0" distL="0" distR="0" wp14:anchorId="067D95B9" wp14:editId="58FF7726">
            <wp:extent cx="3657600" cy="2596896"/>
            <wp:effectExtent l="0" t="0" r="0" b="0"/>
            <wp:docPr id="7" name="Picture 7" descr="Antibiotics 11 00260 g00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ibiotics 11 00260 g001 5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596896"/>
                    </a:xfrm>
                    <a:prstGeom prst="rect">
                      <a:avLst/>
                    </a:prstGeom>
                    <a:noFill/>
                    <a:ln>
                      <a:noFill/>
                    </a:ln>
                  </pic:spPr>
                </pic:pic>
              </a:graphicData>
            </a:graphic>
          </wp:inline>
        </w:drawing>
      </w:r>
    </w:p>
    <w:p w14:paraId="220250F9" w14:textId="77777777" w:rsidR="00437F2B" w:rsidRDefault="00437F2B" w:rsidP="00397F4F">
      <w:pPr>
        <w:pStyle w:val="NoSpacing"/>
      </w:pPr>
      <w:r w:rsidRPr="00437F2B">
        <w:rPr>
          <w:b/>
          <w:bCs/>
        </w:rPr>
        <w:t>Figure 1.</w:t>
      </w:r>
      <w:r w:rsidRPr="00437F2B">
        <w:t> Prevalence of antibiotic resistance among </w:t>
      </w:r>
      <w:r w:rsidRPr="00437F2B">
        <w:rPr>
          <w:i/>
          <w:iCs/>
        </w:rPr>
        <w:t>Escherichia coli</w:t>
      </w:r>
      <w:r w:rsidRPr="00437F2B">
        <w:t> isolates. CTX-resistant clinical (</w:t>
      </w:r>
      <w:r w:rsidRPr="00437F2B">
        <w:rPr>
          <w:i/>
          <w:iCs/>
        </w:rPr>
        <w:t>n</w:t>
      </w:r>
      <w:r w:rsidRPr="00437F2B">
        <w:t> = 11, black) and wastewater (WW) isolates were analyzed for antibiotic susceptibility using disk diffusion. Isolates from wastewater populations included hospital (</w:t>
      </w:r>
      <w:r w:rsidRPr="00437F2B">
        <w:rPr>
          <w:i/>
          <w:iCs/>
        </w:rPr>
        <w:t>n</w:t>
      </w:r>
      <w:r w:rsidRPr="00437F2B">
        <w:t> = 22, gray), wastewater influent (</w:t>
      </w:r>
      <w:r w:rsidRPr="00437F2B">
        <w:rPr>
          <w:i/>
          <w:iCs/>
        </w:rPr>
        <w:t>n</w:t>
      </w:r>
      <w:r w:rsidRPr="00437F2B">
        <w:t> = 19, pink), and treated effluent (</w:t>
      </w:r>
      <w:r w:rsidRPr="00437F2B">
        <w:rPr>
          <w:i/>
          <w:iCs/>
        </w:rPr>
        <w:t>n</w:t>
      </w:r>
      <w:r w:rsidRPr="00437F2B">
        <w:t> = 17, blue). Prevalence was determined dividing resistant isolates by the total number of isolates in each source multiplied by a hundred. CRO: ceftriaxone; CTX: cefotaxime; CAZ: ceftazidime; MEM: meropenem; IMP: impenem; ERT: ertapenem; CHL: chloramphenicol; CIP: ciprofloxacin; GEN: gentamicin; SXT: sulfamethoxazole-trimethoprim; TET: tetracycline; MDR: multi-drug resistant.</w:t>
      </w:r>
    </w:p>
    <w:p w14:paraId="79493333" w14:textId="77777777" w:rsidR="00397F4F" w:rsidRPr="00437F2B" w:rsidRDefault="00397F4F" w:rsidP="00437F2B"/>
    <w:p w14:paraId="4DE9313B" w14:textId="12182FD8" w:rsidR="00437F2B" w:rsidRPr="00437F2B" w:rsidRDefault="00437F2B" w:rsidP="00437F2B">
      <w:r w:rsidRPr="00437F2B">
        <w:t>Multi-drug resistance (≥3 antibiotic classes), a major health threat, was evident among over 71% (49 or 69) of isolates with the highest prevalence among hospital WW and urban influent WW (</w:t>
      </w:r>
      <w:r w:rsidRPr="00C90A22">
        <w:rPr>
          <w:b/>
          <w:bCs/>
        </w:rPr>
        <w:t>Figure 1</w:t>
      </w:r>
      <w:r w:rsidRPr="00437F2B">
        <w:t>: 91% and 74% respectively). Most CTX-resistant hospital WW </w:t>
      </w:r>
      <w:r w:rsidRPr="00437F2B">
        <w:rPr>
          <w:i/>
          <w:iCs/>
        </w:rPr>
        <w:t>E. coli</w:t>
      </w:r>
      <w:r w:rsidRPr="00437F2B">
        <w:t> were also resistant to SXT, gentamicin (GEN), and ciprofloxacin (CIP) (</w:t>
      </w:r>
      <w:r w:rsidRPr="00C90A22">
        <w:rPr>
          <w:b/>
          <w:bCs/>
        </w:rPr>
        <w:t>Supplementary Table S2</w:t>
      </w:r>
      <w:r w:rsidRPr="00437F2B">
        <w:t>), consistent with another report [</w:t>
      </w:r>
      <w:r w:rsidRPr="00C90A22">
        <w:rPr>
          <w:b/>
          <w:bCs/>
        </w:rPr>
        <w:t>23</w:t>
      </w:r>
      <w:r w:rsidRPr="00437F2B">
        <w:t>]. Resistance to these three antibiotics (SXT, GEN, and CIP), albeit at lower levels, was persistent throughout influent (68%, 58%, and 39%, respectively) and effluent (47%, 24%, and 12%, respectively). Although antibiotic resistant profiles were quite diverse within and among the sample sources (</w:t>
      </w:r>
      <w:r w:rsidRPr="00C90A22">
        <w:rPr>
          <w:b/>
          <w:bCs/>
        </w:rPr>
        <w:t>Supplementary Table S2</w:t>
      </w:r>
      <w:r w:rsidRPr="00437F2B">
        <w:t>), resistance to SXT, GEN, CIP, TET, CRO, CAZ, and CTX were the most prevalent among hospital and urban influent WW. Similar to other reports [</w:t>
      </w:r>
      <w:r w:rsidRPr="00C90A22">
        <w:rPr>
          <w:b/>
          <w:bCs/>
        </w:rPr>
        <w:t>24</w:t>
      </w:r>
      <w:r w:rsidRPr="00437F2B">
        <w:t>], hospital WW isolates had significantly higher multiple antibiotic resistance (MAR) indices than all other sources (</w:t>
      </w:r>
      <w:r w:rsidRPr="00C90A22">
        <w:rPr>
          <w:b/>
          <w:bCs/>
        </w:rPr>
        <w:t>Figure 2</w:t>
      </w:r>
      <w:r w:rsidRPr="00437F2B">
        <w:t>A: </w:t>
      </w:r>
      <w:r w:rsidRPr="00437F2B">
        <w:rPr>
          <w:i/>
          <w:iCs/>
        </w:rPr>
        <w:t>p</w:t>
      </w:r>
      <w:r w:rsidRPr="00437F2B">
        <w:t> &lt; 0.05).</w:t>
      </w:r>
    </w:p>
    <w:p w14:paraId="061276EF" w14:textId="72A9B2B0" w:rsidR="00437F2B" w:rsidRPr="00437F2B" w:rsidRDefault="00437F2B" w:rsidP="00440D4B">
      <w:pPr>
        <w:pStyle w:val="NoSpacing"/>
      </w:pPr>
      <w:r w:rsidRPr="00437F2B">
        <w:rPr>
          <w:noProof/>
        </w:rPr>
        <w:drawing>
          <wp:inline distT="0" distB="0" distL="0" distR="0" wp14:anchorId="1AE586CB" wp14:editId="024C7ABE">
            <wp:extent cx="3657600" cy="1920240"/>
            <wp:effectExtent l="0" t="0" r="0" b="3810"/>
            <wp:docPr id="6" name="Picture 6" descr="Antibiotics 11 00260 g002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ibiotics 11 00260 g002 5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920240"/>
                    </a:xfrm>
                    <a:prstGeom prst="rect">
                      <a:avLst/>
                    </a:prstGeom>
                    <a:noFill/>
                    <a:ln>
                      <a:noFill/>
                    </a:ln>
                  </pic:spPr>
                </pic:pic>
              </a:graphicData>
            </a:graphic>
          </wp:inline>
        </w:drawing>
      </w:r>
    </w:p>
    <w:p w14:paraId="0D6961C7" w14:textId="77777777" w:rsidR="00437F2B" w:rsidRDefault="00437F2B" w:rsidP="00440D4B">
      <w:pPr>
        <w:pStyle w:val="NoSpacing"/>
      </w:pPr>
      <w:r w:rsidRPr="00437F2B">
        <w:rPr>
          <w:b/>
          <w:bCs/>
        </w:rPr>
        <w:t>Figure 2.</w:t>
      </w:r>
      <w:r w:rsidRPr="00437F2B">
        <w:t> Antibiotic resistance among sample sources and phylogroups. (</w:t>
      </w:r>
      <w:r w:rsidRPr="00437F2B">
        <w:rPr>
          <w:b/>
          <w:bCs/>
        </w:rPr>
        <w:t>A</w:t>
      </w:r>
      <w:r w:rsidRPr="00437F2B">
        <w:t>) Multiple antibiotic resistance (MAR) index was determined by dividing the number of resistant antibiotic categories by the total number of antibiotic categories (</w:t>
      </w:r>
      <w:r w:rsidRPr="00437F2B">
        <w:rPr>
          <w:i/>
          <w:iCs/>
        </w:rPr>
        <w:t>n</w:t>
      </w:r>
      <w:r w:rsidRPr="00437F2B">
        <w:t> = 7) per isolate. (</w:t>
      </w:r>
      <w:r w:rsidRPr="00437F2B">
        <w:rPr>
          <w:b/>
          <w:bCs/>
        </w:rPr>
        <w:t>B</w:t>
      </w:r>
      <w:r w:rsidRPr="00437F2B">
        <w:t>) Phylogroup of total isolates was determined using the revised Clermont method. Each mark represents one isolate. The mean of each group is represented by a bar. Statistical differences between sources or phylogroups was determined using Tukey’s multiple comparison test. * </w:t>
      </w:r>
      <w:r w:rsidRPr="00437F2B">
        <w:rPr>
          <w:i/>
          <w:iCs/>
        </w:rPr>
        <w:t>p</w:t>
      </w:r>
      <w:r w:rsidRPr="00437F2B">
        <w:t> &lt; 0.05; ** </w:t>
      </w:r>
      <w:r w:rsidRPr="00437F2B">
        <w:rPr>
          <w:i/>
          <w:iCs/>
        </w:rPr>
        <w:t>p</w:t>
      </w:r>
      <w:r w:rsidRPr="00437F2B">
        <w:t> &lt; 0.001.</w:t>
      </w:r>
    </w:p>
    <w:p w14:paraId="15A78408" w14:textId="77777777" w:rsidR="00440D4B" w:rsidRPr="00437F2B" w:rsidRDefault="00440D4B" w:rsidP="00437F2B"/>
    <w:p w14:paraId="1ED8D68D" w14:textId="4B4219AA" w:rsidR="00437F2B" w:rsidRPr="00437F2B" w:rsidRDefault="00437F2B" w:rsidP="00437F2B">
      <w:r w:rsidRPr="00437F2B">
        <w:t>In addition to antibiotic susceptibility, we also categorized these </w:t>
      </w:r>
      <w:r w:rsidRPr="00437F2B">
        <w:rPr>
          <w:i/>
          <w:iCs/>
        </w:rPr>
        <w:t>E. coli</w:t>
      </w:r>
      <w:r w:rsidRPr="00437F2B">
        <w:t> by phylogroup [</w:t>
      </w:r>
      <w:r w:rsidRPr="00C90A22">
        <w:rPr>
          <w:b/>
          <w:bCs/>
        </w:rPr>
        <w:t>25</w:t>
      </w:r>
      <w:r w:rsidRPr="00437F2B">
        <w:t>], which aids in identifying a possible common bacterial host or origin. Most clinical isolates (64%) were attributed to phylogroup B2 (</w:t>
      </w:r>
      <w:r w:rsidRPr="00C90A22">
        <w:rPr>
          <w:b/>
          <w:bCs/>
        </w:rPr>
        <w:t>Supplementary Table S3</w:t>
      </w:r>
      <w:r w:rsidRPr="00437F2B">
        <w:t>), which correlated with the abundance of uropathogenic strains [</w:t>
      </w:r>
      <w:r w:rsidRPr="00C90A22">
        <w:rPr>
          <w:b/>
          <w:bCs/>
        </w:rPr>
        <w:t>26</w:t>
      </w:r>
      <w:r w:rsidRPr="00437F2B">
        <w:t>] amongst our clinical population. Interestingly, B2 was also present in WW influents (7%) and treated effluent (13%) isolates, though not observed in hospital WW (</w:t>
      </w:r>
      <w:r w:rsidRPr="00C90A22">
        <w:rPr>
          <w:b/>
          <w:bCs/>
        </w:rPr>
        <w:t>Supplementary Table S3</w:t>
      </w:r>
      <w:r w:rsidRPr="00437F2B">
        <w:t>). The majority of hospital WW was comprised of phylogroup A (77%), which typically associates as human commensal origin [</w:t>
      </w:r>
      <w:r w:rsidRPr="00C90A22">
        <w:rPr>
          <w:b/>
          <w:bCs/>
        </w:rPr>
        <w:t>27</w:t>
      </w:r>
      <w:r w:rsidRPr="00437F2B">
        <w:t>]. In agreement with other studies [</w:t>
      </w:r>
      <w:r w:rsidRPr="00C90A22">
        <w:rPr>
          <w:b/>
          <w:bCs/>
        </w:rPr>
        <w:t>19</w:t>
      </w:r>
      <w:r w:rsidRPr="00437F2B">
        <w:t>,</w:t>
      </w:r>
      <w:r w:rsidRPr="00C90A22">
        <w:rPr>
          <w:b/>
          <w:bCs/>
        </w:rPr>
        <w:t>28</w:t>
      </w:r>
      <w:r w:rsidRPr="00437F2B">
        <w:t>], WW influents and effluents showed a greater diversity in phylogroups (</w:t>
      </w:r>
      <w:r w:rsidRPr="00C90A22">
        <w:rPr>
          <w:b/>
          <w:bCs/>
        </w:rPr>
        <w:t>Supplementary Table S3</w:t>
      </w:r>
      <w:r w:rsidRPr="00437F2B">
        <w:t>) likely due to multiple sources combining into one, as well as WW persistent populations [</w:t>
      </w:r>
      <w:r w:rsidRPr="00C90A22">
        <w:rPr>
          <w:b/>
          <w:bCs/>
        </w:rPr>
        <w:t>27</w:t>
      </w:r>
      <w:r w:rsidRPr="00437F2B">
        <w:t>]. Amongst all the phylogroups, isolates typed to phylogroup A were significantly more resistant than those typed to B2 and D (</w:t>
      </w:r>
      <w:r w:rsidRPr="00C90A22">
        <w:rPr>
          <w:b/>
          <w:bCs/>
        </w:rPr>
        <w:t>Figure 2</w:t>
      </w:r>
      <w:r w:rsidRPr="00437F2B">
        <w:t>B, </w:t>
      </w:r>
      <w:r w:rsidRPr="00437F2B">
        <w:rPr>
          <w:i/>
          <w:iCs/>
        </w:rPr>
        <w:t>p</w:t>
      </w:r>
      <w:r w:rsidRPr="00437F2B">
        <w:t> &lt; 0.05). This finding could be attributed to microbial source, as phylogroup A comprised most samples from hospital WW, similar to other reports [</w:t>
      </w:r>
      <w:r w:rsidRPr="00C90A22">
        <w:rPr>
          <w:b/>
          <w:bCs/>
        </w:rPr>
        <w:t>19</w:t>
      </w:r>
      <w:r w:rsidRPr="00437F2B">
        <w:t>,</w:t>
      </w:r>
      <w:r w:rsidRPr="00C90A22">
        <w:rPr>
          <w:b/>
          <w:bCs/>
        </w:rPr>
        <w:t>29</w:t>
      </w:r>
      <w:r w:rsidRPr="00437F2B">
        <w:t>,</w:t>
      </w:r>
      <w:r w:rsidRPr="00C90A22">
        <w:rPr>
          <w:b/>
          <w:bCs/>
        </w:rPr>
        <w:t>30</w:t>
      </w:r>
      <w:r w:rsidRPr="00437F2B">
        <w:t>].</w:t>
      </w:r>
    </w:p>
    <w:p w14:paraId="7FABAF18" w14:textId="77777777" w:rsidR="00437F2B" w:rsidRPr="00437F2B" w:rsidRDefault="00437F2B" w:rsidP="00440D4B">
      <w:pPr>
        <w:pStyle w:val="Heading2"/>
      </w:pPr>
      <w:r w:rsidRPr="00437F2B">
        <w:t>2.2. Prevalence of β-Lactamases among CTX-Resistant Populations</w:t>
      </w:r>
    </w:p>
    <w:p w14:paraId="78691DAE" w14:textId="35D0D04D" w:rsidR="00437F2B" w:rsidRPr="00437F2B" w:rsidRDefault="00437F2B" w:rsidP="00437F2B">
      <w:r w:rsidRPr="00437F2B">
        <w:t>Among CTX-resistant </w:t>
      </w:r>
      <w:r w:rsidRPr="00437F2B">
        <w:rPr>
          <w:i/>
          <w:iCs/>
        </w:rPr>
        <w:t>E. coli</w:t>
      </w:r>
      <w:r w:rsidRPr="00437F2B">
        <w:t> populations from the clinic and environmental sources, we assessed the presence of seven different β-lactamases: CTX-M subgroups (1, 2, and 9), TEM, SHV, OXA, and KPC. They have become a global pandemic with ESBL prevalence increasing among commensals and clinical isolates [</w:t>
      </w:r>
      <w:r w:rsidRPr="00C90A22">
        <w:rPr>
          <w:b/>
          <w:bCs/>
        </w:rPr>
        <w:t>21</w:t>
      </w:r>
      <w:r w:rsidRPr="00437F2B">
        <w:t>,</w:t>
      </w:r>
      <w:r w:rsidRPr="00C90A22">
        <w:rPr>
          <w:b/>
          <w:bCs/>
        </w:rPr>
        <w:t>31</w:t>
      </w:r>
      <w:r w:rsidRPr="00437F2B">
        <w:t>], causing significant therapeutic challenges [</w:t>
      </w:r>
      <w:r w:rsidRPr="00C90A22">
        <w:rPr>
          <w:b/>
          <w:bCs/>
        </w:rPr>
        <w:t>32</w:t>
      </w:r>
      <w:r w:rsidRPr="00437F2B">
        <w:t>]. Women with ESBL-producing </w:t>
      </w:r>
      <w:r w:rsidRPr="00437F2B">
        <w:rPr>
          <w:i/>
          <w:iCs/>
        </w:rPr>
        <w:t>E. coli</w:t>
      </w:r>
      <w:r w:rsidRPr="00437F2B">
        <w:t> urinary tract infections are significantly more likely to contain the same ESBL-producing </w:t>
      </w:r>
      <w:r w:rsidRPr="00437F2B">
        <w:rPr>
          <w:i/>
          <w:iCs/>
        </w:rPr>
        <w:t>E. coli</w:t>
      </w:r>
      <w:r w:rsidRPr="00437F2B">
        <w:t> clone in their feces [</w:t>
      </w:r>
      <w:r w:rsidRPr="00C90A22">
        <w:rPr>
          <w:b/>
          <w:bCs/>
        </w:rPr>
        <w:t>33</w:t>
      </w:r>
      <w:r w:rsidRPr="00437F2B">
        <w:t>]. From a One Health perspective, the strongest correlation of ESBL genes among commensal and pathogenic isolates is with environmental sources, specifically surface and WW [</w:t>
      </w:r>
      <w:r w:rsidRPr="00C90A22">
        <w:rPr>
          <w:b/>
          <w:bCs/>
        </w:rPr>
        <w:t>34</w:t>
      </w:r>
      <w:r w:rsidRPr="00437F2B">
        <w:t>], in contrast to agricultural sources. One of the most common ESBLs that continues to increase in prevalence is the CTX-M family [</w:t>
      </w:r>
      <w:r w:rsidRPr="00C90A22">
        <w:rPr>
          <w:b/>
          <w:bCs/>
        </w:rPr>
        <w:t>34</w:t>
      </w:r>
      <w:r w:rsidRPr="00437F2B">
        <w:t>,</w:t>
      </w:r>
      <w:r w:rsidRPr="00C90A22">
        <w:rPr>
          <w:b/>
          <w:bCs/>
        </w:rPr>
        <w:t>35</w:t>
      </w:r>
      <w:r w:rsidRPr="00437F2B">
        <w:t>]. CTX-M enzymes originally targeted cefotaxime; however, their predominant presence in mobile genetic elements increased the variability and hydrolytic activity to other cephalosporins, including ceftazidime [</w:t>
      </w:r>
      <w:r w:rsidRPr="00C90A22">
        <w:rPr>
          <w:b/>
          <w:bCs/>
        </w:rPr>
        <w:t>36</w:t>
      </w:r>
      <w:r w:rsidRPr="00437F2B">
        <w:t>]. Furthermore, intra- and interspecies HGT within WW poses an additional threat with the evolution of chimeric CTX-M genes [</w:t>
      </w:r>
      <w:r w:rsidRPr="00C90A22">
        <w:rPr>
          <w:b/>
          <w:bCs/>
        </w:rPr>
        <w:t>37</w:t>
      </w:r>
      <w:r w:rsidRPr="00437F2B">
        <w:t>]. In our study, CTX-M-1 subgroup was the most common among ESBLs (</w:t>
      </w:r>
      <w:r w:rsidRPr="00C90A22">
        <w:rPr>
          <w:b/>
          <w:bCs/>
        </w:rPr>
        <w:t>Table 1</w:t>
      </w:r>
      <w:r w:rsidRPr="00437F2B">
        <w:t>: 81% of total samples analyzed) where 95% of cefotaxime-resistant hospital WW populations encoded </w:t>
      </w:r>
      <w:r w:rsidRPr="00437F2B">
        <w:rPr>
          <w:i/>
          <w:iCs/>
        </w:rPr>
        <w:t>bla</w:t>
      </w:r>
      <w:r w:rsidRPr="00437F2B">
        <w:rPr>
          <w:vertAlign w:val="subscript"/>
        </w:rPr>
        <w:t>CTX-M-1</w:t>
      </w:r>
      <w:r w:rsidRPr="00437F2B">
        <w:t> subgroup followed by 73% of urban WW influent and 81% of treated effluent isolates (</w:t>
      </w:r>
      <w:r w:rsidRPr="00C90A22">
        <w:rPr>
          <w:b/>
          <w:bCs/>
        </w:rPr>
        <w:t>Table 1</w:t>
      </w:r>
      <w:r w:rsidRPr="00437F2B">
        <w:t>). Resistance to CRO and CTX were significantly correlated with strains encoding </w:t>
      </w:r>
      <w:r w:rsidRPr="00437F2B">
        <w:rPr>
          <w:i/>
          <w:iCs/>
        </w:rPr>
        <w:t>bla</w:t>
      </w:r>
      <w:r w:rsidRPr="00437F2B">
        <w:rPr>
          <w:vertAlign w:val="subscript"/>
        </w:rPr>
        <w:t>CTX-M-1</w:t>
      </w:r>
      <w:r w:rsidRPr="00437F2B">
        <w:t> (</w:t>
      </w:r>
      <w:r w:rsidRPr="00C90A22">
        <w:rPr>
          <w:b/>
          <w:bCs/>
        </w:rPr>
        <w:t>Figure 3</w:t>
      </w:r>
      <w:r w:rsidRPr="00437F2B">
        <w:t>, </w:t>
      </w:r>
      <w:r w:rsidRPr="00437F2B">
        <w:rPr>
          <w:i/>
          <w:iCs/>
        </w:rPr>
        <w:t>p</w:t>
      </w:r>
      <w:r w:rsidRPr="00437F2B">
        <w:t> = 0.0001). Among clinical isolates, the CTX-M-1 subgroup predominated as the second most common ESBL among clinical strains, where it was encoded by 64% of isolates (</w:t>
      </w:r>
      <w:r w:rsidRPr="00C90A22">
        <w:rPr>
          <w:b/>
          <w:bCs/>
        </w:rPr>
        <w:t>Table 1</w:t>
      </w:r>
      <w:r w:rsidRPr="00437F2B">
        <w:t>). The CTX-M-1 subgroup is the most common ESBL within hospital isolates from North America comprising between 34% and 66.2% [</w:t>
      </w:r>
      <w:r w:rsidRPr="00C90A22">
        <w:rPr>
          <w:b/>
          <w:bCs/>
        </w:rPr>
        <w:t>38</w:t>
      </w:r>
      <w:r w:rsidRPr="00437F2B">
        <w:t>,</w:t>
      </w:r>
      <w:r w:rsidRPr="00C90A22">
        <w:rPr>
          <w:b/>
          <w:bCs/>
        </w:rPr>
        <w:t>39</w:t>
      </w:r>
      <w:r w:rsidRPr="00437F2B">
        <w:t>]. Another study demonstrated 79% and 67% of ESBL-producing </w:t>
      </w:r>
      <w:r w:rsidRPr="00437F2B">
        <w:rPr>
          <w:i/>
          <w:iCs/>
        </w:rPr>
        <w:t>E. coli</w:t>
      </w:r>
      <w:r w:rsidRPr="00437F2B">
        <w:t> phylogroup B2 strains from urine and feces, respectively, encoded CTX-M-1 subgroup compared to 21% and 25% CTX-M-9 subgroup [</w:t>
      </w:r>
      <w:r w:rsidRPr="00C90A22">
        <w:rPr>
          <w:b/>
          <w:bCs/>
        </w:rPr>
        <w:t>33</w:t>
      </w:r>
      <w:r w:rsidRPr="00437F2B">
        <w:t>].</w:t>
      </w:r>
    </w:p>
    <w:p w14:paraId="73A4A70D" w14:textId="3BB6C53E" w:rsidR="00437F2B" w:rsidRPr="00437F2B" w:rsidRDefault="00437F2B" w:rsidP="00440D4B">
      <w:pPr>
        <w:pStyle w:val="NoSpacing"/>
      </w:pPr>
      <w:r w:rsidRPr="00437F2B">
        <w:rPr>
          <w:noProof/>
        </w:rPr>
        <w:drawing>
          <wp:inline distT="0" distB="0" distL="0" distR="0" wp14:anchorId="7270D024" wp14:editId="0CCD81AF">
            <wp:extent cx="3657600" cy="1938528"/>
            <wp:effectExtent l="0" t="0" r="0" b="5080"/>
            <wp:docPr id="5" name="Picture 5" descr="Antibiotics 11 00260 g003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tibiotics 11 00260 g003 5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938528"/>
                    </a:xfrm>
                    <a:prstGeom prst="rect">
                      <a:avLst/>
                    </a:prstGeom>
                    <a:noFill/>
                    <a:ln>
                      <a:noFill/>
                    </a:ln>
                  </pic:spPr>
                </pic:pic>
              </a:graphicData>
            </a:graphic>
          </wp:inline>
        </w:drawing>
      </w:r>
    </w:p>
    <w:p w14:paraId="0EA98DE5" w14:textId="77777777" w:rsidR="00437F2B" w:rsidRDefault="00437F2B" w:rsidP="00440D4B">
      <w:pPr>
        <w:pStyle w:val="NoSpacing"/>
      </w:pPr>
      <w:r w:rsidRPr="00437F2B">
        <w:rPr>
          <w:b/>
          <w:bCs/>
        </w:rPr>
        <w:t>Figure 3.</w:t>
      </w:r>
      <w:r w:rsidRPr="00437F2B">
        <w:t> Plasmid maps from hospital wastewater </w:t>
      </w:r>
      <w:r w:rsidRPr="00437F2B">
        <w:rPr>
          <w:i/>
          <w:iCs/>
        </w:rPr>
        <w:t>E. coli</w:t>
      </w:r>
      <w:r w:rsidRPr="00437F2B">
        <w:t> 1000C-3 isolate. Plasmids sequences were determined from long-read Nanopore and Illumina short paired-end reads. pMHW-1 was identified as a 40,232 bps mobilizable IncP-6-type plasmid, and pMHW-2 as a 145,456 bps conjugative IncF plasmid containing a </w:t>
      </w:r>
      <w:r w:rsidRPr="00437F2B">
        <w:rPr>
          <w:i/>
          <w:iCs/>
        </w:rPr>
        <w:t>tra</w:t>
      </w:r>
      <w:r w:rsidRPr="00437F2B">
        <w:t> operon. Arrows are color-coded exhibiting genes involved in drug resistance (fuchsia), virulence (blue), mobile genetic elements (MGE) (black), plasmid replication, maintenance and transfer (white), and opening reading frames (ORFs) (grey).</w:t>
      </w:r>
    </w:p>
    <w:p w14:paraId="46370C87" w14:textId="77777777" w:rsidR="00440D4B" w:rsidRPr="00437F2B" w:rsidRDefault="00440D4B" w:rsidP="00437F2B"/>
    <w:p w14:paraId="19B53A86" w14:textId="77777777" w:rsidR="00437F2B" w:rsidRPr="00437F2B" w:rsidRDefault="00437F2B" w:rsidP="00444216">
      <w:pPr>
        <w:spacing w:after="0"/>
      </w:pPr>
      <w:r w:rsidRPr="00437F2B">
        <w:rPr>
          <w:b/>
          <w:bCs/>
        </w:rPr>
        <w:t>Table 1.</w:t>
      </w:r>
      <w:r w:rsidRPr="00437F2B">
        <w:t> Prevalence of β-lactamases and </w:t>
      </w:r>
      <w:r w:rsidRPr="00437F2B">
        <w:rPr>
          <w:i/>
          <w:iCs/>
        </w:rPr>
        <w:t>int1</w:t>
      </w:r>
      <w:r w:rsidRPr="00437F2B">
        <w:t> genes among </w:t>
      </w:r>
      <w:r w:rsidRPr="00437F2B">
        <w:rPr>
          <w:i/>
          <w:iCs/>
        </w:rPr>
        <w:t>E. coli</w:t>
      </w:r>
      <w:r w:rsidRPr="00437F2B">
        <w:t> populations.</w:t>
      </w:r>
    </w:p>
    <w:tbl>
      <w:tblPr>
        <w:tblStyle w:val="TableGrid"/>
        <w:tblW w:w="0" w:type="auto"/>
        <w:tblLook w:val="04A0" w:firstRow="1" w:lastRow="0" w:firstColumn="1" w:lastColumn="0" w:noHBand="0" w:noVBand="1"/>
      </w:tblPr>
      <w:tblGrid>
        <w:gridCol w:w="951"/>
        <w:gridCol w:w="440"/>
        <w:gridCol w:w="1734"/>
        <w:gridCol w:w="1700"/>
        <w:gridCol w:w="1819"/>
        <w:gridCol w:w="684"/>
        <w:gridCol w:w="620"/>
        <w:gridCol w:w="627"/>
        <w:gridCol w:w="723"/>
        <w:gridCol w:w="772"/>
      </w:tblGrid>
      <w:tr w:rsidR="00444216" w:rsidRPr="00444216" w14:paraId="751ED31E" w14:textId="77777777" w:rsidTr="00444216">
        <w:tc>
          <w:tcPr>
            <w:tcW w:w="0" w:type="auto"/>
            <w:hideMark/>
          </w:tcPr>
          <w:p w14:paraId="3989D595" w14:textId="77777777" w:rsidR="00444216" w:rsidRPr="00444216" w:rsidRDefault="00444216" w:rsidP="00444216">
            <w:pPr>
              <w:spacing w:line="259" w:lineRule="auto"/>
              <w:rPr>
                <w:b/>
                <w:bCs/>
              </w:rPr>
            </w:pPr>
            <w:r w:rsidRPr="00444216">
              <w:rPr>
                <w:b/>
                <w:bCs/>
              </w:rPr>
              <w:t>Source</w:t>
            </w:r>
          </w:p>
        </w:tc>
        <w:tc>
          <w:tcPr>
            <w:tcW w:w="0" w:type="auto"/>
            <w:hideMark/>
          </w:tcPr>
          <w:p w14:paraId="77D390C3" w14:textId="77777777" w:rsidR="00444216" w:rsidRPr="00444216" w:rsidRDefault="00444216" w:rsidP="00444216">
            <w:pPr>
              <w:spacing w:line="259" w:lineRule="auto"/>
              <w:rPr>
                <w:b/>
                <w:bCs/>
              </w:rPr>
            </w:pPr>
            <w:r w:rsidRPr="00444216">
              <w:rPr>
                <w:b/>
                <w:bCs/>
              </w:rPr>
              <w:t>N</w:t>
            </w:r>
          </w:p>
        </w:tc>
        <w:tc>
          <w:tcPr>
            <w:tcW w:w="1752" w:type="dxa"/>
            <w:hideMark/>
          </w:tcPr>
          <w:p w14:paraId="50BECE52" w14:textId="77777777" w:rsidR="00444216" w:rsidRPr="00444216" w:rsidRDefault="00444216" w:rsidP="00444216">
            <w:pPr>
              <w:rPr>
                <w:b/>
                <w:bCs/>
              </w:rPr>
            </w:pPr>
            <w:r w:rsidRPr="00444216">
              <w:rPr>
                <w:b/>
                <w:bCs/>
              </w:rPr>
              <w:t>Prevalence (%)</w:t>
            </w:r>
          </w:p>
        </w:tc>
        <w:tc>
          <w:tcPr>
            <w:tcW w:w="1721" w:type="dxa"/>
          </w:tcPr>
          <w:p w14:paraId="42FDF86E" w14:textId="77777777" w:rsidR="00444216" w:rsidRPr="00444216" w:rsidRDefault="00444216" w:rsidP="00444216">
            <w:pPr>
              <w:rPr>
                <w:b/>
                <w:bCs/>
              </w:rPr>
            </w:pPr>
          </w:p>
        </w:tc>
        <w:tc>
          <w:tcPr>
            <w:tcW w:w="1840" w:type="dxa"/>
          </w:tcPr>
          <w:p w14:paraId="7041CB08" w14:textId="77777777" w:rsidR="00444216" w:rsidRPr="00444216" w:rsidRDefault="00444216" w:rsidP="00444216">
            <w:pPr>
              <w:rPr>
                <w:b/>
                <w:bCs/>
              </w:rPr>
            </w:pPr>
          </w:p>
        </w:tc>
        <w:tc>
          <w:tcPr>
            <w:tcW w:w="0" w:type="auto"/>
          </w:tcPr>
          <w:p w14:paraId="2716E081" w14:textId="77777777" w:rsidR="00444216" w:rsidRPr="00444216" w:rsidRDefault="00444216" w:rsidP="00444216">
            <w:pPr>
              <w:rPr>
                <w:b/>
                <w:bCs/>
              </w:rPr>
            </w:pPr>
          </w:p>
        </w:tc>
        <w:tc>
          <w:tcPr>
            <w:tcW w:w="0" w:type="auto"/>
          </w:tcPr>
          <w:p w14:paraId="33AF6C3D" w14:textId="77777777" w:rsidR="00444216" w:rsidRPr="00444216" w:rsidRDefault="00444216" w:rsidP="00444216">
            <w:pPr>
              <w:rPr>
                <w:b/>
                <w:bCs/>
              </w:rPr>
            </w:pPr>
          </w:p>
        </w:tc>
        <w:tc>
          <w:tcPr>
            <w:tcW w:w="642" w:type="dxa"/>
          </w:tcPr>
          <w:p w14:paraId="634079A2" w14:textId="77777777" w:rsidR="00444216" w:rsidRPr="00444216" w:rsidRDefault="00444216" w:rsidP="00444216">
            <w:pPr>
              <w:rPr>
                <w:b/>
                <w:bCs/>
              </w:rPr>
            </w:pPr>
          </w:p>
        </w:tc>
        <w:tc>
          <w:tcPr>
            <w:tcW w:w="642" w:type="dxa"/>
          </w:tcPr>
          <w:p w14:paraId="6BD81C8D" w14:textId="3005A2BA" w:rsidR="00444216" w:rsidRPr="00444216" w:rsidRDefault="00444216" w:rsidP="00444216">
            <w:pPr>
              <w:rPr>
                <w:b/>
                <w:bCs/>
              </w:rPr>
            </w:pPr>
          </w:p>
        </w:tc>
        <w:tc>
          <w:tcPr>
            <w:tcW w:w="778" w:type="dxa"/>
          </w:tcPr>
          <w:p w14:paraId="0A658EAA" w14:textId="0AB4AF89" w:rsidR="00444216" w:rsidRPr="00444216" w:rsidRDefault="00444216" w:rsidP="00444216">
            <w:pPr>
              <w:spacing w:line="259" w:lineRule="auto"/>
              <w:rPr>
                <w:b/>
                <w:bCs/>
              </w:rPr>
            </w:pPr>
          </w:p>
        </w:tc>
      </w:tr>
      <w:tr w:rsidR="00444216" w:rsidRPr="00444216" w14:paraId="2022AF3D" w14:textId="77777777" w:rsidTr="00444216">
        <w:tc>
          <w:tcPr>
            <w:tcW w:w="0" w:type="auto"/>
            <w:hideMark/>
          </w:tcPr>
          <w:p w14:paraId="3A960B0D" w14:textId="77777777" w:rsidR="00444216" w:rsidRPr="00444216" w:rsidRDefault="00444216" w:rsidP="00444216">
            <w:pPr>
              <w:spacing w:line="259" w:lineRule="auto"/>
              <w:rPr>
                <w:b/>
                <w:bCs/>
              </w:rPr>
            </w:pPr>
          </w:p>
        </w:tc>
        <w:tc>
          <w:tcPr>
            <w:tcW w:w="0" w:type="auto"/>
            <w:hideMark/>
          </w:tcPr>
          <w:p w14:paraId="2932D3F5" w14:textId="77777777" w:rsidR="00444216" w:rsidRPr="00444216" w:rsidRDefault="00444216" w:rsidP="00444216">
            <w:pPr>
              <w:spacing w:line="259" w:lineRule="auto"/>
              <w:rPr>
                <w:b/>
                <w:bCs/>
              </w:rPr>
            </w:pPr>
          </w:p>
        </w:tc>
        <w:tc>
          <w:tcPr>
            <w:tcW w:w="0" w:type="auto"/>
            <w:hideMark/>
          </w:tcPr>
          <w:p w14:paraId="1DFA1681" w14:textId="77777777" w:rsidR="00444216" w:rsidRPr="00444216" w:rsidRDefault="00444216" w:rsidP="00444216">
            <w:pPr>
              <w:spacing w:line="259" w:lineRule="auto"/>
              <w:rPr>
                <w:b/>
                <w:bCs/>
              </w:rPr>
            </w:pPr>
            <w:r w:rsidRPr="00444216">
              <w:rPr>
                <w:b/>
                <w:bCs/>
              </w:rPr>
              <w:t>CTX-M-1 Subgroup</w:t>
            </w:r>
          </w:p>
        </w:tc>
        <w:tc>
          <w:tcPr>
            <w:tcW w:w="0" w:type="auto"/>
            <w:hideMark/>
          </w:tcPr>
          <w:p w14:paraId="1E3E04B1" w14:textId="77777777" w:rsidR="00444216" w:rsidRPr="00444216" w:rsidRDefault="00444216" w:rsidP="00444216">
            <w:pPr>
              <w:spacing w:line="259" w:lineRule="auto"/>
              <w:rPr>
                <w:b/>
                <w:bCs/>
              </w:rPr>
            </w:pPr>
            <w:r w:rsidRPr="00444216">
              <w:rPr>
                <w:b/>
                <w:bCs/>
              </w:rPr>
              <w:t>CTX-M-2 Subgroup</w:t>
            </w:r>
          </w:p>
        </w:tc>
        <w:tc>
          <w:tcPr>
            <w:tcW w:w="0" w:type="auto"/>
            <w:hideMark/>
          </w:tcPr>
          <w:p w14:paraId="4C46CC1F" w14:textId="77777777" w:rsidR="00444216" w:rsidRPr="00444216" w:rsidRDefault="00444216" w:rsidP="00444216">
            <w:pPr>
              <w:spacing w:line="259" w:lineRule="auto"/>
              <w:rPr>
                <w:b/>
                <w:bCs/>
              </w:rPr>
            </w:pPr>
            <w:r w:rsidRPr="00444216">
              <w:rPr>
                <w:b/>
                <w:bCs/>
              </w:rPr>
              <w:t>CTX-M-9 Subgroup </w:t>
            </w:r>
            <w:r w:rsidRPr="00444216">
              <w:rPr>
                <w:b/>
                <w:bCs/>
                <w:vertAlign w:val="superscript"/>
              </w:rPr>
              <w:t>a</w:t>
            </w:r>
          </w:p>
        </w:tc>
        <w:tc>
          <w:tcPr>
            <w:tcW w:w="0" w:type="auto"/>
            <w:hideMark/>
          </w:tcPr>
          <w:p w14:paraId="5311A896" w14:textId="77777777" w:rsidR="00444216" w:rsidRPr="00444216" w:rsidRDefault="00444216" w:rsidP="00444216">
            <w:pPr>
              <w:spacing w:line="259" w:lineRule="auto"/>
              <w:rPr>
                <w:b/>
                <w:bCs/>
              </w:rPr>
            </w:pPr>
            <w:r w:rsidRPr="00444216">
              <w:rPr>
                <w:b/>
                <w:bCs/>
              </w:rPr>
              <w:t>TEM</w:t>
            </w:r>
          </w:p>
        </w:tc>
        <w:tc>
          <w:tcPr>
            <w:tcW w:w="0" w:type="auto"/>
            <w:hideMark/>
          </w:tcPr>
          <w:p w14:paraId="677D6ED6" w14:textId="77777777" w:rsidR="00444216" w:rsidRPr="00444216" w:rsidRDefault="00444216" w:rsidP="00444216">
            <w:pPr>
              <w:spacing w:line="259" w:lineRule="auto"/>
              <w:rPr>
                <w:b/>
                <w:bCs/>
              </w:rPr>
            </w:pPr>
            <w:r w:rsidRPr="00444216">
              <w:rPr>
                <w:b/>
                <w:bCs/>
              </w:rPr>
              <w:t>OXA</w:t>
            </w:r>
          </w:p>
        </w:tc>
        <w:tc>
          <w:tcPr>
            <w:tcW w:w="0" w:type="auto"/>
            <w:hideMark/>
          </w:tcPr>
          <w:p w14:paraId="5211FA9B" w14:textId="77777777" w:rsidR="00444216" w:rsidRPr="00444216" w:rsidRDefault="00444216" w:rsidP="00444216">
            <w:pPr>
              <w:spacing w:line="259" w:lineRule="auto"/>
              <w:rPr>
                <w:b/>
                <w:bCs/>
              </w:rPr>
            </w:pPr>
            <w:r w:rsidRPr="00444216">
              <w:rPr>
                <w:b/>
                <w:bCs/>
              </w:rPr>
              <w:t>SHV</w:t>
            </w:r>
          </w:p>
        </w:tc>
        <w:tc>
          <w:tcPr>
            <w:tcW w:w="0" w:type="auto"/>
            <w:hideMark/>
          </w:tcPr>
          <w:p w14:paraId="16C7F79C" w14:textId="77777777" w:rsidR="00444216" w:rsidRPr="00444216" w:rsidRDefault="00444216" w:rsidP="00444216">
            <w:pPr>
              <w:spacing w:line="259" w:lineRule="auto"/>
              <w:rPr>
                <w:b/>
                <w:bCs/>
              </w:rPr>
            </w:pPr>
            <w:r w:rsidRPr="00444216">
              <w:rPr>
                <w:b/>
                <w:bCs/>
              </w:rPr>
              <w:t>KPC </w:t>
            </w:r>
            <w:r w:rsidRPr="00444216">
              <w:rPr>
                <w:b/>
                <w:bCs/>
                <w:vertAlign w:val="superscript"/>
              </w:rPr>
              <w:t>b</w:t>
            </w:r>
          </w:p>
        </w:tc>
        <w:tc>
          <w:tcPr>
            <w:tcW w:w="0" w:type="auto"/>
            <w:hideMark/>
          </w:tcPr>
          <w:p w14:paraId="1072D359" w14:textId="77777777" w:rsidR="00444216" w:rsidRPr="00444216" w:rsidRDefault="00444216" w:rsidP="00444216">
            <w:pPr>
              <w:spacing w:line="259" w:lineRule="auto"/>
              <w:rPr>
                <w:b/>
                <w:bCs/>
              </w:rPr>
            </w:pPr>
            <w:r w:rsidRPr="00444216">
              <w:rPr>
                <w:b/>
                <w:bCs/>
                <w:i/>
                <w:iCs/>
              </w:rPr>
              <w:t>int1</w:t>
            </w:r>
          </w:p>
        </w:tc>
      </w:tr>
      <w:tr w:rsidR="00444216" w:rsidRPr="00444216" w14:paraId="5854C27A" w14:textId="77777777" w:rsidTr="00444216">
        <w:tc>
          <w:tcPr>
            <w:tcW w:w="0" w:type="auto"/>
            <w:hideMark/>
          </w:tcPr>
          <w:p w14:paraId="6DA96996" w14:textId="77777777" w:rsidR="00444216" w:rsidRPr="00444216" w:rsidRDefault="00444216" w:rsidP="00444216">
            <w:pPr>
              <w:spacing w:line="259" w:lineRule="auto"/>
            </w:pPr>
            <w:r w:rsidRPr="00444216">
              <w:t>Clinical</w:t>
            </w:r>
          </w:p>
        </w:tc>
        <w:tc>
          <w:tcPr>
            <w:tcW w:w="0" w:type="auto"/>
            <w:hideMark/>
          </w:tcPr>
          <w:p w14:paraId="174482B3" w14:textId="77777777" w:rsidR="00444216" w:rsidRPr="00444216" w:rsidRDefault="00444216" w:rsidP="00444216">
            <w:pPr>
              <w:spacing w:line="259" w:lineRule="auto"/>
            </w:pPr>
            <w:r w:rsidRPr="00444216">
              <w:t>11</w:t>
            </w:r>
          </w:p>
        </w:tc>
        <w:tc>
          <w:tcPr>
            <w:tcW w:w="0" w:type="auto"/>
            <w:hideMark/>
          </w:tcPr>
          <w:p w14:paraId="3A56D363" w14:textId="77777777" w:rsidR="00444216" w:rsidRPr="00444216" w:rsidRDefault="00444216" w:rsidP="00444216">
            <w:pPr>
              <w:spacing w:line="259" w:lineRule="auto"/>
            </w:pPr>
            <w:r w:rsidRPr="00444216">
              <w:t>7 (64)</w:t>
            </w:r>
          </w:p>
        </w:tc>
        <w:tc>
          <w:tcPr>
            <w:tcW w:w="0" w:type="auto"/>
            <w:hideMark/>
          </w:tcPr>
          <w:p w14:paraId="2FF845F2" w14:textId="77777777" w:rsidR="00444216" w:rsidRPr="00444216" w:rsidRDefault="00444216" w:rsidP="00444216">
            <w:pPr>
              <w:spacing w:line="259" w:lineRule="auto"/>
            </w:pPr>
            <w:r w:rsidRPr="00444216">
              <w:t>0</w:t>
            </w:r>
          </w:p>
        </w:tc>
        <w:tc>
          <w:tcPr>
            <w:tcW w:w="0" w:type="auto"/>
            <w:hideMark/>
          </w:tcPr>
          <w:p w14:paraId="62A02B9B" w14:textId="77777777" w:rsidR="00444216" w:rsidRPr="00444216" w:rsidRDefault="00444216" w:rsidP="00444216">
            <w:pPr>
              <w:spacing w:line="259" w:lineRule="auto"/>
            </w:pPr>
            <w:r w:rsidRPr="00444216">
              <w:t>1 (9)</w:t>
            </w:r>
          </w:p>
        </w:tc>
        <w:tc>
          <w:tcPr>
            <w:tcW w:w="0" w:type="auto"/>
            <w:hideMark/>
          </w:tcPr>
          <w:p w14:paraId="35B5B938" w14:textId="77777777" w:rsidR="00444216" w:rsidRPr="00444216" w:rsidRDefault="00444216" w:rsidP="00444216">
            <w:pPr>
              <w:spacing w:line="259" w:lineRule="auto"/>
            </w:pPr>
            <w:r w:rsidRPr="00444216">
              <w:t>11 (100)</w:t>
            </w:r>
          </w:p>
        </w:tc>
        <w:tc>
          <w:tcPr>
            <w:tcW w:w="0" w:type="auto"/>
            <w:hideMark/>
          </w:tcPr>
          <w:p w14:paraId="178F6001" w14:textId="77777777" w:rsidR="00444216" w:rsidRPr="00444216" w:rsidRDefault="00444216" w:rsidP="00444216">
            <w:pPr>
              <w:spacing w:line="259" w:lineRule="auto"/>
            </w:pPr>
            <w:r w:rsidRPr="00444216">
              <w:t>5 (45)</w:t>
            </w:r>
          </w:p>
        </w:tc>
        <w:tc>
          <w:tcPr>
            <w:tcW w:w="0" w:type="auto"/>
            <w:hideMark/>
          </w:tcPr>
          <w:p w14:paraId="7262C4DA" w14:textId="77777777" w:rsidR="00444216" w:rsidRPr="00444216" w:rsidRDefault="00444216" w:rsidP="00444216">
            <w:pPr>
              <w:spacing w:line="259" w:lineRule="auto"/>
            </w:pPr>
            <w:r w:rsidRPr="00444216">
              <w:t>0</w:t>
            </w:r>
          </w:p>
        </w:tc>
        <w:tc>
          <w:tcPr>
            <w:tcW w:w="0" w:type="auto"/>
            <w:hideMark/>
          </w:tcPr>
          <w:p w14:paraId="5226CBC4" w14:textId="77777777" w:rsidR="00444216" w:rsidRPr="00444216" w:rsidRDefault="00444216" w:rsidP="00444216">
            <w:pPr>
              <w:spacing w:line="259" w:lineRule="auto"/>
            </w:pPr>
            <w:r w:rsidRPr="00444216">
              <w:t>0</w:t>
            </w:r>
          </w:p>
        </w:tc>
        <w:tc>
          <w:tcPr>
            <w:tcW w:w="0" w:type="auto"/>
            <w:hideMark/>
          </w:tcPr>
          <w:p w14:paraId="3563FFB0" w14:textId="77777777" w:rsidR="00444216" w:rsidRPr="00444216" w:rsidRDefault="00444216" w:rsidP="00444216">
            <w:pPr>
              <w:spacing w:line="259" w:lineRule="auto"/>
            </w:pPr>
            <w:r w:rsidRPr="00444216">
              <w:t>7 (64)</w:t>
            </w:r>
          </w:p>
        </w:tc>
      </w:tr>
      <w:tr w:rsidR="00444216" w:rsidRPr="00444216" w14:paraId="034F15BD" w14:textId="77777777" w:rsidTr="00444216">
        <w:tc>
          <w:tcPr>
            <w:tcW w:w="0" w:type="auto"/>
            <w:hideMark/>
          </w:tcPr>
          <w:p w14:paraId="46B59D5C" w14:textId="77777777" w:rsidR="00444216" w:rsidRPr="00444216" w:rsidRDefault="00444216" w:rsidP="00444216">
            <w:pPr>
              <w:spacing w:line="259" w:lineRule="auto"/>
            </w:pPr>
            <w:r w:rsidRPr="00444216">
              <w:t>Hospital WW</w:t>
            </w:r>
          </w:p>
        </w:tc>
        <w:tc>
          <w:tcPr>
            <w:tcW w:w="0" w:type="auto"/>
            <w:hideMark/>
          </w:tcPr>
          <w:p w14:paraId="4062A07F" w14:textId="77777777" w:rsidR="00444216" w:rsidRPr="00444216" w:rsidRDefault="00444216" w:rsidP="00444216">
            <w:pPr>
              <w:spacing w:line="259" w:lineRule="auto"/>
            </w:pPr>
            <w:r w:rsidRPr="00444216">
              <w:t>22</w:t>
            </w:r>
          </w:p>
        </w:tc>
        <w:tc>
          <w:tcPr>
            <w:tcW w:w="0" w:type="auto"/>
            <w:hideMark/>
          </w:tcPr>
          <w:p w14:paraId="22B40C51" w14:textId="77777777" w:rsidR="00444216" w:rsidRPr="00444216" w:rsidRDefault="00444216" w:rsidP="00444216">
            <w:pPr>
              <w:spacing w:line="259" w:lineRule="auto"/>
            </w:pPr>
            <w:r w:rsidRPr="00444216">
              <w:t>21 (95)</w:t>
            </w:r>
          </w:p>
        </w:tc>
        <w:tc>
          <w:tcPr>
            <w:tcW w:w="0" w:type="auto"/>
            <w:hideMark/>
          </w:tcPr>
          <w:p w14:paraId="704953A4" w14:textId="77777777" w:rsidR="00444216" w:rsidRPr="00444216" w:rsidRDefault="00444216" w:rsidP="00444216">
            <w:pPr>
              <w:spacing w:line="259" w:lineRule="auto"/>
            </w:pPr>
            <w:r w:rsidRPr="00444216">
              <w:t>0</w:t>
            </w:r>
          </w:p>
        </w:tc>
        <w:tc>
          <w:tcPr>
            <w:tcW w:w="0" w:type="auto"/>
            <w:hideMark/>
          </w:tcPr>
          <w:p w14:paraId="481AC113" w14:textId="77777777" w:rsidR="00444216" w:rsidRPr="00444216" w:rsidRDefault="00444216" w:rsidP="00444216">
            <w:pPr>
              <w:spacing w:line="259" w:lineRule="auto"/>
            </w:pPr>
            <w:r w:rsidRPr="00444216">
              <w:t>0</w:t>
            </w:r>
          </w:p>
        </w:tc>
        <w:tc>
          <w:tcPr>
            <w:tcW w:w="0" w:type="auto"/>
            <w:hideMark/>
          </w:tcPr>
          <w:p w14:paraId="456DD18A" w14:textId="77777777" w:rsidR="00444216" w:rsidRPr="00444216" w:rsidRDefault="00444216" w:rsidP="00444216">
            <w:pPr>
              <w:spacing w:line="259" w:lineRule="auto"/>
            </w:pPr>
            <w:r w:rsidRPr="00444216">
              <w:t>13 (59)</w:t>
            </w:r>
          </w:p>
        </w:tc>
        <w:tc>
          <w:tcPr>
            <w:tcW w:w="0" w:type="auto"/>
            <w:hideMark/>
          </w:tcPr>
          <w:p w14:paraId="210C7A98" w14:textId="77777777" w:rsidR="00444216" w:rsidRPr="00444216" w:rsidRDefault="00444216" w:rsidP="00444216">
            <w:pPr>
              <w:spacing w:line="259" w:lineRule="auto"/>
            </w:pPr>
            <w:r w:rsidRPr="00444216">
              <w:t>19 (86)</w:t>
            </w:r>
          </w:p>
        </w:tc>
        <w:tc>
          <w:tcPr>
            <w:tcW w:w="0" w:type="auto"/>
            <w:hideMark/>
          </w:tcPr>
          <w:p w14:paraId="76C7DC6D" w14:textId="77777777" w:rsidR="00444216" w:rsidRPr="00444216" w:rsidRDefault="00444216" w:rsidP="00444216">
            <w:pPr>
              <w:spacing w:line="259" w:lineRule="auto"/>
            </w:pPr>
            <w:r w:rsidRPr="00444216">
              <w:t>0</w:t>
            </w:r>
          </w:p>
        </w:tc>
        <w:tc>
          <w:tcPr>
            <w:tcW w:w="0" w:type="auto"/>
            <w:hideMark/>
          </w:tcPr>
          <w:p w14:paraId="6C603F2D" w14:textId="77777777" w:rsidR="00444216" w:rsidRPr="00444216" w:rsidRDefault="00444216" w:rsidP="00444216">
            <w:pPr>
              <w:spacing w:line="259" w:lineRule="auto"/>
            </w:pPr>
            <w:r w:rsidRPr="00444216">
              <w:t>9 (41)</w:t>
            </w:r>
          </w:p>
        </w:tc>
        <w:tc>
          <w:tcPr>
            <w:tcW w:w="0" w:type="auto"/>
            <w:hideMark/>
          </w:tcPr>
          <w:p w14:paraId="43648BAC" w14:textId="77777777" w:rsidR="00444216" w:rsidRPr="00444216" w:rsidRDefault="00444216" w:rsidP="00444216">
            <w:pPr>
              <w:spacing w:line="259" w:lineRule="auto"/>
            </w:pPr>
            <w:r w:rsidRPr="00444216">
              <w:t>17 (77)</w:t>
            </w:r>
          </w:p>
        </w:tc>
      </w:tr>
      <w:tr w:rsidR="00444216" w:rsidRPr="00444216" w14:paraId="1D7DF7A4" w14:textId="77777777" w:rsidTr="00444216">
        <w:tc>
          <w:tcPr>
            <w:tcW w:w="0" w:type="auto"/>
            <w:hideMark/>
          </w:tcPr>
          <w:p w14:paraId="0C019562" w14:textId="77777777" w:rsidR="00444216" w:rsidRPr="00444216" w:rsidRDefault="00444216" w:rsidP="00444216">
            <w:pPr>
              <w:spacing w:line="259" w:lineRule="auto"/>
            </w:pPr>
            <w:r w:rsidRPr="00444216">
              <w:t>Urban Influent</w:t>
            </w:r>
          </w:p>
        </w:tc>
        <w:tc>
          <w:tcPr>
            <w:tcW w:w="0" w:type="auto"/>
            <w:hideMark/>
          </w:tcPr>
          <w:p w14:paraId="33CC7A0A" w14:textId="77777777" w:rsidR="00444216" w:rsidRPr="00444216" w:rsidRDefault="00444216" w:rsidP="00444216">
            <w:pPr>
              <w:spacing w:line="259" w:lineRule="auto"/>
            </w:pPr>
            <w:r w:rsidRPr="00444216">
              <w:t>15</w:t>
            </w:r>
          </w:p>
        </w:tc>
        <w:tc>
          <w:tcPr>
            <w:tcW w:w="0" w:type="auto"/>
            <w:hideMark/>
          </w:tcPr>
          <w:p w14:paraId="4672AD43" w14:textId="77777777" w:rsidR="00444216" w:rsidRPr="00444216" w:rsidRDefault="00444216" w:rsidP="00444216">
            <w:pPr>
              <w:spacing w:line="259" w:lineRule="auto"/>
            </w:pPr>
            <w:r w:rsidRPr="00444216">
              <w:t>11 (73)</w:t>
            </w:r>
          </w:p>
        </w:tc>
        <w:tc>
          <w:tcPr>
            <w:tcW w:w="0" w:type="auto"/>
            <w:hideMark/>
          </w:tcPr>
          <w:p w14:paraId="386DB38D" w14:textId="77777777" w:rsidR="00444216" w:rsidRPr="00444216" w:rsidRDefault="00444216" w:rsidP="00444216">
            <w:pPr>
              <w:spacing w:line="259" w:lineRule="auto"/>
            </w:pPr>
            <w:r w:rsidRPr="00444216">
              <w:t>0</w:t>
            </w:r>
          </w:p>
        </w:tc>
        <w:tc>
          <w:tcPr>
            <w:tcW w:w="0" w:type="auto"/>
            <w:hideMark/>
          </w:tcPr>
          <w:p w14:paraId="638E0009" w14:textId="77777777" w:rsidR="00444216" w:rsidRPr="00444216" w:rsidRDefault="00444216" w:rsidP="00444216">
            <w:pPr>
              <w:spacing w:line="259" w:lineRule="auto"/>
            </w:pPr>
            <w:r w:rsidRPr="00444216">
              <w:t>4 (27)</w:t>
            </w:r>
          </w:p>
        </w:tc>
        <w:tc>
          <w:tcPr>
            <w:tcW w:w="0" w:type="auto"/>
            <w:hideMark/>
          </w:tcPr>
          <w:p w14:paraId="59A454FA" w14:textId="77777777" w:rsidR="00444216" w:rsidRPr="00444216" w:rsidRDefault="00444216" w:rsidP="00444216">
            <w:pPr>
              <w:spacing w:line="259" w:lineRule="auto"/>
            </w:pPr>
            <w:r w:rsidRPr="00444216">
              <w:t>11 (73)</w:t>
            </w:r>
          </w:p>
        </w:tc>
        <w:tc>
          <w:tcPr>
            <w:tcW w:w="0" w:type="auto"/>
            <w:hideMark/>
          </w:tcPr>
          <w:p w14:paraId="105CD064" w14:textId="77777777" w:rsidR="00444216" w:rsidRPr="00444216" w:rsidRDefault="00444216" w:rsidP="00444216">
            <w:pPr>
              <w:spacing w:line="259" w:lineRule="auto"/>
            </w:pPr>
            <w:r w:rsidRPr="00444216">
              <w:t>10 (67)</w:t>
            </w:r>
          </w:p>
        </w:tc>
        <w:tc>
          <w:tcPr>
            <w:tcW w:w="0" w:type="auto"/>
            <w:hideMark/>
          </w:tcPr>
          <w:p w14:paraId="53B35070" w14:textId="77777777" w:rsidR="00444216" w:rsidRPr="00444216" w:rsidRDefault="00444216" w:rsidP="00444216">
            <w:pPr>
              <w:spacing w:line="259" w:lineRule="auto"/>
            </w:pPr>
            <w:r w:rsidRPr="00444216">
              <w:t>0</w:t>
            </w:r>
          </w:p>
        </w:tc>
        <w:tc>
          <w:tcPr>
            <w:tcW w:w="0" w:type="auto"/>
            <w:hideMark/>
          </w:tcPr>
          <w:p w14:paraId="2121B6CD" w14:textId="77777777" w:rsidR="00444216" w:rsidRPr="00444216" w:rsidRDefault="00444216" w:rsidP="00444216">
            <w:pPr>
              <w:spacing w:line="259" w:lineRule="auto"/>
            </w:pPr>
            <w:r w:rsidRPr="00444216">
              <w:t>0</w:t>
            </w:r>
          </w:p>
        </w:tc>
        <w:tc>
          <w:tcPr>
            <w:tcW w:w="0" w:type="auto"/>
            <w:hideMark/>
          </w:tcPr>
          <w:p w14:paraId="256E8F58" w14:textId="77777777" w:rsidR="00444216" w:rsidRPr="00444216" w:rsidRDefault="00444216" w:rsidP="00444216">
            <w:pPr>
              <w:spacing w:line="259" w:lineRule="auto"/>
            </w:pPr>
            <w:r w:rsidRPr="00444216">
              <w:t>8 (53)</w:t>
            </w:r>
          </w:p>
        </w:tc>
      </w:tr>
      <w:tr w:rsidR="00444216" w:rsidRPr="00444216" w14:paraId="3032B631" w14:textId="77777777" w:rsidTr="00444216">
        <w:tc>
          <w:tcPr>
            <w:tcW w:w="0" w:type="auto"/>
            <w:hideMark/>
          </w:tcPr>
          <w:p w14:paraId="04920BCC" w14:textId="77777777" w:rsidR="00444216" w:rsidRPr="00444216" w:rsidRDefault="00444216" w:rsidP="00444216">
            <w:pPr>
              <w:spacing w:line="259" w:lineRule="auto"/>
            </w:pPr>
            <w:r w:rsidRPr="00444216">
              <w:t>Treated effluent</w:t>
            </w:r>
          </w:p>
        </w:tc>
        <w:tc>
          <w:tcPr>
            <w:tcW w:w="0" w:type="auto"/>
            <w:hideMark/>
          </w:tcPr>
          <w:p w14:paraId="71DB53F1" w14:textId="77777777" w:rsidR="00444216" w:rsidRPr="00444216" w:rsidRDefault="00444216" w:rsidP="00444216">
            <w:pPr>
              <w:spacing w:line="259" w:lineRule="auto"/>
            </w:pPr>
            <w:r w:rsidRPr="00444216">
              <w:t>16</w:t>
            </w:r>
          </w:p>
        </w:tc>
        <w:tc>
          <w:tcPr>
            <w:tcW w:w="0" w:type="auto"/>
            <w:hideMark/>
          </w:tcPr>
          <w:p w14:paraId="063045A8" w14:textId="77777777" w:rsidR="00444216" w:rsidRPr="00444216" w:rsidRDefault="00444216" w:rsidP="00444216">
            <w:pPr>
              <w:spacing w:line="259" w:lineRule="auto"/>
            </w:pPr>
            <w:r w:rsidRPr="00444216">
              <w:t>13 (81)</w:t>
            </w:r>
          </w:p>
        </w:tc>
        <w:tc>
          <w:tcPr>
            <w:tcW w:w="0" w:type="auto"/>
            <w:hideMark/>
          </w:tcPr>
          <w:p w14:paraId="04ECF050" w14:textId="77777777" w:rsidR="00444216" w:rsidRPr="00444216" w:rsidRDefault="00444216" w:rsidP="00444216">
            <w:pPr>
              <w:spacing w:line="259" w:lineRule="auto"/>
            </w:pPr>
            <w:r w:rsidRPr="00444216">
              <w:t>0</w:t>
            </w:r>
          </w:p>
        </w:tc>
        <w:tc>
          <w:tcPr>
            <w:tcW w:w="0" w:type="auto"/>
            <w:hideMark/>
          </w:tcPr>
          <w:p w14:paraId="10CBDBF9" w14:textId="77777777" w:rsidR="00444216" w:rsidRPr="00444216" w:rsidRDefault="00444216" w:rsidP="00444216">
            <w:pPr>
              <w:spacing w:line="259" w:lineRule="auto"/>
            </w:pPr>
            <w:r w:rsidRPr="00444216">
              <w:t>5 (31)</w:t>
            </w:r>
          </w:p>
        </w:tc>
        <w:tc>
          <w:tcPr>
            <w:tcW w:w="0" w:type="auto"/>
            <w:hideMark/>
          </w:tcPr>
          <w:p w14:paraId="77C287B1" w14:textId="77777777" w:rsidR="00444216" w:rsidRPr="00444216" w:rsidRDefault="00444216" w:rsidP="00444216">
            <w:pPr>
              <w:spacing w:line="259" w:lineRule="auto"/>
            </w:pPr>
            <w:r w:rsidRPr="00444216">
              <w:t>12 (75)</w:t>
            </w:r>
          </w:p>
        </w:tc>
        <w:tc>
          <w:tcPr>
            <w:tcW w:w="0" w:type="auto"/>
            <w:hideMark/>
          </w:tcPr>
          <w:p w14:paraId="7CDC7FE4" w14:textId="77777777" w:rsidR="00444216" w:rsidRPr="00444216" w:rsidRDefault="00444216" w:rsidP="00444216">
            <w:pPr>
              <w:spacing w:line="259" w:lineRule="auto"/>
            </w:pPr>
            <w:r w:rsidRPr="00444216">
              <w:t>13 (81)</w:t>
            </w:r>
          </w:p>
        </w:tc>
        <w:tc>
          <w:tcPr>
            <w:tcW w:w="0" w:type="auto"/>
            <w:hideMark/>
          </w:tcPr>
          <w:p w14:paraId="322351EE" w14:textId="77777777" w:rsidR="00444216" w:rsidRPr="00444216" w:rsidRDefault="00444216" w:rsidP="00444216">
            <w:pPr>
              <w:spacing w:line="259" w:lineRule="auto"/>
            </w:pPr>
            <w:r w:rsidRPr="00444216">
              <w:t>0</w:t>
            </w:r>
          </w:p>
        </w:tc>
        <w:tc>
          <w:tcPr>
            <w:tcW w:w="0" w:type="auto"/>
            <w:hideMark/>
          </w:tcPr>
          <w:p w14:paraId="100AD3EE" w14:textId="77777777" w:rsidR="00444216" w:rsidRPr="00444216" w:rsidRDefault="00444216" w:rsidP="00444216">
            <w:pPr>
              <w:spacing w:line="259" w:lineRule="auto"/>
            </w:pPr>
            <w:r w:rsidRPr="00444216">
              <w:t>0</w:t>
            </w:r>
          </w:p>
        </w:tc>
        <w:tc>
          <w:tcPr>
            <w:tcW w:w="0" w:type="auto"/>
            <w:hideMark/>
          </w:tcPr>
          <w:p w14:paraId="0A711B58" w14:textId="77777777" w:rsidR="00444216" w:rsidRPr="00444216" w:rsidRDefault="00444216" w:rsidP="00444216">
            <w:pPr>
              <w:spacing w:line="259" w:lineRule="auto"/>
            </w:pPr>
            <w:r w:rsidRPr="00444216">
              <w:t>9 (56)</w:t>
            </w:r>
          </w:p>
        </w:tc>
      </w:tr>
      <w:tr w:rsidR="00444216" w:rsidRPr="00444216" w14:paraId="4B52C51C" w14:textId="77777777" w:rsidTr="00444216">
        <w:tc>
          <w:tcPr>
            <w:tcW w:w="0" w:type="auto"/>
            <w:hideMark/>
          </w:tcPr>
          <w:p w14:paraId="24844A9F" w14:textId="77777777" w:rsidR="00444216" w:rsidRPr="00444216" w:rsidRDefault="00444216" w:rsidP="00444216">
            <w:pPr>
              <w:spacing w:line="259" w:lineRule="auto"/>
            </w:pPr>
            <w:r w:rsidRPr="00444216">
              <w:t>Total</w:t>
            </w:r>
          </w:p>
        </w:tc>
        <w:tc>
          <w:tcPr>
            <w:tcW w:w="0" w:type="auto"/>
            <w:hideMark/>
          </w:tcPr>
          <w:p w14:paraId="022F80EB" w14:textId="77777777" w:rsidR="00444216" w:rsidRPr="00444216" w:rsidRDefault="00444216" w:rsidP="00444216">
            <w:pPr>
              <w:spacing w:line="259" w:lineRule="auto"/>
            </w:pPr>
            <w:r w:rsidRPr="00444216">
              <w:t>64</w:t>
            </w:r>
          </w:p>
        </w:tc>
        <w:tc>
          <w:tcPr>
            <w:tcW w:w="0" w:type="auto"/>
            <w:hideMark/>
          </w:tcPr>
          <w:p w14:paraId="737171F6" w14:textId="77777777" w:rsidR="00444216" w:rsidRPr="00444216" w:rsidRDefault="00444216" w:rsidP="00444216">
            <w:pPr>
              <w:spacing w:line="259" w:lineRule="auto"/>
            </w:pPr>
            <w:r w:rsidRPr="00444216">
              <w:t>52 (81)</w:t>
            </w:r>
          </w:p>
        </w:tc>
        <w:tc>
          <w:tcPr>
            <w:tcW w:w="0" w:type="auto"/>
            <w:hideMark/>
          </w:tcPr>
          <w:p w14:paraId="622DEC38" w14:textId="77777777" w:rsidR="00444216" w:rsidRPr="00444216" w:rsidRDefault="00444216" w:rsidP="00444216">
            <w:pPr>
              <w:spacing w:line="259" w:lineRule="auto"/>
            </w:pPr>
            <w:r w:rsidRPr="00444216">
              <w:t>0</w:t>
            </w:r>
          </w:p>
        </w:tc>
        <w:tc>
          <w:tcPr>
            <w:tcW w:w="0" w:type="auto"/>
            <w:hideMark/>
          </w:tcPr>
          <w:p w14:paraId="16CC08DF" w14:textId="77777777" w:rsidR="00444216" w:rsidRPr="00444216" w:rsidRDefault="00444216" w:rsidP="00444216">
            <w:pPr>
              <w:spacing w:line="259" w:lineRule="auto"/>
            </w:pPr>
            <w:r w:rsidRPr="00444216">
              <w:t>10 (16)</w:t>
            </w:r>
          </w:p>
        </w:tc>
        <w:tc>
          <w:tcPr>
            <w:tcW w:w="0" w:type="auto"/>
            <w:hideMark/>
          </w:tcPr>
          <w:p w14:paraId="2C7D1566" w14:textId="77777777" w:rsidR="00444216" w:rsidRPr="00444216" w:rsidRDefault="00444216" w:rsidP="00444216">
            <w:pPr>
              <w:spacing w:line="259" w:lineRule="auto"/>
            </w:pPr>
            <w:r w:rsidRPr="00444216">
              <w:t>47 (73)</w:t>
            </w:r>
          </w:p>
        </w:tc>
        <w:tc>
          <w:tcPr>
            <w:tcW w:w="0" w:type="auto"/>
            <w:hideMark/>
          </w:tcPr>
          <w:p w14:paraId="55AAC158" w14:textId="77777777" w:rsidR="00444216" w:rsidRPr="00444216" w:rsidRDefault="00444216" w:rsidP="00444216">
            <w:pPr>
              <w:spacing w:line="259" w:lineRule="auto"/>
            </w:pPr>
            <w:r w:rsidRPr="00444216">
              <w:t>47 (73)</w:t>
            </w:r>
          </w:p>
        </w:tc>
        <w:tc>
          <w:tcPr>
            <w:tcW w:w="0" w:type="auto"/>
            <w:hideMark/>
          </w:tcPr>
          <w:p w14:paraId="12C83E43" w14:textId="77777777" w:rsidR="00444216" w:rsidRPr="00444216" w:rsidRDefault="00444216" w:rsidP="00444216">
            <w:pPr>
              <w:spacing w:line="259" w:lineRule="auto"/>
            </w:pPr>
            <w:r w:rsidRPr="00444216">
              <w:t>0</w:t>
            </w:r>
          </w:p>
        </w:tc>
        <w:tc>
          <w:tcPr>
            <w:tcW w:w="0" w:type="auto"/>
            <w:hideMark/>
          </w:tcPr>
          <w:p w14:paraId="27095C65" w14:textId="77777777" w:rsidR="00444216" w:rsidRPr="00444216" w:rsidRDefault="00444216" w:rsidP="00444216">
            <w:pPr>
              <w:spacing w:line="259" w:lineRule="auto"/>
            </w:pPr>
            <w:r w:rsidRPr="00444216">
              <w:t>9 (14)</w:t>
            </w:r>
          </w:p>
        </w:tc>
        <w:tc>
          <w:tcPr>
            <w:tcW w:w="0" w:type="auto"/>
            <w:hideMark/>
          </w:tcPr>
          <w:p w14:paraId="2D2A502E" w14:textId="77777777" w:rsidR="00444216" w:rsidRPr="00444216" w:rsidRDefault="00444216" w:rsidP="00444216">
            <w:pPr>
              <w:spacing w:line="259" w:lineRule="auto"/>
            </w:pPr>
            <w:r w:rsidRPr="00444216">
              <w:t>41 (64)</w:t>
            </w:r>
          </w:p>
        </w:tc>
      </w:tr>
    </w:tbl>
    <w:p w14:paraId="41609931" w14:textId="77777777" w:rsidR="00444216" w:rsidRPr="00444216" w:rsidRDefault="00444216" w:rsidP="00444216">
      <w:r w:rsidRPr="00444216">
        <w:rPr>
          <w:vertAlign w:val="superscript"/>
        </w:rPr>
        <w:t>a</w:t>
      </w:r>
      <w:r w:rsidRPr="00444216">
        <w:t> Statical difference between sources </w:t>
      </w:r>
      <w:r w:rsidRPr="00444216">
        <w:rPr>
          <w:i/>
          <w:iCs/>
        </w:rPr>
        <w:t>p</w:t>
      </w:r>
      <w:r w:rsidRPr="00444216">
        <w:t> = 0.005; </w:t>
      </w:r>
      <w:r w:rsidRPr="00444216">
        <w:rPr>
          <w:vertAlign w:val="superscript"/>
        </w:rPr>
        <w:t>b</w:t>
      </w:r>
      <w:r w:rsidRPr="00444216">
        <w:t> </w:t>
      </w:r>
      <w:r w:rsidRPr="00444216">
        <w:rPr>
          <w:i/>
          <w:iCs/>
        </w:rPr>
        <w:t>p</w:t>
      </w:r>
      <w:r w:rsidRPr="00444216">
        <w:t> &lt; 0.001.</w:t>
      </w:r>
    </w:p>
    <w:p w14:paraId="5892E039" w14:textId="457B8B3E" w:rsidR="00437F2B" w:rsidRPr="00437F2B" w:rsidRDefault="00437F2B" w:rsidP="00437F2B"/>
    <w:p w14:paraId="15B0D7BB" w14:textId="4F06434C" w:rsidR="00437F2B" w:rsidRPr="00437F2B" w:rsidRDefault="00437F2B" w:rsidP="00437F2B">
      <w:r w:rsidRPr="00437F2B">
        <w:t>The CTX-M-9 subgroup was more prevalent among urban WW isolates compared to clinical and hospital WW (</w:t>
      </w:r>
      <w:r w:rsidRPr="00C90A22">
        <w:rPr>
          <w:b/>
          <w:bCs/>
        </w:rPr>
        <w:t>Table 1</w:t>
      </w:r>
      <w:r w:rsidRPr="00437F2B">
        <w:t>, </w:t>
      </w:r>
      <w:r w:rsidRPr="00437F2B">
        <w:rPr>
          <w:i/>
          <w:iCs/>
        </w:rPr>
        <w:t>p</w:t>
      </w:r>
      <w:r w:rsidRPr="00437F2B">
        <w:t>= 0.005). Although not as common as CTX-M-1 subgroup, the CTX-M-9 subgroup members were initially found on conjugative plasmids [</w:t>
      </w:r>
      <w:r w:rsidRPr="00C90A22">
        <w:rPr>
          <w:b/>
          <w:bCs/>
        </w:rPr>
        <w:t>40</w:t>
      </w:r>
      <w:r w:rsidRPr="00437F2B">
        <w:t>]. This subgroup, along with CTX-M-1, is commonly present within hospital sinks [</w:t>
      </w:r>
      <w:r w:rsidRPr="00C90A22">
        <w:rPr>
          <w:b/>
          <w:bCs/>
        </w:rPr>
        <w:t>41</w:t>
      </w:r>
      <w:r w:rsidRPr="00437F2B">
        <w:t>]. Others have found both CTX-M subgroups 1 and 9 at similar frequencies among WW influent </w:t>
      </w:r>
      <w:r w:rsidRPr="00437F2B">
        <w:rPr>
          <w:i/>
          <w:iCs/>
        </w:rPr>
        <w:t>E. coli</w:t>
      </w:r>
      <w:r w:rsidRPr="00437F2B">
        <w:t> populations [</w:t>
      </w:r>
      <w:r w:rsidRPr="00C90A22">
        <w:rPr>
          <w:b/>
          <w:bCs/>
        </w:rPr>
        <w:t>37</w:t>
      </w:r>
      <w:r w:rsidRPr="00437F2B">
        <w:t>]. Within the United States, CTX-M subgroups 1 and 2 have been located without subgroup 9, based on total WW DNA analysis [</w:t>
      </w:r>
      <w:r w:rsidRPr="00C90A22">
        <w:rPr>
          <w:b/>
          <w:bCs/>
        </w:rPr>
        <w:t>42</w:t>
      </w:r>
      <w:r w:rsidRPr="00437F2B">
        <w:t>]. Bevan et al. reviewed 220 articles about CTX-M subgroups and identified a predominate geographic distribution of CTX-M-1 and -9 subgroups among most of the world, though some countries in South America display a stronger CTX-M-2 subgroup population [</w:t>
      </w:r>
      <w:r w:rsidRPr="00C90A22">
        <w:rPr>
          <w:b/>
          <w:bCs/>
        </w:rPr>
        <w:t>43</w:t>
      </w:r>
      <w:r w:rsidRPr="00437F2B">
        <w:t>]. Our findings agree with the worldwide CTX-M-1 and -9 subgroup pattern and no CTX-resistant isolates encoding CTX-M-2 subgroup. With the advent of sequencing technologies providing more affordable sequencing options, it is important to distinguish between the health risks associated with ESBL findings from total DNA compared to bacterial isolates.</w:t>
      </w:r>
    </w:p>
    <w:p w14:paraId="3C50DF6D" w14:textId="480C2FB4" w:rsidR="00437F2B" w:rsidRPr="00437F2B" w:rsidRDefault="00437F2B" w:rsidP="00437F2B">
      <w:r w:rsidRPr="00437F2B">
        <w:t>Among the other β-lactamase genes analyzed in our study, </w:t>
      </w:r>
      <w:r w:rsidRPr="00437F2B">
        <w:rPr>
          <w:i/>
          <w:iCs/>
        </w:rPr>
        <w:t>bla</w:t>
      </w:r>
      <w:r w:rsidRPr="00437F2B">
        <w:rPr>
          <w:vertAlign w:val="subscript"/>
        </w:rPr>
        <w:t>TEM</w:t>
      </w:r>
      <w:r w:rsidRPr="00437F2B">
        <w:t> and </w:t>
      </w:r>
      <w:r w:rsidRPr="00437F2B">
        <w:rPr>
          <w:i/>
          <w:iCs/>
        </w:rPr>
        <w:t>bla</w:t>
      </w:r>
      <w:r w:rsidRPr="00437F2B">
        <w:rPr>
          <w:vertAlign w:val="subscript"/>
        </w:rPr>
        <w:t>OXA</w:t>
      </w:r>
      <w:r w:rsidRPr="00437F2B">
        <w:t> were carried by 73% of isolates (</w:t>
      </w:r>
      <w:r w:rsidRPr="00C90A22">
        <w:rPr>
          <w:b/>
          <w:bCs/>
        </w:rPr>
        <w:t>Table 1</w:t>
      </w:r>
      <w:r w:rsidRPr="00437F2B">
        <w:t>). Both ESBLs were found on a relatively high percentage in all sources, although clinical sources, like Branger et al. [</w:t>
      </w:r>
      <w:r w:rsidRPr="00C90A22">
        <w:rPr>
          <w:b/>
          <w:bCs/>
        </w:rPr>
        <w:t>44</w:t>
      </w:r>
      <w:r w:rsidRPr="00437F2B">
        <w:t>], had the highest prevalence of </w:t>
      </w:r>
      <w:r w:rsidRPr="00437F2B">
        <w:rPr>
          <w:i/>
          <w:iCs/>
        </w:rPr>
        <w:t>bla</w:t>
      </w:r>
      <w:r w:rsidRPr="00437F2B">
        <w:rPr>
          <w:vertAlign w:val="subscript"/>
        </w:rPr>
        <w:t>TEM</w:t>
      </w:r>
      <w:r w:rsidRPr="00437F2B">
        <w:t> compared to hospital WW isolates, which had the lowest prevalence (</w:t>
      </w:r>
      <w:r w:rsidRPr="00C90A22">
        <w:rPr>
          <w:b/>
          <w:bCs/>
        </w:rPr>
        <w:t>Table 1</w:t>
      </w:r>
      <w:r w:rsidRPr="00437F2B">
        <w:t>: 100% vs. 59%, respectively). However, this pattern was reversed with </w:t>
      </w:r>
      <w:r w:rsidRPr="00437F2B">
        <w:rPr>
          <w:i/>
          <w:iCs/>
        </w:rPr>
        <w:t>bla</w:t>
      </w:r>
      <w:r w:rsidRPr="00437F2B">
        <w:rPr>
          <w:vertAlign w:val="subscript"/>
        </w:rPr>
        <w:t>OXA</w:t>
      </w:r>
      <w:r w:rsidRPr="00437F2B">
        <w:t>, where 86% of hospital WW isolates encoded it, though only 45% of clinical strains carried the gene (</w:t>
      </w:r>
      <w:r w:rsidRPr="00C90A22">
        <w:rPr>
          <w:b/>
          <w:bCs/>
        </w:rPr>
        <w:t>Table 1</w:t>
      </w:r>
      <w:r w:rsidRPr="00437F2B">
        <w:t>). Further analysis of </w:t>
      </w:r>
      <w:r w:rsidRPr="00437F2B">
        <w:rPr>
          <w:i/>
          <w:iCs/>
        </w:rPr>
        <w:t>bla</w:t>
      </w:r>
      <w:r w:rsidRPr="00437F2B">
        <w:rPr>
          <w:vertAlign w:val="subscript"/>
        </w:rPr>
        <w:t>TEM</w:t>
      </w:r>
      <w:r w:rsidRPr="00437F2B">
        <w:t> and </w:t>
      </w:r>
      <w:r w:rsidRPr="00437F2B">
        <w:rPr>
          <w:i/>
          <w:iCs/>
        </w:rPr>
        <w:t>bla</w:t>
      </w:r>
      <w:r w:rsidRPr="00437F2B">
        <w:rPr>
          <w:vertAlign w:val="subscript"/>
        </w:rPr>
        <w:t>OXA</w:t>
      </w:r>
      <w:r w:rsidRPr="00437F2B">
        <w:t> genotypes with resistance phenotypes did not identify any significant correlations (</w:t>
      </w:r>
      <w:r w:rsidRPr="00C90A22">
        <w:rPr>
          <w:b/>
          <w:bCs/>
        </w:rPr>
        <w:t>Table 2</w:t>
      </w:r>
      <w:r w:rsidRPr="00437F2B">
        <w:t>). Our study did not identify any </w:t>
      </w:r>
      <w:r w:rsidRPr="00437F2B">
        <w:rPr>
          <w:i/>
          <w:iCs/>
        </w:rPr>
        <w:t>bla</w:t>
      </w:r>
      <w:r w:rsidRPr="00437F2B">
        <w:rPr>
          <w:vertAlign w:val="subscript"/>
        </w:rPr>
        <w:t>SHV</w:t>
      </w:r>
      <w:r w:rsidRPr="00437F2B">
        <w:t>-encoding CTX-resistant strains from either hospital or urban WW</w:t>
      </w:r>
      <w:r w:rsidRPr="00437F2B">
        <w:rPr>
          <w:vertAlign w:val="subscript"/>
        </w:rPr>
        <w:t>.</w:t>
      </w:r>
      <w:r w:rsidRPr="00437F2B">
        <w:t> This is in agreement with other studies worldwide reporting a predominance in TEM, OXA, and CTX-M [</w:t>
      </w:r>
      <w:r w:rsidRPr="00C90A22">
        <w:rPr>
          <w:b/>
          <w:bCs/>
        </w:rPr>
        <w:t>45</w:t>
      </w:r>
      <w:r w:rsidRPr="00437F2B">
        <w:t>,</w:t>
      </w:r>
      <w:r w:rsidRPr="00C90A22">
        <w:rPr>
          <w:b/>
          <w:bCs/>
        </w:rPr>
        <w:t>46</w:t>
      </w:r>
      <w:r w:rsidRPr="00437F2B">
        <w:t>].</w:t>
      </w:r>
    </w:p>
    <w:p w14:paraId="4B5DA7FB" w14:textId="77777777" w:rsidR="00EB1C74" w:rsidRDefault="00EB1C74" w:rsidP="005B1A42">
      <w:pPr>
        <w:spacing w:after="0"/>
        <w:rPr>
          <w:b/>
          <w:bCs/>
        </w:rPr>
        <w:sectPr w:rsidR="00EB1C74" w:rsidSect="00013176">
          <w:pgSz w:w="12240" w:h="15840"/>
          <w:pgMar w:top="1080" w:right="1080" w:bottom="1080" w:left="1080" w:header="720" w:footer="720" w:gutter="0"/>
          <w:cols w:space="720"/>
          <w:docGrid w:linePitch="360"/>
        </w:sectPr>
      </w:pPr>
    </w:p>
    <w:p w14:paraId="05981ECF" w14:textId="77777777" w:rsidR="00437F2B" w:rsidRPr="00437F2B" w:rsidRDefault="00437F2B" w:rsidP="005B1A42">
      <w:pPr>
        <w:spacing w:after="0"/>
      </w:pPr>
      <w:r w:rsidRPr="00437F2B">
        <w:rPr>
          <w:b/>
          <w:bCs/>
        </w:rPr>
        <w:t>Table 2.</w:t>
      </w:r>
      <w:r w:rsidRPr="00437F2B">
        <w:t> Correlation of antibiotic resistance phenotypes and genotypes.</w:t>
      </w:r>
    </w:p>
    <w:tbl>
      <w:tblPr>
        <w:tblStyle w:val="TableGrid"/>
        <w:tblW w:w="0" w:type="auto"/>
        <w:tblLook w:val="04A0" w:firstRow="1" w:lastRow="0" w:firstColumn="1" w:lastColumn="0" w:noHBand="0" w:noVBand="1"/>
      </w:tblPr>
      <w:tblGrid>
        <w:gridCol w:w="985"/>
        <w:gridCol w:w="1102"/>
        <w:gridCol w:w="992"/>
        <w:gridCol w:w="992"/>
        <w:gridCol w:w="1102"/>
        <w:gridCol w:w="1102"/>
        <w:gridCol w:w="1002"/>
        <w:gridCol w:w="1002"/>
        <w:gridCol w:w="939"/>
        <w:gridCol w:w="1102"/>
        <w:gridCol w:w="728"/>
      </w:tblGrid>
      <w:tr w:rsidR="00EB1C74" w:rsidRPr="005B1A42" w14:paraId="5E996C16" w14:textId="77777777" w:rsidTr="0091165F">
        <w:tc>
          <w:tcPr>
            <w:tcW w:w="0" w:type="auto"/>
            <w:hideMark/>
          </w:tcPr>
          <w:p w14:paraId="0C80F6DA" w14:textId="1CCD1FCD" w:rsidR="00EB1C74" w:rsidRPr="005B1A42" w:rsidRDefault="00EB1C74" w:rsidP="00EB1C74">
            <w:pPr>
              <w:spacing w:line="259" w:lineRule="auto"/>
              <w:rPr>
                <w:b/>
                <w:bCs/>
              </w:rPr>
            </w:pPr>
          </w:p>
        </w:tc>
        <w:tc>
          <w:tcPr>
            <w:tcW w:w="0" w:type="auto"/>
            <w:hideMark/>
          </w:tcPr>
          <w:p w14:paraId="4A8AC609" w14:textId="0449CCB3" w:rsidR="00EB1C74" w:rsidRPr="005B1A42" w:rsidRDefault="00EB1C74" w:rsidP="00EB1C74">
            <w:pPr>
              <w:spacing w:line="259" w:lineRule="auto"/>
              <w:rPr>
                <w:b/>
                <w:bCs/>
              </w:rPr>
            </w:pPr>
            <w:r w:rsidRPr="005B1A42">
              <w:rPr>
                <w:b/>
                <w:bCs/>
              </w:rPr>
              <w:t>CAZ</w:t>
            </w:r>
          </w:p>
        </w:tc>
        <w:tc>
          <w:tcPr>
            <w:tcW w:w="0" w:type="auto"/>
            <w:hideMark/>
          </w:tcPr>
          <w:p w14:paraId="48DC33FE" w14:textId="35788371" w:rsidR="00EB1C74" w:rsidRPr="005B1A42" w:rsidRDefault="00EB1C74" w:rsidP="00EB1C74">
            <w:pPr>
              <w:spacing w:line="259" w:lineRule="auto"/>
              <w:rPr>
                <w:b/>
                <w:bCs/>
              </w:rPr>
            </w:pPr>
            <w:r w:rsidRPr="005B1A42">
              <w:rPr>
                <w:b/>
                <w:bCs/>
              </w:rPr>
              <w:t>CRO</w:t>
            </w:r>
          </w:p>
        </w:tc>
        <w:tc>
          <w:tcPr>
            <w:tcW w:w="0" w:type="auto"/>
            <w:hideMark/>
          </w:tcPr>
          <w:p w14:paraId="42C36041" w14:textId="48807B8E" w:rsidR="00EB1C74" w:rsidRPr="005B1A42" w:rsidRDefault="00EB1C74" w:rsidP="00EB1C74">
            <w:pPr>
              <w:spacing w:line="259" w:lineRule="auto"/>
              <w:rPr>
                <w:b/>
                <w:bCs/>
              </w:rPr>
            </w:pPr>
            <w:r w:rsidRPr="005B1A42">
              <w:rPr>
                <w:b/>
                <w:bCs/>
              </w:rPr>
              <w:t>CTX</w:t>
            </w:r>
          </w:p>
        </w:tc>
        <w:tc>
          <w:tcPr>
            <w:tcW w:w="0" w:type="auto"/>
            <w:hideMark/>
          </w:tcPr>
          <w:p w14:paraId="5C50744E" w14:textId="0D6824C0" w:rsidR="00EB1C74" w:rsidRPr="005B1A42" w:rsidRDefault="00EB1C74" w:rsidP="00EB1C74">
            <w:pPr>
              <w:spacing w:line="259" w:lineRule="auto"/>
              <w:rPr>
                <w:b/>
                <w:bCs/>
              </w:rPr>
            </w:pPr>
            <w:r w:rsidRPr="005B1A42">
              <w:rPr>
                <w:b/>
                <w:bCs/>
              </w:rPr>
              <w:t>ERT</w:t>
            </w:r>
          </w:p>
        </w:tc>
        <w:tc>
          <w:tcPr>
            <w:tcW w:w="0" w:type="auto"/>
            <w:hideMark/>
          </w:tcPr>
          <w:p w14:paraId="158AB43F" w14:textId="1695988B" w:rsidR="00EB1C74" w:rsidRPr="005B1A42" w:rsidRDefault="00EB1C74" w:rsidP="00EB1C74">
            <w:pPr>
              <w:spacing w:line="259" w:lineRule="auto"/>
              <w:rPr>
                <w:b/>
                <w:bCs/>
              </w:rPr>
            </w:pPr>
            <w:r w:rsidRPr="005B1A42">
              <w:rPr>
                <w:b/>
                <w:bCs/>
              </w:rPr>
              <w:t>ESBL</w:t>
            </w:r>
          </w:p>
        </w:tc>
        <w:tc>
          <w:tcPr>
            <w:tcW w:w="0" w:type="auto"/>
            <w:hideMark/>
          </w:tcPr>
          <w:p w14:paraId="05319B8C" w14:textId="0ED8161B" w:rsidR="00EB1C74" w:rsidRPr="005B1A42" w:rsidRDefault="00EB1C74" w:rsidP="00EB1C74">
            <w:pPr>
              <w:spacing w:line="259" w:lineRule="auto"/>
              <w:rPr>
                <w:b/>
                <w:bCs/>
              </w:rPr>
            </w:pPr>
            <w:r w:rsidRPr="005B1A42">
              <w:rPr>
                <w:b/>
                <w:bCs/>
                <w:i/>
                <w:iCs/>
              </w:rPr>
              <w:t>bla</w:t>
            </w:r>
            <w:r w:rsidRPr="005B1A42">
              <w:rPr>
                <w:b/>
                <w:bCs/>
                <w:vertAlign w:val="subscript"/>
              </w:rPr>
              <w:t>CTX-M-1</w:t>
            </w:r>
          </w:p>
        </w:tc>
        <w:tc>
          <w:tcPr>
            <w:tcW w:w="0" w:type="auto"/>
            <w:hideMark/>
          </w:tcPr>
          <w:p w14:paraId="5B290859" w14:textId="354A96B4" w:rsidR="00EB1C74" w:rsidRPr="005B1A42" w:rsidRDefault="00EB1C74" w:rsidP="00EB1C74">
            <w:pPr>
              <w:spacing w:line="259" w:lineRule="auto"/>
              <w:rPr>
                <w:b/>
                <w:bCs/>
              </w:rPr>
            </w:pPr>
            <w:r w:rsidRPr="005B1A42">
              <w:rPr>
                <w:b/>
                <w:bCs/>
                <w:i/>
                <w:iCs/>
              </w:rPr>
              <w:t>bla</w:t>
            </w:r>
            <w:r w:rsidRPr="005B1A42">
              <w:rPr>
                <w:b/>
                <w:bCs/>
                <w:vertAlign w:val="subscript"/>
              </w:rPr>
              <w:t>CTX-M-9</w:t>
            </w:r>
          </w:p>
        </w:tc>
        <w:tc>
          <w:tcPr>
            <w:tcW w:w="0" w:type="auto"/>
            <w:hideMark/>
          </w:tcPr>
          <w:p w14:paraId="50322AE7" w14:textId="5751487C" w:rsidR="00EB1C74" w:rsidRPr="005B1A42" w:rsidRDefault="00EB1C74" w:rsidP="00EB1C74">
            <w:pPr>
              <w:spacing w:line="259" w:lineRule="auto"/>
              <w:rPr>
                <w:b/>
                <w:bCs/>
              </w:rPr>
            </w:pPr>
            <w:r w:rsidRPr="005B1A42">
              <w:rPr>
                <w:b/>
                <w:bCs/>
                <w:i/>
                <w:iCs/>
              </w:rPr>
              <w:t>bla</w:t>
            </w:r>
            <w:r w:rsidRPr="005B1A42">
              <w:rPr>
                <w:b/>
                <w:bCs/>
                <w:vertAlign w:val="subscript"/>
              </w:rPr>
              <w:t>OXA</w:t>
            </w:r>
          </w:p>
        </w:tc>
        <w:tc>
          <w:tcPr>
            <w:tcW w:w="0" w:type="auto"/>
          </w:tcPr>
          <w:p w14:paraId="4C3AA89B" w14:textId="6DF12422" w:rsidR="00EB1C74" w:rsidRPr="005B1A42" w:rsidRDefault="00EB1C74" w:rsidP="00EB1C74">
            <w:pPr>
              <w:rPr>
                <w:b/>
                <w:bCs/>
                <w:i/>
                <w:iCs/>
              </w:rPr>
            </w:pPr>
            <w:r w:rsidRPr="005B1A42">
              <w:rPr>
                <w:b/>
                <w:bCs/>
                <w:i/>
                <w:iCs/>
              </w:rPr>
              <w:t>bla</w:t>
            </w:r>
            <w:r w:rsidRPr="005B1A42">
              <w:rPr>
                <w:b/>
                <w:bCs/>
                <w:vertAlign w:val="subscript"/>
              </w:rPr>
              <w:t>TEM</w:t>
            </w:r>
          </w:p>
        </w:tc>
        <w:tc>
          <w:tcPr>
            <w:tcW w:w="0" w:type="auto"/>
            <w:hideMark/>
          </w:tcPr>
          <w:p w14:paraId="2FA4C153" w14:textId="5E430599" w:rsidR="00EB1C74" w:rsidRPr="005B1A42" w:rsidRDefault="00EB1C74" w:rsidP="00EB1C74">
            <w:pPr>
              <w:spacing w:line="259" w:lineRule="auto"/>
              <w:rPr>
                <w:b/>
                <w:bCs/>
              </w:rPr>
            </w:pPr>
            <w:r w:rsidRPr="005B1A42">
              <w:rPr>
                <w:b/>
                <w:bCs/>
                <w:i/>
                <w:iCs/>
              </w:rPr>
              <w:t>bla</w:t>
            </w:r>
            <w:r w:rsidRPr="005B1A42">
              <w:rPr>
                <w:b/>
                <w:bCs/>
                <w:vertAlign w:val="subscript"/>
              </w:rPr>
              <w:t>KPC</w:t>
            </w:r>
          </w:p>
        </w:tc>
      </w:tr>
      <w:tr w:rsidR="005B1A42" w:rsidRPr="005B1A42" w14:paraId="36DFC3AA" w14:textId="77777777" w:rsidTr="005B1A42">
        <w:tc>
          <w:tcPr>
            <w:tcW w:w="0" w:type="auto"/>
            <w:hideMark/>
          </w:tcPr>
          <w:p w14:paraId="3ED46727" w14:textId="77777777" w:rsidR="005B1A42" w:rsidRPr="005B1A42" w:rsidRDefault="005B1A42" w:rsidP="00EB1C74">
            <w:pPr>
              <w:spacing w:line="259" w:lineRule="auto"/>
            </w:pPr>
            <w:r w:rsidRPr="005B1A42">
              <w:t>CAZ</w:t>
            </w:r>
          </w:p>
        </w:tc>
        <w:tc>
          <w:tcPr>
            <w:tcW w:w="0" w:type="auto"/>
            <w:hideMark/>
          </w:tcPr>
          <w:p w14:paraId="758610DE" w14:textId="77777777" w:rsidR="005B1A42" w:rsidRPr="005B1A42" w:rsidRDefault="005B1A42" w:rsidP="00EB1C74">
            <w:pPr>
              <w:spacing w:line="259" w:lineRule="auto"/>
            </w:pPr>
            <w:r w:rsidRPr="005B1A42">
              <w:t>1</w:t>
            </w:r>
          </w:p>
        </w:tc>
        <w:tc>
          <w:tcPr>
            <w:tcW w:w="0" w:type="auto"/>
            <w:hideMark/>
          </w:tcPr>
          <w:p w14:paraId="3341FC5A" w14:textId="77777777" w:rsidR="005B1A42" w:rsidRPr="005B1A42" w:rsidRDefault="005B1A42" w:rsidP="00EB1C74">
            <w:pPr>
              <w:spacing w:line="259" w:lineRule="auto"/>
            </w:pPr>
          </w:p>
        </w:tc>
        <w:tc>
          <w:tcPr>
            <w:tcW w:w="0" w:type="auto"/>
            <w:hideMark/>
          </w:tcPr>
          <w:p w14:paraId="057ACB29" w14:textId="77777777" w:rsidR="005B1A42" w:rsidRPr="005B1A42" w:rsidRDefault="005B1A42" w:rsidP="00EB1C74">
            <w:pPr>
              <w:spacing w:line="259" w:lineRule="auto"/>
            </w:pPr>
          </w:p>
        </w:tc>
        <w:tc>
          <w:tcPr>
            <w:tcW w:w="0" w:type="auto"/>
            <w:hideMark/>
          </w:tcPr>
          <w:p w14:paraId="52D09BCA" w14:textId="77777777" w:rsidR="005B1A42" w:rsidRPr="005B1A42" w:rsidRDefault="005B1A42" w:rsidP="00EB1C74">
            <w:pPr>
              <w:spacing w:line="259" w:lineRule="auto"/>
            </w:pPr>
          </w:p>
        </w:tc>
        <w:tc>
          <w:tcPr>
            <w:tcW w:w="0" w:type="auto"/>
            <w:hideMark/>
          </w:tcPr>
          <w:p w14:paraId="27F5818E" w14:textId="77777777" w:rsidR="005B1A42" w:rsidRPr="005B1A42" w:rsidRDefault="005B1A42" w:rsidP="00EB1C74">
            <w:pPr>
              <w:spacing w:line="259" w:lineRule="auto"/>
            </w:pPr>
          </w:p>
        </w:tc>
        <w:tc>
          <w:tcPr>
            <w:tcW w:w="0" w:type="auto"/>
            <w:hideMark/>
          </w:tcPr>
          <w:p w14:paraId="1077F104" w14:textId="77777777" w:rsidR="005B1A42" w:rsidRPr="005B1A42" w:rsidRDefault="005B1A42" w:rsidP="00EB1C74">
            <w:pPr>
              <w:spacing w:line="259" w:lineRule="auto"/>
            </w:pPr>
          </w:p>
        </w:tc>
        <w:tc>
          <w:tcPr>
            <w:tcW w:w="0" w:type="auto"/>
            <w:hideMark/>
          </w:tcPr>
          <w:p w14:paraId="6465E46B" w14:textId="77777777" w:rsidR="005B1A42" w:rsidRPr="005B1A42" w:rsidRDefault="005B1A42" w:rsidP="00EB1C74">
            <w:pPr>
              <w:spacing w:line="259" w:lineRule="auto"/>
            </w:pPr>
          </w:p>
        </w:tc>
        <w:tc>
          <w:tcPr>
            <w:tcW w:w="0" w:type="auto"/>
            <w:hideMark/>
          </w:tcPr>
          <w:p w14:paraId="33F8BF07" w14:textId="77777777" w:rsidR="005B1A42" w:rsidRPr="005B1A42" w:rsidRDefault="005B1A42" w:rsidP="00EB1C74">
            <w:pPr>
              <w:spacing w:line="259" w:lineRule="auto"/>
            </w:pPr>
          </w:p>
        </w:tc>
        <w:tc>
          <w:tcPr>
            <w:tcW w:w="0" w:type="auto"/>
            <w:hideMark/>
          </w:tcPr>
          <w:p w14:paraId="68C5476F" w14:textId="77777777" w:rsidR="005B1A42" w:rsidRPr="005B1A42" w:rsidRDefault="005B1A42" w:rsidP="00EB1C74">
            <w:pPr>
              <w:spacing w:line="259" w:lineRule="auto"/>
            </w:pPr>
          </w:p>
        </w:tc>
        <w:tc>
          <w:tcPr>
            <w:tcW w:w="0" w:type="auto"/>
            <w:hideMark/>
          </w:tcPr>
          <w:p w14:paraId="735249A2" w14:textId="77777777" w:rsidR="005B1A42" w:rsidRPr="005B1A42" w:rsidRDefault="005B1A42" w:rsidP="00EB1C74">
            <w:pPr>
              <w:spacing w:line="259" w:lineRule="auto"/>
            </w:pPr>
          </w:p>
        </w:tc>
      </w:tr>
      <w:tr w:rsidR="005B1A42" w:rsidRPr="005B1A42" w14:paraId="401F561A" w14:textId="77777777" w:rsidTr="005B1A42">
        <w:tc>
          <w:tcPr>
            <w:tcW w:w="0" w:type="auto"/>
            <w:hideMark/>
          </w:tcPr>
          <w:p w14:paraId="41621551" w14:textId="77777777" w:rsidR="005B1A42" w:rsidRPr="005B1A42" w:rsidRDefault="005B1A42" w:rsidP="00EB1C74">
            <w:pPr>
              <w:spacing w:line="259" w:lineRule="auto"/>
            </w:pPr>
            <w:r w:rsidRPr="005B1A42">
              <w:t>CRO</w:t>
            </w:r>
          </w:p>
        </w:tc>
        <w:tc>
          <w:tcPr>
            <w:tcW w:w="0" w:type="auto"/>
            <w:hideMark/>
          </w:tcPr>
          <w:p w14:paraId="6AD8A5FB" w14:textId="77777777" w:rsidR="005B1A42" w:rsidRPr="005B1A42" w:rsidRDefault="005B1A42" w:rsidP="00EB1C74">
            <w:pPr>
              <w:spacing w:line="259" w:lineRule="auto"/>
            </w:pPr>
            <w:r w:rsidRPr="005B1A42">
              <w:t>0.1176</w:t>
            </w:r>
            <w:r w:rsidRPr="005B1A42">
              <w:br/>
              <w:t>0.3548</w:t>
            </w:r>
          </w:p>
        </w:tc>
        <w:tc>
          <w:tcPr>
            <w:tcW w:w="0" w:type="auto"/>
            <w:hideMark/>
          </w:tcPr>
          <w:p w14:paraId="14647B0F" w14:textId="77777777" w:rsidR="005B1A42" w:rsidRPr="005B1A42" w:rsidRDefault="005B1A42" w:rsidP="00EB1C74">
            <w:pPr>
              <w:spacing w:line="259" w:lineRule="auto"/>
            </w:pPr>
            <w:r w:rsidRPr="005B1A42">
              <w:t>1</w:t>
            </w:r>
          </w:p>
        </w:tc>
        <w:tc>
          <w:tcPr>
            <w:tcW w:w="0" w:type="auto"/>
            <w:hideMark/>
          </w:tcPr>
          <w:p w14:paraId="6DD19F13" w14:textId="77777777" w:rsidR="005B1A42" w:rsidRPr="005B1A42" w:rsidRDefault="005B1A42" w:rsidP="00EB1C74">
            <w:pPr>
              <w:spacing w:line="259" w:lineRule="auto"/>
            </w:pPr>
          </w:p>
        </w:tc>
        <w:tc>
          <w:tcPr>
            <w:tcW w:w="0" w:type="auto"/>
            <w:hideMark/>
          </w:tcPr>
          <w:p w14:paraId="1DD097B0" w14:textId="77777777" w:rsidR="005B1A42" w:rsidRPr="005B1A42" w:rsidRDefault="005B1A42" w:rsidP="00EB1C74">
            <w:pPr>
              <w:spacing w:line="259" w:lineRule="auto"/>
            </w:pPr>
          </w:p>
        </w:tc>
        <w:tc>
          <w:tcPr>
            <w:tcW w:w="0" w:type="auto"/>
            <w:hideMark/>
          </w:tcPr>
          <w:p w14:paraId="6657F11C" w14:textId="77777777" w:rsidR="005B1A42" w:rsidRPr="005B1A42" w:rsidRDefault="005B1A42" w:rsidP="00EB1C74">
            <w:pPr>
              <w:spacing w:line="259" w:lineRule="auto"/>
            </w:pPr>
          </w:p>
        </w:tc>
        <w:tc>
          <w:tcPr>
            <w:tcW w:w="0" w:type="auto"/>
            <w:hideMark/>
          </w:tcPr>
          <w:p w14:paraId="56C9A586" w14:textId="77777777" w:rsidR="005B1A42" w:rsidRPr="005B1A42" w:rsidRDefault="005B1A42" w:rsidP="00EB1C74">
            <w:pPr>
              <w:spacing w:line="259" w:lineRule="auto"/>
            </w:pPr>
          </w:p>
        </w:tc>
        <w:tc>
          <w:tcPr>
            <w:tcW w:w="0" w:type="auto"/>
            <w:hideMark/>
          </w:tcPr>
          <w:p w14:paraId="10DFE42B" w14:textId="77777777" w:rsidR="005B1A42" w:rsidRPr="005B1A42" w:rsidRDefault="005B1A42" w:rsidP="00EB1C74">
            <w:pPr>
              <w:spacing w:line="259" w:lineRule="auto"/>
            </w:pPr>
          </w:p>
        </w:tc>
        <w:tc>
          <w:tcPr>
            <w:tcW w:w="0" w:type="auto"/>
            <w:hideMark/>
          </w:tcPr>
          <w:p w14:paraId="7840FAF8" w14:textId="77777777" w:rsidR="005B1A42" w:rsidRPr="005B1A42" w:rsidRDefault="005B1A42" w:rsidP="00EB1C74">
            <w:pPr>
              <w:spacing w:line="259" w:lineRule="auto"/>
            </w:pPr>
          </w:p>
        </w:tc>
        <w:tc>
          <w:tcPr>
            <w:tcW w:w="0" w:type="auto"/>
            <w:hideMark/>
          </w:tcPr>
          <w:p w14:paraId="6FE8E285" w14:textId="77777777" w:rsidR="005B1A42" w:rsidRPr="005B1A42" w:rsidRDefault="005B1A42" w:rsidP="00EB1C74">
            <w:pPr>
              <w:spacing w:line="259" w:lineRule="auto"/>
            </w:pPr>
          </w:p>
        </w:tc>
        <w:tc>
          <w:tcPr>
            <w:tcW w:w="0" w:type="auto"/>
            <w:hideMark/>
          </w:tcPr>
          <w:p w14:paraId="5446EDD8" w14:textId="77777777" w:rsidR="005B1A42" w:rsidRPr="005B1A42" w:rsidRDefault="005B1A42" w:rsidP="00EB1C74">
            <w:pPr>
              <w:spacing w:line="259" w:lineRule="auto"/>
            </w:pPr>
          </w:p>
        </w:tc>
      </w:tr>
      <w:tr w:rsidR="005B1A42" w:rsidRPr="005B1A42" w14:paraId="40EF904E" w14:textId="77777777" w:rsidTr="005B1A42">
        <w:tc>
          <w:tcPr>
            <w:tcW w:w="0" w:type="auto"/>
            <w:hideMark/>
          </w:tcPr>
          <w:p w14:paraId="0D370D19" w14:textId="77777777" w:rsidR="005B1A42" w:rsidRPr="005B1A42" w:rsidRDefault="005B1A42" w:rsidP="00EB1C74">
            <w:pPr>
              <w:spacing w:line="259" w:lineRule="auto"/>
            </w:pPr>
            <w:r w:rsidRPr="005B1A42">
              <w:t>CTX</w:t>
            </w:r>
          </w:p>
        </w:tc>
        <w:tc>
          <w:tcPr>
            <w:tcW w:w="0" w:type="auto"/>
            <w:hideMark/>
          </w:tcPr>
          <w:p w14:paraId="13FE2FE8" w14:textId="77777777" w:rsidR="005B1A42" w:rsidRPr="005B1A42" w:rsidRDefault="005B1A42" w:rsidP="00EB1C74">
            <w:pPr>
              <w:spacing w:line="259" w:lineRule="auto"/>
            </w:pPr>
            <w:r w:rsidRPr="005B1A42">
              <w:t>0.1176</w:t>
            </w:r>
            <w:r w:rsidRPr="005B1A42">
              <w:br/>
              <w:t>0.3548</w:t>
            </w:r>
          </w:p>
        </w:tc>
        <w:tc>
          <w:tcPr>
            <w:tcW w:w="0" w:type="auto"/>
            <w:hideMark/>
          </w:tcPr>
          <w:p w14:paraId="1980971F" w14:textId="77777777" w:rsidR="005B1A42" w:rsidRPr="005B1A42" w:rsidRDefault="005B1A42" w:rsidP="00EB1C74">
            <w:pPr>
              <w:spacing w:line="259" w:lineRule="auto"/>
            </w:pPr>
            <w:r w:rsidRPr="005B1A42">
              <w:rPr>
                <w:b/>
                <w:bCs/>
              </w:rPr>
              <w:t>1.0000 *</w:t>
            </w:r>
            <w:r w:rsidRPr="005B1A42">
              <w:br/>
            </w:r>
            <w:r w:rsidRPr="005B1A42">
              <w:rPr>
                <w:b/>
                <w:bCs/>
              </w:rPr>
              <w:t>0.0000</w:t>
            </w:r>
          </w:p>
        </w:tc>
        <w:tc>
          <w:tcPr>
            <w:tcW w:w="0" w:type="auto"/>
            <w:hideMark/>
          </w:tcPr>
          <w:p w14:paraId="753250CF" w14:textId="77777777" w:rsidR="005B1A42" w:rsidRPr="005B1A42" w:rsidRDefault="005B1A42" w:rsidP="00EB1C74">
            <w:pPr>
              <w:spacing w:line="259" w:lineRule="auto"/>
            </w:pPr>
            <w:r w:rsidRPr="005B1A42">
              <w:t>1</w:t>
            </w:r>
          </w:p>
        </w:tc>
        <w:tc>
          <w:tcPr>
            <w:tcW w:w="0" w:type="auto"/>
            <w:hideMark/>
          </w:tcPr>
          <w:p w14:paraId="2652F928" w14:textId="77777777" w:rsidR="005B1A42" w:rsidRPr="005B1A42" w:rsidRDefault="005B1A42" w:rsidP="00EB1C74">
            <w:pPr>
              <w:spacing w:line="259" w:lineRule="auto"/>
            </w:pPr>
          </w:p>
        </w:tc>
        <w:tc>
          <w:tcPr>
            <w:tcW w:w="0" w:type="auto"/>
            <w:hideMark/>
          </w:tcPr>
          <w:p w14:paraId="582D32FF" w14:textId="77777777" w:rsidR="005B1A42" w:rsidRPr="005B1A42" w:rsidRDefault="005B1A42" w:rsidP="00EB1C74">
            <w:pPr>
              <w:spacing w:line="259" w:lineRule="auto"/>
            </w:pPr>
          </w:p>
        </w:tc>
        <w:tc>
          <w:tcPr>
            <w:tcW w:w="0" w:type="auto"/>
            <w:hideMark/>
          </w:tcPr>
          <w:p w14:paraId="590A34B4" w14:textId="77777777" w:rsidR="005B1A42" w:rsidRPr="005B1A42" w:rsidRDefault="005B1A42" w:rsidP="00EB1C74">
            <w:pPr>
              <w:spacing w:line="259" w:lineRule="auto"/>
            </w:pPr>
          </w:p>
        </w:tc>
        <w:tc>
          <w:tcPr>
            <w:tcW w:w="0" w:type="auto"/>
            <w:hideMark/>
          </w:tcPr>
          <w:p w14:paraId="7794D5F2" w14:textId="77777777" w:rsidR="005B1A42" w:rsidRPr="005B1A42" w:rsidRDefault="005B1A42" w:rsidP="00EB1C74">
            <w:pPr>
              <w:spacing w:line="259" w:lineRule="auto"/>
            </w:pPr>
          </w:p>
        </w:tc>
        <w:tc>
          <w:tcPr>
            <w:tcW w:w="0" w:type="auto"/>
            <w:hideMark/>
          </w:tcPr>
          <w:p w14:paraId="23E0AF15" w14:textId="77777777" w:rsidR="005B1A42" w:rsidRPr="005B1A42" w:rsidRDefault="005B1A42" w:rsidP="00EB1C74">
            <w:pPr>
              <w:spacing w:line="259" w:lineRule="auto"/>
            </w:pPr>
          </w:p>
        </w:tc>
        <w:tc>
          <w:tcPr>
            <w:tcW w:w="0" w:type="auto"/>
            <w:hideMark/>
          </w:tcPr>
          <w:p w14:paraId="7DA9905E" w14:textId="77777777" w:rsidR="005B1A42" w:rsidRPr="005B1A42" w:rsidRDefault="005B1A42" w:rsidP="00EB1C74">
            <w:pPr>
              <w:spacing w:line="259" w:lineRule="auto"/>
            </w:pPr>
          </w:p>
        </w:tc>
        <w:tc>
          <w:tcPr>
            <w:tcW w:w="0" w:type="auto"/>
            <w:hideMark/>
          </w:tcPr>
          <w:p w14:paraId="6D145AE2" w14:textId="77777777" w:rsidR="005B1A42" w:rsidRPr="005B1A42" w:rsidRDefault="005B1A42" w:rsidP="00EB1C74">
            <w:pPr>
              <w:spacing w:line="259" w:lineRule="auto"/>
            </w:pPr>
          </w:p>
        </w:tc>
      </w:tr>
      <w:tr w:rsidR="005B1A42" w:rsidRPr="005B1A42" w14:paraId="6A5494AA" w14:textId="77777777" w:rsidTr="005B1A42">
        <w:tc>
          <w:tcPr>
            <w:tcW w:w="0" w:type="auto"/>
            <w:hideMark/>
          </w:tcPr>
          <w:p w14:paraId="417FD215" w14:textId="77777777" w:rsidR="005B1A42" w:rsidRPr="005B1A42" w:rsidRDefault="005B1A42" w:rsidP="00EB1C74">
            <w:pPr>
              <w:spacing w:line="259" w:lineRule="auto"/>
            </w:pPr>
            <w:r w:rsidRPr="005B1A42">
              <w:t>ERT</w:t>
            </w:r>
          </w:p>
        </w:tc>
        <w:tc>
          <w:tcPr>
            <w:tcW w:w="0" w:type="auto"/>
            <w:hideMark/>
          </w:tcPr>
          <w:p w14:paraId="5FAB4FFC" w14:textId="77777777" w:rsidR="005B1A42" w:rsidRPr="005B1A42" w:rsidRDefault="005B1A42" w:rsidP="00EB1C74">
            <w:pPr>
              <w:spacing w:line="259" w:lineRule="auto"/>
            </w:pPr>
            <w:r w:rsidRPr="005B1A42">
              <w:rPr>
                <w:b/>
                <w:bCs/>
              </w:rPr>
              <w:t>0.2925 *</w:t>
            </w:r>
            <w:r w:rsidRPr="005B1A42">
              <w:br/>
            </w:r>
            <w:r w:rsidRPr="005B1A42">
              <w:rPr>
                <w:b/>
                <w:bCs/>
              </w:rPr>
              <w:t>0.0190</w:t>
            </w:r>
          </w:p>
        </w:tc>
        <w:tc>
          <w:tcPr>
            <w:tcW w:w="0" w:type="auto"/>
            <w:hideMark/>
          </w:tcPr>
          <w:p w14:paraId="4A286704" w14:textId="77777777" w:rsidR="005B1A42" w:rsidRPr="005B1A42" w:rsidRDefault="005B1A42" w:rsidP="00EB1C74">
            <w:pPr>
              <w:spacing w:line="259" w:lineRule="auto"/>
            </w:pPr>
            <w:r w:rsidRPr="005B1A42">
              <w:t>−0.0949</w:t>
            </w:r>
            <w:r w:rsidRPr="005B1A42">
              <w:br/>
              <w:t>0.4557</w:t>
            </w:r>
          </w:p>
        </w:tc>
        <w:tc>
          <w:tcPr>
            <w:tcW w:w="0" w:type="auto"/>
            <w:hideMark/>
          </w:tcPr>
          <w:p w14:paraId="0B04D095" w14:textId="77777777" w:rsidR="005B1A42" w:rsidRPr="005B1A42" w:rsidRDefault="005B1A42" w:rsidP="00EB1C74">
            <w:pPr>
              <w:spacing w:line="259" w:lineRule="auto"/>
            </w:pPr>
            <w:r w:rsidRPr="005B1A42">
              <w:t>−0.0949</w:t>
            </w:r>
            <w:r w:rsidRPr="005B1A42">
              <w:br/>
              <w:t>0.4557</w:t>
            </w:r>
          </w:p>
        </w:tc>
        <w:tc>
          <w:tcPr>
            <w:tcW w:w="0" w:type="auto"/>
            <w:hideMark/>
          </w:tcPr>
          <w:p w14:paraId="52C2AC95" w14:textId="77777777" w:rsidR="005B1A42" w:rsidRPr="005B1A42" w:rsidRDefault="005B1A42" w:rsidP="00EB1C74">
            <w:pPr>
              <w:spacing w:line="259" w:lineRule="auto"/>
            </w:pPr>
            <w:r w:rsidRPr="005B1A42">
              <w:t>1</w:t>
            </w:r>
          </w:p>
        </w:tc>
        <w:tc>
          <w:tcPr>
            <w:tcW w:w="0" w:type="auto"/>
            <w:hideMark/>
          </w:tcPr>
          <w:p w14:paraId="1163C2C6" w14:textId="77777777" w:rsidR="005B1A42" w:rsidRPr="005B1A42" w:rsidRDefault="005B1A42" w:rsidP="00EB1C74">
            <w:pPr>
              <w:spacing w:line="259" w:lineRule="auto"/>
            </w:pPr>
          </w:p>
        </w:tc>
        <w:tc>
          <w:tcPr>
            <w:tcW w:w="0" w:type="auto"/>
            <w:hideMark/>
          </w:tcPr>
          <w:p w14:paraId="3B33D5F6" w14:textId="77777777" w:rsidR="005B1A42" w:rsidRPr="005B1A42" w:rsidRDefault="005B1A42" w:rsidP="00EB1C74">
            <w:pPr>
              <w:spacing w:line="259" w:lineRule="auto"/>
            </w:pPr>
          </w:p>
        </w:tc>
        <w:tc>
          <w:tcPr>
            <w:tcW w:w="0" w:type="auto"/>
            <w:hideMark/>
          </w:tcPr>
          <w:p w14:paraId="4EA40267" w14:textId="77777777" w:rsidR="005B1A42" w:rsidRPr="005B1A42" w:rsidRDefault="005B1A42" w:rsidP="00EB1C74">
            <w:pPr>
              <w:spacing w:line="259" w:lineRule="auto"/>
            </w:pPr>
          </w:p>
        </w:tc>
        <w:tc>
          <w:tcPr>
            <w:tcW w:w="0" w:type="auto"/>
            <w:hideMark/>
          </w:tcPr>
          <w:p w14:paraId="04FD0090" w14:textId="77777777" w:rsidR="005B1A42" w:rsidRPr="005B1A42" w:rsidRDefault="005B1A42" w:rsidP="00EB1C74">
            <w:pPr>
              <w:spacing w:line="259" w:lineRule="auto"/>
            </w:pPr>
          </w:p>
        </w:tc>
        <w:tc>
          <w:tcPr>
            <w:tcW w:w="0" w:type="auto"/>
            <w:hideMark/>
          </w:tcPr>
          <w:p w14:paraId="790B514D" w14:textId="77777777" w:rsidR="005B1A42" w:rsidRPr="005B1A42" w:rsidRDefault="005B1A42" w:rsidP="00EB1C74">
            <w:pPr>
              <w:spacing w:line="259" w:lineRule="auto"/>
            </w:pPr>
          </w:p>
        </w:tc>
        <w:tc>
          <w:tcPr>
            <w:tcW w:w="0" w:type="auto"/>
            <w:hideMark/>
          </w:tcPr>
          <w:p w14:paraId="423AF1A1" w14:textId="77777777" w:rsidR="005B1A42" w:rsidRPr="005B1A42" w:rsidRDefault="005B1A42" w:rsidP="00EB1C74">
            <w:pPr>
              <w:spacing w:line="259" w:lineRule="auto"/>
            </w:pPr>
          </w:p>
        </w:tc>
      </w:tr>
      <w:tr w:rsidR="005B1A42" w:rsidRPr="005B1A42" w14:paraId="7FBA6DF1" w14:textId="77777777" w:rsidTr="005B1A42">
        <w:tc>
          <w:tcPr>
            <w:tcW w:w="0" w:type="auto"/>
            <w:hideMark/>
          </w:tcPr>
          <w:p w14:paraId="49D81C2B" w14:textId="77777777" w:rsidR="005B1A42" w:rsidRPr="005B1A42" w:rsidRDefault="005B1A42" w:rsidP="00EB1C74">
            <w:pPr>
              <w:spacing w:line="259" w:lineRule="auto"/>
            </w:pPr>
            <w:r w:rsidRPr="005B1A42">
              <w:t>ESBL</w:t>
            </w:r>
          </w:p>
        </w:tc>
        <w:tc>
          <w:tcPr>
            <w:tcW w:w="0" w:type="auto"/>
            <w:hideMark/>
          </w:tcPr>
          <w:p w14:paraId="02BD725E" w14:textId="77777777" w:rsidR="005B1A42" w:rsidRPr="005B1A42" w:rsidRDefault="005B1A42" w:rsidP="00EB1C74">
            <w:pPr>
              <w:spacing w:line="259" w:lineRule="auto"/>
            </w:pPr>
            <w:r w:rsidRPr="005B1A42">
              <w:rPr>
                <w:b/>
                <w:bCs/>
              </w:rPr>
              <w:t>−0.3945 *</w:t>
            </w:r>
            <w:r w:rsidRPr="005B1A42">
              <w:br/>
            </w:r>
            <w:r w:rsidRPr="005B1A42">
              <w:rPr>
                <w:b/>
                <w:bCs/>
              </w:rPr>
              <w:t>0.0013</w:t>
            </w:r>
          </w:p>
        </w:tc>
        <w:tc>
          <w:tcPr>
            <w:tcW w:w="0" w:type="auto"/>
            <w:hideMark/>
          </w:tcPr>
          <w:p w14:paraId="38D94455" w14:textId="77777777" w:rsidR="005B1A42" w:rsidRPr="005B1A42" w:rsidRDefault="005B1A42" w:rsidP="00EB1C74">
            <w:pPr>
              <w:spacing w:line="259" w:lineRule="auto"/>
            </w:pPr>
            <w:r w:rsidRPr="005B1A42">
              <w:t>0.2361</w:t>
            </w:r>
            <w:r w:rsidRPr="005B1A42">
              <w:br/>
              <w:t>0.0604</w:t>
            </w:r>
          </w:p>
        </w:tc>
        <w:tc>
          <w:tcPr>
            <w:tcW w:w="0" w:type="auto"/>
            <w:hideMark/>
          </w:tcPr>
          <w:p w14:paraId="021F55F7" w14:textId="77777777" w:rsidR="005B1A42" w:rsidRPr="005B1A42" w:rsidRDefault="005B1A42" w:rsidP="00EB1C74">
            <w:pPr>
              <w:spacing w:line="259" w:lineRule="auto"/>
            </w:pPr>
            <w:r w:rsidRPr="005B1A42">
              <w:t>0.2361</w:t>
            </w:r>
            <w:r w:rsidRPr="005B1A42">
              <w:br/>
              <w:t>0.0604</w:t>
            </w:r>
          </w:p>
        </w:tc>
        <w:tc>
          <w:tcPr>
            <w:tcW w:w="0" w:type="auto"/>
            <w:hideMark/>
          </w:tcPr>
          <w:p w14:paraId="07318A20" w14:textId="77777777" w:rsidR="005B1A42" w:rsidRPr="005B1A42" w:rsidRDefault="005B1A42" w:rsidP="00EB1C74">
            <w:pPr>
              <w:spacing w:line="259" w:lineRule="auto"/>
            </w:pPr>
            <w:r w:rsidRPr="005B1A42">
              <w:rPr>
                <w:b/>
                <w:bCs/>
              </w:rPr>
              <w:t>−0.3190 *</w:t>
            </w:r>
            <w:r w:rsidRPr="005B1A42">
              <w:br/>
            </w:r>
            <w:r w:rsidRPr="005B1A42">
              <w:rPr>
                <w:b/>
                <w:bCs/>
              </w:rPr>
              <w:t>0.0102</w:t>
            </w:r>
          </w:p>
        </w:tc>
        <w:tc>
          <w:tcPr>
            <w:tcW w:w="0" w:type="auto"/>
            <w:hideMark/>
          </w:tcPr>
          <w:p w14:paraId="128C933F" w14:textId="77777777" w:rsidR="005B1A42" w:rsidRPr="005B1A42" w:rsidRDefault="005B1A42" w:rsidP="00EB1C74">
            <w:pPr>
              <w:spacing w:line="259" w:lineRule="auto"/>
            </w:pPr>
            <w:r w:rsidRPr="005B1A42">
              <w:t>1</w:t>
            </w:r>
          </w:p>
        </w:tc>
        <w:tc>
          <w:tcPr>
            <w:tcW w:w="0" w:type="auto"/>
            <w:hideMark/>
          </w:tcPr>
          <w:p w14:paraId="35F98309" w14:textId="77777777" w:rsidR="005B1A42" w:rsidRPr="005B1A42" w:rsidRDefault="005B1A42" w:rsidP="00EB1C74">
            <w:pPr>
              <w:spacing w:line="259" w:lineRule="auto"/>
            </w:pPr>
          </w:p>
        </w:tc>
        <w:tc>
          <w:tcPr>
            <w:tcW w:w="0" w:type="auto"/>
            <w:hideMark/>
          </w:tcPr>
          <w:p w14:paraId="4024D2D7" w14:textId="77777777" w:rsidR="005B1A42" w:rsidRPr="005B1A42" w:rsidRDefault="005B1A42" w:rsidP="00EB1C74">
            <w:pPr>
              <w:spacing w:line="259" w:lineRule="auto"/>
            </w:pPr>
          </w:p>
        </w:tc>
        <w:tc>
          <w:tcPr>
            <w:tcW w:w="0" w:type="auto"/>
            <w:hideMark/>
          </w:tcPr>
          <w:p w14:paraId="5FB946BD" w14:textId="77777777" w:rsidR="005B1A42" w:rsidRPr="005B1A42" w:rsidRDefault="005B1A42" w:rsidP="00EB1C74">
            <w:pPr>
              <w:spacing w:line="259" w:lineRule="auto"/>
            </w:pPr>
          </w:p>
        </w:tc>
        <w:tc>
          <w:tcPr>
            <w:tcW w:w="0" w:type="auto"/>
            <w:hideMark/>
          </w:tcPr>
          <w:p w14:paraId="61DBA92F" w14:textId="77777777" w:rsidR="005B1A42" w:rsidRPr="005B1A42" w:rsidRDefault="005B1A42" w:rsidP="00EB1C74">
            <w:pPr>
              <w:spacing w:line="259" w:lineRule="auto"/>
            </w:pPr>
          </w:p>
        </w:tc>
        <w:tc>
          <w:tcPr>
            <w:tcW w:w="0" w:type="auto"/>
            <w:hideMark/>
          </w:tcPr>
          <w:p w14:paraId="42F658D3" w14:textId="77777777" w:rsidR="005B1A42" w:rsidRPr="005B1A42" w:rsidRDefault="005B1A42" w:rsidP="00EB1C74">
            <w:pPr>
              <w:spacing w:line="259" w:lineRule="auto"/>
            </w:pPr>
          </w:p>
        </w:tc>
      </w:tr>
      <w:tr w:rsidR="005B1A42" w:rsidRPr="005B1A42" w14:paraId="3EF3E980" w14:textId="77777777" w:rsidTr="005B1A42">
        <w:tc>
          <w:tcPr>
            <w:tcW w:w="0" w:type="auto"/>
            <w:hideMark/>
          </w:tcPr>
          <w:p w14:paraId="2E18A7D8" w14:textId="77777777" w:rsidR="005B1A42" w:rsidRPr="005B1A42" w:rsidRDefault="005B1A42" w:rsidP="00EB1C74">
            <w:pPr>
              <w:spacing w:line="259" w:lineRule="auto"/>
            </w:pPr>
            <w:r w:rsidRPr="005B1A42">
              <w:rPr>
                <w:i/>
                <w:iCs/>
              </w:rPr>
              <w:t>bla</w:t>
            </w:r>
            <w:r w:rsidRPr="005B1A42">
              <w:rPr>
                <w:vertAlign w:val="subscript"/>
              </w:rPr>
              <w:t>CTX-M-1</w:t>
            </w:r>
          </w:p>
        </w:tc>
        <w:tc>
          <w:tcPr>
            <w:tcW w:w="0" w:type="auto"/>
            <w:hideMark/>
          </w:tcPr>
          <w:p w14:paraId="02EBD586" w14:textId="77777777" w:rsidR="005B1A42" w:rsidRPr="005B1A42" w:rsidRDefault="005B1A42" w:rsidP="00EB1C74">
            <w:pPr>
              <w:spacing w:line="259" w:lineRule="auto"/>
            </w:pPr>
            <w:r w:rsidRPr="005B1A42">
              <w:t>0.1732</w:t>
            </w:r>
            <w:r w:rsidRPr="005B1A42">
              <w:br/>
              <w:t>0.1711</w:t>
            </w:r>
          </w:p>
        </w:tc>
        <w:tc>
          <w:tcPr>
            <w:tcW w:w="0" w:type="auto"/>
            <w:hideMark/>
          </w:tcPr>
          <w:p w14:paraId="2C6B372B" w14:textId="77777777" w:rsidR="005B1A42" w:rsidRPr="005B1A42" w:rsidRDefault="005B1A42" w:rsidP="00EB1C74">
            <w:pPr>
              <w:spacing w:line="259" w:lineRule="auto"/>
            </w:pPr>
            <w:r w:rsidRPr="005B1A42">
              <w:rPr>
                <w:b/>
                <w:bCs/>
              </w:rPr>
              <w:t>0.4616</w:t>
            </w:r>
            <w:r w:rsidRPr="005B1A42">
              <w:t> *</w:t>
            </w:r>
            <w:r w:rsidRPr="005B1A42">
              <w:br/>
            </w:r>
            <w:r w:rsidRPr="005B1A42">
              <w:rPr>
                <w:b/>
                <w:bCs/>
              </w:rPr>
              <w:t>0.0001</w:t>
            </w:r>
          </w:p>
        </w:tc>
        <w:tc>
          <w:tcPr>
            <w:tcW w:w="0" w:type="auto"/>
            <w:hideMark/>
          </w:tcPr>
          <w:p w14:paraId="28303D06" w14:textId="77777777" w:rsidR="005B1A42" w:rsidRPr="005B1A42" w:rsidRDefault="005B1A42" w:rsidP="00EB1C74">
            <w:pPr>
              <w:spacing w:line="259" w:lineRule="auto"/>
            </w:pPr>
            <w:r w:rsidRPr="005B1A42">
              <w:rPr>
                <w:b/>
                <w:bCs/>
              </w:rPr>
              <w:t>0.4616</w:t>
            </w:r>
            <w:r w:rsidRPr="005B1A42">
              <w:t> *</w:t>
            </w:r>
            <w:r w:rsidRPr="005B1A42">
              <w:br/>
            </w:r>
            <w:r w:rsidRPr="005B1A42">
              <w:rPr>
                <w:b/>
                <w:bCs/>
              </w:rPr>
              <w:t>0.0001</w:t>
            </w:r>
          </w:p>
        </w:tc>
        <w:tc>
          <w:tcPr>
            <w:tcW w:w="0" w:type="auto"/>
            <w:hideMark/>
          </w:tcPr>
          <w:p w14:paraId="5DA1D5D6" w14:textId="77777777" w:rsidR="005B1A42" w:rsidRPr="005B1A42" w:rsidRDefault="005B1A42" w:rsidP="00EB1C74">
            <w:pPr>
              <w:spacing w:line="259" w:lineRule="auto"/>
            </w:pPr>
            <w:r w:rsidRPr="005B1A42">
              <w:t>0.0066</w:t>
            </w:r>
            <w:r w:rsidRPr="005B1A42">
              <w:br/>
              <w:t>0.9585</w:t>
            </w:r>
          </w:p>
        </w:tc>
        <w:tc>
          <w:tcPr>
            <w:tcW w:w="0" w:type="auto"/>
            <w:hideMark/>
          </w:tcPr>
          <w:p w14:paraId="24955799" w14:textId="77777777" w:rsidR="005B1A42" w:rsidRPr="005B1A42" w:rsidRDefault="005B1A42" w:rsidP="00EB1C74">
            <w:pPr>
              <w:spacing w:line="259" w:lineRule="auto"/>
            </w:pPr>
            <w:r w:rsidRPr="005B1A42">
              <w:rPr>
                <w:b/>
                <w:bCs/>
              </w:rPr>
              <w:t>0.2707</w:t>
            </w:r>
            <w:r w:rsidRPr="005B1A42">
              <w:t> *</w:t>
            </w:r>
            <w:r w:rsidRPr="005B1A42">
              <w:br/>
            </w:r>
            <w:r w:rsidRPr="005B1A42">
              <w:rPr>
                <w:b/>
                <w:bCs/>
              </w:rPr>
              <w:t>0.0305</w:t>
            </w:r>
          </w:p>
        </w:tc>
        <w:tc>
          <w:tcPr>
            <w:tcW w:w="0" w:type="auto"/>
            <w:hideMark/>
          </w:tcPr>
          <w:p w14:paraId="104E4ECB" w14:textId="77777777" w:rsidR="005B1A42" w:rsidRPr="005B1A42" w:rsidRDefault="005B1A42" w:rsidP="00EB1C74">
            <w:pPr>
              <w:spacing w:line="259" w:lineRule="auto"/>
            </w:pPr>
            <w:r w:rsidRPr="005B1A42">
              <w:t>1</w:t>
            </w:r>
          </w:p>
        </w:tc>
        <w:tc>
          <w:tcPr>
            <w:tcW w:w="0" w:type="auto"/>
            <w:hideMark/>
          </w:tcPr>
          <w:p w14:paraId="27317CCB" w14:textId="77777777" w:rsidR="005B1A42" w:rsidRPr="005B1A42" w:rsidRDefault="005B1A42" w:rsidP="00EB1C74">
            <w:pPr>
              <w:spacing w:line="259" w:lineRule="auto"/>
            </w:pPr>
          </w:p>
        </w:tc>
        <w:tc>
          <w:tcPr>
            <w:tcW w:w="0" w:type="auto"/>
            <w:hideMark/>
          </w:tcPr>
          <w:p w14:paraId="308D3051" w14:textId="77777777" w:rsidR="005B1A42" w:rsidRPr="005B1A42" w:rsidRDefault="005B1A42" w:rsidP="00EB1C74">
            <w:pPr>
              <w:spacing w:line="259" w:lineRule="auto"/>
            </w:pPr>
          </w:p>
        </w:tc>
        <w:tc>
          <w:tcPr>
            <w:tcW w:w="0" w:type="auto"/>
            <w:hideMark/>
          </w:tcPr>
          <w:p w14:paraId="33837296" w14:textId="77777777" w:rsidR="005B1A42" w:rsidRPr="005B1A42" w:rsidRDefault="005B1A42" w:rsidP="00EB1C74">
            <w:pPr>
              <w:spacing w:line="259" w:lineRule="auto"/>
            </w:pPr>
          </w:p>
        </w:tc>
        <w:tc>
          <w:tcPr>
            <w:tcW w:w="0" w:type="auto"/>
            <w:hideMark/>
          </w:tcPr>
          <w:p w14:paraId="54CFB231" w14:textId="77777777" w:rsidR="005B1A42" w:rsidRPr="005B1A42" w:rsidRDefault="005B1A42" w:rsidP="00EB1C74">
            <w:pPr>
              <w:spacing w:line="259" w:lineRule="auto"/>
            </w:pPr>
          </w:p>
        </w:tc>
      </w:tr>
      <w:tr w:rsidR="005B1A42" w:rsidRPr="005B1A42" w14:paraId="74B4F330" w14:textId="77777777" w:rsidTr="005B1A42">
        <w:tc>
          <w:tcPr>
            <w:tcW w:w="0" w:type="auto"/>
            <w:hideMark/>
          </w:tcPr>
          <w:p w14:paraId="2E51BC53" w14:textId="77777777" w:rsidR="005B1A42" w:rsidRPr="005B1A42" w:rsidRDefault="005B1A42" w:rsidP="00EB1C74">
            <w:pPr>
              <w:spacing w:line="259" w:lineRule="auto"/>
            </w:pPr>
            <w:r w:rsidRPr="005B1A42">
              <w:rPr>
                <w:i/>
                <w:iCs/>
              </w:rPr>
              <w:t>bla</w:t>
            </w:r>
            <w:r w:rsidRPr="005B1A42">
              <w:rPr>
                <w:vertAlign w:val="subscript"/>
              </w:rPr>
              <w:t>CTX-M-9</w:t>
            </w:r>
          </w:p>
        </w:tc>
        <w:tc>
          <w:tcPr>
            <w:tcW w:w="0" w:type="auto"/>
            <w:hideMark/>
          </w:tcPr>
          <w:p w14:paraId="10B29A6A" w14:textId="77777777" w:rsidR="005B1A42" w:rsidRPr="005B1A42" w:rsidRDefault="005B1A42" w:rsidP="00EB1C74">
            <w:pPr>
              <w:spacing w:line="259" w:lineRule="auto"/>
            </w:pPr>
            <w:r w:rsidRPr="005B1A42">
              <w:rPr>
                <w:b/>
                <w:bCs/>
              </w:rPr>
              <w:t>−0.4326</w:t>
            </w:r>
            <w:r w:rsidRPr="005B1A42">
              <w:t> *</w:t>
            </w:r>
            <w:r w:rsidRPr="005B1A42">
              <w:br/>
            </w:r>
            <w:r w:rsidRPr="005B1A42">
              <w:rPr>
                <w:b/>
                <w:bCs/>
              </w:rPr>
              <w:t>0.0004</w:t>
            </w:r>
          </w:p>
        </w:tc>
        <w:tc>
          <w:tcPr>
            <w:tcW w:w="0" w:type="auto"/>
            <w:hideMark/>
          </w:tcPr>
          <w:p w14:paraId="2EDA9B51" w14:textId="77777777" w:rsidR="005B1A42" w:rsidRPr="005B1A42" w:rsidRDefault="005B1A42" w:rsidP="00EB1C74">
            <w:pPr>
              <w:spacing w:line="259" w:lineRule="auto"/>
            </w:pPr>
            <w:r w:rsidRPr="005B1A42">
              <w:t>0.0954</w:t>
            </w:r>
            <w:r w:rsidRPr="005B1A42">
              <w:br/>
              <w:t>0.4532</w:t>
            </w:r>
          </w:p>
        </w:tc>
        <w:tc>
          <w:tcPr>
            <w:tcW w:w="0" w:type="auto"/>
            <w:hideMark/>
          </w:tcPr>
          <w:p w14:paraId="13853EDB" w14:textId="77777777" w:rsidR="005B1A42" w:rsidRPr="005B1A42" w:rsidRDefault="005B1A42" w:rsidP="00EB1C74">
            <w:pPr>
              <w:spacing w:line="259" w:lineRule="auto"/>
            </w:pPr>
            <w:r w:rsidRPr="005B1A42">
              <w:t>0.0954</w:t>
            </w:r>
            <w:r w:rsidRPr="005B1A42">
              <w:br/>
              <w:t>0.4532</w:t>
            </w:r>
          </w:p>
        </w:tc>
        <w:tc>
          <w:tcPr>
            <w:tcW w:w="0" w:type="auto"/>
            <w:hideMark/>
          </w:tcPr>
          <w:p w14:paraId="79C91585" w14:textId="77777777" w:rsidR="005B1A42" w:rsidRPr="005B1A42" w:rsidRDefault="005B1A42" w:rsidP="00EB1C74">
            <w:pPr>
              <w:spacing w:line="259" w:lineRule="auto"/>
            </w:pPr>
            <w:r w:rsidRPr="005B1A42">
              <w:t>−0.1960</w:t>
            </w:r>
            <w:r w:rsidRPr="005B1A42">
              <w:br/>
              <w:t>0.1205</w:t>
            </w:r>
          </w:p>
        </w:tc>
        <w:tc>
          <w:tcPr>
            <w:tcW w:w="0" w:type="auto"/>
            <w:hideMark/>
          </w:tcPr>
          <w:p w14:paraId="324B97D6" w14:textId="77777777" w:rsidR="005B1A42" w:rsidRPr="005B1A42" w:rsidRDefault="005B1A42" w:rsidP="00EB1C74">
            <w:pPr>
              <w:spacing w:line="259" w:lineRule="auto"/>
            </w:pPr>
            <w:r w:rsidRPr="005B1A42">
              <w:t>0.0593</w:t>
            </w:r>
            <w:r w:rsidRPr="005B1A42">
              <w:br/>
              <w:t>0.6417</w:t>
            </w:r>
          </w:p>
        </w:tc>
        <w:tc>
          <w:tcPr>
            <w:tcW w:w="0" w:type="auto"/>
            <w:hideMark/>
          </w:tcPr>
          <w:p w14:paraId="190CC4C9" w14:textId="77777777" w:rsidR="005B1A42" w:rsidRPr="005B1A42" w:rsidRDefault="005B1A42" w:rsidP="00EB1C74">
            <w:pPr>
              <w:spacing w:line="259" w:lineRule="auto"/>
            </w:pPr>
            <w:r w:rsidRPr="005B1A42">
              <w:t>−0.2343</w:t>
            </w:r>
            <w:r w:rsidRPr="005B1A42">
              <w:br/>
              <w:t>0.0624</w:t>
            </w:r>
          </w:p>
        </w:tc>
        <w:tc>
          <w:tcPr>
            <w:tcW w:w="0" w:type="auto"/>
            <w:hideMark/>
          </w:tcPr>
          <w:p w14:paraId="19E616E8" w14:textId="77777777" w:rsidR="005B1A42" w:rsidRPr="005B1A42" w:rsidRDefault="005B1A42" w:rsidP="00EB1C74">
            <w:pPr>
              <w:spacing w:line="259" w:lineRule="auto"/>
            </w:pPr>
            <w:r w:rsidRPr="005B1A42">
              <w:t>1</w:t>
            </w:r>
          </w:p>
        </w:tc>
        <w:tc>
          <w:tcPr>
            <w:tcW w:w="0" w:type="auto"/>
            <w:hideMark/>
          </w:tcPr>
          <w:p w14:paraId="2B098B7D" w14:textId="77777777" w:rsidR="005B1A42" w:rsidRPr="005B1A42" w:rsidRDefault="005B1A42" w:rsidP="00EB1C74">
            <w:pPr>
              <w:spacing w:line="259" w:lineRule="auto"/>
            </w:pPr>
          </w:p>
        </w:tc>
        <w:tc>
          <w:tcPr>
            <w:tcW w:w="0" w:type="auto"/>
            <w:hideMark/>
          </w:tcPr>
          <w:p w14:paraId="2838FFA5" w14:textId="77777777" w:rsidR="005B1A42" w:rsidRPr="005B1A42" w:rsidRDefault="005B1A42" w:rsidP="00EB1C74">
            <w:pPr>
              <w:spacing w:line="259" w:lineRule="auto"/>
            </w:pPr>
          </w:p>
        </w:tc>
        <w:tc>
          <w:tcPr>
            <w:tcW w:w="0" w:type="auto"/>
            <w:hideMark/>
          </w:tcPr>
          <w:p w14:paraId="2DB4307D" w14:textId="77777777" w:rsidR="005B1A42" w:rsidRPr="005B1A42" w:rsidRDefault="005B1A42" w:rsidP="00EB1C74">
            <w:pPr>
              <w:spacing w:line="259" w:lineRule="auto"/>
            </w:pPr>
          </w:p>
        </w:tc>
      </w:tr>
      <w:tr w:rsidR="005B1A42" w:rsidRPr="005B1A42" w14:paraId="220CEFF7" w14:textId="77777777" w:rsidTr="005B1A42">
        <w:tc>
          <w:tcPr>
            <w:tcW w:w="0" w:type="auto"/>
            <w:hideMark/>
          </w:tcPr>
          <w:p w14:paraId="5CE27917" w14:textId="77777777" w:rsidR="005B1A42" w:rsidRPr="005B1A42" w:rsidRDefault="005B1A42" w:rsidP="00EB1C74">
            <w:pPr>
              <w:spacing w:line="259" w:lineRule="auto"/>
            </w:pPr>
            <w:r w:rsidRPr="005B1A42">
              <w:rPr>
                <w:i/>
                <w:iCs/>
              </w:rPr>
              <w:t>bla</w:t>
            </w:r>
            <w:r w:rsidRPr="005B1A42">
              <w:rPr>
                <w:vertAlign w:val="subscript"/>
              </w:rPr>
              <w:t>OXA</w:t>
            </w:r>
          </w:p>
        </w:tc>
        <w:tc>
          <w:tcPr>
            <w:tcW w:w="0" w:type="auto"/>
            <w:hideMark/>
          </w:tcPr>
          <w:p w14:paraId="774C3C8C" w14:textId="77777777" w:rsidR="005B1A42" w:rsidRPr="005B1A42" w:rsidRDefault="005B1A42" w:rsidP="00EB1C74">
            <w:pPr>
              <w:spacing w:line="259" w:lineRule="auto"/>
            </w:pPr>
            <w:r w:rsidRPr="005B1A42">
              <w:t>0.1508</w:t>
            </w:r>
            <w:r w:rsidRPr="005B1A42">
              <w:br/>
              <w:t>0.2342</w:t>
            </w:r>
          </w:p>
        </w:tc>
        <w:tc>
          <w:tcPr>
            <w:tcW w:w="0" w:type="auto"/>
            <w:hideMark/>
          </w:tcPr>
          <w:p w14:paraId="42BBB4DB" w14:textId="77777777" w:rsidR="005B1A42" w:rsidRPr="005B1A42" w:rsidRDefault="005B1A42" w:rsidP="00EB1C74">
            <w:pPr>
              <w:spacing w:line="259" w:lineRule="auto"/>
            </w:pPr>
            <w:r w:rsidRPr="005B1A42">
              <w:t>0.0340</w:t>
            </w:r>
            <w:r w:rsidRPr="005B1A42">
              <w:br/>
              <w:t>0.7897</w:t>
            </w:r>
          </w:p>
        </w:tc>
        <w:tc>
          <w:tcPr>
            <w:tcW w:w="0" w:type="auto"/>
            <w:hideMark/>
          </w:tcPr>
          <w:p w14:paraId="361601E9" w14:textId="77777777" w:rsidR="005B1A42" w:rsidRPr="005B1A42" w:rsidRDefault="005B1A42" w:rsidP="00EB1C74">
            <w:pPr>
              <w:spacing w:line="259" w:lineRule="auto"/>
            </w:pPr>
            <w:r w:rsidRPr="005B1A42">
              <w:t>0.0340</w:t>
            </w:r>
            <w:r w:rsidRPr="005B1A42">
              <w:br/>
              <w:t>0.7897</w:t>
            </w:r>
          </w:p>
        </w:tc>
        <w:tc>
          <w:tcPr>
            <w:tcW w:w="0" w:type="auto"/>
            <w:hideMark/>
          </w:tcPr>
          <w:p w14:paraId="05542502" w14:textId="77777777" w:rsidR="005B1A42" w:rsidRPr="005B1A42" w:rsidRDefault="005B1A42" w:rsidP="00EB1C74">
            <w:pPr>
              <w:spacing w:line="259" w:lineRule="auto"/>
            </w:pPr>
            <w:r w:rsidRPr="005B1A42">
              <w:t>−0.0076</w:t>
            </w:r>
            <w:r w:rsidRPr="005B1A42">
              <w:br/>
              <w:t>0.9542</w:t>
            </w:r>
          </w:p>
        </w:tc>
        <w:tc>
          <w:tcPr>
            <w:tcW w:w="0" w:type="auto"/>
            <w:hideMark/>
          </w:tcPr>
          <w:p w14:paraId="081C7DA5" w14:textId="77777777" w:rsidR="005B1A42" w:rsidRPr="005B1A42" w:rsidRDefault="005B1A42" w:rsidP="00EB1C74">
            <w:pPr>
              <w:spacing w:line="259" w:lineRule="auto"/>
            </w:pPr>
            <w:r w:rsidRPr="005B1A42">
              <w:t>−0.1396</w:t>
            </w:r>
            <w:r w:rsidRPr="005B1A42">
              <w:br/>
              <w:t>0.2713</w:t>
            </w:r>
          </w:p>
        </w:tc>
        <w:tc>
          <w:tcPr>
            <w:tcW w:w="0" w:type="auto"/>
            <w:hideMark/>
          </w:tcPr>
          <w:p w14:paraId="480CD418" w14:textId="77777777" w:rsidR="005B1A42" w:rsidRPr="005B1A42" w:rsidRDefault="005B1A42" w:rsidP="00EB1C74">
            <w:pPr>
              <w:spacing w:line="259" w:lineRule="auto"/>
            </w:pPr>
            <w:r w:rsidRPr="005B1A42">
              <w:t>−0.0170</w:t>
            </w:r>
            <w:r w:rsidRPr="005B1A42">
              <w:br/>
              <w:t>0.8940</w:t>
            </w:r>
          </w:p>
        </w:tc>
        <w:tc>
          <w:tcPr>
            <w:tcW w:w="0" w:type="auto"/>
            <w:hideMark/>
          </w:tcPr>
          <w:p w14:paraId="2F317C8E" w14:textId="77777777" w:rsidR="005B1A42" w:rsidRPr="005B1A42" w:rsidRDefault="005B1A42" w:rsidP="00EB1C74">
            <w:pPr>
              <w:spacing w:line="259" w:lineRule="auto"/>
            </w:pPr>
            <w:r w:rsidRPr="005B1A42">
              <w:t>−0.1309</w:t>
            </w:r>
            <w:r w:rsidRPr="005B1A42">
              <w:br/>
              <w:t>0.3024</w:t>
            </w:r>
          </w:p>
        </w:tc>
        <w:tc>
          <w:tcPr>
            <w:tcW w:w="0" w:type="auto"/>
            <w:hideMark/>
          </w:tcPr>
          <w:p w14:paraId="18841347" w14:textId="77777777" w:rsidR="005B1A42" w:rsidRPr="005B1A42" w:rsidRDefault="005B1A42" w:rsidP="00EB1C74">
            <w:pPr>
              <w:spacing w:line="259" w:lineRule="auto"/>
            </w:pPr>
            <w:r w:rsidRPr="005B1A42">
              <w:t>1</w:t>
            </w:r>
          </w:p>
        </w:tc>
        <w:tc>
          <w:tcPr>
            <w:tcW w:w="0" w:type="auto"/>
            <w:hideMark/>
          </w:tcPr>
          <w:p w14:paraId="1DE44D68" w14:textId="77777777" w:rsidR="005B1A42" w:rsidRPr="005B1A42" w:rsidRDefault="005B1A42" w:rsidP="00EB1C74">
            <w:pPr>
              <w:spacing w:line="259" w:lineRule="auto"/>
            </w:pPr>
          </w:p>
        </w:tc>
        <w:tc>
          <w:tcPr>
            <w:tcW w:w="0" w:type="auto"/>
            <w:hideMark/>
          </w:tcPr>
          <w:p w14:paraId="5A7A549D" w14:textId="77777777" w:rsidR="005B1A42" w:rsidRPr="005B1A42" w:rsidRDefault="005B1A42" w:rsidP="00EB1C74">
            <w:pPr>
              <w:spacing w:line="259" w:lineRule="auto"/>
            </w:pPr>
          </w:p>
        </w:tc>
      </w:tr>
      <w:tr w:rsidR="005B1A42" w:rsidRPr="005B1A42" w14:paraId="5BA4A024" w14:textId="77777777" w:rsidTr="005B1A42">
        <w:tc>
          <w:tcPr>
            <w:tcW w:w="0" w:type="auto"/>
            <w:hideMark/>
          </w:tcPr>
          <w:p w14:paraId="655EA3E8" w14:textId="77777777" w:rsidR="005B1A42" w:rsidRPr="005B1A42" w:rsidRDefault="005B1A42" w:rsidP="00EB1C74">
            <w:pPr>
              <w:spacing w:line="259" w:lineRule="auto"/>
            </w:pPr>
            <w:r w:rsidRPr="005B1A42">
              <w:rPr>
                <w:i/>
                <w:iCs/>
              </w:rPr>
              <w:t>bla</w:t>
            </w:r>
            <w:r w:rsidRPr="005B1A42">
              <w:rPr>
                <w:vertAlign w:val="subscript"/>
              </w:rPr>
              <w:t>TEM</w:t>
            </w:r>
          </w:p>
        </w:tc>
        <w:tc>
          <w:tcPr>
            <w:tcW w:w="0" w:type="auto"/>
            <w:hideMark/>
          </w:tcPr>
          <w:p w14:paraId="7AC2D890" w14:textId="77777777" w:rsidR="005B1A42" w:rsidRPr="005B1A42" w:rsidRDefault="005B1A42" w:rsidP="00EB1C74">
            <w:pPr>
              <w:spacing w:line="259" w:lineRule="auto"/>
            </w:pPr>
            <w:r w:rsidRPr="005B1A42">
              <w:t>−0.2093</w:t>
            </w:r>
            <w:r w:rsidRPr="005B1A42">
              <w:br/>
              <w:t>0.0969</w:t>
            </w:r>
          </w:p>
        </w:tc>
        <w:tc>
          <w:tcPr>
            <w:tcW w:w="0" w:type="auto"/>
            <w:hideMark/>
          </w:tcPr>
          <w:p w14:paraId="1FFB11FD" w14:textId="77777777" w:rsidR="005B1A42" w:rsidRPr="005B1A42" w:rsidRDefault="005B1A42" w:rsidP="00EB1C74">
            <w:pPr>
              <w:spacing w:line="259" w:lineRule="auto"/>
            </w:pPr>
            <w:r w:rsidRPr="005B1A42">
              <w:t>0.0340</w:t>
            </w:r>
            <w:r w:rsidRPr="005B1A42">
              <w:br/>
              <w:t>0.7897</w:t>
            </w:r>
          </w:p>
        </w:tc>
        <w:tc>
          <w:tcPr>
            <w:tcW w:w="0" w:type="auto"/>
            <w:hideMark/>
          </w:tcPr>
          <w:p w14:paraId="7DEDCC2E" w14:textId="77777777" w:rsidR="005B1A42" w:rsidRPr="005B1A42" w:rsidRDefault="005B1A42" w:rsidP="00EB1C74">
            <w:pPr>
              <w:spacing w:line="259" w:lineRule="auto"/>
            </w:pPr>
            <w:r w:rsidRPr="005B1A42">
              <w:t>0.0340</w:t>
            </w:r>
            <w:r w:rsidRPr="005B1A42">
              <w:br/>
              <w:t>0.7897</w:t>
            </w:r>
          </w:p>
        </w:tc>
        <w:tc>
          <w:tcPr>
            <w:tcW w:w="0" w:type="auto"/>
            <w:hideMark/>
          </w:tcPr>
          <w:p w14:paraId="26BF0689" w14:textId="77777777" w:rsidR="005B1A42" w:rsidRPr="005B1A42" w:rsidRDefault="005B1A42" w:rsidP="00EB1C74">
            <w:pPr>
              <w:spacing w:line="259" w:lineRule="auto"/>
            </w:pPr>
            <w:r w:rsidRPr="005B1A42">
              <w:rPr>
                <w:b/>
                <w:bCs/>
              </w:rPr>
              <w:t>−0.2886</w:t>
            </w:r>
            <w:r w:rsidRPr="005B1A42">
              <w:t> *</w:t>
            </w:r>
            <w:r w:rsidRPr="005B1A42">
              <w:br/>
            </w:r>
            <w:r w:rsidRPr="005B1A42">
              <w:rPr>
                <w:b/>
                <w:bCs/>
              </w:rPr>
              <w:t>0.0207</w:t>
            </w:r>
          </w:p>
        </w:tc>
        <w:tc>
          <w:tcPr>
            <w:tcW w:w="0" w:type="auto"/>
            <w:hideMark/>
          </w:tcPr>
          <w:p w14:paraId="096A7922" w14:textId="77777777" w:rsidR="005B1A42" w:rsidRPr="005B1A42" w:rsidRDefault="005B1A42" w:rsidP="00EB1C74">
            <w:pPr>
              <w:spacing w:line="259" w:lineRule="auto"/>
            </w:pPr>
            <w:r w:rsidRPr="005B1A42">
              <w:t>0.1440</w:t>
            </w:r>
            <w:r w:rsidRPr="005B1A42">
              <w:br/>
              <w:t>0.2563</w:t>
            </w:r>
          </w:p>
        </w:tc>
        <w:tc>
          <w:tcPr>
            <w:tcW w:w="0" w:type="auto"/>
            <w:hideMark/>
          </w:tcPr>
          <w:p w14:paraId="54B5CC24" w14:textId="77777777" w:rsidR="005B1A42" w:rsidRPr="005B1A42" w:rsidRDefault="005B1A42" w:rsidP="00EB1C74">
            <w:pPr>
              <w:spacing w:line="259" w:lineRule="auto"/>
            </w:pPr>
            <w:r w:rsidRPr="005B1A42">
              <w:t>0.0736</w:t>
            </w:r>
            <w:r w:rsidRPr="005B1A42">
              <w:br/>
              <w:t>0.5630</w:t>
            </w:r>
          </w:p>
        </w:tc>
        <w:tc>
          <w:tcPr>
            <w:tcW w:w="0" w:type="auto"/>
            <w:hideMark/>
          </w:tcPr>
          <w:p w14:paraId="5D656328" w14:textId="77777777" w:rsidR="005B1A42" w:rsidRPr="005B1A42" w:rsidRDefault="005B1A42" w:rsidP="00EB1C74">
            <w:pPr>
              <w:spacing w:line="259" w:lineRule="auto"/>
            </w:pPr>
            <w:r w:rsidRPr="005B1A42">
              <w:t>0.1614</w:t>
            </w:r>
            <w:r w:rsidRPr="005B1A42">
              <w:br/>
              <w:t>0.2027</w:t>
            </w:r>
          </w:p>
        </w:tc>
        <w:tc>
          <w:tcPr>
            <w:tcW w:w="0" w:type="auto"/>
            <w:hideMark/>
          </w:tcPr>
          <w:p w14:paraId="1599ECD2" w14:textId="77777777" w:rsidR="005B1A42" w:rsidRPr="005B1A42" w:rsidRDefault="005B1A42" w:rsidP="00EB1C74">
            <w:pPr>
              <w:spacing w:line="259" w:lineRule="auto"/>
            </w:pPr>
            <w:r w:rsidRPr="005B1A42">
              <w:t>−0.2015</w:t>
            </w:r>
            <w:r w:rsidRPr="005B1A42">
              <w:br/>
              <w:t>0.1103</w:t>
            </w:r>
          </w:p>
        </w:tc>
        <w:tc>
          <w:tcPr>
            <w:tcW w:w="0" w:type="auto"/>
            <w:hideMark/>
          </w:tcPr>
          <w:p w14:paraId="4D1EEE5C" w14:textId="77777777" w:rsidR="005B1A42" w:rsidRPr="005B1A42" w:rsidRDefault="005B1A42" w:rsidP="00EB1C74">
            <w:pPr>
              <w:spacing w:line="259" w:lineRule="auto"/>
            </w:pPr>
            <w:r w:rsidRPr="005B1A42">
              <w:t>1</w:t>
            </w:r>
          </w:p>
        </w:tc>
        <w:tc>
          <w:tcPr>
            <w:tcW w:w="0" w:type="auto"/>
            <w:hideMark/>
          </w:tcPr>
          <w:p w14:paraId="36AB107F" w14:textId="77777777" w:rsidR="005B1A42" w:rsidRPr="005B1A42" w:rsidRDefault="005B1A42" w:rsidP="00EB1C74">
            <w:pPr>
              <w:spacing w:line="259" w:lineRule="auto"/>
            </w:pPr>
          </w:p>
        </w:tc>
      </w:tr>
      <w:tr w:rsidR="005B1A42" w:rsidRPr="005B1A42" w14:paraId="482263F1" w14:textId="77777777" w:rsidTr="005B1A42">
        <w:tc>
          <w:tcPr>
            <w:tcW w:w="0" w:type="auto"/>
            <w:hideMark/>
          </w:tcPr>
          <w:p w14:paraId="55A07445" w14:textId="77777777" w:rsidR="005B1A42" w:rsidRPr="005B1A42" w:rsidRDefault="005B1A42" w:rsidP="00EB1C74">
            <w:pPr>
              <w:spacing w:line="259" w:lineRule="auto"/>
            </w:pPr>
            <w:r w:rsidRPr="005B1A42">
              <w:rPr>
                <w:i/>
                <w:iCs/>
              </w:rPr>
              <w:t>bla</w:t>
            </w:r>
            <w:r w:rsidRPr="005B1A42">
              <w:rPr>
                <w:vertAlign w:val="subscript"/>
              </w:rPr>
              <w:t>KPC</w:t>
            </w:r>
          </w:p>
        </w:tc>
        <w:tc>
          <w:tcPr>
            <w:tcW w:w="0" w:type="auto"/>
            <w:hideMark/>
          </w:tcPr>
          <w:p w14:paraId="07996A30" w14:textId="77777777" w:rsidR="005B1A42" w:rsidRPr="005B1A42" w:rsidRDefault="005B1A42" w:rsidP="00EB1C74">
            <w:pPr>
              <w:spacing w:line="259" w:lineRule="auto"/>
            </w:pPr>
            <w:r w:rsidRPr="005B1A42">
              <w:rPr>
                <w:b/>
                <w:bCs/>
              </w:rPr>
              <w:t>0.3346</w:t>
            </w:r>
            <w:r w:rsidRPr="005B1A42">
              <w:t> *</w:t>
            </w:r>
            <w:r w:rsidRPr="005B1A42">
              <w:br/>
            </w:r>
            <w:r w:rsidRPr="005B1A42">
              <w:rPr>
                <w:b/>
                <w:bCs/>
              </w:rPr>
              <w:t>0.0069</w:t>
            </w:r>
          </w:p>
        </w:tc>
        <w:tc>
          <w:tcPr>
            <w:tcW w:w="0" w:type="auto"/>
            <w:hideMark/>
          </w:tcPr>
          <w:p w14:paraId="238B753A" w14:textId="77777777" w:rsidR="005B1A42" w:rsidRPr="005B1A42" w:rsidRDefault="005B1A42" w:rsidP="00EB1C74">
            <w:pPr>
              <w:spacing w:line="259" w:lineRule="auto"/>
            </w:pPr>
            <w:r w:rsidRPr="005B1A42">
              <w:t>0.0897</w:t>
            </w:r>
            <w:r w:rsidRPr="005B1A42">
              <w:br/>
              <w:t>0.4808</w:t>
            </w:r>
          </w:p>
        </w:tc>
        <w:tc>
          <w:tcPr>
            <w:tcW w:w="0" w:type="auto"/>
            <w:hideMark/>
          </w:tcPr>
          <w:p w14:paraId="381CF7FB" w14:textId="77777777" w:rsidR="005B1A42" w:rsidRPr="005B1A42" w:rsidRDefault="005B1A42" w:rsidP="00EB1C74">
            <w:pPr>
              <w:spacing w:line="259" w:lineRule="auto"/>
            </w:pPr>
            <w:r w:rsidRPr="005B1A42">
              <w:t>0.0897</w:t>
            </w:r>
            <w:r w:rsidRPr="005B1A42">
              <w:br/>
              <w:t>0.4808</w:t>
            </w:r>
          </w:p>
        </w:tc>
        <w:tc>
          <w:tcPr>
            <w:tcW w:w="0" w:type="auto"/>
            <w:hideMark/>
          </w:tcPr>
          <w:p w14:paraId="4A621DB7" w14:textId="77777777" w:rsidR="005B1A42" w:rsidRPr="005B1A42" w:rsidRDefault="005B1A42" w:rsidP="00EB1C74">
            <w:pPr>
              <w:spacing w:line="259" w:lineRule="auto"/>
            </w:pPr>
            <w:r w:rsidRPr="005B1A42">
              <w:rPr>
                <w:b/>
                <w:bCs/>
              </w:rPr>
              <w:t>0.6497</w:t>
            </w:r>
            <w:r w:rsidRPr="005B1A42">
              <w:t> *</w:t>
            </w:r>
            <w:r w:rsidRPr="005B1A42">
              <w:br/>
            </w:r>
            <w:r w:rsidRPr="005B1A42">
              <w:rPr>
                <w:b/>
                <w:bCs/>
              </w:rPr>
              <w:t>0.0000</w:t>
            </w:r>
          </w:p>
        </w:tc>
        <w:tc>
          <w:tcPr>
            <w:tcW w:w="0" w:type="auto"/>
            <w:hideMark/>
          </w:tcPr>
          <w:p w14:paraId="311AE4E6" w14:textId="77777777" w:rsidR="005B1A42" w:rsidRPr="005B1A42" w:rsidRDefault="005B1A42" w:rsidP="00EB1C74">
            <w:pPr>
              <w:spacing w:line="259" w:lineRule="auto"/>
            </w:pPr>
            <w:r w:rsidRPr="005B1A42">
              <w:rPr>
                <w:b/>
                <w:bCs/>
              </w:rPr>
              <w:t>−0.2505</w:t>
            </w:r>
            <w:r w:rsidRPr="005B1A42">
              <w:t> *</w:t>
            </w:r>
            <w:r w:rsidRPr="005B1A42">
              <w:br/>
            </w:r>
            <w:r w:rsidRPr="005B1A42">
              <w:rPr>
                <w:b/>
                <w:bCs/>
              </w:rPr>
              <w:t>0.0459</w:t>
            </w:r>
          </w:p>
        </w:tc>
        <w:tc>
          <w:tcPr>
            <w:tcW w:w="0" w:type="auto"/>
            <w:hideMark/>
          </w:tcPr>
          <w:p w14:paraId="6FCC2936" w14:textId="77777777" w:rsidR="005B1A42" w:rsidRPr="005B1A42" w:rsidRDefault="005B1A42" w:rsidP="00EB1C74">
            <w:pPr>
              <w:spacing w:line="259" w:lineRule="auto"/>
            </w:pPr>
            <w:r w:rsidRPr="005B1A42">
              <w:t>0.1943</w:t>
            </w:r>
            <w:r w:rsidRPr="005B1A42">
              <w:br/>
              <w:t>0.1239</w:t>
            </w:r>
          </w:p>
        </w:tc>
        <w:tc>
          <w:tcPr>
            <w:tcW w:w="0" w:type="auto"/>
            <w:hideMark/>
          </w:tcPr>
          <w:p w14:paraId="0655FEC5" w14:textId="77777777" w:rsidR="005B1A42" w:rsidRPr="005B1A42" w:rsidRDefault="005B1A42" w:rsidP="00EB1C74">
            <w:pPr>
              <w:spacing w:line="259" w:lineRule="auto"/>
            </w:pPr>
            <w:r w:rsidRPr="005B1A42">
              <w:t>−0.1741</w:t>
            </w:r>
            <w:r w:rsidRPr="005B1A42">
              <w:br/>
              <w:t>0.1689</w:t>
            </w:r>
          </w:p>
        </w:tc>
        <w:tc>
          <w:tcPr>
            <w:tcW w:w="0" w:type="auto"/>
            <w:hideMark/>
          </w:tcPr>
          <w:p w14:paraId="2C1B92AD" w14:textId="77777777" w:rsidR="005B1A42" w:rsidRPr="005B1A42" w:rsidRDefault="005B1A42" w:rsidP="00EB1C74">
            <w:pPr>
              <w:spacing w:line="259" w:lineRule="auto"/>
            </w:pPr>
            <w:r w:rsidRPr="005B1A42">
              <w:t>0.1415</w:t>
            </w:r>
            <w:r w:rsidRPr="005B1A42">
              <w:br/>
              <w:t>0.2647</w:t>
            </w:r>
          </w:p>
        </w:tc>
        <w:tc>
          <w:tcPr>
            <w:tcW w:w="0" w:type="auto"/>
            <w:hideMark/>
          </w:tcPr>
          <w:p w14:paraId="38D6B8C9" w14:textId="77777777" w:rsidR="005B1A42" w:rsidRPr="005B1A42" w:rsidRDefault="005B1A42" w:rsidP="00EB1C74">
            <w:pPr>
              <w:spacing w:line="259" w:lineRule="auto"/>
            </w:pPr>
            <w:r w:rsidRPr="005B1A42">
              <w:rPr>
                <w:b/>
                <w:bCs/>
              </w:rPr>
              <w:t>−0.3673</w:t>
            </w:r>
            <w:r w:rsidRPr="005B1A42">
              <w:t> *</w:t>
            </w:r>
            <w:r w:rsidRPr="005B1A42">
              <w:br/>
            </w:r>
            <w:r w:rsidRPr="005B1A42">
              <w:rPr>
                <w:b/>
                <w:bCs/>
              </w:rPr>
              <w:t>0.0028</w:t>
            </w:r>
          </w:p>
        </w:tc>
        <w:tc>
          <w:tcPr>
            <w:tcW w:w="0" w:type="auto"/>
            <w:hideMark/>
          </w:tcPr>
          <w:p w14:paraId="207BCADE" w14:textId="77777777" w:rsidR="005B1A42" w:rsidRPr="005B1A42" w:rsidRDefault="005B1A42" w:rsidP="00EB1C74">
            <w:pPr>
              <w:spacing w:line="259" w:lineRule="auto"/>
            </w:pPr>
            <w:r w:rsidRPr="005B1A42">
              <w:t>1</w:t>
            </w:r>
          </w:p>
        </w:tc>
      </w:tr>
    </w:tbl>
    <w:p w14:paraId="6A60DE5A" w14:textId="77777777" w:rsidR="005B1A42" w:rsidRPr="005B1A42" w:rsidRDefault="005B1A42" w:rsidP="005B1A42">
      <w:pPr>
        <w:pStyle w:val="NoSpacing"/>
      </w:pPr>
      <w:r w:rsidRPr="005B1A42">
        <w:t>Data from antibiotic susceptibility patterns against third-generation cephalosporins and carbapenems, as well as beta-lactamases, from all isolates were analyzed using Pearson’s correlation coefficients. The top value represents the correlation coefficient while the bottom number indicates the </w:t>
      </w:r>
      <w:r w:rsidRPr="005B1A42">
        <w:rPr>
          <w:i/>
          <w:iCs/>
        </w:rPr>
        <w:t>p</w:t>
      </w:r>
      <w:r w:rsidRPr="005B1A42">
        <w:t>-value. Values with statistically significant differences are in bold with an asterisk (*). ESBL: extended spectrum beta-lactamase.</w:t>
      </w:r>
    </w:p>
    <w:p w14:paraId="37E2A63E" w14:textId="34F22B88" w:rsidR="00437F2B" w:rsidRPr="00437F2B" w:rsidRDefault="00437F2B" w:rsidP="00437F2B"/>
    <w:p w14:paraId="21260E51" w14:textId="77777777" w:rsidR="00D475BD" w:rsidRDefault="00D475BD" w:rsidP="00437F2B">
      <w:pPr>
        <w:sectPr w:rsidR="00D475BD" w:rsidSect="00EB1C74">
          <w:pgSz w:w="15840" w:h="12240" w:orient="landscape"/>
          <w:pgMar w:top="1080" w:right="1080" w:bottom="1080" w:left="1080" w:header="720" w:footer="720" w:gutter="0"/>
          <w:cols w:space="720"/>
          <w:docGrid w:linePitch="360"/>
        </w:sectPr>
      </w:pPr>
    </w:p>
    <w:p w14:paraId="0D107776" w14:textId="49036746" w:rsidR="00437F2B" w:rsidRPr="00437F2B" w:rsidRDefault="00437F2B" w:rsidP="00437F2B">
      <w:r w:rsidRPr="00437F2B">
        <w:t>When assessing the risk of ARGs within environmental bacterial populations, it is important to assess if the ARGs encoding resistance against currently used antibiotics, especially last-resort antibiotics, are found on mobile genetic elements [</w:t>
      </w:r>
      <w:r w:rsidRPr="00C90A22">
        <w:rPr>
          <w:b/>
          <w:bCs/>
        </w:rPr>
        <w:t>47</w:t>
      </w:r>
      <w:r w:rsidRPr="00437F2B">
        <w:t>]. In our study, we have identified plasmid-mediated resistance to third-generation cephalosporins (</w:t>
      </w:r>
      <w:r w:rsidRPr="00C90A22">
        <w:rPr>
          <w:b/>
          <w:bCs/>
        </w:rPr>
        <w:t>Supplementary Table S4</w:t>
      </w:r>
      <w:r w:rsidRPr="00437F2B">
        <w:t>) from WW sources. Additionally, class 1 integron-integrase gene (</w:t>
      </w:r>
      <w:r w:rsidRPr="00437F2B">
        <w:rPr>
          <w:i/>
          <w:iCs/>
        </w:rPr>
        <w:t>int1</w:t>
      </w:r>
      <w:r w:rsidRPr="00437F2B">
        <w:t>) was found among 65% of all CTX-resistant populations with similar levels amongst clinical and WW populations (</w:t>
      </w:r>
      <w:r w:rsidRPr="00C90A22">
        <w:rPr>
          <w:b/>
          <w:bCs/>
        </w:rPr>
        <w:t>Table 1</w:t>
      </w:r>
      <w:r w:rsidRPr="00437F2B">
        <w:t>: 64.4% and 64.2% respectively). Our findings agree with others who identify </w:t>
      </w:r>
      <w:r w:rsidRPr="00437F2B">
        <w:rPr>
          <w:i/>
          <w:iCs/>
        </w:rPr>
        <w:t>int1</w:t>
      </w:r>
      <w:r w:rsidRPr="00437F2B">
        <w:t> commonly throughout WW treatment process [</w:t>
      </w:r>
      <w:r w:rsidRPr="00C90A22">
        <w:rPr>
          <w:b/>
          <w:bCs/>
        </w:rPr>
        <w:t>48</w:t>
      </w:r>
      <w:r w:rsidRPr="00437F2B">
        <w:t>], as well as harboring gene cassettes encoding ARGs [</w:t>
      </w:r>
      <w:r w:rsidRPr="00C90A22">
        <w:rPr>
          <w:b/>
          <w:bCs/>
        </w:rPr>
        <w:t>19</w:t>
      </w:r>
      <w:r w:rsidRPr="00437F2B">
        <w:t>], thus supporting its use as an indicator of arthropogenic pollution [</w:t>
      </w:r>
      <w:r w:rsidRPr="00C90A22">
        <w:rPr>
          <w:b/>
          <w:bCs/>
        </w:rPr>
        <w:t>49</w:t>
      </w:r>
      <w:r w:rsidRPr="00437F2B">
        <w:t>]. Widespread dissemination of </w:t>
      </w:r>
      <w:r w:rsidRPr="00437F2B">
        <w:rPr>
          <w:i/>
          <w:iCs/>
        </w:rPr>
        <w:t>int1</w:t>
      </w:r>
      <w:r w:rsidRPr="00437F2B">
        <w:t> among diverse bacterial populations within mobile genetic elements, such as plasmids and transposons, supports a strong association of their presence with the rapid evolution of antibiotic resistance [</w:t>
      </w:r>
      <w:r w:rsidRPr="00C90A22">
        <w:rPr>
          <w:b/>
          <w:bCs/>
        </w:rPr>
        <w:t>49</w:t>
      </w:r>
      <w:r w:rsidRPr="00437F2B">
        <w:t>].</w:t>
      </w:r>
    </w:p>
    <w:p w14:paraId="4BC3A2AA" w14:textId="6EBD848A" w:rsidR="00437F2B" w:rsidRPr="00437F2B" w:rsidRDefault="00437F2B" w:rsidP="00437F2B">
      <w:r w:rsidRPr="00437F2B">
        <w:t>With carbapenems traditionally used to treat ESBL-producing Enterobacteriaceae infections, the evolution of carbapenemases pose a direct threat to therapeutic options. Enterobacteriaceae-produced carbapenemases are primarily grouped into Ambler class A (</w:t>
      </w:r>
      <w:r w:rsidRPr="00437F2B">
        <w:rPr>
          <w:i/>
          <w:iCs/>
        </w:rPr>
        <w:t>Klebsiella pneumoniae</w:t>
      </w:r>
      <w:r w:rsidRPr="00437F2B">
        <w:t> carbapenemase (KPC) and GES), class B (metallo-β-lactamases (MBL) like NDM, VIM, and IMP), or class D (OXA-48-like enzymes) [</w:t>
      </w:r>
      <w:r w:rsidRPr="00C90A22">
        <w:rPr>
          <w:b/>
          <w:bCs/>
        </w:rPr>
        <w:t>50</w:t>
      </w:r>
      <w:r w:rsidRPr="00437F2B">
        <w:t>]. Of these, KPC-producers are the most endemic throughout the Americas, parts of Europe, and China, while spreading globally [</w:t>
      </w:r>
      <w:r w:rsidRPr="00C90A22">
        <w:rPr>
          <w:b/>
          <w:bCs/>
        </w:rPr>
        <w:t>51</w:t>
      </w:r>
      <w:r w:rsidRPr="00437F2B">
        <w:t>]. Amongst our cefotaxime-resistant </w:t>
      </w:r>
      <w:r w:rsidRPr="00437F2B">
        <w:rPr>
          <w:i/>
          <w:iCs/>
        </w:rPr>
        <w:t>E. coli</w:t>
      </w:r>
      <w:r w:rsidRPr="00437F2B">
        <w:t> populations, hospital WW was the only source that carried </w:t>
      </w:r>
      <w:r w:rsidRPr="00437F2B">
        <w:rPr>
          <w:i/>
          <w:iCs/>
        </w:rPr>
        <w:t>bla</w:t>
      </w:r>
      <w:r w:rsidRPr="00437F2B">
        <w:rPr>
          <w:vertAlign w:val="subscript"/>
        </w:rPr>
        <w:t>KPC</w:t>
      </w:r>
      <w:r w:rsidRPr="00437F2B">
        <w:t> (</w:t>
      </w:r>
      <w:r w:rsidRPr="00C90A22">
        <w:rPr>
          <w:b/>
          <w:bCs/>
        </w:rPr>
        <w:t>Table 1</w:t>
      </w:r>
      <w:r w:rsidRPr="00437F2B">
        <w:t>: 41%, </w:t>
      </w:r>
      <w:r w:rsidRPr="00437F2B">
        <w:rPr>
          <w:i/>
          <w:iCs/>
        </w:rPr>
        <w:t>p</w:t>
      </w:r>
      <w:r w:rsidRPr="00437F2B">
        <w:t> &lt; 0.001). The presence of </w:t>
      </w:r>
      <w:r w:rsidRPr="00437F2B">
        <w:rPr>
          <w:i/>
          <w:iCs/>
        </w:rPr>
        <w:t>bla</w:t>
      </w:r>
      <w:r w:rsidRPr="00437F2B">
        <w:rPr>
          <w:vertAlign w:val="subscript"/>
        </w:rPr>
        <w:t>KPC</w:t>
      </w:r>
      <w:r w:rsidRPr="00437F2B">
        <w:t> was significantly correlated with carbapenem and ceftazidime resistance and the absence of </w:t>
      </w:r>
      <w:r w:rsidRPr="00437F2B">
        <w:rPr>
          <w:i/>
          <w:iCs/>
        </w:rPr>
        <w:t>bla</w:t>
      </w:r>
      <w:r w:rsidRPr="00437F2B">
        <w:rPr>
          <w:vertAlign w:val="subscript"/>
        </w:rPr>
        <w:t>TEM</w:t>
      </w:r>
      <w:r w:rsidRPr="00437F2B">
        <w:t> (</w:t>
      </w:r>
      <w:r w:rsidRPr="00C90A22">
        <w:rPr>
          <w:b/>
          <w:bCs/>
        </w:rPr>
        <w:t>Table 2</w:t>
      </w:r>
      <w:r w:rsidRPr="00437F2B">
        <w:t>, </w:t>
      </w:r>
      <w:r w:rsidRPr="00437F2B">
        <w:rPr>
          <w:i/>
          <w:iCs/>
        </w:rPr>
        <w:t>p</w:t>
      </w:r>
      <w:r w:rsidRPr="00437F2B">
        <w:t> &lt; 0.01). Other research has found that the highest prevalence of clinical </w:t>
      </w:r>
      <w:r w:rsidRPr="00437F2B">
        <w:rPr>
          <w:i/>
          <w:iCs/>
        </w:rPr>
        <w:t>bla</w:t>
      </w:r>
      <w:r w:rsidRPr="00437F2B">
        <w:rPr>
          <w:vertAlign w:val="subscript"/>
        </w:rPr>
        <w:t>KPC</w:t>
      </w:r>
      <w:r w:rsidRPr="00437F2B">
        <w:t> appears within inpatient facilities, peaking in long-term acute care hospitals [</w:t>
      </w:r>
      <w:r w:rsidRPr="00C90A22">
        <w:rPr>
          <w:b/>
          <w:bCs/>
        </w:rPr>
        <w:t>51</w:t>
      </w:r>
      <w:r w:rsidRPr="00437F2B">
        <w:t>].</w:t>
      </w:r>
    </w:p>
    <w:p w14:paraId="2B442176" w14:textId="77777777" w:rsidR="00437F2B" w:rsidRPr="00437F2B" w:rsidRDefault="00437F2B" w:rsidP="00D475BD">
      <w:pPr>
        <w:pStyle w:val="Heading2"/>
      </w:pPr>
      <w:r w:rsidRPr="00437F2B">
        <w:t>2.3. Whole-Genome Sequence Analysis of Carbapenemase-Producing E. coli Isolate</w:t>
      </w:r>
    </w:p>
    <w:p w14:paraId="6FC46D34" w14:textId="0D3D9655" w:rsidR="00437F2B" w:rsidRPr="00437F2B" w:rsidRDefault="00437F2B" w:rsidP="00437F2B">
      <w:r w:rsidRPr="00437F2B">
        <w:t>To further characterize the </w:t>
      </w:r>
      <w:r w:rsidRPr="00437F2B">
        <w:rPr>
          <w:i/>
          <w:iCs/>
        </w:rPr>
        <w:t>bla</w:t>
      </w:r>
      <w:r w:rsidRPr="00437F2B">
        <w:rPr>
          <w:vertAlign w:val="subscript"/>
        </w:rPr>
        <w:t>KPC</w:t>
      </w:r>
      <w:r w:rsidRPr="00437F2B">
        <w:t>-encoding populations, we sequenced one of the hospital WW isolates, </w:t>
      </w:r>
      <w:r w:rsidRPr="00437F2B">
        <w:rPr>
          <w:i/>
          <w:iCs/>
        </w:rPr>
        <w:t>E. coli</w:t>
      </w:r>
      <w:r w:rsidRPr="00437F2B">
        <w:t> 1000C-3 (Accession number CP091427), using long- and short-read sequencing. The genome contained 4,839,424 nucleotides with 50.75% GC content, 4,944 putative ORFs, and was identified as O101:H9 serotype, which has previously been associated with pathogenic and commensal strains [</w:t>
      </w:r>
      <w:r w:rsidRPr="00C90A22">
        <w:rPr>
          <w:b/>
          <w:bCs/>
        </w:rPr>
        <w:t>52</w:t>
      </w:r>
      <w:r w:rsidRPr="00437F2B">
        <w:t>]. It has also been found among calves with gastroenteritis [</w:t>
      </w:r>
      <w:r w:rsidRPr="00C90A22">
        <w:rPr>
          <w:b/>
          <w:bCs/>
        </w:rPr>
        <w:t>53</w:t>
      </w:r>
      <w:r w:rsidRPr="00437F2B">
        <w:t>]. Whole-genome sequencing identified this strain as sequence type (ST) 167, which has previously been associated with </w:t>
      </w:r>
      <w:r w:rsidRPr="00437F2B">
        <w:rPr>
          <w:i/>
          <w:iCs/>
        </w:rPr>
        <w:t>bla</w:t>
      </w:r>
      <w:r w:rsidRPr="00437F2B">
        <w:rPr>
          <w:i/>
          <w:iCs/>
          <w:vertAlign w:val="subscript"/>
        </w:rPr>
        <w:t>KPC</w:t>
      </w:r>
      <w:r w:rsidRPr="00437F2B">
        <w:t> encoding strains, and </w:t>
      </w:r>
      <w:r w:rsidRPr="00437F2B">
        <w:rPr>
          <w:i/>
          <w:iCs/>
        </w:rPr>
        <w:t>Inc</w:t>
      </w:r>
      <w:r w:rsidRPr="00437F2B">
        <w:t> types [</w:t>
      </w:r>
      <w:r w:rsidRPr="00C90A22">
        <w:rPr>
          <w:b/>
          <w:bCs/>
        </w:rPr>
        <w:t>54</w:t>
      </w:r>
      <w:r w:rsidRPr="00437F2B">
        <w:t>]. ST167 has been emerging globally, suggesting it as a high-risk clone [</w:t>
      </w:r>
      <w:r w:rsidRPr="00C90A22">
        <w:rPr>
          <w:b/>
          <w:bCs/>
        </w:rPr>
        <w:t>55</w:t>
      </w:r>
      <w:r w:rsidRPr="00437F2B">
        <w:t>]. In our study, 1000C-3 was resistant to SXT, GEN, CIP, TET, CTX, CRO, CAZ, meropenem (MEM), imipenem (IPM), and ertapenem (ERT) (</w:t>
      </w:r>
      <w:r w:rsidRPr="00C90A22">
        <w:rPr>
          <w:b/>
          <w:bCs/>
        </w:rPr>
        <w:t>Supplementary Table S2</w:t>
      </w:r>
      <w:r w:rsidRPr="00437F2B">
        <w:t>). The following resistance phenotypes were predicted using ResFinder based on the vast array of ARGs: aminocyclitol, macrolides, quaternary ammonium compounds, fluoroquinolones, phenicols, peroxides, aminoglycosides, tetracyclines, cephalosporins, and carbapenems. The chromosome encoded numerous ARGs involved in resistance to tetracycline (e.g., </w:t>
      </w:r>
      <w:r w:rsidRPr="00437F2B">
        <w:rPr>
          <w:i/>
          <w:iCs/>
        </w:rPr>
        <w:t>tetB</w:t>
      </w:r>
      <w:r w:rsidRPr="00437F2B">
        <w:t>), macrolides (e.g., </w:t>
      </w:r>
      <w:r w:rsidRPr="00437F2B">
        <w:rPr>
          <w:i/>
          <w:iCs/>
        </w:rPr>
        <w:t>mdf(A)</w:t>
      </w:r>
      <w:r w:rsidRPr="00437F2B">
        <w:t>), beta-lactams (e.g., </w:t>
      </w:r>
      <w:r w:rsidRPr="00437F2B">
        <w:rPr>
          <w:i/>
          <w:iCs/>
        </w:rPr>
        <w:t>ampC</w:t>
      </w:r>
      <w:r w:rsidRPr="00437F2B">
        <w:t>), and aminoglycosides (e.g., </w:t>
      </w:r>
      <w:r w:rsidRPr="00437F2B">
        <w:rPr>
          <w:i/>
          <w:iCs/>
        </w:rPr>
        <w:t>kdpE</w:t>
      </w:r>
      <w:r w:rsidRPr="00437F2B">
        <w:t>), as well an array of multidrug major facilitator superfamily (MFS) (</w:t>
      </w:r>
      <w:r w:rsidRPr="00C90A22">
        <w:rPr>
          <w:b/>
          <w:bCs/>
        </w:rPr>
        <w:t>Table 3</w:t>
      </w:r>
      <w:r w:rsidRPr="00437F2B">
        <w:t>: emrAB, emrKY) and resistance-nodulation-cell division (RND) efflux pumps (</w:t>
      </w:r>
      <w:r w:rsidRPr="00C90A22">
        <w:rPr>
          <w:b/>
          <w:bCs/>
        </w:rPr>
        <w:t>Table 3</w:t>
      </w:r>
      <w:r w:rsidRPr="00437F2B">
        <w:t>: AcrAB-TolC; AcrAD-TolC, MdtEF). These efflux pumps not only serve to export drugs and toxins but also aid in host colonization and dissemination through biofilm formation [</w:t>
      </w:r>
      <w:r w:rsidRPr="00C90A22">
        <w:rPr>
          <w:b/>
          <w:bCs/>
        </w:rPr>
        <w:t>56</w:t>
      </w:r>
      <w:r w:rsidRPr="00437F2B">
        <w:t>] and evasion of innate host defenses [</w:t>
      </w:r>
      <w:r w:rsidRPr="00C90A22">
        <w:rPr>
          <w:b/>
          <w:bCs/>
        </w:rPr>
        <w:t>57</w:t>
      </w:r>
      <w:r w:rsidRPr="00437F2B">
        <w:t>]. Additionally, </w:t>
      </w:r>
      <w:r w:rsidRPr="00437F2B">
        <w:rPr>
          <w:i/>
          <w:iCs/>
        </w:rPr>
        <w:t>E. coli</w:t>
      </w:r>
      <w:r w:rsidRPr="00437F2B">
        <w:t> 1000C-3 strain contained point mutations in </w:t>
      </w:r>
      <w:r w:rsidRPr="00437F2B">
        <w:rPr>
          <w:i/>
          <w:iCs/>
        </w:rPr>
        <w:t>parC, parE,</w:t>
      </w:r>
      <w:r w:rsidRPr="00437F2B">
        <w:t> and </w:t>
      </w:r>
      <w:r w:rsidRPr="00437F2B">
        <w:rPr>
          <w:i/>
          <w:iCs/>
        </w:rPr>
        <w:t>gyrA</w:t>
      </w:r>
      <w:r w:rsidRPr="00437F2B">
        <w:t>, providing quinolone resistance (</w:t>
      </w:r>
      <w:r w:rsidRPr="00C90A22">
        <w:rPr>
          <w:b/>
          <w:bCs/>
        </w:rPr>
        <w:t>Table 3</w:t>
      </w:r>
      <w:r w:rsidRPr="00437F2B">
        <w:t>).</w:t>
      </w:r>
    </w:p>
    <w:p w14:paraId="5D9E4CB7" w14:textId="77777777" w:rsidR="00437F2B" w:rsidRPr="00437F2B" w:rsidRDefault="00437F2B" w:rsidP="00093F74">
      <w:pPr>
        <w:spacing w:after="0"/>
      </w:pPr>
      <w:r w:rsidRPr="00437F2B">
        <w:rPr>
          <w:b/>
          <w:bCs/>
        </w:rPr>
        <w:t>Table 3.</w:t>
      </w:r>
      <w:r w:rsidRPr="00437F2B">
        <w:t> Resistome of MDR hospital wastewater </w:t>
      </w:r>
      <w:r w:rsidRPr="00437F2B">
        <w:rPr>
          <w:i/>
          <w:iCs/>
        </w:rPr>
        <w:t>E. Coli</w:t>
      </w:r>
      <w:r w:rsidRPr="00437F2B">
        <w:t> 1000C-3 isolate.</w:t>
      </w:r>
    </w:p>
    <w:tbl>
      <w:tblPr>
        <w:tblStyle w:val="TableGrid"/>
        <w:tblW w:w="0" w:type="auto"/>
        <w:tblLook w:val="04A0" w:firstRow="1" w:lastRow="0" w:firstColumn="1" w:lastColumn="0" w:noHBand="0" w:noVBand="1"/>
      </w:tblPr>
      <w:tblGrid>
        <w:gridCol w:w="2691"/>
        <w:gridCol w:w="1468"/>
        <w:gridCol w:w="1529"/>
        <w:gridCol w:w="4382"/>
      </w:tblGrid>
      <w:tr w:rsidR="00093F74" w:rsidRPr="00093F74" w14:paraId="103CF5AA" w14:textId="77777777" w:rsidTr="00093F74">
        <w:tc>
          <w:tcPr>
            <w:tcW w:w="0" w:type="auto"/>
            <w:hideMark/>
          </w:tcPr>
          <w:p w14:paraId="7479CEDA" w14:textId="77777777" w:rsidR="00093F74" w:rsidRPr="00093F74" w:rsidRDefault="00093F74" w:rsidP="00093F74">
            <w:pPr>
              <w:spacing w:line="259" w:lineRule="auto"/>
              <w:rPr>
                <w:b/>
                <w:bCs/>
              </w:rPr>
            </w:pPr>
            <w:r w:rsidRPr="00093F74">
              <w:rPr>
                <w:b/>
                <w:bCs/>
              </w:rPr>
              <w:t>Antibiotic Resistance Genes</w:t>
            </w:r>
          </w:p>
        </w:tc>
        <w:tc>
          <w:tcPr>
            <w:tcW w:w="0" w:type="auto"/>
            <w:hideMark/>
          </w:tcPr>
          <w:p w14:paraId="000179C2" w14:textId="77777777" w:rsidR="00093F74" w:rsidRPr="00093F74" w:rsidRDefault="00093F74" w:rsidP="00093F74">
            <w:pPr>
              <w:spacing w:line="259" w:lineRule="auto"/>
              <w:rPr>
                <w:b/>
                <w:bCs/>
              </w:rPr>
            </w:pPr>
            <w:r w:rsidRPr="00093F74">
              <w:rPr>
                <w:b/>
                <w:bCs/>
              </w:rPr>
              <w:t>Location</w:t>
            </w:r>
          </w:p>
        </w:tc>
        <w:tc>
          <w:tcPr>
            <w:tcW w:w="0" w:type="auto"/>
            <w:hideMark/>
          </w:tcPr>
          <w:p w14:paraId="53A8C4FE" w14:textId="77777777" w:rsidR="00093F74" w:rsidRPr="00093F74" w:rsidRDefault="00093F74" w:rsidP="00093F74">
            <w:pPr>
              <w:spacing w:line="259" w:lineRule="auto"/>
              <w:rPr>
                <w:b/>
                <w:bCs/>
              </w:rPr>
            </w:pPr>
            <w:r w:rsidRPr="00093F74">
              <w:rPr>
                <w:b/>
                <w:bCs/>
              </w:rPr>
              <w:t>Accession #</w:t>
            </w:r>
          </w:p>
        </w:tc>
        <w:tc>
          <w:tcPr>
            <w:tcW w:w="0" w:type="auto"/>
            <w:hideMark/>
          </w:tcPr>
          <w:p w14:paraId="0C9A22FD" w14:textId="77777777" w:rsidR="00093F74" w:rsidRPr="00093F74" w:rsidRDefault="00093F74" w:rsidP="00093F74">
            <w:pPr>
              <w:spacing w:line="259" w:lineRule="auto"/>
              <w:rPr>
                <w:b/>
                <w:bCs/>
              </w:rPr>
            </w:pPr>
            <w:r w:rsidRPr="00093F74">
              <w:rPr>
                <w:b/>
                <w:bCs/>
              </w:rPr>
              <w:t>Resistance Target</w:t>
            </w:r>
          </w:p>
        </w:tc>
      </w:tr>
      <w:tr w:rsidR="00093F74" w:rsidRPr="00093F74" w14:paraId="7293ACCE" w14:textId="77777777" w:rsidTr="00093F74">
        <w:tc>
          <w:tcPr>
            <w:tcW w:w="0" w:type="auto"/>
            <w:hideMark/>
          </w:tcPr>
          <w:p w14:paraId="0DA9459D" w14:textId="77777777" w:rsidR="00093F74" w:rsidRPr="00093F74" w:rsidRDefault="00093F74" w:rsidP="00093F74">
            <w:pPr>
              <w:spacing w:line="259" w:lineRule="auto"/>
            </w:pPr>
            <w:r w:rsidRPr="00093F74">
              <w:rPr>
                <w:i/>
                <w:iCs/>
              </w:rPr>
              <w:t>aac(6’)-Ib-cr</w:t>
            </w:r>
          </w:p>
        </w:tc>
        <w:tc>
          <w:tcPr>
            <w:tcW w:w="0" w:type="auto"/>
            <w:hideMark/>
          </w:tcPr>
          <w:p w14:paraId="31E05D1F" w14:textId="77777777" w:rsidR="00093F74" w:rsidRPr="00093F74" w:rsidRDefault="00093F74" w:rsidP="00093F74">
            <w:pPr>
              <w:spacing w:line="259" w:lineRule="auto"/>
            </w:pPr>
            <w:r w:rsidRPr="00093F74">
              <w:t>Plasmid</w:t>
            </w:r>
          </w:p>
        </w:tc>
        <w:tc>
          <w:tcPr>
            <w:tcW w:w="0" w:type="auto"/>
            <w:hideMark/>
          </w:tcPr>
          <w:p w14:paraId="076133E0" w14:textId="77777777" w:rsidR="00093F74" w:rsidRPr="00093F74" w:rsidRDefault="00093F74" w:rsidP="00093F74">
            <w:pPr>
              <w:spacing w:line="259" w:lineRule="auto"/>
            </w:pPr>
            <w:r w:rsidRPr="00093F74">
              <w:t>DQ303918</w:t>
            </w:r>
          </w:p>
        </w:tc>
        <w:tc>
          <w:tcPr>
            <w:tcW w:w="0" w:type="auto"/>
            <w:hideMark/>
          </w:tcPr>
          <w:p w14:paraId="370FC209" w14:textId="77777777" w:rsidR="00093F74" w:rsidRPr="00093F74" w:rsidRDefault="00093F74" w:rsidP="00093F74">
            <w:pPr>
              <w:spacing w:line="259" w:lineRule="auto"/>
            </w:pPr>
            <w:r w:rsidRPr="00093F74">
              <w:t>Aminoglycoside and fluoroquinolone resistance</w:t>
            </w:r>
          </w:p>
        </w:tc>
      </w:tr>
      <w:tr w:rsidR="00093F74" w:rsidRPr="00093F74" w14:paraId="0D3B5CB6" w14:textId="77777777" w:rsidTr="00093F74">
        <w:tc>
          <w:tcPr>
            <w:tcW w:w="0" w:type="auto"/>
            <w:hideMark/>
          </w:tcPr>
          <w:p w14:paraId="26595D5D" w14:textId="77777777" w:rsidR="00093F74" w:rsidRPr="00093F74" w:rsidRDefault="00093F74" w:rsidP="00093F74">
            <w:pPr>
              <w:spacing w:line="259" w:lineRule="auto"/>
            </w:pPr>
            <w:r w:rsidRPr="00093F74">
              <w:rPr>
                <w:i/>
                <w:iCs/>
              </w:rPr>
              <w:t>aadA5</w:t>
            </w:r>
          </w:p>
        </w:tc>
        <w:tc>
          <w:tcPr>
            <w:tcW w:w="0" w:type="auto"/>
            <w:hideMark/>
          </w:tcPr>
          <w:p w14:paraId="4D5F7C72" w14:textId="77777777" w:rsidR="00093F74" w:rsidRPr="00093F74" w:rsidRDefault="00093F74" w:rsidP="00093F74">
            <w:pPr>
              <w:spacing w:line="259" w:lineRule="auto"/>
            </w:pPr>
            <w:r w:rsidRPr="00093F74">
              <w:t>Plasmid</w:t>
            </w:r>
          </w:p>
        </w:tc>
        <w:tc>
          <w:tcPr>
            <w:tcW w:w="0" w:type="auto"/>
            <w:hideMark/>
          </w:tcPr>
          <w:p w14:paraId="6335FC13" w14:textId="77777777" w:rsidR="00093F74" w:rsidRPr="00093F74" w:rsidRDefault="00093F74" w:rsidP="00093F74">
            <w:pPr>
              <w:spacing w:line="259" w:lineRule="auto"/>
            </w:pPr>
            <w:r w:rsidRPr="00093F74">
              <w:t>AF137361</w:t>
            </w:r>
          </w:p>
        </w:tc>
        <w:tc>
          <w:tcPr>
            <w:tcW w:w="0" w:type="auto"/>
            <w:hideMark/>
          </w:tcPr>
          <w:p w14:paraId="29145CDD" w14:textId="77777777" w:rsidR="00093F74" w:rsidRPr="00093F74" w:rsidRDefault="00093F74" w:rsidP="00093F74">
            <w:pPr>
              <w:spacing w:line="259" w:lineRule="auto"/>
            </w:pPr>
            <w:r w:rsidRPr="00093F74">
              <w:t>Aminoglycoside resistance</w:t>
            </w:r>
          </w:p>
        </w:tc>
      </w:tr>
      <w:tr w:rsidR="00093F74" w:rsidRPr="00093F74" w14:paraId="691346E4" w14:textId="77777777" w:rsidTr="00093F74">
        <w:tc>
          <w:tcPr>
            <w:tcW w:w="0" w:type="auto"/>
            <w:hideMark/>
          </w:tcPr>
          <w:p w14:paraId="39605E1A" w14:textId="77777777" w:rsidR="00093F74" w:rsidRPr="00093F74" w:rsidRDefault="00093F74" w:rsidP="00093F74">
            <w:pPr>
              <w:spacing w:line="259" w:lineRule="auto"/>
            </w:pPr>
            <w:r w:rsidRPr="00093F74">
              <w:rPr>
                <w:i/>
                <w:iCs/>
              </w:rPr>
              <w:t>aph(3’’)-Ib</w:t>
            </w:r>
          </w:p>
        </w:tc>
        <w:tc>
          <w:tcPr>
            <w:tcW w:w="0" w:type="auto"/>
            <w:hideMark/>
          </w:tcPr>
          <w:p w14:paraId="4106D6D3" w14:textId="77777777" w:rsidR="00093F74" w:rsidRPr="00093F74" w:rsidRDefault="00093F74" w:rsidP="00093F74">
            <w:pPr>
              <w:spacing w:line="259" w:lineRule="auto"/>
            </w:pPr>
            <w:r w:rsidRPr="00093F74">
              <w:t>Plasmid</w:t>
            </w:r>
          </w:p>
        </w:tc>
        <w:tc>
          <w:tcPr>
            <w:tcW w:w="0" w:type="auto"/>
            <w:hideMark/>
          </w:tcPr>
          <w:p w14:paraId="3E6C2C27" w14:textId="77777777" w:rsidR="00093F74" w:rsidRPr="00093F74" w:rsidRDefault="00093F74" w:rsidP="00093F74">
            <w:pPr>
              <w:spacing w:line="259" w:lineRule="auto"/>
            </w:pPr>
            <w:r w:rsidRPr="00093F74">
              <w:t>AF321551</w:t>
            </w:r>
          </w:p>
        </w:tc>
        <w:tc>
          <w:tcPr>
            <w:tcW w:w="0" w:type="auto"/>
            <w:hideMark/>
          </w:tcPr>
          <w:p w14:paraId="56E6A34B" w14:textId="77777777" w:rsidR="00093F74" w:rsidRPr="00093F74" w:rsidRDefault="00093F74" w:rsidP="00093F74">
            <w:pPr>
              <w:spacing w:line="259" w:lineRule="auto"/>
            </w:pPr>
            <w:r w:rsidRPr="00093F74">
              <w:t>Aminoglycoside resistance</w:t>
            </w:r>
          </w:p>
        </w:tc>
      </w:tr>
      <w:tr w:rsidR="00093F74" w:rsidRPr="00093F74" w14:paraId="542E505A" w14:textId="77777777" w:rsidTr="00093F74">
        <w:tc>
          <w:tcPr>
            <w:tcW w:w="0" w:type="auto"/>
            <w:hideMark/>
          </w:tcPr>
          <w:p w14:paraId="23938015" w14:textId="77777777" w:rsidR="00093F74" w:rsidRPr="00093F74" w:rsidRDefault="00093F74" w:rsidP="00093F74">
            <w:pPr>
              <w:spacing w:line="259" w:lineRule="auto"/>
            </w:pPr>
            <w:r w:rsidRPr="00093F74">
              <w:rPr>
                <w:i/>
                <w:iCs/>
              </w:rPr>
              <w:t>aph(6)-Id</w:t>
            </w:r>
          </w:p>
        </w:tc>
        <w:tc>
          <w:tcPr>
            <w:tcW w:w="0" w:type="auto"/>
            <w:hideMark/>
          </w:tcPr>
          <w:p w14:paraId="6CA564A4" w14:textId="77777777" w:rsidR="00093F74" w:rsidRPr="00093F74" w:rsidRDefault="00093F74" w:rsidP="00093F74">
            <w:pPr>
              <w:spacing w:line="259" w:lineRule="auto"/>
            </w:pPr>
            <w:r w:rsidRPr="00093F74">
              <w:t>Plasmid</w:t>
            </w:r>
          </w:p>
        </w:tc>
        <w:tc>
          <w:tcPr>
            <w:tcW w:w="0" w:type="auto"/>
            <w:hideMark/>
          </w:tcPr>
          <w:p w14:paraId="2012DE91" w14:textId="77777777" w:rsidR="00093F74" w:rsidRPr="00093F74" w:rsidRDefault="00093F74" w:rsidP="00093F74">
            <w:pPr>
              <w:spacing w:line="259" w:lineRule="auto"/>
            </w:pPr>
            <w:r w:rsidRPr="00093F74">
              <w:t>M28829</w:t>
            </w:r>
          </w:p>
        </w:tc>
        <w:tc>
          <w:tcPr>
            <w:tcW w:w="0" w:type="auto"/>
            <w:hideMark/>
          </w:tcPr>
          <w:p w14:paraId="0EF1253D" w14:textId="77777777" w:rsidR="00093F74" w:rsidRPr="00093F74" w:rsidRDefault="00093F74" w:rsidP="00093F74">
            <w:pPr>
              <w:spacing w:line="259" w:lineRule="auto"/>
            </w:pPr>
            <w:r w:rsidRPr="00093F74">
              <w:t>Aminoglycoside resistance</w:t>
            </w:r>
          </w:p>
        </w:tc>
      </w:tr>
      <w:tr w:rsidR="00093F74" w:rsidRPr="00093F74" w14:paraId="2C7BD36C" w14:textId="77777777" w:rsidTr="00093F74">
        <w:tc>
          <w:tcPr>
            <w:tcW w:w="0" w:type="auto"/>
            <w:hideMark/>
          </w:tcPr>
          <w:p w14:paraId="0FCD7992" w14:textId="77777777" w:rsidR="00093F74" w:rsidRPr="00093F74" w:rsidRDefault="00093F74" w:rsidP="00093F74">
            <w:pPr>
              <w:spacing w:line="259" w:lineRule="auto"/>
            </w:pPr>
            <w:r w:rsidRPr="00093F74">
              <w:rPr>
                <w:i/>
                <w:iCs/>
              </w:rPr>
              <w:t>blaCTX-M-15</w:t>
            </w:r>
          </w:p>
        </w:tc>
        <w:tc>
          <w:tcPr>
            <w:tcW w:w="0" w:type="auto"/>
            <w:hideMark/>
          </w:tcPr>
          <w:p w14:paraId="58BD8697" w14:textId="77777777" w:rsidR="00093F74" w:rsidRPr="00093F74" w:rsidRDefault="00093F74" w:rsidP="00093F74">
            <w:pPr>
              <w:spacing w:line="259" w:lineRule="auto"/>
            </w:pPr>
            <w:r w:rsidRPr="00093F74">
              <w:t>Plasmid</w:t>
            </w:r>
          </w:p>
        </w:tc>
        <w:tc>
          <w:tcPr>
            <w:tcW w:w="0" w:type="auto"/>
            <w:hideMark/>
          </w:tcPr>
          <w:p w14:paraId="79E143AA" w14:textId="77777777" w:rsidR="00093F74" w:rsidRPr="00093F74" w:rsidRDefault="00093F74" w:rsidP="00093F74">
            <w:pPr>
              <w:spacing w:line="259" w:lineRule="auto"/>
            </w:pPr>
            <w:r w:rsidRPr="00093F74">
              <w:t>AY044436</w:t>
            </w:r>
          </w:p>
        </w:tc>
        <w:tc>
          <w:tcPr>
            <w:tcW w:w="0" w:type="auto"/>
            <w:hideMark/>
          </w:tcPr>
          <w:p w14:paraId="51EDD7C7" w14:textId="77777777" w:rsidR="00093F74" w:rsidRPr="00093F74" w:rsidRDefault="00093F74" w:rsidP="00093F74">
            <w:pPr>
              <w:spacing w:line="259" w:lineRule="auto"/>
            </w:pPr>
            <w:r w:rsidRPr="00093F74">
              <w:t>Beta-lactam resistance</w:t>
            </w:r>
          </w:p>
        </w:tc>
      </w:tr>
      <w:tr w:rsidR="00093F74" w:rsidRPr="00093F74" w14:paraId="4ECF2423" w14:textId="77777777" w:rsidTr="00093F74">
        <w:tc>
          <w:tcPr>
            <w:tcW w:w="0" w:type="auto"/>
            <w:hideMark/>
          </w:tcPr>
          <w:p w14:paraId="256A9FD1" w14:textId="77777777" w:rsidR="00093F74" w:rsidRPr="00093F74" w:rsidRDefault="00093F74" w:rsidP="00093F74">
            <w:pPr>
              <w:spacing w:line="259" w:lineRule="auto"/>
            </w:pPr>
            <w:r w:rsidRPr="00093F74">
              <w:rPr>
                <w:i/>
                <w:iCs/>
              </w:rPr>
              <w:t>blaOXA-1</w:t>
            </w:r>
          </w:p>
        </w:tc>
        <w:tc>
          <w:tcPr>
            <w:tcW w:w="0" w:type="auto"/>
            <w:hideMark/>
          </w:tcPr>
          <w:p w14:paraId="0681D6A4" w14:textId="77777777" w:rsidR="00093F74" w:rsidRPr="00093F74" w:rsidRDefault="00093F74" w:rsidP="00093F74">
            <w:pPr>
              <w:spacing w:line="259" w:lineRule="auto"/>
            </w:pPr>
            <w:r w:rsidRPr="00093F74">
              <w:t>Plasmid</w:t>
            </w:r>
          </w:p>
        </w:tc>
        <w:tc>
          <w:tcPr>
            <w:tcW w:w="0" w:type="auto"/>
            <w:hideMark/>
          </w:tcPr>
          <w:p w14:paraId="3E141085" w14:textId="77777777" w:rsidR="00093F74" w:rsidRPr="00093F74" w:rsidRDefault="00093F74" w:rsidP="00093F74">
            <w:pPr>
              <w:spacing w:line="259" w:lineRule="auto"/>
            </w:pPr>
            <w:r w:rsidRPr="00093F74">
              <w:t>HQ170510</w:t>
            </w:r>
          </w:p>
        </w:tc>
        <w:tc>
          <w:tcPr>
            <w:tcW w:w="0" w:type="auto"/>
            <w:hideMark/>
          </w:tcPr>
          <w:p w14:paraId="22CA87F9" w14:textId="77777777" w:rsidR="00093F74" w:rsidRPr="00093F74" w:rsidRDefault="00093F74" w:rsidP="00093F74">
            <w:pPr>
              <w:spacing w:line="259" w:lineRule="auto"/>
            </w:pPr>
            <w:r w:rsidRPr="00093F74">
              <w:t>Beta-lactam resistance</w:t>
            </w:r>
          </w:p>
        </w:tc>
      </w:tr>
      <w:tr w:rsidR="00093F74" w:rsidRPr="00093F74" w14:paraId="408242CA" w14:textId="77777777" w:rsidTr="00093F74">
        <w:tc>
          <w:tcPr>
            <w:tcW w:w="0" w:type="auto"/>
            <w:hideMark/>
          </w:tcPr>
          <w:p w14:paraId="7BAA33E5" w14:textId="77777777" w:rsidR="00093F74" w:rsidRPr="00093F74" w:rsidRDefault="00093F74" w:rsidP="00093F74">
            <w:pPr>
              <w:spacing w:line="259" w:lineRule="auto"/>
            </w:pPr>
            <w:r w:rsidRPr="00093F74">
              <w:rPr>
                <w:i/>
                <w:iCs/>
              </w:rPr>
              <w:t>blaKPC-2</w:t>
            </w:r>
          </w:p>
        </w:tc>
        <w:tc>
          <w:tcPr>
            <w:tcW w:w="0" w:type="auto"/>
            <w:hideMark/>
          </w:tcPr>
          <w:p w14:paraId="4B95C895" w14:textId="77777777" w:rsidR="00093F74" w:rsidRPr="00093F74" w:rsidRDefault="00093F74" w:rsidP="00093F74">
            <w:pPr>
              <w:spacing w:line="259" w:lineRule="auto"/>
            </w:pPr>
            <w:r w:rsidRPr="00093F74">
              <w:t>Plasmid</w:t>
            </w:r>
          </w:p>
        </w:tc>
        <w:tc>
          <w:tcPr>
            <w:tcW w:w="0" w:type="auto"/>
            <w:hideMark/>
          </w:tcPr>
          <w:p w14:paraId="4C3CE7A7" w14:textId="77777777" w:rsidR="00093F74" w:rsidRPr="00093F74" w:rsidRDefault="00093F74" w:rsidP="00093F74">
            <w:pPr>
              <w:spacing w:line="259" w:lineRule="auto"/>
            </w:pPr>
            <w:r w:rsidRPr="00093F74">
              <w:t>AY034847</w:t>
            </w:r>
          </w:p>
        </w:tc>
        <w:tc>
          <w:tcPr>
            <w:tcW w:w="0" w:type="auto"/>
            <w:hideMark/>
          </w:tcPr>
          <w:p w14:paraId="578FBE3E" w14:textId="77777777" w:rsidR="00093F74" w:rsidRPr="00093F74" w:rsidRDefault="00093F74" w:rsidP="00093F74">
            <w:pPr>
              <w:spacing w:line="259" w:lineRule="auto"/>
            </w:pPr>
            <w:r w:rsidRPr="00093F74">
              <w:t>Beta-lactam resistance</w:t>
            </w:r>
          </w:p>
        </w:tc>
      </w:tr>
      <w:tr w:rsidR="00093F74" w:rsidRPr="00093F74" w14:paraId="476E6C58" w14:textId="77777777" w:rsidTr="00093F74">
        <w:tc>
          <w:tcPr>
            <w:tcW w:w="0" w:type="auto"/>
            <w:hideMark/>
          </w:tcPr>
          <w:p w14:paraId="6049194C" w14:textId="77777777" w:rsidR="00093F74" w:rsidRPr="00093F74" w:rsidRDefault="00093F74" w:rsidP="00093F74">
            <w:pPr>
              <w:spacing w:line="259" w:lineRule="auto"/>
            </w:pPr>
            <w:r w:rsidRPr="00093F74">
              <w:rPr>
                <w:i/>
                <w:iCs/>
              </w:rPr>
              <w:t>blaTEM-350</w:t>
            </w:r>
          </w:p>
        </w:tc>
        <w:tc>
          <w:tcPr>
            <w:tcW w:w="0" w:type="auto"/>
            <w:hideMark/>
          </w:tcPr>
          <w:p w14:paraId="6F5C513F" w14:textId="77777777" w:rsidR="00093F74" w:rsidRPr="00093F74" w:rsidRDefault="00093F74" w:rsidP="00093F74">
            <w:pPr>
              <w:spacing w:line="259" w:lineRule="auto"/>
            </w:pPr>
            <w:r w:rsidRPr="00093F74">
              <w:t>Plasmid</w:t>
            </w:r>
          </w:p>
        </w:tc>
        <w:tc>
          <w:tcPr>
            <w:tcW w:w="0" w:type="auto"/>
            <w:hideMark/>
          </w:tcPr>
          <w:p w14:paraId="43A5D985" w14:textId="77777777" w:rsidR="00093F74" w:rsidRPr="00093F74" w:rsidRDefault="00093F74" w:rsidP="00093F74">
            <w:pPr>
              <w:spacing w:line="259" w:lineRule="auto"/>
            </w:pPr>
            <w:r w:rsidRPr="00093F74">
              <w:t>WP045286946</w:t>
            </w:r>
          </w:p>
        </w:tc>
        <w:tc>
          <w:tcPr>
            <w:tcW w:w="0" w:type="auto"/>
            <w:hideMark/>
          </w:tcPr>
          <w:p w14:paraId="4C969211" w14:textId="77777777" w:rsidR="00093F74" w:rsidRPr="00093F74" w:rsidRDefault="00093F74" w:rsidP="00093F74">
            <w:pPr>
              <w:spacing w:line="259" w:lineRule="auto"/>
            </w:pPr>
            <w:r w:rsidRPr="00093F74">
              <w:t>Beta-lactam resistance</w:t>
            </w:r>
          </w:p>
        </w:tc>
      </w:tr>
      <w:tr w:rsidR="00093F74" w:rsidRPr="00093F74" w14:paraId="6404AA29" w14:textId="77777777" w:rsidTr="00093F74">
        <w:tc>
          <w:tcPr>
            <w:tcW w:w="0" w:type="auto"/>
            <w:hideMark/>
          </w:tcPr>
          <w:p w14:paraId="723F4176" w14:textId="77777777" w:rsidR="00093F74" w:rsidRPr="00093F74" w:rsidRDefault="00093F74" w:rsidP="00093F74">
            <w:pPr>
              <w:spacing w:line="259" w:lineRule="auto"/>
            </w:pPr>
            <w:r w:rsidRPr="00093F74">
              <w:rPr>
                <w:i/>
                <w:iCs/>
              </w:rPr>
              <w:t>mdf(A)</w:t>
            </w:r>
          </w:p>
        </w:tc>
        <w:tc>
          <w:tcPr>
            <w:tcW w:w="0" w:type="auto"/>
            <w:hideMark/>
          </w:tcPr>
          <w:p w14:paraId="7FBF2F5E" w14:textId="77777777" w:rsidR="00093F74" w:rsidRPr="00093F74" w:rsidRDefault="00093F74" w:rsidP="00093F74">
            <w:pPr>
              <w:spacing w:line="259" w:lineRule="auto"/>
            </w:pPr>
            <w:r w:rsidRPr="00093F74">
              <w:t>Chromosomal</w:t>
            </w:r>
          </w:p>
        </w:tc>
        <w:tc>
          <w:tcPr>
            <w:tcW w:w="0" w:type="auto"/>
            <w:hideMark/>
          </w:tcPr>
          <w:p w14:paraId="648931BE" w14:textId="77777777" w:rsidR="00093F74" w:rsidRPr="00093F74" w:rsidRDefault="00093F74" w:rsidP="00093F74">
            <w:pPr>
              <w:spacing w:line="259" w:lineRule="auto"/>
            </w:pPr>
            <w:r w:rsidRPr="00093F74">
              <w:t>Y08743</w:t>
            </w:r>
          </w:p>
        </w:tc>
        <w:tc>
          <w:tcPr>
            <w:tcW w:w="0" w:type="auto"/>
            <w:hideMark/>
          </w:tcPr>
          <w:p w14:paraId="7E4624F4" w14:textId="77777777" w:rsidR="00093F74" w:rsidRPr="00093F74" w:rsidRDefault="00093F74" w:rsidP="00093F74">
            <w:pPr>
              <w:spacing w:line="259" w:lineRule="auto"/>
            </w:pPr>
            <w:r w:rsidRPr="00093F74">
              <w:t>Macrolide resistance</w:t>
            </w:r>
          </w:p>
        </w:tc>
      </w:tr>
      <w:tr w:rsidR="00093F74" w:rsidRPr="00093F74" w14:paraId="63256E11" w14:textId="77777777" w:rsidTr="00093F74">
        <w:tc>
          <w:tcPr>
            <w:tcW w:w="0" w:type="auto"/>
            <w:hideMark/>
          </w:tcPr>
          <w:p w14:paraId="2200DB1C" w14:textId="77777777" w:rsidR="00093F74" w:rsidRPr="00093F74" w:rsidRDefault="00093F74" w:rsidP="00093F74">
            <w:pPr>
              <w:spacing w:line="259" w:lineRule="auto"/>
            </w:pPr>
            <w:r w:rsidRPr="00093F74">
              <w:rPr>
                <w:i/>
                <w:iCs/>
              </w:rPr>
              <w:t>mph(A)</w:t>
            </w:r>
          </w:p>
        </w:tc>
        <w:tc>
          <w:tcPr>
            <w:tcW w:w="0" w:type="auto"/>
            <w:hideMark/>
          </w:tcPr>
          <w:p w14:paraId="15E29073" w14:textId="77777777" w:rsidR="00093F74" w:rsidRPr="00093F74" w:rsidRDefault="00093F74" w:rsidP="00093F74">
            <w:pPr>
              <w:spacing w:line="259" w:lineRule="auto"/>
            </w:pPr>
            <w:r w:rsidRPr="00093F74">
              <w:t>Plasmid</w:t>
            </w:r>
          </w:p>
        </w:tc>
        <w:tc>
          <w:tcPr>
            <w:tcW w:w="0" w:type="auto"/>
            <w:hideMark/>
          </w:tcPr>
          <w:p w14:paraId="2FCC45FF" w14:textId="77777777" w:rsidR="00093F74" w:rsidRPr="00093F74" w:rsidRDefault="00093F74" w:rsidP="00093F74">
            <w:pPr>
              <w:spacing w:line="259" w:lineRule="auto"/>
            </w:pPr>
            <w:r w:rsidRPr="00093F74">
              <w:t>D16251</w:t>
            </w:r>
          </w:p>
        </w:tc>
        <w:tc>
          <w:tcPr>
            <w:tcW w:w="0" w:type="auto"/>
            <w:hideMark/>
          </w:tcPr>
          <w:p w14:paraId="4AA626A5" w14:textId="77777777" w:rsidR="00093F74" w:rsidRPr="00093F74" w:rsidRDefault="00093F74" w:rsidP="00093F74">
            <w:pPr>
              <w:spacing w:line="259" w:lineRule="auto"/>
            </w:pPr>
            <w:r w:rsidRPr="00093F74">
              <w:t>Macrolide resistance</w:t>
            </w:r>
          </w:p>
        </w:tc>
      </w:tr>
      <w:tr w:rsidR="00093F74" w:rsidRPr="00093F74" w14:paraId="3A3937D1" w14:textId="77777777" w:rsidTr="00093F74">
        <w:tc>
          <w:tcPr>
            <w:tcW w:w="0" w:type="auto"/>
            <w:hideMark/>
          </w:tcPr>
          <w:p w14:paraId="2DFC721F" w14:textId="77777777" w:rsidR="00093F74" w:rsidRPr="00093F74" w:rsidRDefault="00093F74" w:rsidP="00093F74">
            <w:pPr>
              <w:spacing w:line="259" w:lineRule="auto"/>
            </w:pPr>
            <w:r w:rsidRPr="00093F74">
              <w:rPr>
                <w:i/>
                <w:iCs/>
              </w:rPr>
              <w:t>catB3</w:t>
            </w:r>
          </w:p>
        </w:tc>
        <w:tc>
          <w:tcPr>
            <w:tcW w:w="0" w:type="auto"/>
            <w:hideMark/>
          </w:tcPr>
          <w:p w14:paraId="48B2D0F9" w14:textId="77777777" w:rsidR="00093F74" w:rsidRPr="00093F74" w:rsidRDefault="00093F74" w:rsidP="00093F74">
            <w:pPr>
              <w:spacing w:line="259" w:lineRule="auto"/>
            </w:pPr>
            <w:r w:rsidRPr="00093F74">
              <w:t>Plasmid</w:t>
            </w:r>
          </w:p>
        </w:tc>
        <w:tc>
          <w:tcPr>
            <w:tcW w:w="0" w:type="auto"/>
            <w:hideMark/>
          </w:tcPr>
          <w:p w14:paraId="0F07C5C3" w14:textId="77777777" w:rsidR="00093F74" w:rsidRPr="00093F74" w:rsidRDefault="00093F74" w:rsidP="00093F74">
            <w:pPr>
              <w:spacing w:line="259" w:lineRule="auto"/>
            </w:pPr>
            <w:r w:rsidRPr="00093F74">
              <w:t>AJ009818</w:t>
            </w:r>
          </w:p>
        </w:tc>
        <w:tc>
          <w:tcPr>
            <w:tcW w:w="0" w:type="auto"/>
            <w:hideMark/>
          </w:tcPr>
          <w:p w14:paraId="383A937F" w14:textId="77777777" w:rsidR="00093F74" w:rsidRPr="00093F74" w:rsidRDefault="00093F74" w:rsidP="00093F74">
            <w:pPr>
              <w:spacing w:line="259" w:lineRule="auto"/>
            </w:pPr>
            <w:r w:rsidRPr="00093F74">
              <w:t>Phenicol resistance</w:t>
            </w:r>
          </w:p>
        </w:tc>
      </w:tr>
      <w:tr w:rsidR="00093F74" w:rsidRPr="00093F74" w14:paraId="266E42E0" w14:textId="77777777" w:rsidTr="00093F74">
        <w:tc>
          <w:tcPr>
            <w:tcW w:w="0" w:type="auto"/>
            <w:hideMark/>
          </w:tcPr>
          <w:p w14:paraId="401F2E1C" w14:textId="77777777" w:rsidR="00093F74" w:rsidRPr="00093F74" w:rsidRDefault="00093F74" w:rsidP="00093F74">
            <w:pPr>
              <w:spacing w:line="259" w:lineRule="auto"/>
            </w:pPr>
            <w:r w:rsidRPr="00093F74">
              <w:rPr>
                <w:i/>
                <w:iCs/>
              </w:rPr>
              <w:t>sul1</w:t>
            </w:r>
          </w:p>
        </w:tc>
        <w:tc>
          <w:tcPr>
            <w:tcW w:w="0" w:type="auto"/>
            <w:hideMark/>
          </w:tcPr>
          <w:p w14:paraId="0738B234" w14:textId="77777777" w:rsidR="00093F74" w:rsidRPr="00093F74" w:rsidRDefault="00093F74" w:rsidP="00093F74">
            <w:pPr>
              <w:spacing w:line="259" w:lineRule="auto"/>
            </w:pPr>
            <w:r w:rsidRPr="00093F74">
              <w:t>Plasmid</w:t>
            </w:r>
          </w:p>
        </w:tc>
        <w:tc>
          <w:tcPr>
            <w:tcW w:w="0" w:type="auto"/>
            <w:hideMark/>
          </w:tcPr>
          <w:p w14:paraId="25193A0D" w14:textId="77777777" w:rsidR="00093F74" w:rsidRPr="00093F74" w:rsidRDefault="00093F74" w:rsidP="00093F74">
            <w:pPr>
              <w:spacing w:line="259" w:lineRule="auto"/>
            </w:pPr>
            <w:r w:rsidRPr="00093F74">
              <w:t>U12338</w:t>
            </w:r>
          </w:p>
        </w:tc>
        <w:tc>
          <w:tcPr>
            <w:tcW w:w="0" w:type="auto"/>
            <w:hideMark/>
          </w:tcPr>
          <w:p w14:paraId="53D4D14C" w14:textId="77777777" w:rsidR="00093F74" w:rsidRPr="00093F74" w:rsidRDefault="00093F74" w:rsidP="00093F74">
            <w:pPr>
              <w:spacing w:line="259" w:lineRule="auto"/>
            </w:pPr>
            <w:r w:rsidRPr="00093F74">
              <w:t>Sulphonamide resistance</w:t>
            </w:r>
          </w:p>
        </w:tc>
      </w:tr>
      <w:tr w:rsidR="00093F74" w:rsidRPr="00093F74" w14:paraId="062F52DD" w14:textId="77777777" w:rsidTr="00093F74">
        <w:tc>
          <w:tcPr>
            <w:tcW w:w="0" w:type="auto"/>
            <w:hideMark/>
          </w:tcPr>
          <w:p w14:paraId="6F086549" w14:textId="77777777" w:rsidR="00093F74" w:rsidRPr="00093F74" w:rsidRDefault="00093F74" w:rsidP="00093F74">
            <w:pPr>
              <w:spacing w:line="259" w:lineRule="auto"/>
            </w:pPr>
            <w:r w:rsidRPr="00093F74">
              <w:rPr>
                <w:i/>
                <w:iCs/>
              </w:rPr>
              <w:t>tet(A)</w:t>
            </w:r>
          </w:p>
        </w:tc>
        <w:tc>
          <w:tcPr>
            <w:tcW w:w="0" w:type="auto"/>
            <w:hideMark/>
          </w:tcPr>
          <w:p w14:paraId="3022A086" w14:textId="77777777" w:rsidR="00093F74" w:rsidRPr="00093F74" w:rsidRDefault="00093F74" w:rsidP="00093F74">
            <w:pPr>
              <w:spacing w:line="259" w:lineRule="auto"/>
            </w:pPr>
            <w:r w:rsidRPr="00093F74">
              <w:t>Plasmid</w:t>
            </w:r>
          </w:p>
        </w:tc>
        <w:tc>
          <w:tcPr>
            <w:tcW w:w="0" w:type="auto"/>
            <w:hideMark/>
          </w:tcPr>
          <w:p w14:paraId="3B750A06" w14:textId="77777777" w:rsidR="00093F74" w:rsidRPr="00093F74" w:rsidRDefault="00093F74" w:rsidP="00093F74">
            <w:pPr>
              <w:spacing w:line="259" w:lineRule="auto"/>
            </w:pPr>
            <w:r w:rsidRPr="00093F74">
              <w:t>AJ517790</w:t>
            </w:r>
          </w:p>
        </w:tc>
        <w:tc>
          <w:tcPr>
            <w:tcW w:w="0" w:type="auto"/>
            <w:hideMark/>
          </w:tcPr>
          <w:p w14:paraId="140E5DC0" w14:textId="77777777" w:rsidR="00093F74" w:rsidRPr="00093F74" w:rsidRDefault="00093F74" w:rsidP="00093F74">
            <w:pPr>
              <w:spacing w:line="259" w:lineRule="auto"/>
            </w:pPr>
            <w:r w:rsidRPr="00093F74">
              <w:t>Tetracycline resistance</w:t>
            </w:r>
          </w:p>
        </w:tc>
      </w:tr>
      <w:tr w:rsidR="00093F74" w:rsidRPr="00093F74" w14:paraId="51D8E1EE" w14:textId="77777777" w:rsidTr="00093F74">
        <w:tc>
          <w:tcPr>
            <w:tcW w:w="0" w:type="auto"/>
            <w:hideMark/>
          </w:tcPr>
          <w:p w14:paraId="608AA008" w14:textId="77777777" w:rsidR="00093F74" w:rsidRPr="00093F74" w:rsidRDefault="00093F74" w:rsidP="00093F74">
            <w:pPr>
              <w:spacing w:line="259" w:lineRule="auto"/>
            </w:pPr>
            <w:r w:rsidRPr="00093F74">
              <w:rPr>
                <w:i/>
                <w:iCs/>
              </w:rPr>
              <w:t>tet(B)</w:t>
            </w:r>
          </w:p>
        </w:tc>
        <w:tc>
          <w:tcPr>
            <w:tcW w:w="0" w:type="auto"/>
            <w:hideMark/>
          </w:tcPr>
          <w:p w14:paraId="412A3224" w14:textId="77777777" w:rsidR="00093F74" w:rsidRPr="00093F74" w:rsidRDefault="00093F74" w:rsidP="00093F74">
            <w:pPr>
              <w:spacing w:line="259" w:lineRule="auto"/>
            </w:pPr>
            <w:r w:rsidRPr="00093F74">
              <w:t>Chromosomal</w:t>
            </w:r>
          </w:p>
        </w:tc>
        <w:tc>
          <w:tcPr>
            <w:tcW w:w="0" w:type="auto"/>
            <w:hideMark/>
          </w:tcPr>
          <w:p w14:paraId="0AD263C0" w14:textId="77777777" w:rsidR="00093F74" w:rsidRPr="00093F74" w:rsidRDefault="00093F74" w:rsidP="00093F74">
            <w:pPr>
              <w:spacing w:line="259" w:lineRule="auto"/>
            </w:pPr>
            <w:r w:rsidRPr="00093F74">
              <w:t>AF32677</w:t>
            </w:r>
          </w:p>
        </w:tc>
        <w:tc>
          <w:tcPr>
            <w:tcW w:w="0" w:type="auto"/>
            <w:hideMark/>
          </w:tcPr>
          <w:p w14:paraId="444979F7" w14:textId="77777777" w:rsidR="00093F74" w:rsidRPr="00093F74" w:rsidRDefault="00093F74" w:rsidP="00093F74">
            <w:pPr>
              <w:spacing w:line="259" w:lineRule="auto"/>
            </w:pPr>
            <w:r w:rsidRPr="00093F74">
              <w:t>Tetracycline resistance</w:t>
            </w:r>
          </w:p>
        </w:tc>
      </w:tr>
      <w:tr w:rsidR="00093F74" w:rsidRPr="00093F74" w14:paraId="08DC91DD" w14:textId="77777777" w:rsidTr="00093F74">
        <w:tc>
          <w:tcPr>
            <w:tcW w:w="0" w:type="auto"/>
            <w:hideMark/>
          </w:tcPr>
          <w:p w14:paraId="08604234" w14:textId="77777777" w:rsidR="00093F74" w:rsidRPr="00093F74" w:rsidRDefault="00093F74" w:rsidP="00093F74">
            <w:pPr>
              <w:spacing w:line="259" w:lineRule="auto"/>
            </w:pPr>
            <w:r w:rsidRPr="00093F74">
              <w:rPr>
                <w:i/>
                <w:iCs/>
              </w:rPr>
              <w:t>dfrA17</w:t>
            </w:r>
          </w:p>
        </w:tc>
        <w:tc>
          <w:tcPr>
            <w:tcW w:w="0" w:type="auto"/>
            <w:hideMark/>
          </w:tcPr>
          <w:p w14:paraId="6FD87717" w14:textId="77777777" w:rsidR="00093F74" w:rsidRPr="00093F74" w:rsidRDefault="00093F74" w:rsidP="00093F74">
            <w:pPr>
              <w:spacing w:line="259" w:lineRule="auto"/>
            </w:pPr>
            <w:r w:rsidRPr="00093F74">
              <w:t>Plasmid</w:t>
            </w:r>
          </w:p>
        </w:tc>
        <w:tc>
          <w:tcPr>
            <w:tcW w:w="0" w:type="auto"/>
            <w:hideMark/>
          </w:tcPr>
          <w:p w14:paraId="5E5DA204" w14:textId="77777777" w:rsidR="00093F74" w:rsidRPr="00093F74" w:rsidRDefault="00093F74" w:rsidP="00093F74">
            <w:pPr>
              <w:spacing w:line="259" w:lineRule="auto"/>
            </w:pPr>
            <w:r w:rsidRPr="00093F74">
              <w:t>FJ460238</w:t>
            </w:r>
          </w:p>
        </w:tc>
        <w:tc>
          <w:tcPr>
            <w:tcW w:w="0" w:type="auto"/>
            <w:hideMark/>
          </w:tcPr>
          <w:p w14:paraId="491D6C9D" w14:textId="77777777" w:rsidR="00093F74" w:rsidRPr="00093F74" w:rsidRDefault="00093F74" w:rsidP="00093F74">
            <w:pPr>
              <w:spacing w:line="259" w:lineRule="auto"/>
            </w:pPr>
            <w:r w:rsidRPr="00093F74">
              <w:t>Trimethoprim resistance</w:t>
            </w:r>
          </w:p>
        </w:tc>
      </w:tr>
      <w:tr w:rsidR="00093F74" w:rsidRPr="00093F74" w14:paraId="02554523" w14:textId="77777777" w:rsidTr="00093F74">
        <w:tc>
          <w:tcPr>
            <w:tcW w:w="0" w:type="auto"/>
            <w:hideMark/>
          </w:tcPr>
          <w:p w14:paraId="10D48210" w14:textId="77777777" w:rsidR="00093F74" w:rsidRPr="00093F74" w:rsidRDefault="00093F74" w:rsidP="00093F74">
            <w:pPr>
              <w:spacing w:line="259" w:lineRule="auto"/>
            </w:pPr>
            <w:r w:rsidRPr="00093F74">
              <w:rPr>
                <w:i/>
                <w:iCs/>
              </w:rPr>
              <w:t>sitABCD</w:t>
            </w:r>
          </w:p>
        </w:tc>
        <w:tc>
          <w:tcPr>
            <w:tcW w:w="0" w:type="auto"/>
            <w:hideMark/>
          </w:tcPr>
          <w:p w14:paraId="438E4AD2" w14:textId="77777777" w:rsidR="00093F74" w:rsidRPr="00093F74" w:rsidRDefault="00093F74" w:rsidP="00093F74">
            <w:pPr>
              <w:spacing w:line="259" w:lineRule="auto"/>
            </w:pPr>
            <w:r w:rsidRPr="00093F74">
              <w:t>Plasmid</w:t>
            </w:r>
          </w:p>
        </w:tc>
        <w:tc>
          <w:tcPr>
            <w:tcW w:w="0" w:type="auto"/>
            <w:hideMark/>
          </w:tcPr>
          <w:p w14:paraId="44D93E2B" w14:textId="77777777" w:rsidR="00093F74" w:rsidRPr="00093F74" w:rsidRDefault="00093F74" w:rsidP="00093F74">
            <w:pPr>
              <w:spacing w:line="259" w:lineRule="auto"/>
            </w:pPr>
            <w:r w:rsidRPr="00093F74">
              <w:t>AY598030</w:t>
            </w:r>
          </w:p>
        </w:tc>
        <w:tc>
          <w:tcPr>
            <w:tcW w:w="0" w:type="auto"/>
            <w:hideMark/>
          </w:tcPr>
          <w:p w14:paraId="5D32D654" w14:textId="77777777" w:rsidR="00093F74" w:rsidRPr="00093F74" w:rsidRDefault="00093F74" w:rsidP="00093F74">
            <w:pPr>
              <w:spacing w:line="259" w:lineRule="auto"/>
            </w:pPr>
            <w:r w:rsidRPr="00093F74">
              <w:t>Disinfectant resistance</w:t>
            </w:r>
          </w:p>
        </w:tc>
      </w:tr>
      <w:tr w:rsidR="00093F74" w:rsidRPr="00093F74" w14:paraId="68FD233D" w14:textId="77777777" w:rsidTr="00093F74">
        <w:tc>
          <w:tcPr>
            <w:tcW w:w="0" w:type="auto"/>
            <w:hideMark/>
          </w:tcPr>
          <w:p w14:paraId="1C4A036B" w14:textId="77777777" w:rsidR="00093F74" w:rsidRPr="00093F74" w:rsidRDefault="00093F74" w:rsidP="00093F74">
            <w:pPr>
              <w:spacing w:line="259" w:lineRule="auto"/>
            </w:pPr>
            <w:r w:rsidRPr="00093F74">
              <w:rPr>
                <w:i/>
                <w:iCs/>
              </w:rPr>
              <w:t>qacE</w:t>
            </w:r>
          </w:p>
        </w:tc>
        <w:tc>
          <w:tcPr>
            <w:tcW w:w="0" w:type="auto"/>
            <w:hideMark/>
          </w:tcPr>
          <w:p w14:paraId="5E71E016" w14:textId="77777777" w:rsidR="00093F74" w:rsidRPr="00093F74" w:rsidRDefault="00093F74" w:rsidP="00093F74">
            <w:pPr>
              <w:spacing w:line="259" w:lineRule="auto"/>
            </w:pPr>
            <w:r w:rsidRPr="00093F74">
              <w:t>Plasmid</w:t>
            </w:r>
          </w:p>
        </w:tc>
        <w:tc>
          <w:tcPr>
            <w:tcW w:w="0" w:type="auto"/>
            <w:hideMark/>
          </w:tcPr>
          <w:p w14:paraId="51AE9005" w14:textId="77777777" w:rsidR="00093F74" w:rsidRPr="00093F74" w:rsidRDefault="00093F74" w:rsidP="00093F74">
            <w:pPr>
              <w:spacing w:line="259" w:lineRule="auto"/>
            </w:pPr>
            <w:r w:rsidRPr="00093F74">
              <w:t>X68232</w:t>
            </w:r>
          </w:p>
        </w:tc>
        <w:tc>
          <w:tcPr>
            <w:tcW w:w="0" w:type="auto"/>
            <w:hideMark/>
          </w:tcPr>
          <w:p w14:paraId="30D7FC77" w14:textId="77777777" w:rsidR="00093F74" w:rsidRPr="00093F74" w:rsidRDefault="00093F74" w:rsidP="00093F74">
            <w:pPr>
              <w:spacing w:line="259" w:lineRule="auto"/>
            </w:pPr>
            <w:r w:rsidRPr="00093F74">
              <w:t>Disinfectant resistance</w:t>
            </w:r>
          </w:p>
        </w:tc>
      </w:tr>
      <w:tr w:rsidR="00093F74" w:rsidRPr="00093F74" w14:paraId="5061C06B" w14:textId="77777777" w:rsidTr="00093F74">
        <w:tc>
          <w:tcPr>
            <w:tcW w:w="0" w:type="auto"/>
            <w:hideMark/>
          </w:tcPr>
          <w:p w14:paraId="523DDC56" w14:textId="77777777" w:rsidR="00093F74" w:rsidRPr="00093F74" w:rsidRDefault="00093F74" w:rsidP="00093F74">
            <w:pPr>
              <w:spacing w:line="259" w:lineRule="auto"/>
            </w:pPr>
            <w:r w:rsidRPr="00093F74">
              <w:rPr>
                <w:i/>
                <w:iCs/>
              </w:rPr>
              <w:t>bacA</w:t>
            </w:r>
          </w:p>
        </w:tc>
        <w:tc>
          <w:tcPr>
            <w:tcW w:w="0" w:type="auto"/>
            <w:hideMark/>
          </w:tcPr>
          <w:p w14:paraId="2A3AAEC7" w14:textId="77777777" w:rsidR="00093F74" w:rsidRPr="00093F74" w:rsidRDefault="00093F74" w:rsidP="00093F74">
            <w:pPr>
              <w:spacing w:line="259" w:lineRule="auto"/>
            </w:pPr>
            <w:r w:rsidRPr="00093F74">
              <w:t>Chromosomal</w:t>
            </w:r>
          </w:p>
        </w:tc>
        <w:tc>
          <w:tcPr>
            <w:tcW w:w="0" w:type="auto"/>
            <w:hideMark/>
          </w:tcPr>
          <w:p w14:paraId="284FD279" w14:textId="77777777" w:rsidR="00093F74" w:rsidRPr="00093F74" w:rsidRDefault="00093F74" w:rsidP="00093F74">
            <w:pPr>
              <w:spacing w:line="259" w:lineRule="auto"/>
            </w:pPr>
            <w:r w:rsidRPr="00093F74">
              <w:t>3002986</w:t>
            </w:r>
          </w:p>
        </w:tc>
        <w:tc>
          <w:tcPr>
            <w:tcW w:w="0" w:type="auto"/>
            <w:hideMark/>
          </w:tcPr>
          <w:p w14:paraId="194A3F0E" w14:textId="77777777" w:rsidR="00093F74" w:rsidRPr="00093F74" w:rsidRDefault="00093F74" w:rsidP="00093F74">
            <w:pPr>
              <w:spacing w:line="259" w:lineRule="auto"/>
            </w:pPr>
            <w:r w:rsidRPr="00093F74">
              <w:t>Peptide antibiotic resistance</w:t>
            </w:r>
          </w:p>
        </w:tc>
      </w:tr>
      <w:tr w:rsidR="00093F74" w:rsidRPr="00093F74" w14:paraId="0A7A0B45" w14:textId="77777777" w:rsidTr="00093F74">
        <w:tc>
          <w:tcPr>
            <w:tcW w:w="0" w:type="auto"/>
            <w:hideMark/>
          </w:tcPr>
          <w:p w14:paraId="511FBBE3" w14:textId="77777777" w:rsidR="00093F74" w:rsidRPr="00093F74" w:rsidRDefault="00093F74" w:rsidP="00093F74">
            <w:pPr>
              <w:spacing w:line="259" w:lineRule="auto"/>
            </w:pPr>
            <w:r w:rsidRPr="00093F74">
              <w:rPr>
                <w:i/>
                <w:iCs/>
              </w:rPr>
              <w:t>mdtG</w:t>
            </w:r>
          </w:p>
        </w:tc>
        <w:tc>
          <w:tcPr>
            <w:tcW w:w="0" w:type="auto"/>
            <w:hideMark/>
          </w:tcPr>
          <w:p w14:paraId="4977C656" w14:textId="77777777" w:rsidR="00093F74" w:rsidRPr="00093F74" w:rsidRDefault="00093F74" w:rsidP="00093F74">
            <w:pPr>
              <w:spacing w:line="259" w:lineRule="auto"/>
            </w:pPr>
            <w:r w:rsidRPr="00093F74">
              <w:t>Chromosomal</w:t>
            </w:r>
          </w:p>
        </w:tc>
        <w:tc>
          <w:tcPr>
            <w:tcW w:w="0" w:type="auto"/>
            <w:hideMark/>
          </w:tcPr>
          <w:p w14:paraId="1300A70A" w14:textId="77777777" w:rsidR="00093F74" w:rsidRPr="00093F74" w:rsidRDefault="00093F74" w:rsidP="00093F74">
            <w:pPr>
              <w:spacing w:line="259" w:lineRule="auto"/>
            </w:pPr>
            <w:r w:rsidRPr="00093F74">
              <w:t>3001329</w:t>
            </w:r>
          </w:p>
        </w:tc>
        <w:tc>
          <w:tcPr>
            <w:tcW w:w="0" w:type="auto"/>
            <w:hideMark/>
          </w:tcPr>
          <w:p w14:paraId="1B14DD49" w14:textId="77777777" w:rsidR="00093F74" w:rsidRPr="00093F74" w:rsidRDefault="00093F74" w:rsidP="00093F74">
            <w:pPr>
              <w:spacing w:line="259" w:lineRule="auto"/>
            </w:pPr>
            <w:r w:rsidRPr="00093F74">
              <w:t>MFS antibiotic efflux pump</w:t>
            </w:r>
          </w:p>
        </w:tc>
      </w:tr>
      <w:tr w:rsidR="00093F74" w:rsidRPr="00093F74" w14:paraId="2FFB3748" w14:textId="77777777" w:rsidTr="00093F74">
        <w:tc>
          <w:tcPr>
            <w:tcW w:w="0" w:type="auto"/>
            <w:hideMark/>
          </w:tcPr>
          <w:p w14:paraId="070F1011" w14:textId="77777777" w:rsidR="00093F74" w:rsidRPr="00093F74" w:rsidRDefault="00093F74" w:rsidP="00093F74">
            <w:pPr>
              <w:spacing w:line="259" w:lineRule="auto"/>
            </w:pPr>
            <w:r w:rsidRPr="00093F74">
              <w:rPr>
                <w:i/>
                <w:iCs/>
              </w:rPr>
              <w:t>mdtH</w:t>
            </w:r>
          </w:p>
        </w:tc>
        <w:tc>
          <w:tcPr>
            <w:tcW w:w="0" w:type="auto"/>
            <w:hideMark/>
          </w:tcPr>
          <w:p w14:paraId="67E7FFEA" w14:textId="77777777" w:rsidR="00093F74" w:rsidRPr="00093F74" w:rsidRDefault="00093F74" w:rsidP="00093F74">
            <w:pPr>
              <w:spacing w:line="259" w:lineRule="auto"/>
            </w:pPr>
            <w:r w:rsidRPr="00093F74">
              <w:t>Chromosomal</w:t>
            </w:r>
          </w:p>
        </w:tc>
        <w:tc>
          <w:tcPr>
            <w:tcW w:w="0" w:type="auto"/>
            <w:hideMark/>
          </w:tcPr>
          <w:p w14:paraId="4A51A67F" w14:textId="77777777" w:rsidR="00093F74" w:rsidRPr="00093F74" w:rsidRDefault="00093F74" w:rsidP="00093F74">
            <w:pPr>
              <w:spacing w:line="259" w:lineRule="auto"/>
            </w:pPr>
            <w:r w:rsidRPr="00093F74">
              <w:t>3001216</w:t>
            </w:r>
          </w:p>
        </w:tc>
        <w:tc>
          <w:tcPr>
            <w:tcW w:w="0" w:type="auto"/>
            <w:hideMark/>
          </w:tcPr>
          <w:p w14:paraId="396D44F5" w14:textId="77777777" w:rsidR="00093F74" w:rsidRPr="00093F74" w:rsidRDefault="00093F74" w:rsidP="00093F74">
            <w:pPr>
              <w:spacing w:line="259" w:lineRule="auto"/>
            </w:pPr>
            <w:r w:rsidRPr="00093F74">
              <w:t>MFS antibiotic efflux pump</w:t>
            </w:r>
          </w:p>
        </w:tc>
      </w:tr>
      <w:tr w:rsidR="00093F74" w:rsidRPr="00093F74" w14:paraId="420C02E8" w14:textId="77777777" w:rsidTr="00093F74">
        <w:tc>
          <w:tcPr>
            <w:tcW w:w="0" w:type="auto"/>
            <w:hideMark/>
          </w:tcPr>
          <w:p w14:paraId="53849B8C" w14:textId="77777777" w:rsidR="00093F74" w:rsidRPr="00093F74" w:rsidRDefault="00093F74" w:rsidP="00093F74">
            <w:pPr>
              <w:spacing w:line="259" w:lineRule="auto"/>
            </w:pPr>
            <w:r w:rsidRPr="00093F74">
              <w:rPr>
                <w:i/>
                <w:iCs/>
              </w:rPr>
              <w:t>mdtP</w:t>
            </w:r>
          </w:p>
        </w:tc>
        <w:tc>
          <w:tcPr>
            <w:tcW w:w="0" w:type="auto"/>
            <w:hideMark/>
          </w:tcPr>
          <w:p w14:paraId="21503442" w14:textId="77777777" w:rsidR="00093F74" w:rsidRPr="00093F74" w:rsidRDefault="00093F74" w:rsidP="00093F74">
            <w:pPr>
              <w:spacing w:line="259" w:lineRule="auto"/>
            </w:pPr>
            <w:r w:rsidRPr="00093F74">
              <w:t>Chromosomal</w:t>
            </w:r>
          </w:p>
        </w:tc>
        <w:tc>
          <w:tcPr>
            <w:tcW w:w="0" w:type="auto"/>
            <w:hideMark/>
          </w:tcPr>
          <w:p w14:paraId="1CF19F1F" w14:textId="77777777" w:rsidR="00093F74" w:rsidRPr="00093F74" w:rsidRDefault="00093F74" w:rsidP="00093F74">
            <w:pPr>
              <w:spacing w:line="259" w:lineRule="auto"/>
            </w:pPr>
            <w:r w:rsidRPr="00093F74">
              <w:t>3003550</w:t>
            </w:r>
          </w:p>
        </w:tc>
        <w:tc>
          <w:tcPr>
            <w:tcW w:w="0" w:type="auto"/>
            <w:hideMark/>
          </w:tcPr>
          <w:p w14:paraId="7C722540" w14:textId="77777777" w:rsidR="00093F74" w:rsidRPr="00093F74" w:rsidRDefault="00093F74" w:rsidP="00093F74">
            <w:pPr>
              <w:spacing w:line="259" w:lineRule="auto"/>
            </w:pPr>
            <w:r w:rsidRPr="00093F74">
              <w:t>MFS antibiotic efflux pump</w:t>
            </w:r>
          </w:p>
        </w:tc>
      </w:tr>
      <w:tr w:rsidR="00093F74" w:rsidRPr="00093F74" w14:paraId="249E78B1" w14:textId="77777777" w:rsidTr="00093F74">
        <w:tc>
          <w:tcPr>
            <w:tcW w:w="0" w:type="auto"/>
            <w:hideMark/>
          </w:tcPr>
          <w:p w14:paraId="61D86575" w14:textId="77777777" w:rsidR="00093F74" w:rsidRPr="00093F74" w:rsidRDefault="00093F74" w:rsidP="00093F74">
            <w:pPr>
              <w:spacing w:line="259" w:lineRule="auto"/>
            </w:pPr>
            <w:r w:rsidRPr="00093F74">
              <w:rPr>
                <w:i/>
                <w:iCs/>
              </w:rPr>
              <w:t>mdtN</w:t>
            </w:r>
          </w:p>
        </w:tc>
        <w:tc>
          <w:tcPr>
            <w:tcW w:w="0" w:type="auto"/>
            <w:hideMark/>
          </w:tcPr>
          <w:p w14:paraId="45B917EA" w14:textId="77777777" w:rsidR="00093F74" w:rsidRPr="00093F74" w:rsidRDefault="00093F74" w:rsidP="00093F74">
            <w:pPr>
              <w:spacing w:line="259" w:lineRule="auto"/>
            </w:pPr>
            <w:r w:rsidRPr="00093F74">
              <w:t>Chromosomal</w:t>
            </w:r>
          </w:p>
        </w:tc>
        <w:tc>
          <w:tcPr>
            <w:tcW w:w="0" w:type="auto"/>
            <w:hideMark/>
          </w:tcPr>
          <w:p w14:paraId="68D740C0" w14:textId="77777777" w:rsidR="00093F74" w:rsidRPr="00093F74" w:rsidRDefault="00093F74" w:rsidP="00093F74">
            <w:pPr>
              <w:spacing w:line="259" w:lineRule="auto"/>
            </w:pPr>
            <w:r w:rsidRPr="00093F74">
              <w:t>3003548</w:t>
            </w:r>
          </w:p>
        </w:tc>
        <w:tc>
          <w:tcPr>
            <w:tcW w:w="0" w:type="auto"/>
            <w:hideMark/>
          </w:tcPr>
          <w:p w14:paraId="24DBF04D" w14:textId="77777777" w:rsidR="00093F74" w:rsidRPr="00093F74" w:rsidRDefault="00093F74" w:rsidP="00093F74">
            <w:pPr>
              <w:spacing w:line="259" w:lineRule="auto"/>
            </w:pPr>
            <w:r w:rsidRPr="00093F74">
              <w:t>MFS antibiotic efflux pump</w:t>
            </w:r>
          </w:p>
        </w:tc>
      </w:tr>
      <w:tr w:rsidR="00093F74" w:rsidRPr="00093F74" w14:paraId="0DC35A54" w14:textId="77777777" w:rsidTr="00093F74">
        <w:tc>
          <w:tcPr>
            <w:tcW w:w="0" w:type="auto"/>
            <w:hideMark/>
          </w:tcPr>
          <w:p w14:paraId="6E88D30C" w14:textId="77777777" w:rsidR="00093F74" w:rsidRPr="00093F74" w:rsidRDefault="00093F74" w:rsidP="00093F74">
            <w:pPr>
              <w:spacing w:line="259" w:lineRule="auto"/>
            </w:pPr>
            <w:r w:rsidRPr="00093F74">
              <w:rPr>
                <w:i/>
                <w:iCs/>
              </w:rPr>
              <w:t>tolC</w:t>
            </w:r>
          </w:p>
        </w:tc>
        <w:tc>
          <w:tcPr>
            <w:tcW w:w="0" w:type="auto"/>
            <w:hideMark/>
          </w:tcPr>
          <w:p w14:paraId="12156EC5" w14:textId="77777777" w:rsidR="00093F74" w:rsidRPr="00093F74" w:rsidRDefault="00093F74" w:rsidP="00093F74">
            <w:pPr>
              <w:spacing w:line="259" w:lineRule="auto"/>
            </w:pPr>
            <w:r w:rsidRPr="00093F74">
              <w:t>Chromosomal</w:t>
            </w:r>
          </w:p>
        </w:tc>
        <w:tc>
          <w:tcPr>
            <w:tcW w:w="0" w:type="auto"/>
            <w:hideMark/>
          </w:tcPr>
          <w:p w14:paraId="5B473556" w14:textId="77777777" w:rsidR="00093F74" w:rsidRPr="00093F74" w:rsidRDefault="00093F74" w:rsidP="00093F74">
            <w:pPr>
              <w:spacing w:line="259" w:lineRule="auto"/>
            </w:pPr>
            <w:r w:rsidRPr="00093F74">
              <w:t>3000237</w:t>
            </w:r>
          </w:p>
        </w:tc>
        <w:tc>
          <w:tcPr>
            <w:tcW w:w="0" w:type="auto"/>
            <w:hideMark/>
          </w:tcPr>
          <w:p w14:paraId="55D5FFCE" w14:textId="77777777" w:rsidR="00093F74" w:rsidRPr="00093F74" w:rsidRDefault="00093F74" w:rsidP="00093F74">
            <w:pPr>
              <w:spacing w:line="259" w:lineRule="auto"/>
            </w:pPr>
            <w:r w:rsidRPr="00093F74">
              <w:t>MFS antibiotic efflux pump</w:t>
            </w:r>
          </w:p>
        </w:tc>
      </w:tr>
      <w:tr w:rsidR="00093F74" w:rsidRPr="00093F74" w14:paraId="37F02BDA" w14:textId="77777777" w:rsidTr="00093F74">
        <w:tc>
          <w:tcPr>
            <w:tcW w:w="0" w:type="auto"/>
            <w:hideMark/>
          </w:tcPr>
          <w:p w14:paraId="1A6D0FDA" w14:textId="77777777" w:rsidR="00093F74" w:rsidRPr="00093F74" w:rsidRDefault="00093F74" w:rsidP="00093F74">
            <w:pPr>
              <w:spacing w:line="259" w:lineRule="auto"/>
            </w:pPr>
            <w:r w:rsidRPr="00093F74">
              <w:rPr>
                <w:i/>
                <w:iCs/>
              </w:rPr>
              <w:t>emrA</w:t>
            </w:r>
          </w:p>
        </w:tc>
        <w:tc>
          <w:tcPr>
            <w:tcW w:w="0" w:type="auto"/>
            <w:hideMark/>
          </w:tcPr>
          <w:p w14:paraId="6505CEAC" w14:textId="77777777" w:rsidR="00093F74" w:rsidRPr="00093F74" w:rsidRDefault="00093F74" w:rsidP="00093F74">
            <w:pPr>
              <w:spacing w:line="259" w:lineRule="auto"/>
            </w:pPr>
            <w:r w:rsidRPr="00093F74">
              <w:t>Chromosomal</w:t>
            </w:r>
          </w:p>
        </w:tc>
        <w:tc>
          <w:tcPr>
            <w:tcW w:w="0" w:type="auto"/>
            <w:hideMark/>
          </w:tcPr>
          <w:p w14:paraId="2AD68A55" w14:textId="77777777" w:rsidR="00093F74" w:rsidRPr="00093F74" w:rsidRDefault="00093F74" w:rsidP="00093F74">
            <w:pPr>
              <w:spacing w:line="259" w:lineRule="auto"/>
            </w:pPr>
            <w:r w:rsidRPr="00093F74">
              <w:t>3000027</w:t>
            </w:r>
          </w:p>
        </w:tc>
        <w:tc>
          <w:tcPr>
            <w:tcW w:w="0" w:type="auto"/>
            <w:hideMark/>
          </w:tcPr>
          <w:p w14:paraId="03859D4C" w14:textId="77777777" w:rsidR="00093F74" w:rsidRPr="00093F74" w:rsidRDefault="00093F74" w:rsidP="00093F74">
            <w:pPr>
              <w:spacing w:line="259" w:lineRule="auto"/>
            </w:pPr>
            <w:r w:rsidRPr="00093F74">
              <w:t>MFS antibiotic efflux pump</w:t>
            </w:r>
          </w:p>
        </w:tc>
      </w:tr>
      <w:tr w:rsidR="00093F74" w:rsidRPr="00093F74" w14:paraId="49E4D9AF" w14:textId="77777777" w:rsidTr="00093F74">
        <w:tc>
          <w:tcPr>
            <w:tcW w:w="0" w:type="auto"/>
            <w:hideMark/>
          </w:tcPr>
          <w:p w14:paraId="13CF095D" w14:textId="77777777" w:rsidR="00093F74" w:rsidRPr="00093F74" w:rsidRDefault="00093F74" w:rsidP="00093F74">
            <w:pPr>
              <w:spacing w:line="259" w:lineRule="auto"/>
            </w:pPr>
            <w:r w:rsidRPr="00093F74">
              <w:rPr>
                <w:i/>
                <w:iCs/>
              </w:rPr>
              <w:t>emrB</w:t>
            </w:r>
          </w:p>
        </w:tc>
        <w:tc>
          <w:tcPr>
            <w:tcW w:w="0" w:type="auto"/>
            <w:hideMark/>
          </w:tcPr>
          <w:p w14:paraId="08A6ECFC" w14:textId="77777777" w:rsidR="00093F74" w:rsidRPr="00093F74" w:rsidRDefault="00093F74" w:rsidP="00093F74">
            <w:pPr>
              <w:spacing w:line="259" w:lineRule="auto"/>
            </w:pPr>
            <w:r w:rsidRPr="00093F74">
              <w:t>Chromosomal</w:t>
            </w:r>
          </w:p>
        </w:tc>
        <w:tc>
          <w:tcPr>
            <w:tcW w:w="0" w:type="auto"/>
            <w:hideMark/>
          </w:tcPr>
          <w:p w14:paraId="06DE3BDE" w14:textId="77777777" w:rsidR="00093F74" w:rsidRPr="00093F74" w:rsidRDefault="00093F74" w:rsidP="00093F74">
            <w:pPr>
              <w:spacing w:line="259" w:lineRule="auto"/>
            </w:pPr>
            <w:r w:rsidRPr="00093F74">
              <w:t>3000074</w:t>
            </w:r>
          </w:p>
        </w:tc>
        <w:tc>
          <w:tcPr>
            <w:tcW w:w="0" w:type="auto"/>
            <w:hideMark/>
          </w:tcPr>
          <w:p w14:paraId="16AB6F98" w14:textId="77777777" w:rsidR="00093F74" w:rsidRPr="00093F74" w:rsidRDefault="00093F74" w:rsidP="00093F74">
            <w:pPr>
              <w:spacing w:line="259" w:lineRule="auto"/>
            </w:pPr>
            <w:r w:rsidRPr="00093F74">
              <w:t>MFS antibiotic efflux pump</w:t>
            </w:r>
          </w:p>
        </w:tc>
      </w:tr>
      <w:tr w:rsidR="00093F74" w:rsidRPr="00093F74" w14:paraId="7C6955B6" w14:textId="77777777" w:rsidTr="00093F74">
        <w:tc>
          <w:tcPr>
            <w:tcW w:w="0" w:type="auto"/>
            <w:hideMark/>
          </w:tcPr>
          <w:p w14:paraId="6B7FE2A4" w14:textId="77777777" w:rsidR="00093F74" w:rsidRPr="00093F74" w:rsidRDefault="00093F74" w:rsidP="00093F74">
            <w:pPr>
              <w:spacing w:line="259" w:lineRule="auto"/>
            </w:pPr>
            <w:r w:rsidRPr="00093F74">
              <w:rPr>
                <w:i/>
                <w:iCs/>
              </w:rPr>
              <w:t>emrK</w:t>
            </w:r>
          </w:p>
        </w:tc>
        <w:tc>
          <w:tcPr>
            <w:tcW w:w="0" w:type="auto"/>
            <w:hideMark/>
          </w:tcPr>
          <w:p w14:paraId="2426A624" w14:textId="77777777" w:rsidR="00093F74" w:rsidRPr="00093F74" w:rsidRDefault="00093F74" w:rsidP="00093F74">
            <w:pPr>
              <w:spacing w:line="259" w:lineRule="auto"/>
            </w:pPr>
            <w:r w:rsidRPr="00093F74">
              <w:t>Chromosomal</w:t>
            </w:r>
          </w:p>
        </w:tc>
        <w:tc>
          <w:tcPr>
            <w:tcW w:w="0" w:type="auto"/>
            <w:hideMark/>
          </w:tcPr>
          <w:p w14:paraId="79C07097" w14:textId="77777777" w:rsidR="00093F74" w:rsidRPr="00093F74" w:rsidRDefault="00093F74" w:rsidP="00093F74">
            <w:pPr>
              <w:spacing w:line="259" w:lineRule="auto"/>
            </w:pPr>
            <w:r w:rsidRPr="00093F74">
              <w:t>3000206</w:t>
            </w:r>
          </w:p>
        </w:tc>
        <w:tc>
          <w:tcPr>
            <w:tcW w:w="0" w:type="auto"/>
            <w:hideMark/>
          </w:tcPr>
          <w:p w14:paraId="66AC55ED" w14:textId="77777777" w:rsidR="00093F74" w:rsidRPr="00093F74" w:rsidRDefault="00093F74" w:rsidP="00093F74">
            <w:pPr>
              <w:spacing w:line="259" w:lineRule="auto"/>
            </w:pPr>
            <w:r w:rsidRPr="00093F74">
              <w:t>MFS antibiotic efflux pump</w:t>
            </w:r>
          </w:p>
        </w:tc>
      </w:tr>
      <w:tr w:rsidR="00093F74" w:rsidRPr="00093F74" w14:paraId="7A71F70B" w14:textId="77777777" w:rsidTr="00093F74">
        <w:tc>
          <w:tcPr>
            <w:tcW w:w="0" w:type="auto"/>
            <w:hideMark/>
          </w:tcPr>
          <w:p w14:paraId="700A278B" w14:textId="77777777" w:rsidR="00093F74" w:rsidRPr="00093F74" w:rsidRDefault="00093F74" w:rsidP="00093F74">
            <w:pPr>
              <w:spacing w:line="259" w:lineRule="auto"/>
            </w:pPr>
            <w:r w:rsidRPr="00093F74">
              <w:rPr>
                <w:i/>
                <w:iCs/>
              </w:rPr>
              <w:t>emrY</w:t>
            </w:r>
          </w:p>
        </w:tc>
        <w:tc>
          <w:tcPr>
            <w:tcW w:w="0" w:type="auto"/>
            <w:hideMark/>
          </w:tcPr>
          <w:p w14:paraId="509BE639" w14:textId="77777777" w:rsidR="00093F74" w:rsidRPr="00093F74" w:rsidRDefault="00093F74" w:rsidP="00093F74">
            <w:pPr>
              <w:spacing w:line="259" w:lineRule="auto"/>
            </w:pPr>
            <w:r w:rsidRPr="00093F74">
              <w:t>Chromosomal</w:t>
            </w:r>
          </w:p>
        </w:tc>
        <w:tc>
          <w:tcPr>
            <w:tcW w:w="0" w:type="auto"/>
            <w:hideMark/>
          </w:tcPr>
          <w:p w14:paraId="07DBF3C0" w14:textId="77777777" w:rsidR="00093F74" w:rsidRPr="00093F74" w:rsidRDefault="00093F74" w:rsidP="00093F74">
            <w:pPr>
              <w:spacing w:line="259" w:lineRule="auto"/>
            </w:pPr>
            <w:r w:rsidRPr="00093F74">
              <w:t>3000254</w:t>
            </w:r>
          </w:p>
        </w:tc>
        <w:tc>
          <w:tcPr>
            <w:tcW w:w="0" w:type="auto"/>
            <w:hideMark/>
          </w:tcPr>
          <w:p w14:paraId="1C22B477" w14:textId="77777777" w:rsidR="00093F74" w:rsidRPr="00093F74" w:rsidRDefault="00093F74" w:rsidP="00093F74">
            <w:pPr>
              <w:spacing w:line="259" w:lineRule="auto"/>
            </w:pPr>
            <w:r w:rsidRPr="00093F74">
              <w:t>MFS antibiotic efflux pump</w:t>
            </w:r>
          </w:p>
        </w:tc>
      </w:tr>
      <w:tr w:rsidR="00093F74" w:rsidRPr="00093F74" w14:paraId="438851CF" w14:textId="77777777" w:rsidTr="00093F74">
        <w:tc>
          <w:tcPr>
            <w:tcW w:w="0" w:type="auto"/>
            <w:hideMark/>
          </w:tcPr>
          <w:p w14:paraId="011F5B95" w14:textId="77777777" w:rsidR="00093F74" w:rsidRPr="00093F74" w:rsidRDefault="00093F74" w:rsidP="00093F74">
            <w:pPr>
              <w:spacing w:line="259" w:lineRule="auto"/>
            </w:pPr>
            <w:r w:rsidRPr="00093F74">
              <w:rPr>
                <w:i/>
                <w:iCs/>
              </w:rPr>
              <w:t>evgA</w:t>
            </w:r>
          </w:p>
        </w:tc>
        <w:tc>
          <w:tcPr>
            <w:tcW w:w="0" w:type="auto"/>
            <w:hideMark/>
          </w:tcPr>
          <w:p w14:paraId="2B091CE6" w14:textId="77777777" w:rsidR="00093F74" w:rsidRPr="00093F74" w:rsidRDefault="00093F74" w:rsidP="00093F74">
            <w:pPr>
              <w:spacing w:line="259" w:lineRule="auto"/>
            </w:pPr>
            <w:r w:rsidRPr="00093F74">
              <w:t>Chromosomal</w:t>
            </w:r>
          </w:p>
        </w:tc>
        <w:tc>
          <w:tcPr>
            <w:tcW w:w="0" w:type="auto"/>
            <w:hideMark/>
          </w:tcPr>
          <w:p w14:paraId="17A67F1F" w14:textId="77777777" w:rsidR="00093F74" w:rsidRPr="00093F74" w:rsidRDefault="00093F74" w:rsidP="00093F74">
            <w:pPr>
              <w:spacing w:line="259" w:lineRule="auto"/>
            </w:pPr>
            <w:r w:rsidRPr="00093F74">
              <w:t>3000833</w:t>
            </w:r>
          </w:p>
        </w:tc>
        <w:tc>
          <w:tcPr>
            <w:tcW w:w="0" w:type="auto"/>
            <w:hideMark/>
          </w:tcPr>
          <w:p w14:paraId="696785E3" w14:textId="77777777" w:rsidR="00093F74" w:rsidRPr="00093F74" w:rsidRDefault="00093F74" w:rsidP="00093F74">
            <w:pPr>
              <w:spacing w:line="259" w:lineRule="auto"/>
            </w:pPr>
            <w:r w:rsidRPr="00093F74">
              <w:t>MFS antibiotic efflux pump</w:t>
            </w:r>
          </w:p>
        </w:tc>
      </w:tr>
      <w:tr w:rsidR="00093F74" w:rsidRPr="00093F74" w14:paraId="12D3F6F3" w14:textId="77777777" w:rsidTr="00093F74">
        <w:tc>
          <w:tcPr>
            <w:tcW w:w="0" w:type="auto"/>
            <w:hideMark/>
          </w:tcPr>
          <w:p w14:paraId="5FB7496A" w14:textId="77777777" w:rsidR="00093F74" w:rsidRPr="00093F74" w:rsidRDefault="00093F74" w:rsidP="00093F74">
            <w:pPr>
              <w:spacing w:line="259" w:lineRule="auto"/>
            </w:pPr>
            <w:r w:rsidRPr="00093F74">
              <w:rPr>
                <w:i/>
                <w:iCs/>
              </w:rPr>
              <w:t>H-NS</w:t>
            </w:r>
          </w:p>
        </w:tc>
        <w:tc>
          <w:tcPr>
            <w:tcW w:w="0" w:type="auto"/>
            <w:hideMark/>
          </w:tcPr>
          <w:p w14:paraId="158851D5" w14:textId="77777777" w:rsidR="00093F74" w:rsidRPr="00093F74" w:rsidRDefault="00093F74" w:rsidP="00093F74">
            <w:pPr>
              <w:spacing w:line="259" w:lineRule="auto"/>
            </w:pPr>
            <w:r w:rsidRPr="00093F74">
              <w:t>Chromosomal</w:t>
            </w:r>
          </w:p>
        </w:tc>
        <w:tc>
          <w:tcPr>
            <w:tcW w:w="0" w:type="auto"/>
            <w:hideMark/>
          </w:tcPr>
          <w:p w14:paraId="29B8288E" w14:textId="77777777" w:rsidR="00093F74" w:rsidRPr="00093F74" w:rsidRDefault="00093F74" w:rsidP="00093F74">
            <w:pPr>
              <w:spacing w:line="259" w:lineRule="auto"/>
            </w:pPr>
            <w:r w:rsidRPr="00093F74">
              <w:t>3000676</w:t>
            </w:r>
          </w:p>
        </w:tc>
        <w:tc>
          <w:tcPr>
            <w:tcW w:w="0" w:type="auto"/>
            <w:hideMark/>
          </w:tcPr>
          <w:p w14:paraId="18F890B4" w14:textId="77777777" w:rsidR="00093F74" w:rsidRPr="00093F74" w:rsidRDefault="00093F74" w:rsidP="00093F74">
            <w:pPr>
              <w:spacing w:line="259" w:lineRule="auto"/>
            </w:pPr>
            <w:r w:rsidRPr="00093F74">
              <w:t>MFS antibiotic efflux pump</w:t>
            </w:r>
          </w:p>
        </w:tc>
      </w:tr>
      <w:tr w:rsidR="00093F74" w:rsidRPr="00093F74" w14:paraId="5EA570EB" w14:textId="77777777" w:rsidTr="00093F74">
        <w:tc>
          <w:tcPr>
            <w:tcW w:w="0" w:type="auto"/>
            <w:hideMark/>
          </w:tcPr>
          <w:p w14:paraId="68B58C89" w14:textId="77777777" w:rsidR="00093F74" w:rsidRPr="00093F74" w:rsidRDefault="00093F74" w:rsidP="00093F74">
            <w:pPr>
              <w:spacing w:line="259" w:lineRule="auto"/>
            </w:pPr>
            <w:r w:rsidRPr="00093F74">
              <w:rPr>
                <w:i/>
                <w:iCs/>
              </w:rPr>
              <w:t>ampH</w:t>
            </w:r>
          </w:p>
        </w:tc>
        <w:tc>
          <w:tcPr>
            <w:tcW w:w="0" w:type="auto"/>
            <w:hideMark/>
          </w:tcPr>
          <w:p w14:paraId="17DD4FD2" w14:textId="77777777" w:rsidR="00093F74" w:rsidRPr="00093F74" w:rsidRDefault="00093F74" w:rsidP="00093F74">
            <w:pPr>
              <w:spacing w:line="259" w:lineRule="auto"/>
            </w:pPr>
            <w:r w:rsidRPr="00093F74">
              <w:t>Chromosomal</w:t>
            </w:r>
          </w:p>
        </w:tc>
        <w:tc>
          <w:tcPr>
            <w:tcW w:w="0" w:type="auto"/>
            <w:hideMark/>
          </w:tcPr>
          <w:p w14:paraId="204BDBEB" w14:textId="77777777" w:rsidR="00093F74" w:rsidRPr="00093F74" w:rsidRDefault="00093F74" w:rsidP="00093F74">
            <w:pPr>
              <w:spacing w:line="259" w:lineRule="auto"/>
            </w:pPr>
            <w:r w:rsidRPr="00093F74">
              <w:t>3004612</w:t>
            </w:r>
          </w:p>
        </w:tc>
        <w:tc>
          <w:tcPr>
            <w:tcW w:w="0" w:type="auto"/>
            <w:hideMark/>
          </w:tcPr>
          <w:p w14:paraId="19409BCB" w14:textId="77777777" w:rsidR="00093F74" w:rsidRPr="00093F74" w:rsidRDefault="00093F74" w:rsidP="00093F74">
            <w:pPr>
              <w:spacing w:line="259" w:lineRule="auto"/>
            </w:pPr>
            <w:r w:rsidRPr="00093F74">
              <w:t>ampC-type beta-lactamase</w:t>
            </w:r>
          </w:p>
        </w:tc>
      </w:tr>
      <w:tr w:rsidR="00093F74" w:rsidRPr="00093F74" w14:paraId="0B944469" w14:textId="77777777" w:rsidTr="00093F74">
        <w:tc>
          <w:tcPr>
            <w:tcW w:w="0" w:type="auto"/>
            <w:hideMark/>
          </w:tcPr>
          <w:p w14:paraId="0BE9CDBA" w14:textId="77777777" w:rsidR="00093F74" w:rsidRPr="00093F74" w:rsidRDefault="00093F74" w:rsidP="00093F74">
            <w:pPr>
              <w:spacing w:line="259" w:lineRule="auto"/>
            </w:pPr>
            <w:r w:rsidRPr="00093F74">
              <w:rPr>
                <w:i/>
                <w:iCs/>
              </w:rPr>
              <w:t>ampC1</w:t>
            </w:r>
          </w:p>
        </w:tc>
        <w:tc>
          <w:tcPr>
            <w:tcW w:w="0" w:type="auto"/>
            <w:hideMark/>
          </w:tcPr>
          <w:p w14:paraId="238610B2" w14:textId="77777777" w:rsidR="00093F74" w:rsidRPr="00093F74" w:rsidRDefault="00093F74" w:rsidP="00093F74">
            <w:pPr>
              <w:spacing w:line="259" w:lineRule="auto"/>
            </w:pPr>
            <w:r w:rsidRPr="00093F74">
              <w:t>Chromosomal</w:t>
            </w:r>
          </w:p>
        </w:tc>
        <w:tc>
          <w:tcPr>
            <w:tcW w:w="0" w:type="auto"/>
            <w:hideMark/>
          </w:tcPr>
          <w:p w14:paraId="693B3203" w14:textId="77777777" w:rsidR="00093F74" w:rsidRPr="00093F74" w:rsidRDefault="00093F74" w:rsidP="00093F74">
            <w:pPr>
              <w:spacing w:line="259" w:lineRule="auto"/>
            </w:pPr>
            <w:r w:rsidRPr="00093F74">
              <w:t>3004611</w:t>
            </w:r>
          </w:p>
        </w:tc>
        <w:tc>
          <w:tcPr>
            <w:tcW w:w="0" w:type="auto"/>
            <w:hideMark/>
          </w:tcPr>
          <w:p w14:paraId="1EFA8385" w14:textId="77777777" w:rsidR="00093F74" w:rsidRPr="00093F74" w:rsidRDefault="00093F74" w:rsidP="00093F74">
            <w:pPr>
              <w:spacing w:line="259" w:lineRule="auto"/>
            </w:pPr>
            <w:r w:rsidRPr="00093F74">
              <w:t>ampC-type beta-lactamase</w:t>
            </w:r>
          </w:p>
        </w:tc>
      </w:tr>
      <w:tr w:rsidR="00093F74" w:rsidRPr="00093F74" w14:paraId="6A30FF4E" w14:textId="77777777" w:rsidTr="00093F74">
        <w:tc>
          <w:tcPr>
            <w:tcW w:w="0" w:type="auto"/>
            <w:hideMark/>
          </w:tcPr>
          <w:p w14:paraId="5211215F" w14:textId="77777777" w:rsidR="00093F74" w:rsidRPr="00093F74" w:rsidRDefault="00093F74" w:rsidP="00093F74">
            <w:pPr>
              <w:spacing w:line="259" w:lineRule="auto"/>
            </w:pPr>
            <w:r w:rsidRPr="00093F74">
              <w:rPr>
                <w:i/>
                <w:iCs/>
              </w:rPr>
              <w:t>cpxA</w:t>
            </w:r>
          </w:p>
        </w:tc>
        <w:tc>
          <w:tcPr>
            <w:tcW w:w="0" w:type="auto"/>
            <w:hideMark/>
          </w:tcPr>
          <w:p w14:paraId="763A204F" w14:textId="77777777" w:rsidR="00093F74" w:rsidRPr="00093F74" w:rsidRDefault="00093F74" w:rsidP="00093F74">
            <w:pPr>
              <w:spacing w:line="259" w:lineRule="auto"/>
            </w:pPr>
            <w:r w:rsidRPr="00093F74">
              <w:t>Chromosomal</w:t>
            </w:r>
          </w:p>
        </w:tc>
        <w:tc>
          <w:tcPr>
            <w:tcW w:w="0" w:type="auto"/>
            <w:hideMark/>
          </w:tcPr>
          <w:p w14:paraId="2EF67EFF" w14:textId="77777777" w:rsidR="00093F74" w:rsidRPr="00093F74" w:rsidRDefault="00093F74" w:rsidP="00093F74">
            <w:pPr>
              <w:spacing w:line="259" w:lineRule="auto"/>
            </w:pPr>
            <w:r w:rsidRPr="00093F74">
              <w:t>3000830</w:t>
            </w:r>
          </w:p>
        </w:tc>
        <w:tc>
          <w:tcPr>
            <w:tcW w:w="0" w:type="auto"/>
            <w:hideMark/>
          </w:tcPr>
          <w:p w14:paraId="4172BFB3" w14:textId="77777777" w:rsidR="00093F74" w:rsidRPr="00093F74" w:rsidRDefault="00093F74" w:rsidP="00093F74">
            <w:pPr>
              <w:spacing w:line="259" w:lineRule="auto"/>
            </w:pPr>
            <w:r w:rsidRPr="00093F74">
              <w:t>RND Efflux pump</w:t>
            </w:r>
          </w:p>
        </w:tc>
      </w:tr>
      <w:tr w:rsidR="00093F74" w:rsidRPr="00093F74" w14:paraId="5B0AEB34" w14:textId="77777777" w:rsidTr="00093F74">
        <w:tc>
          <w:tcPr>
            <w:tcW w:w="0" w:type="auto"/>
            <w:hideMark/>
          </w:tcPr>
          <w:p w14:paraId="74BF45E6" w14:textId="77777777" w:rsidR="00093F74" w:rsidRPr="00093F74" w:rsidRDefault="00093F74" w:rsidP="00093F74">
            <w:pPr>
              <w:spacing w:line="259" w:lineRule="auto"/>
            </w:pPr>
            <w:r w:rsidRPr="00093F74">
              <w:rPr>
                <w:i/>
                <w:iCs/>
              </w:rPr>
              <w:t>gadX</w:t>
            </w:r>
          </w:p>
        </w:tc>
        <w:tc>
          <w:tcPr>
            <w:tcW w:w="0" w:type="auto"/>
            <w:hideMark/>
          </w:tcPr>
          <w:p w14:paraId="68E97E57" w14:textId="77777777" w:rsidR="00093F74" w:rsidRPr="00093F74" w:rsidRDefault="00093F74" w:rsidP="00093F74">
            <w:pPr>
              <w:spacing w:line="259" w:lineRule="auto"/>
            </w:pPr>
            <w:r w:rsidRPr="00093F74">
              <w:t>Chromosomal</w:t>
            </w:r>
          </w:p>
        </w:tc>
        <w:tc>
          <w:tcPr>
            <w:tcW w:w="0" w:type="auto"/>
            <w:hideMark/>
          </w:tcPr>
          <w:p w14:paraId="60A0BE1F" w14:textId="77777777" w:rsidR="00093F74" w:rsidRPr="00093F74" w:rsidRDefault="00093F74" w:rsidP="00093F74">
            <w:pPr>
              <w:spacing w:line="259" w:lineRule="auto"/>
            </w:pPr>
            <w:r w:rsidRPr="00093F74">
              <w:t>3000508</w:t>
            </w:r>
          </w:p>
        </w:tc>
        <w:tc>
          <w:tcPr>
            <w:tcW w:w="0" w:type="auto"/>
            <w:hideMark/>
          </w:tcPr>
          <w:p w14:paraId="11AAA865" w14:textId="77777777" w:rsidR="00093F74" w:rsidRPr="00093F74" w:rsidRDefault="00093F74" w:rsidP="00093F74">
            <w:pPr>
              <w:spacing w:line="259" w:lineRule="auto"/>
            </w:pPr>
            <w:r w:rsidRPr="00093F74">
              <w:t>RND Efflux pump</w:t>
            </w:r>
          </w:p>
        </w:tc>
      </w:tr>
      <w:tr w:rsidR="00093F74" w:rsidRPr="00093F74" w14:paraId="434EB09C" w14:textId="77777777" w:rsidTr="00093F74">
        <w:tc>
          <w:tcPr>
            <w:tcW w:w="0" w:type="auto"/>
            <w:hideMark/>
          </w:tcPr>
          <w:p w14:paraId="4CEE12CA" w14:textId="77777777" w:rsidR="00093F74" w:rsidRPr="00093F74" w:rsidRDefault="00093F74" w:rsidP="00093F74">
            <w:pPr>
              <w:spacing w:line="259" w:lineRule="auto"/>
            </w:pPr>
            <w:r w:rsidRPr="00093F74">
              <w:rPr>
                <w:i/>
                <w:iCs/>
              </w:rPr>
              <w:t>mdtE</w:t>
            </w:r>
          </w:p>
        </w:tc>
        <w:tc>
          <w:tcPr>
            <w:tcW w:w="0" w:type="auto"/>
            <w:hideMark/>
          </w:tcPr>
          <w:p w14:paraId="6453B49C" w14:textId="77777777" w:rsidR="00093F74" w:rsidRPr="00093F74" w:rsidRDefault="00093F74" w:rsidP="00093F74">
            <w:pPr>
              <w:spacing w:line="259" w:lineRule="auto"/>
            </w:pPr>
            <w:r w:rsidRPr="00093F74">
              <w:t>Chromosomal</w:t>
            </w:r>
          </w:p>
        </w:tc>
        <w:tc>
          <w:tcPr>
            <w:tcW w:w="0" w:type="auto"/>
            <w:hideMark/>
          </w:tcPr>
          <w:p w14:paraId="7A44ADB8" w14:textId="77777777" w:rsidR="00093F74" w:rsidRPr="00093F74" w:rsidRDefault="00093F74" w:rsidP="00093F74">
            <w:pPr>
              <w:spacing w:line="259" w:lineRule="auto"/>
            </w:pPr>
            <w:r w:rsidRPr="00093F74">
              <w:t>3000795</w:t>
            </w:r>
          </w:p>
        </w:tc>
        <w:tc>
          <w:tcPr>
            <w:tcW w:w="0" w:type="auto"/>
            <w:hideMark/>
          </w:tcPr>
          <w:p w14:paraId="37C95F02" w14:textId="77777777" w:rsidR="00093F74" w:rsidRPr="00093F74" w:rsidRDefault="00093F74" w:rsidP="00093F74">
            <w:pPr>
              <w:spacing w:line="259" w:lineRule="auto"/>
            </w:pPr>
            <w:r w:rsidRPr="00093F74">
              <w:t>RND Efflux pump</w:t>
            </w:r>
          </w:p>
        </w:tc>
      </w:tr>
      <w:tr w:rsidR="00093F74" w:rsidRPr="00093F74" w14:paraId="18CFFD73" w14:textId="77777777" w:rsidTr="00093F74">
        <w:tc>
          <w:tcPr>
            <w:tcW w:w="0" w:type="auto"/>
            <w:hideMark/>
          </w:tcPr>
          <w:p w14:paraId="3CDA2531" w14:textId="77777777" w:rsidR="00093F74" w:rsidRPr="00093F74" w:rsidRDefault="00093F74" w:rsidP="00093F74">
            <w:pPr>
              <w:spacing w:line="259" w:lineRule="auto"/>
            </w:pPr>
            <w:r w:rsidRPr="00093F74">
              <w:rPr>
                <w:i/>
                <w:iCs/>
              </w:rPr>
              <w:t>mdtF</w:t>
            </w:r>
          </w:p>
        </w:tc>
        <w:tc>
          <w:tcPr>
            <w:tcW w:w="0" w:type="auto"/>
            <w:hideMark/>
          </w:tcPr>
          <w:p w14:paraId="17D19E72" w14:textId="77777777" w:rsidR="00093F74" w:rsidRPr="00093F74" w:rsidRDefault="00093F74" w:rsidP="00093F74">
            <w:pPr>
              <w:spacing w:line="259" w:lineRule="auto"/>
            </w:pPr>
            <w:r w:rsidRPr="00093F74">
              <w:t>Chromosomal</w:t>
            </w:r>
          </w:p>
        </w:tc>
        <w:tc>
          <w:tcPr>
            <w:tcW w:w="0" w:type="auto"/>
            <w:hideMark/>
          </w:tcPr>
          <w:p w14:paraId="5FB8467E" w14:textId="77777777" w:rsidR="00093F74" w:rsidRPr="00093F74" w:rsidRDefault="00093F74" w:rsidP="00093F74">
            <w:pPr>
              <w:spacing w:line="259" w:lineRule="auto"/>
            </w:pPr>
            <w:r w:rsidRPr="00093F74">
              <w:t>3000796</w:t>
            </w:r>
          </w:p>
        </w:tc>
        <w:tc>
          <w:tcPr>
            <w:tcW w:w="0" w:type="auto"/>
            <w:hideMark/>
          </w:tcPr>
          <w:p w14:paraId="3B7529C3" w14:textId="77777777" w:rsidR="00093F74" w:rsidRPr="00093F74" w:rsidRDefault="00093F74" w:rsidP="00093F74">
            <w:pPr>
              <w:spacing w:line="259" w:lineRule="auto"/>
            </w:pPr>
            <w:r w:rsidRPr="00093F74">
              <w:t>RND efflux pump</w:t>
            </w:r>
          </w:p>
        </w:tc>
      </w:tr>
      <w:tr w:rsidR="00093F74" w:rsidRPr="00093F74" w14:paraId="395AFCAB" w14:textId="77777777" w:rsidTr="00093F74">
        <w:tc>
          <w:tcPr>
            <w:tcW w:w="0" w:type="auto"/>
            <w:hideMark/>
          </w:tcPr>
          <w:p w14:paraId="7E3AF5EC" w14:textId="77777777" w:rsidR="00093F74" w:rsidRPr="00093F74" w:rsidRDefault="00093F74" w:rsidP="00093F74">
            <w:pPr>
              <w:spacing w:line="259" w:lineRule="auto"/>
            </w:pPr>
            <w:r w:rsidRPr="00093F74">
              <w:rPr>
                <w:i/>
                <w:iCs/>
              </w:rPr>
              <w:t>acrA</w:t>
            </w:r>
          </w:p>
        </w:tc>
        <w:tc>
          <w:tcPr>
            <w:tcW w:w="0" w:type="auto"/>
            <w:hideMark/>
          </w:tcPr>
          <w:p w14:paraId="36F95413" w14:textId="77777777" w:rsidR="00093F74" w:rsidRPr="00093F74" w:rsidRDefault="00093F74" w:rsidP="00093F74">
            <w:pPr>
              <w:spacing w:line="259" w:lineRule="auto"/>
            </w:pPr>
            <w:r w:rsidRPr="00093F74">
              <w:t>Chromosomal</w:t>
            </w:r>
          </w:p>
        </w:tc>
        <w:tc>
          <w:tcPr>
            <w:tcW w:w="0" w:type="auto"/>
            <w:hideMark/>
          </w:tcPr>
          <w:p w14:paraId="161B21C4" w14:textId="77777777" w:rsidR="00093F74" w:rsidRPr="00093F74" w:rsidRDefault="00093F74" w:rsidP="00093F74">
            <w:pPr>
              <w:spacing w:line="259" w:lineRule="auto"/>
            </w:pPr>
            <w:r w:rsidRPr="00093F74">
              <w:t>3004043</w:t>
            </w:r>
          </w:p>
        </w:tc>
        <w:tc>
          <w:tcPr>
            <w:tcW w:w="0" w:type="auto"/>
            <w:hideMark/>
          </w:tcPr>
          <w:p w14:paraId="29EB0CE8" w14:textId="77777777" w:rsidR="00093F74" w:rsidRPr="00093F74" w:rsidRDefault="00093F74" w:rsidP="00093F74">
            <w:pPr>
              <w:spacing w:line="259" w:lineRule="auto"/>
            </w:pPr>
            <w:r w:rsidRPr="00093F74">
              <w:t>RND Efflux pump</w:t>
            </w:r>
          </w:p>
        </w:tc>
      </w:tr>
      <w:tr w:rsidR="00093F74" w:rsidRPr="00093F74" w14:paraId="3231946A" w14:textId="77777777" w:rsidTr="00093F74">
        <w:tc>
          <w:tcPr>
            <w:tcW w:w="0" w:type="auto"/>
            <w:hideMark/>
          </w:tcPr>
          <w:p w14:paraId="729C0489" w14:textId="77777777" w:rsidR="00093F74" w:rsidRPr="00093F74" w:rsidRDefault="00093F74" w:rsidP="00093F74">
            <w:pPr>
              <w:spacing w:line="259" w:lineRule="auto"/>
            </w:pPr>
            <w:r w:rsidRPr="00093F74">
              <w:rPr>
                <w:i/>
                <w:iCs/>
              </w:rPr>
              <w:t>acrB</w:t>
            </w:r>
          </w:p>
        </w:tc>
        <w:tc>
          <w:tcPr>
            <w:tcW w:w="0" w:type="auto"/>
            <w:hideMark/>
          </w:tcPr>
          <w:p w14:paraId="6666E27F" w14:textId="77777777" w:rsidR="00093F74" w:rsidRPr="00093F74" w:rsidRDefault="00093F74" w:rsidP="00093F74">
            <w:pPr>
              <w:spacing w:line="259" w:lineRule="auto"/>
            </w:pPr>
            <w:r w:rsidRPr="00093F74">
              <w:t>Chromosomal</w:t>
            </w:r>
          </w:p>
        </w:tc>
        <w:tc>
          <w:tcPr>
            <w:tcW w:w="0" w:type="auto"/>
            <w:hideMark/>
          </w:tcPr>
          <w:p w14:paraId="140BFD2D" w14:textId="77777777" w:rsidR="00093F74" w:rsidRPr="00093F74" w:rsidRDefault="00093F74" w:rsidP="00093F74">
            <w:pPr>
              <w:spacing w:line="259" w:lineRule="auto"/>
            </w:pPr>
            <w:r w:rsidRPr="00093F74">
              <w:t>3000216</w:t>
            </w:r>
          </w:p>
        </w:tc>
        <w:tc>
          <w:tcPr>
            <w:tcW w:w="0" w:type="auto"/>
            <w:hideMark/>
          </w:tcPr>
          <w:p w14:paraId="2AFC756D" w14:textId="77777777" w:rsidR="00093F74" w:rsidRPr="00093F74" w:rsidRDefault="00093F74" w:rsidP="00093F74">
            <w:pPr>
              <w:spacing w:line="259" w:lineRule="auto"/>
            </w:pPr>
            <w:r w:rsidRPr="00093F74">
              <w:t>RND Efflux pump</w:t>
            </w:r>
          </w:p>
        </w:tc>
      </w:tr>
      <w:tr w:rsidR="00093F74" w:rsidRPr="00093F74" w14:paraId="69A8CDC2" w14:textId="77777777" w:rsidTr="00093F74">
        <w:tc>
          <w:tcPr>
            <w:tcW w:w="0" w:type="auto"/>
            <w:hideMark/>
          </w:tcPr>
          <w:p w14:paraId="33177ABA" w14:textId="77777777" w:rsidR="00093F74" w:rsidRPr="00093F74" w:rsidRDefault="00093F74" w:rsidP="00093F74">
            <w:pPr>
              <w:spacing w:line="259" w:lineRule="auto"/>
            </w:pPr>
            <w:r w:rsidRPr="00093F74">
              <w:rPr>
                <w:i/>
                <w:iCs/>
              </w:rPr>
              <w:t>acrD</w:t>
            </w:r>
          </w:p>
        </w:tc>
        <w:tc>
          <w:tcPr>
            <w:tcW w:w="0" w:type="auto"/>
            <w:hideMark/>
          </w:tcPr>
          <w:p w14:paraId="26CC11B5" w14:textId="77777777" w:rsidR="00093F74" w:rsidRPr="00093F74" w:rsidRDefault="00093F74" w:rsidP="00093F74">
            <w:pPr>
              <w:spacing w:line="259" w:lineRule="auto"/>
            </w:pPr>
            <w:r w:rsidRPr="00093F74">
              <w:t>Chromosomal</w:t>
            </w:r>
          </w:p>
        </w:tc>
        <w:tc>
          <w:tcPr>
            <w:tcW w:w="0" w:type="auto"/>
            <w:hideMark/>
          </w:tcPr>
          <w:p w14:paraId="7DD001F3" w14:textId="77777777" w:rsidR="00093F74" w:rsidRPr="00093F74" w:rsidRDefault="00093F74" w:rsidP="00093F74">
            <w:pPr>
              <w:spacing w:line="259" w:lineRule="auto"/>
            </w:pPr>
            <w:r w:rsidRPr="00093F74">
              <w:t>3000491</w:t>
            </w:r>
          </w:p>
        </w:tc>
        <w:tc>
          <w:tcPr>
            <w:tcW w:w="0" w:type="auto"/>
            <w:hideMark/>
          </w:tcPr>
          <w:p w14:paraId="2FE7C622" w14:textId="77777777" w:rsidR="00093F74" w:rsidRPr="00093F74" w:rsidRDefault="00093F74" w:rsidP="00093F74">
            <w:pPr>
              <w:spacing w:line="259" w:lineRule="auto"/>
            </w:pPr>
            <w:r w:rsidRPr="00093F74">
              <w:t>RND Efflux pump</w:t>
            </w:r>
          </w:p>
        </w:tc>
      </w:tr>
      <w:tr w:rsidR="00093F74" w:rsidRPr="00093F74" w14:paraId="73613361" w14:textId="77777777" w:rsidTr="00093F74">
        <w:tc>
          <w:tcPr>
            <w:tcW w:w="0" w:type="auto"/>
            <w:hideMark/>
          </w:tcPr>
          <w:p w14:paraId="0BEA694A" w14:textId="77777777" w:rsidR="00093F74" w:rsidRPr="00093F74" w:rsidRDefault="00093F74" w:rsidP="00093F74">
            <w:pPr>
              <w:spacing w:line="259" w:lineRule="auto"/>
            </w:pPr>
            <w:r w:rsidRPr="00093F74">
              <w:rPr>
                <w:i/>
                <w:iCs/>
              </w:rPr>
              <w:t>baeS</w:t>
            </w:r>
          </w:p>
        </w:tc>
        <w:tc>
          <w:tcPr>
            <w:tcW w:w="0" w:type="auto"/>
            <w:hideMark/>
          </w:tcPr>
          <w:p w14:paraId="3AD5FF3E" w14:textId="77777777" w:rsidR="00093F74" w:rsidRPr="00093F74" w:rsidRDefault="00093F74" w:rsidP="00093F74">
            <w:pPr>
              <w:spacing w:line="259" w:lineRule="auto"/>
            </w:pPr>
            <w:r w:rsidRPr="00093F74">
              <w:t>Chromosomal</w:t>
            </w:r>
          </w:p>
        </w:tc>
        <w:tc>
          <w:tcPr>
            <w:tcW w:w="0" w:type="auto"/>
            <w:hideMark/>
          </w:tcPr>
          <w:p w14:paraId="3EADD2AD" w14:textId="77777777" w:rsidR="00093F74" w:rsidRPr="00093F74" w:rsidRDefault="00093F74" w:rsidP="00093F74">
            <w:pPr>
              <w:spacing w:line="259" w:lineRule="auto"/>
            </w:pPr>
            <w:r w:rsidRPr="00093F74">
              <w:t>3000829</w:t>
            </w:r>
          </w:p>
        </w:tc>
        <w:tc>
          <w:tcPr>
            <w:tcW w:w="0" w:type="auto"/>
            <w:hideMark/>
          </w:tcPr>
          <w:p w14:paraId="2D7818EE" w14:textId="77777777" w:rsidR="00093F74" w:rsidRPr="00093F74" w:rsidRDefault="00093F74" w:rsidP="00093F74">
            <w:pPr>
              <w:spacing w:line="259" w:lineRule="auto"/>
            </w:pPr>
            <w:r w:rsidRPr="00093F74">
              <w:t>RND Efflux pump</w:t>
            </w:r>
          </w:p>
        </w:tc>
      </w:tr>
      <w:tr w:rsidR="00093F74" w:rsidRPr="00093F74" w14:paraId="6A0BD463" w14:textId="77777777" w:rsidTr="00093F74">
        <w:tc>
          <w:tcPr>
            <w:tcW w:w="0" w:type="auto"/>
            <w:hideMark/>
          </w:tcPr>
          <w:p w14:paraId="72FD1708" w14:textId="77777777" w:rsidR="00093F74" w:rsidRPr="00093F74" w:rsidRDefault="00093F74" w:rsidP="00093F74">
            <w:pPr>
              <w:spacing w:line="259" w:lineRule="auto"/>
            </w:pPr>
            <w:r w:rsidRPr="00093F74">
              <w:rPr>
                <w:i/>
                <w:iCs/>
              </w:rPr>
              <w:t>baeR</w:t>
            </w:r>
          </w:p>
        </w:tc>
        <w:tc>
          <w:tcPr>
            <w:tcW w:w="0" w:type="auto"/>
            <w:hideMark/>
          </w:tcPr>
          <w:p w14:paraId="7269856A" w14:textId="77777777" w:rsidR="00093F74" w:rsidRPr="00093F74" w:rsidRDefault="00093F74" w:rsidP="00093F74">
            <w:pPr>
              <w:spacing w:line="259" w:lineRule="auto"/>
            </w:pPr>
            <w:r w:rsidRPr="00093F74">
              <w:t>Chromosomal</w:t>
            </w:r>
          </w:p>
        </w:tc>
        <w:tc>
          <w:tcPr>
            <w:tcW w:w="0" w:type="auto"/>
            <w:hideMark/>
          </w:tcPr>
          <w:p w14:paraId="553028EB" w14:textId="77777777" w:rsidR="00093F74" w:rsidRPr="00093F74" w:rsidRDefault="00093F74" w:rsidP="00093F74">
            <w:pPr>
              <w:spacing w:line="259" w:lineRule="auto"/>
            </w:pPr>
            <w:r w:rsidRPr="00093F74">
              <w:t>3000828</w:t>
            </w:r>
          </w:p>
        </w:tc>
        <w:tc>
          <w:tcPr>
            <w:tcW w:w="0" w:type="auto"/>
            <w:hideMark/>
          </w:tcPr>
          <w:p w14:paraId="339EB17D" w14:textId="77777777" w:rsidR="00093F74" w:rsidRPr="00093F74" w:rsidRDefault="00093F74" w:rsidP="00093F74">
            <w:pPr>
              <w:spacing w:line="259" w:lineRule="auto"/>
            </w:pPr>
            <w:r w:rsidRPr="00093F74">
              <w:t>RND Efflux pump</w:t>
            </w:r>
          </w:p>
        </w:tc>
      </w:tr>
      <w:tr w:rsidR="00093F74" w:rsidRPr="00093F74" w14:paraId="7A1D108F" w14:textId="77777777" w:rsidTr="00093F74">
        <w:tc>
          <w:tcPr>
            <w:tcW w:w="0" w:type="auto"/>
            <w:hideMark/>
          </w:tcPr>
          <w:p w14:paraId="62DFBAD8" w14:textId="77777777" w:rsidR="00093F74" w:rsidRPr="00093F74" w:rsidRDefault="00093F74" w:rsidP="00093F74">
            <w:pPr>
              <w:spacing w:line="259" w:lineRule="auto"/>
            </w:pPr>
            <w:r w:rsidRPr="00093F74">
              <w:rPr>
                <w:i/>
                <w:iCs/>
              </w:rPr>
              <w:t>marA</w:t>
            </w:r>
          </w:p>
        </w:tc>
        <w:tc>
          <w:tcPr>
            <w:tcW w:w="0" w:type="auto"/>
            <w:hideMark/>
          </w:tcPr>
          <w:p w14:paraId="3C0FEB5A" w14:textId="77777777" w:rsidR="00093F74" w:rsidRPr="00093F74" w:rsidRDefault="00093F74" w:rsidP="00093F74">
            <w:pPr>
              <w:spacing w:line="259" w:lineRule="auto"/>
            </w:pPr>
            <w:r w:rsidRPr="00093F74">
              <w:t>Chromosomal</w:t>
            </w:r>
          </w:p>
        </w:tc>
        <w:tc>
          <w:tcPr>
            <w:tcW w:w="0" w:type="auto"/>
            <w:hideMark/>
          </w:tcPr>
          <w:p w14:paraId="49C4B157" w14:textId="77777777" w:rsidR="00093F74" w:rsidRPr="00093F74" w:rsidRDefault="00093F74" w:rsidP="00093F74">
            <w:pPr>
              <w:spacing w:line="259" w:lineRule="auto"/>
            </w:pPr>
            <w:r w:rsidRPr="00093F74">
              <w:t>3000263</w:t>
            </w:r>
          </w:p>
        </w:tc>
        <w:tc>
          <w:tcPr>
            <w:tcW w:w="0" w:type="auto"/>
            <w:hideMark/>
          </w:tcPr>
          <w:p w14:paraId="19D421B0" w14:textId="77777777" w:rsidR="00093F74" w:rsidRPr="00093F74" w:rsidRDefault="00093F74" w:rsidP="00093F74">
            <w:pPr>
              <w:spacing w:line="259" w:lineRule="auto"/>
            </w:pPr>
            <w:r w:rsidRPr="00093F74">
              <w:t>RND Efflux pump</w:t>
            </w:r>
          </w:p>
        </w:tc>
      </w:tr>
      <w:tr w:rsidR="00093F74" w:rsidRPr="00093F74" w14:paraId="652A8506" w14:textId="77777777" w:rsidTr="00093F74">
        <w:tc>
          <w:tcPr>
            <w:tcW w:w="0" w:type="auto"/>
            <w:hideMark/>
          </w:tcPr>
          <w:p w14:paraId="481143EC" w14:textId="77777777" w:rsidR="00093F74" w:rsidRPr="00093F74" w:rsidRDefault="00093F74" w:rsidP="00093F74">
            <w:pPr>
              <w:spacing w:line="259" w:lineRule="auto"/>
            </w:pPr>
            <w:r w:rsidRPr="00093F74">
              <w:rPr>
                <w:i/>
                <w:iCs/>
              </w:rPr>
              <w:t>yojI</w:t>
            </w:r>
          </w:p>
        </w:tc>
        <w:tc>
          <w:tcPr>
            <w:tcW w:w="0" w:type="auto"/>
            <w:hideMark/>
          </w:tcPr>
          <w:p w14:paraId="596785E1" w14:textId="77777777" w:rsidR="00093F74" w:rsidRPr="00093F74" w:rsidRDefault="00093F74" w:rsidP="00093F74">
            <w:pPr>
              <w:spacing w:line="259" w:lineRule="auto"/>
            </w:pPr>
            <w:r w:rsidRPr="00093F74">
              <w:t>Chromosomal</w:t>
            </w:r>
          </w:p>
        </w:tc>
        <w:tc>
          <w:tcPr>
            <w:tcW w:w="0" w:type="auto"/>
            <w:hideMark/>
          </w:tcPr>
          <w:p w14:paraId="7387FE13" w14:textId="77777777" w:rsidR="00093F74" w:rsidRPr="00093F74" w:rsidRDefault="00093F74" w:rsidP="00093F74">
            <w:pPr>
              <w:spacing w:line="259" w:lineRule="auto"/>
            </w:pPr>
            <w:r w:rsidRPr="00093F74">
              <w:t>3003952</w:t>
            </w:r>
          </w:p>
        </w:tc>
        <w:tc>
          <w:tcPr>
            <w:tcW w:w="0" w:type="auto"/>
            <w:hideMark/>
          </w:tcPr>
          <w:p w14:paraId="432B09FA" w14:textId="77777777" w:rsidR="00093F74" w:rsidRPr="00093F74" w:rsidRDefault="00093F74" w:rsidP="00093F74">
            <w:pPr>
              <w:spacing w:line="259" w:lineRule="auto"/>
            </w:pPr>
            <w:r w:rsidRPr="00093F74">
              <w:t>Peptide antibiotic efflux pump</w:t>
            </w:r>
          </w:p>
        </w:tc>
      </w:tr>
      <w:tr w:rsidR="00093F74" w:rsidRPr="00093F74" w14:paraId="24E0994F" w14:textId="77777777" w:rsidTr="00093F74">
        <w:tc>
          <w:tcPr>
            <w:tcW w:w="0" w:type="auto"/>
            <w:hideMark/>
          </w:tcPr>
          <w:p w14:paraId="2B3E22C7" w14:textId="77777777" w:rsidR="00093F74" w:rsidRPr="00093F74" w:rsidRDefault="00093F74" w:rsidP="00093F74">
            <w:pPr>
              <w:spacing w:line="259" w:lineRule="auto"/>
            </w:pPr>
            <w:r w:rsidRPr="00093F74">
              <w:rPr>
                <w:i/>
                <w:iCs/>
              </w:rPr>
              <w:t>pmrF</w:t>
            </w:r>
          </w:p>
        </w:tc>
        <w:tc>
          <w:tcPr>
            <w:tcW w:w="0" w:type="auto"/>
            <w:hideMark/>
          </w:tcPr>
          <w:p w14:paraId="09C8FFD7" w14:textId="77777777" w:rsidR="00093F74" w:rsidRPr="00093F74" w:rsidRDefault="00093F74" w:rsidP="00093F74">
            <w:pPr>
              <w:spacing w:line="259" w:lineRule="auto"/>
            </w:pPr>
            <w:r w:rsidRPr="00093F74">
              <w:t>Chromosomal</w:t>
            </w:r>
          </w:p>
        </w:tc>
        <w:tc>
          <w:tcPr>
            <w:tcW w:w="0" w:type="auto"/>
            <w:hideMark/>
          </w:tcPr>
          <w:p w14:paraId="7F0BA2E2" w14:textId="77777777" w:rsidR="00093F74" w:rsidRPr="00093F74" w:rsidRDefault="00093F74" w:rsidP="00093F74">
            <w:pPr>
              <w:spacing w:line="259" w:lineRule="auto"/>
            </w:pPr>
            <w:r w:rsidRPr="00093F74">
              <w:t>3003578</w:t>
            </w:r>
          </w:p>
        </w:tc>
        <w:tc>
          <w:tcPr>
            <w:tcW w:w="0" w:type="auto"/>
            <w:hideMark/>
          </w:tcPr>
          <w:p w14:paraId="7C74B8C0" w14:textId="77777777" w:rsidR="00093F74" w:rsidRPr="00093F74" w:rsidRDefault="00093F74" w:rsidP="00093F74">
            <w:pPr>
              <w:spacing w:line="259" w:lineRule="auto"/>
            </w:pPr>
            <w:r w:rsidRPr="00093F74">
              <w:t>Phosphoethanolamine transferase</w:t>
            </w:r>
          </w:p>
        </w:tc>
      </w:tr>
      <w:tr w:rsidR="00093F74" w:rsidRPr="00093F74" w14:paraId="43020311" w14:textId="77777777" w:rsidTr="00093F74">
        <w:tc>
          <w:tcPr>
            <w:tcW w:w="0" w:type="auto"/>
            <w:hideMark/>
          </w:tcPr>
          <w:p w14:paraId="57663368" w14:textId="77777777" w:rsidR="00093F74" w:rsidRPr="00093F74" w:rsidRDefault="00093F74" w:rsidP="00093F74">
            <w:pPr>
              <w:spacing w:line="259" w:lineRule="auto"/>
            </w:pPr>
            <w:r w:rsidRPr="00093F74">
              <w:rPr>
                <w:i/>
                <w:iCs/>
              </w:rPr>
              <w:t>kdpE</w:t>
            </w:r>
          </w:p>
        </w:tc>
        <w:tc>
          <w:tcPr>
            <w:tcW w:w="0" w:type="auto"/>
            <w:hideMark/>
          </w:tcPr>
          <w:p w14:paraId="06CEF01B" w14:textId="77777777" w:rsidR="00093F74" w:rsidRPr="00093F74" w:rsidRDefault="00093F74" w:rsidP="00093F74">
            <w:pPr>
              <w:spacing w:line="259" w:lineRule="auto"/>
            </w:pPr>
            <w:r w:rsidRPr="00093F74">
              <w:t>Chromosomal</w:t>
            </w:r>
          </w:p>
        </w:tc>
        <w:tc>
          <w:tcPr>
            <w:tcW w:w="0" w:type="auto"/>
            <w:hideMark/>
          </w:tcPr>
          <w:p w14:paraId="4BDDEEAF" w14:textId="77777777" w:rsidR="00093F74" w:rsidRPr="00093F74" w:rsidRDefault="00093F74" w:rsidP="00093F74">
            <w:pPr>
              <w:spacing w:line="259" w:lineRule="auto"/>
            </w:pPr>
            <w:r w:rsidRPr="00093F74">
              <w:t>3003841</w:t>
            </w:r>
          </w:p>
        </w:tc>
        <w:tc>
          <w:tcPr>
            <w:tcW w:w="0" w:type="auto"/>
            <w:hideMark/>
          </w:tcPr>
          <w:p w14:paraId="1C1A963A" w14:textId="77777777" w:rsidR="00093F74" w:rsidRPr="00093F74" w:rsidRDefault="00093F74" w:rsidP="00093F74">
            <w:pPr>
              <w:spacing w:line="259" w:lineRule="auto"/>
            </w:pPr>
            <w:r w:rsidRPr="00093F74">
              <w:t>Aminoglycoside efflux pump</w:t>
            </w:r>
          </w:p>
        </w:tc>
      </w:tr>
      <w:tr w:rsidR="00093F74" w:rsidRPr="00093F74" w14:paraId="0CFEEE16" w14:textId="77777777" w:rsidTr="00093F74">
        <w:tc>
          <w:tcPr>
            <w:tcW w:w="0" w:type="auto"/>
            <w:hideMark/>
          </w:tcPr>
          <w:p w14:paraId="3F3C6E67" w14:textId="77777777" w:rsidR="00093F74" w:rsidRPr="00093F74" w:rsidRDefault="00093F74" w:rsidP="00093F74">
            <w:pPr>
              <w:spacing w:line="259" w:lineRule="auto"/>
            </w:pPr>
            <w:r w:rsidRPr="00093F74">
              <w:rPr>
                <w:i/>
                <w:iCs/>
              </w:rPr>
              <w:t>msbA</w:t>
            </w:r>
          </w:p>
        </w:tc>
        <w:tc>
          <w:tcPr>
            <w:tcW w:w="0" w:type="auto"/>
            <w:hideMark/>
          </w:tcPr>
          <w:p w14:paraId="0C644D59" w14:textId="77777777" w:rsidR="00093F74" w:rsidRPr="00093F74" w:rsidRDefault="00093F74" w:rsidP="00093F74">
            <w:pPr>
              <w:spacing w:line="259" w:lineRule="auto"/>
            </w:pPr>
            <w:r w:rsidRPr="00093F74">
              <w:t>Chromosomal</w:t>
            </w:r>
          </w:p>
        </w:tc>
        <w:tc>
          <w:tcPr>
            <w:tcW w:w="0" w:type="auto"/>
            <w:hideMark/>
          </w:tcPr>
          <w:p w14:paraId="7EF80055" w14:textId="77777777" w:rsidR="00093F74" w:rsidRPr="00093F74" w:rsidRDefault="00093F74" w:rsidP="00093F74">
            <w:pPr>
              <w:spacing w:line="259" w:lineRule="auto"/>
            </w:pPr>
            <w:r w:rsidRPr="00093F74">
              <w:t>3003950</w:t>
            </w:r>
          </w:p>
        </w:tc>
        <w:tc>
          <w:tcPr>
            <w:tcW w:w="0" w:type="auto"/>
            <w:hideMark/>
          </w:tcPr>
          <w:p w14:paraId="0B31B524" w14:textId="77777777" w:rsidR="00093F74" w:rsidRPr="00093F74" w:rsidRDefault="00093F74" w:rsidP="00093F74">
            <w:pPr>
              <w:spacing w:line="259" w:lineRule="auto"/>
            </w:pPr>
            <w:r w:rsidRPr="00093F74">
              <w:t>Nitroimidazole efflux pump</w:t>
            </w:r>
          </w:p>
        </w:tc>
      </w:tr>
      <w:tr w:rsidR="00093F74" w:rsidRPr="00093F74" w14:paraId="770741D4" w14:textId="77777777" w:rsidTr="00093F74">
        <w:tc>
          <w:tcPr>
            <w:tcW w:w="0" w:type="auto"/>
            <w:hideMark/>
          </w:tcPr>
          <w:p w14:paraId="2B008AD3" w14:textId="77777777" w:rsidR="00093F74" w:rsidRPr="00093F74" w:rsidRDefault="00093F74" w:rsidP="00093F74">
            <w:pPr>
              <w:spacing w:line="259" w:lineRule="auto"/>
            </w:pPr>
            <w:r w:rsidRPr="00093F74">
              <w:t>Point mutations</w:t>
            </w:r>
          </w:p>
        </w:tc>
        <w:tc>
          <w:tcPr>
            <w:tcW w:w="0" w:type="auto"/>
            <w:hideMark/>
          </w:tcPr>
          <w:p w14:paraId="4EDA8968" w14:textId="77777777" w:rsidR="00093F74" w:rsidRPr="00093F74" w:rsidRDefault="00093F74" w:rsidP="00093F74">
            <w:pPr>
              <w:spacing w:line="259" w:lineRule="auto"/>
            </w:pPr>
          </w:p>
        </w:tc>
        <w:tc>
          <w:tcPr>
            <w:tcW w:w="0" w:type="auto"/>
            <w:hideMark/>
          </w:tcPr>
          <w:p w14:paraId="30D642EF" w14:textId="77777777" w:rsidR="00093F74" w:rsidRPr="00093F74" w:rsidRDefault="00093F74" w:rsidP="00093F74">
            <w:pPr>
              <w:spacing w:line="259" w:lineRule="auto"/>
            </w:pPr>
            <w:r w:rsidRPr="00093F74">
              <w:t>PMID</w:t>
            </w:r>
          </w:p>
        </w:tc>
        <w:tc>
          <w:tcPr>
            <w:tcW w:w="0" w:type="auto"/>
            <w:hideMark/>
          </w:tcPr>
          <w:p w14:paraId="26D290BC" w14:textId="77777777" w:rsidR="00093F74" w:rsidRPr="00093F74" w:rsidRDefault="00093F74" w:rsidP="00093F74">
            <w:pPr>
              <w:spacing w:line="259" w:lineRule="auto"/>
            </w:pPr>
          </w:p>
        </w:tc>
      </w:tr>
      <w:tr w:rsidR="00093F74" w:rsidRPr="00093F74" w14:paraId="2E872DBA" w14:textId="77777777" w:rsidTr="00093F74">
        <w:tc>
          <w:tcPr>
            <w:tcW w:w="0" w:type="auto"/>
            <w:hideMark/>
          </w:tcPr>
          <w:p w14:paraId="6C75516E" w14:textId="77777777" w:rsidR="00093F74" w:rsidRPr="00093F74" w:rsidRDefault="00093F74" w:rsidP="00093F74">
            <w:pPr>
              <w:spacing w:line="259" w:lineRule="auto"/>
            </w:pPr>
            <w:r w:rsidRPr="00093F74">
              <w:t>parC AGC-&gt; ATC</w:t>
            </w:r>
          </w:p>
        </w:tc>
        <w:tc>
          <w:tcPr>
            <w:tcW w:w="0" w:type="auto"/>
            <w:hideMark/>
          </w:tcPr>
          <w:p w14:paraId="6BC1ED0F" w14:textId="77777777" w:rsidR="00093F74" w:rsidRPr="00093F74" w:rsidRDefault="00093F74" w:rsidP="00093F74">
            <w:pPr>
              <w:spacing w:line="259" w:lineRule="auto"/>
            </w:pPr>
          </w:p>
        </w:tc>
        <w:tc>
          <w:tcPr>
            <w:tcW w:w="0" w:type="auto"/>
            <w:hideMark/>
          </w:tcPr>
          <w:p w14:paraId="09B03B49" w14:textId="77777777" w:rsidR="00093F74" w:rsidRPr="00093F74" w:rsidRDefault="00093F74" w:rsidP="00093F74">
            <w:pPr>
              <w:spacing w:line="259" w:lineRule="auto"/>
            </w:pPr>
            <w:r w:rsidRPr="00093F74">
              <w:t>8851598</w:t>
            </w:r>
          </w:p>
        </w:tc>
        <w:tc>
          <w:tcPr>
            <w:tcW w:w="0" w:type="auto"/>
            <w:hideMark/>
          </w:tcPr>
          <w:p w14:paraId="48DF031C" w14:textId="77777777" w:rsidR="00093F74" w:rsidRPr="00093F74" w:rsidRDefault="00093F74" w:rsidP="00093F74">
            <w:pPr>
              <w:spacing w:line="259" w:lineRule="auto"/>
            </w:pPr>
            <w:r w:rsidRPr="00093F74">
              <w:t>Quinolone resistance</w:t>
            </w:r>
          </w:p>
        </w:tc>
      </w:tr>
      <w:tr w:rsidR="00093F74" w:rsidRPr="00093F74" w14:paraId="2E56F268" w14:textId="77777777" w:rsidTr="00093F74">
        <w:tc>
          <w:tcPr>
            <w:tcW w:w="0" w:type="auto"/>
            <w:hideMark/>
          </w:tcPr>
          <w:p w14:paraId="12F20945" w14:textId="77777777" w:rsidR="00093F74" w:rsidRPr="00093F74" w:rsidRDefault="00093F74" w:rsidP="00093F74">
            <w:pPr>
              <w:spacing w:line="259" w:lineRule="auto"/>
            </w:pPr>
            <w:r w:rsidRPr="00093F74">
              <w:t>parE TCG -&gt; GCG</w:t>
            </w:r>
          </w:p>
        </w:tc>
        <w:tc>
          <w:tcPr>
            <w:tcW w:w="0" w:type="auto"/>
            <w:hideMark/>
          </w:tcPr>
          <w:p w14:paraId="6A5A6798" w14:textId="77777777" w:rsidR="00093F74" w:rsidRPr="00093F74" w:rsidRDefault="00093F74" w:rsidP="00093F74">
            <w:pPr>
              <w:spacing w:line="259" w:lineRule="auto"/>
            </w:pPr>
          </w:p>
        </w:tc>
        <w:tc>
          <w:tcPr>
            <w:tcW w:w="0" w:type="auto"/>
            <w:hideMark/>
          </w:tcPr>
          <w:p w14:paraId="29450FA8" w14:textId="77777777" w:rsidR="00093F74" w:rsidRPr="00093F74" w:rsidRDefault="00093F74" w:rsidP="00093F74">
            <w:pPr>
              <w:spacing w:line="259" w:lineRule="auto"/>
            </w:pPr>
            <w:r w:rsidRPr="00093F74">
              <w:t>28598203</w:t>
            </w:r>
          </w:p>
        </w:tc>
        <w:tc>
          <w:tcPr>
            <w:tcW w:w="0" w:type="auto"/>
            <w:hideMark/>
          </w:tcPr>
          <w:p w14:paraId="597666EA" w14:textId="77777777" w:rsidR="00093F74" w:rsidRPr="00093F74" w:rsidRDefault="00093F74" w:rsidP="00093F74">
            <w:pPr>
              <w:spacing w:line="259" w:lineRule="auto"/>
            </w:pPr>
            <w:r w:rsidRPr="00093F74">
              <w:t>Quinolone resistance</w:t>
            </w:r>
          </w:p>
        </w:tc>
      </w:tr>
      <w:tr w:rsidR="00093F74" w:rsidRPr="00093F74" w14:paraId="0CC337F3" w14:textId="77777777" w:rsidTr="00093F74">
        <w:tc>
          <w:tcPr>
            <w:tcW w:w="0" w:type="auto"/>
            <w:hideMark/>
          </w:tcPr>
          <w:p w14:paraId="589E39A0" w14:textId="77777777" w:rsidR="00093F74" w:rsidRPr="00093F74" w:rsidRDefault="00093F74" w:rsidP="00093F74">
            <w:pPr>
              <w:spacing w:line="259" w:lineRule="auto"/>
            </w:pPr>
            <w:r w:rsidRPr="00093F74">
              <w:t>gyrA TCG -&gt; TTG</w:t>
            </w:r>
          </w:p>
        </w:tc>
        <w:tc>
          <w:tcPr>
            <w:tcW w:w="0" w:type="auto"/>
            <w:hideMark/>
          </w:tcPr>
          <w:p w14:paraId="491591A8" w14:textId="77777777" w:rsidR="00093F74" w:rsidRPr="00093F74" w:rsidRDefault="00093F74" w:rsidP="00093F74">
            <w:pPr>
              <w:spacing w:line="259" w:lineRule="auto"/>
            </w:pPr>
          </w:p>
        </w:tc>
        <w:tc>
          <w:tcPr>
            <w:tcW w:w="0" w:type="auto"/>
            <w:hideMark/>
          </w:tcPr>
          <w:p w14:paraId="5B81AE66" w14:textId="77777777" w:rsidR="00093F74" w:rsidRPr="00093F74" w:rsidRDefault="00093F74" w:rsidP="00093F74">
            <w:pPr>
              <w:spacing w:line="259" w:lineRule="auto"/>
            </w:pPr>
            <w:r w:rsidRPr="00093F74">
              <w:t>8891148</w:t>
            </w:r>
          </w:p>
        </w:tc>
        <w:tc>
          <w:tcPr>
            <w:tcW w:w="0" w:type="auto"/>
            <w:hideMark/>
          </w:tcPr>
          <w:p w14:paraId="190C6D21" w14:textId="77777777" w:rsidR="00093F74" w:rsidRPr="00093F74" w:rsidRDefault="00093F74" w:rsidP="00093F74">
            <w:pPr>
              <w:spacing w:line="259" w:lineRule="auto"/>
            </w:pPr>
            <w:r w:rsidRPr="00093F74">
              <w:t>Quinolone resistance</w:t>
            </w:r>
          </w:p>
        </w:tc>
      </w:tr>
      <w:tr w:rsidR="00093F74" w:rsidRPr="00093F74" w14:paraId="2120502F" w14:textId="77777777" w:rsidTr="00093F74">
        <w:tc>
          <w:tcPr>
            <w:tcW w:w="0" w:type="auto"/>
            <w:hideMark/>
          </w:tcPr>
          <w:p w14:paraId="38461828" w14:textId="77777777" w:rsidR="00093F74" w:rsidRPr="00093F74" w:rsidRDefault="00093F74" w:rsidP="00093F74">
            <w:pPr>
              <w:spacing w:line="259" w:lineRule="auto"/>
            </w:pPr>
            <w:r w:rsidRPr="00093F74">
              <w:t>gyrA GAC-&gt; AAC</w:t>
            </w:r>
          </w:p>
        </w:tc>
        <w:tc>
          <w:tcPr>
            <w:tcW w:w="0" w:type="auto"/>
            <w:hideMark/>
          </w:tcPr>
          <w:p w14:paraId="741976D1" w14:textId="77777777" w:rsidR="00093F74" w:rsidRPr="00093F74" w:rsidRDefault="00093F74" w:rsidP="00093F74">
            <w:pPr>
              <w:spacing w:line="259" w:lineRule="auto"/>
            </w:pPr>
          </w:p>
        </w:tc>
        <w:tc>
          <w:tcPr>
            <w:tcW w:w="0" w:type="auto"/>
            <w:hideMark/>
          </w:tcPr>
          <w:p w14:paraId="0FF02A49" w14:textId="77777777" w:rsidR="00093F74" w:rsidRPr="00093F74" w:rsidRDefault="00093F74" w:rsidP="00093F74">
            <w:pPr>
              <w:spacing w:line="259" w:lineRule="auto"/>
            </w:pPr>
            <w:r w:rsidRPr="00093F74">
              <w:t>12654733</w:t>
            </w:r>
          </w:p>
        </w:tc>
        <w:tc>
          <w:tcPr>
            <w:tcW w:w="0" w:type="auto"/>
            <w:hideMark/>
          </w:tcPr>
          <w:p w14:paraId="0B92FDD3" w14:textId="77777777" w:rsidR="00093F74" w:rsidRPr="00093F74" w:rsidRDefault="00093F74" w:rsidP="00093F74">
            <w:pPr>
              <w:spacing w:line="259" w:lineRule="auto"/>
            </w:pPr>
            <w:r w:rsidRPr="00093F74">
              <w:t>Quinolone resistance</w:t>
            </w:r>
          </w:p>
        </w:tc>
      </w:tr>
    </w:tbl>
    <w:p w14:paraId="6FB0EE51" w14:textId="77777777" w:rsidR="00093F74" w:rsidRPr="00093F74" w:rsidRDefault="00093F74" w:rsidP="00093F74">
      <w:pPr>
        <w:pStyle w:val="NoSpacing"/>
      </w:pPr>
      <w:r w:rsidRPr="00093F74">
        <w:t>The following ARGs and mutations were identified by ResFinder 4.1 from the Center for Genomic Epidemiology and Comprehensive Antibiotic Resistance Database. MFS: major facilitator superfamily; RND: resistance nodulation-cell division.</w:t>
      </w:r>
    </w:p>
    <w:p w14:paraId="1CF1E6D1" w14:textId="6045474B" w:rsidR="00437F2B" w:rsidRPr="00437F2B" w:rsidRDefault="00437F2B" w:rsidP="00437F2B"/>
    <w:p w14:paraId="0730ADB5" w14:textId="13324651" w:rsidR="00437F2B" w:rsidRPr="00437F2B" w:rsidRDefault="00437F2B" w:rsidP="00437F2B">
      <w:r w:rsidRPr="00437F2B">
        <w:t>Beyond the resistance genotypes encoded chromosomally, </w:t>
      </w:r>
      <w:r w:rsidRPr="00437F2B">
        <w:rPr>
          <w:i/>
          <w:iCs/>
        </w:rPr>
        <w:t>E. coli</w:t>
      </w:r>
      <w:r w:rsidRPr="00437F2B">
        <w:t> 1000C-3 carried a mobilizable (pMHW-1: Accession number CP091429) and conjugative (pMHW-2) R plasmid. The smaller mobilizable plasmid, pMHW-1, was identified as an IncP-6 plasmid (</w:t>
      </w:r>
      <w:r w:rsidRPr="00C90A22">
        <w:rPr>
          <w:b/>
          <w:bCs/>
        </w:rPr>
        <w:t>Supplementary Table S5</w:t>
      </w:r>
      <w:r w:rsidRPr="00437F2B">
        <w:t>: 100% coverage and 99.88% identity to IncP-6 from </w:t>
      </w:r>
      <w:r w:rsidRPr="00437F2B">
        <w:rPr>
          <w:i/>
          <w:iCs/>
        </w:rPr>
        <w:t>Serratia marcescens</w:t>
      </w:r>
      <w:r w:rsidRPr="00437F2B">
        <w:t> accession number JF785550) with 40,232 base pairs and 57.87% GC content with 49 predicted ORFs, including carbapenemase </w:t>
      </w:r>
      <w:r w:rsidRPr="00437F2B">
        <w:rPr>
          <w:i/>
          <w:iCs/>
        </w:rPr>
        <w:t>bla</w:t>
      </w:r>
      <w:r w:rsidRPr="00437F2B">
        <w:rPr>
          <w:vertAlign w:val="subscript"/>
        </w:rPr>
        <w:t>KPC-2</w:t>
      </w:r>
      <w:r w:rsidRPr="00437F2B">
        <w:t> (</w:t>
      </w:r>
      <w:r w:rsidRPr="00C90A22">
        <w:rPr>
          <w:b/>
          <w:bCs/>
        </w:rPr>
        <w:t>Figure 3</w:t>
      </w:r>
      <w:r w:rsidRPr="00437F2B">
        <w:t> and </w:t>
      </w:r>
      <w:r w:rsidRPr="00C90A22">
        <w:rPr>
          <w:b/>
          <w:bCs/>
        </w:rPr>
        <w:t>Supplementary Table S6</w:t>
      </w:r>
      <w:r w:rsidRPr="00437F2B">
        <w:t>). The IncP-6 (assign to IncG in </w:t>
      </w:r>
      <w:r w:rsidRPr="00437F2B">
        <w:rPr>
          <w:i/>
          <w:iCs/>
        </w:rPr>
        <w:t>E. coli</w:t>
      </w:r>
      <w:r w:rsidRPr="00437F2B">
        <w:t>) replicon and </w:t>
      </w:r>
      <w:r w:rsidRPr="00437F2B">
        <w:rPr>
          <w:i/>
          <w:iCs/>
        </w:rPr>
        <w:t>bla</w:t>
      </w:r>
      <w:r w:rsidRPr="00437F2B">
        <w:rPr>
          <w:vertAlign w:val="subscript"/>
        </w:rPr>
        <w:t>KPC-2</w:t>
      </w:r>
      <w:r w:rsidRPr="00437F2B">
        <w:t> have been identified amongst a variety of genera, including </w:t>
      </w:r>
      <w:r w:rsidRPr="00437F2B">
        <w:rPr>
          <w:i/>
          <w:iCs/>
        </w:rPr>
        <w:t>Aeromonas</w:t>
      </w:r>
      <w:r w:rsidRPr="00437F2B">
        <w:t> spp., </w:t>
      </w:r>
      <w:r w:rsidRPr="00437F2B">
        <w:rPr>
          <w:i/>
          <w:iCs/>
        </w:rPr>
        <w:t>Klebsiella</w:t>
      </w:r>
      <w:r w:rsidRPr="00437F2B">
        <w:t> spp., </w:t>
      </w:r>
      <w:r w:rsidRPr="00437F2B">
        <w:rPr>
          <w:i/>
          <w:iCs/>
        </w:rPr>
        <w:t>Pseudomonas</w:t>
      </w:r>
      <w:r w:rsidRPr="00437F2B">
        <w:t> spp., and </w:t>
      </w:r>
      <w:r w:rsidRPr="00437F2B">
        <w:rPr>
          <w:i/>
          <w:iCs/>
        </w:rPr>
        <w:t>E. coli</w:t>
      </w:r>
      <w:r w:rsidRPr="00437F2B">
        <w:t> acquired from environmental, animal waste, and clinical sources [</w:t>
      </w:r>
      <w:r w:rsidRPr="00C90A22">
        <w:rPr>
          <w:b/>
          <w:bCs/>
        </w:rPr>
        <w:t>54</w:t>
      </w:r>
      <w:r w:rsidRPr="00437F2B">
        <w:t>]. pMHW-1 shared over 99.8% identity with other plasmids sequences from </w:t>
      </w:r>
      <w:r w:rsidRPr="00437F2B">
        <w:rPr>
          <w:i/>
          <w:iCs/>
        </w:rPr>
        <w:t>Pseudomonas aeruginosa</w:t>
      </w:r>
      <w:r w:rsidRPr="00437F2B">
        <w:t>, </w:t>
      </w:r>
      <w:r w:rsidRPr="00437F2B">
        <w:rPr>
          <w:i/>
          <w:iCs/>
        </w:rPr>
        <w:t>Citrobacter braakii</w:t>
      </w:r>
      <w:r w:rsidRPr="00437F2B">
        <w:t> and </w:t>
      </w:r>
      <w:r w:rsidRPr="00437F2B">
        <w:rPr>
          <w:i/>
          <w:iCs/>
        </w:rPr>
        <w:t>C. freundii, Klebsiella pneumoniae</w:t>
      </w:r>
      <w:r w:rsidRPr="00437F2B">
        <w:t>, </w:t>
      </w:r>
      <w:r w:rsidRPr="00437F2B">
        <w:rPr>
          <w:i/>
          <w:iCs/>
        </w:rPr>
        <w:t>Aeromonas veronii</w:t>
      </w:r>
      <w:r w:rsidRPr="00437F2B">
        <w:t> and </w:t>
      </w:r>
      <w:r w:rsidRPr="00437F2B">
        <w:rPr>
          <w:i/>
          <w:iCs/>
        </w:rPr>
        <w:t>A. hydrophila,</w:t>
      </w:r>
      <w:r w:rsidRPr="00437F2B">
        <w:t> and </w:t>
      </w:r>
      <w:r w:rsidRPr="00437F2B">
        <w:rPr>
          <w:i/>
          <w:iCs/>
        </w:rPr>
        <w:t>E. coli,</w:t>
      </w:r>
      <w:r w:rsidRPr="00437F2B">
        <w:t> although only up to 89% coverage (</w:t>
      </w:r>
      <w:r w:rsidRPr="00C90A22">
        <w:rPr>
          <w:b/>
          <w:bCs/>
        </w:rPr>
        <w:t>Supplementary Table S7</w:t>
      </w:r>
      <w:r w:rsidRPr="00437F2B">
        <w:t>). The </w:t>
      </w:r>
      <w:r w:rsidRPr="00437F2B">
        <w:rPr>
          <w:i/>
          <w:iCs/>
        </w:rPr>
        <w:t>bla</w:t>
      </w:r>
      <w:r w:rsidRPr="00437F2B">
        <w:rPr>
          <w:vertAlign w:val="subscript"/>
        </w:rPr>
        <w:t>KPC-2</w:t>
      </w:r>
      <w:r w:rsidRPr="00437F2B">
        <w:t> was just upstream of a truncated </w:t>
      </w:r>
      <w:r w:rsidRPr="00437F2B">
        <w:rPr>
          <w:i/>
          <w:iCs/>
        </w:rPr>
        <w:t>bla</w:t>
      </w:r>
      <w:r w:rsidRPr="00437F2B">
        <w:rPr>
          <w:vertAlign w:val="subscript"/>
        </w:rPr>
        <w:t>TEM-1,</w:t>
      </w:r>
      <w:r w:rsidRPr="00437F2B">
        <w:t> located between IS</w:t>
      </w:r>
      <w:r w:rsidRPr="00437F2B">
        <w:rPr>
          <w:i/>
          <w:iCs/>
        </w:rPr>
        <w:t>Kpn27</w:t>
      </w:r>
      <w:r w:rsidRPr="00437F2B">
        <w:t> and IS</w:t>
      </w:r>
      <w:r w:rsidRPr="00437F2B">
        <w:rPr>
          <w:i/>
          <w:iCs/>
        </w:rPr>
        <w:t>Kpn6</w:t>
      </w:r>
      <w:r w:rsidRPr="00437F2B">
        <w:t>. This genetic arrangement: IS</w:t>
      </w:r>
      <w:r w:rsidRPr="00437F2B">
        <w:rPr>
          <w:i/>
          <w:iCs/>
        </w:rPr>
        <w:t>Kpn6-bla</w:t>
      </w:r>
      <w:r w:rsidRPr="00437F2B">
        <w:rPr>
          <w:vertAlign w:val="subscript"/>
        </w:rPr>
        <w:t>KPC-2</w:t>
      </w:r>
      <w:r w:rsidRPr="00437F2B">
        <w:t>-</w:t>
      </w:r>
      <w:r w:rsidRPr="00437F2B">
        <w:rPr>
          <w:i/>
          <w:iCs/>
        </w:rPr>
        <w:t>bla</w:t>
      </w:r>
      <w:r w:rsidRPr="00437F2B">
        <w:rPr>
          <w:vertAlign w:val="subscript"/>
        </w:rPr>
        <w:t>TEM-1</w:t>
      </w:r>
      <w:r w:rsidRPr="00437F2B">
        <w:t>-IS</w:t>
      </w:r>
      <w:r w:rsidRPr="00437F2B">
        <w:rPr>
          <w:i/>
          <w:iCs/>
        </w:rPr>
        <w:t>Kpn27</w:t>
      </w:r>
      <w:r w:rsidRPr="00437F2B">
        <w:t> has been evident in IncP6 from a variety of clinical and WW species [</w:t>
      </w:r>
      <w:r w:rsidRPr="00C90A22">
        <w:rPr>
          <w:b/>
          <w:bCs/>
        </w:rPr>
        <w:t>58</w:t>
      </w:r>
      <w:r w:rsidRPr="00437F2B">
        <w:t>]. pMHW-1 also carried transposon Tn5563, a member of the Tn3 transposon family, with a mercury operon encoding the periplasmic scavenger </w:t>
      </w:r>
      <w:r w:rsidRPr="00437F2B">
        <w:rPr>
          <w:i/>
          <w:iCs/>
        </w:rPr>
        <w:t>merP,</w:t>
      </w:r>
      <w:r w:rsidRPr="00437F2B">
        <w:t> transporter </w:t>
      </w:r>
      <w:r w:rsidRPr="00437F2B">
        <w:rPr>
          <w:i/>
          <w:iCs/>
        </w:rPr>
        <w:t>merT,</w:t>
      </w:r>
      <w:r w:rsidRPr="00437F2B">
        <w:t> and regulator </w:t>
      </w:r>
      <w:r w:rsidRPr="00437F2B">
        <w:rPr>
          <w:i/>
          <w:iCs/>
        </w:rPr>
        <w:t>merR</w:t>
      </w:r>
      <w:r w:rsidRPr="00437F2B">
        <w:t> (</w:t>
      </w:r>
      <w:r w:rsidRPr="00C90A22">
        <w:rPr>
          <w:b/>
          <w:bCs/>
        </w:rPr>
        <w:t>Figure 3</w:t>
      </w:r>
      <w:r w:rsidRPr="00437F2B">
        <w:t>). However, this strain lacks the detoxifying mercuric reductase </w:t>
      </w:r>
      <w:r w:rsidRPr="00437F2B">
        <w:rPr>
          <w:i/>
          <w:iCs/>
        </w:rPr>
        <w:t>merA</w:t>
      </w:r>
      <w:r w:rsidRPr="00437F2B">
        <w:t>, resulting in increased uptake of environmental mercury creating a hypersensitive strain [</w:t>
      </w:r>
      <w:r w:rsidRPr="00C90A22">
        <w:rPr>
          <w:b/>
          <w:bCs/>
        </w:rPr>
        <w:t>59</w:t>
      </w:r>
      <w:r w:rsidRPr="00437F2B">
        <w:t>]. Plasmid pMHW-1 appeared to be a mobilizable plasmid with an identifiable </w:t>
      </w:r>
      <w:r w:rsidRPr="00437F2B">
        <w:rPr>
          <w:i/>
          <w:iCs/>
        </w:rPr>
        <w:t>oriT</w:t>
      </w:r>
      <w:r w:rsidRPr="00437F2B">
        <w:t> site and relaxase gene (</w:t>
      </w:r>
      <w:r w:rsidRPr="00C90A22">
        <w:rPr>
          <w:b/>
          <w:bCs/>
        </w:rPr>
        <w:t>Figure 3</w:t>
      </w:r>
      <w:r w:rsidRPr="00437F2B">
        <w:t> and </w:t>
      </w:r>
      <w:r w:rsidRPr="00C90A22">
        <w:rPr>
          <w:b/>
          <w:bCs/>
        </w:rPr>
        <w:t>Supplementary Table S6</w:t>
      </w:r>
      <w:r w:rsidRPr="00437F2B">
        <w:t>). It also encodes a replication initiation protein (RIP), as well as some genes aiding its replication and maintenance: </w:t>
      </w:r>
      <w:r w:rsidRPr="00437F2B">
        <w:rPr>
          <w:i/>
          <w:iCs/>
        </w:rPr>
        <w:t>parA</w:t>
      </w:r>
      <w:r w:rsidRPr="00437F2B">
        <w:t>, DNA polymerase III, </w:t>
      </w:r>
      <w:r w:rsidRPr="00437F2B">
        <w:rPr>
          <w:i/>
          <w:iCs/>
        </w:rPr>
        <w:t>kfrA,</w:t>
      </w:r>
      <w:r w:rsidRPr="00437F2B">
        <w:t> and </w:t>
      </w:r>
      <w:r w:rsidRPr="00437F2B">
        <w:rPr>
          <w:i/>
          <w:iCs/>
        </w:rPr>
        <w:t>dnaC</w:t>
      </w:r>
      <w:r w:rsidRPr="00437F2B">
        <w:t> (</w:t>
      </w:r>
      <w:r w:rsidRPr="00C90A22">
        <w:rPr>
          <w:b/>
          <w:bCs/>
        </w:rPr>
        <w:t>Supplementary Table S6</w:t>
      </w:r>
      <w:r w:rsidRPr="00437F2B">
        <w:t>).</w:t>
      </w:r>
    </w:p>
    <w:p w14:paraId="71849AB2" w14:textId="7ECC8E7B" w:rsidR="00437F2B" w:rsidRPr="00437F2B" w:rsidRDefault="00437F2B" w:rsidP="00437F2B">
      <w:r w:rsidRPr="00437F2B">
        <w:t>We also identified pMHW-2 (Accession number: CP091428), a multi-drug resistant self-transmissible IncFIA plasmid in </w:t>
      </w:r>
      <w:r w:rsidRPr="00437F2B">
        <w:rPr>
          <w:i/>
          <w:iCs/>
        </w:rPr>
        <w:t>E. coli</w:t>
      </w:r>
      <w:r w:rsidRPr="00437F2B">
        <w:t> 1000C-3 (</w:t>
      </w:r>
      <w:r w:rsidRPr="00C90A22">
        <w:rPr>
          <w:b/>
          <w:bCs/>
        </w:rPr>
        <w:t>Supplementary Table S5</w:t>
      </w:r>
      <w:r w:rsidRPr="00437F2B">
        <w:t>: 99.74% coverage and 99.48% identity with </w:t>
      </w:r>
      <w:r w:rsidRPr="00437F2B">
        <w:rPr>
          <w:i/>
          <w:iCs/>
        </w:rPr>
        <w:t>E. coli</w:t>
      </w:r>
      <w:r w:rsidRPr="00437F2B">
        <w:t> plasmid F Accession number AP001918) consisting of 145,445 bps with 52% GC content and 196 predicted ORFs. IncF plasmids are commonly associated with multi-drug resistant </w:t>
      </w:r>
      <w:r w:rsidRPr="00437F2B">
        <w:rPr>
          <w:i/>
          <w:iCs/>
        </w:rPr>
        <w:t>E. coli</w:t>
      </w:r>
      <w:r w:rsidRPr="00437F2B">
        <w:t> strains from the clinic, animals, and the environment [</w:t>
      </w:r>
      <w:r w:rsidRPr="00C90A22">
        <w:rPr>
          <w:b/>
          <w:bCs/>
        </w:rPr>
        <w:t>60</w:t>
      </w:r>
      <w:r w:rsidRPr="00437F2B">
        <w:t>]. This plasmid shared homology with numerous plasmids from </w:t>
      </w:r>
      <w:r w:rsidRPr="00437F2B">
        <w:rPr>
          <w:i/>
          <w:iCs/>
        </w:rPr>
        <w:t>E. coli</w:t>
      </w:r>
      <w:r w:rsidRPr="00437F2B">
        <w:t> (</w:t>
      </w:r>
      <w:r w:rsidRPr="00C90A22">
        <w:rPr>
          <w:b/>
          <w:bCs/>
        </w:rPr>
        <w:t>Supplementary Table S7</w:t>
      </w:r>
      <w:r w:rsidRPr="00437F2B">
        <w:t>). Conjugative pMHW-2 plasmid contained a </w:t>
      </w:r>
      <w:r w:rsidRPr="00437F2B">
        <w:rPr>
          <w:i/>
          <w:iCs/>
        </w:rPr>
        <w:t>tra</w:t>
      </w:r>
      <w:r w:rsidRPr="00437F2B">
        <w:t> operon with 30 genes aiding self-transmissibility (</w:t>
      </w:r>
      <w:r w:rsidRPr="00C90A22">
        <w:rPr>
          <w:b/>
          <w:bCs/>
        </w:rPr>
        <w:t>Figure 3</w:t>
      </w:r>
      <w:r w:rsidRPr="00437F2B">
        <w:t> and </w:t>
      </w:r>
      <w:r w:rsidRPr="00C90A22">
        <w:rPr>
          <w:b/>
          <w:bCs/>
        </w:rPr>
        <w:t>Supplementary Table S6</w:t>
      </w:r>
      <w:r w:rsidRPr="00437F2B">
        <w:t>). These genes are involved in the regulation of transcription, relaxosome formation, type 4 secretion system, pilus formation, and mating pair formation [</w:t>
      </w:r>
      <w:r w:rsidRPr="00C90A22">
        <w:rPr>
          <w:b/>
          <w:bCs/>
        </w:rPr>
        <w:t>61</w:t>
      </w:r>
      <w:r w:rsidRPr="00437F2B">
        <w:t>]. pMHW-2 plasmid also contains a Tn5403, Tn3-like transposon, which has been identified to contain enzymes capable of helping non-conjugative plasmids [</w:t>
      </w:r>
      <w:r w:rsidRPr="00C90A22">
        <w:rPr>
          <w:b/>
          <w:bCs/>
        </w:rPr>
        <w:t>62</w:t>
      </w:r>
      <w:r w:rsidRPr="00437F2B">
        <w:t>].</w:t>
      </w:r>
    </w:p>
    <w:p w14:paraId="072F835F" w14:textId="5A90A17F" w:rsidR="00437F2B" w:rsidRPr="00437F2B" w:rsidRDefault="00437F2B" w:rsidP="00437F2B">
      <w:r w:rsidRPr="00437F2B">
        <w:t>The self-transmissible, multi-drug resistant plasmid pMHW-2 is rich in ARGs downstream of the type 1 integron integrase (</w:t>
      </w:r>
      <w:r w:rsidRPr="00C90A22">
        <w:rPr>
          <w:b/>
          <w:bCs/>
        </w:rPr>
        <w:t>Figure 3</w:t>
      </w:r>
      <w:r w:rsidRPr="00437F2B">
        <w:t> and </w:t>
      </w:r>
      <w:r w:rsidRPr="00C90A22">
        <w:rPr>
          <w:b/>
          <w:bCs/>
        </w:rPr>
        <w:t>Supplementary Table S6</w:t>
      </w:r>
      <w:r w:rsidRPr="00437F2B">
        <w:t>: 14,767–36,470 bps). pMHW-2 encoded two beta-lactamases, </w:t>
      </w:r>
      <w:r w:rsidRPr="00437F2B">
        <w:rPr>
          <w:i/>
          <w:iCs/>
        </w:rPr>
        <w:t>bla</w:t>
      </w:r>
      <w:r w:rsidRPr="00437F2B">
        <w:rPr>
          <w:vertAlign w:val="subscript"/>
        </w:rPr>
        <w:t>CTX-M-15</w:t>
      </w:r>
      <w:r w:rsidRPr="00437F2B">
        <w:t> and </w:t>
      </w:r>
      <w:r w:rsidRPr="00437F2B">
        <w:rPr>
          <w:i/>
          <w:iCs/>
        </w:rPr>
        <w:t>bla</w:t>
      </w:r>
      <w:r w:rsidRPr="00437F2B">
        <w:rPr>
          <w:vertAlign w:val="subscript"/>
        </w:rPr>
        <w:t>OXA-1,</w:t>
      </w:r>
      <w:r w:rsidRPr="00437F2B">
        <w:t> with </w:t>
      </w:r>
      <w:r w:rsidRPr="00437F2B">
        <w:rPr>
          <w:i/>
          <w:iCs/>
        </w:rPr>
        <w:t>bla</w:t>
      </w:r>
      <w:r w:rsidRPr="00437F2B">
        <w:rPr>
          <w:vertAlign w:val="subscript"/>
        </w:rPr>
        <w:t>CTX-M-15</w:t>
      </w:r>
      <w:r w:rsidRPr="00437F2B">
        <w:t> part of Tn2 between IS26 elements (</w:t>
      </w:r>
      <w:r w:rsidRPr="00C90A22">
        <w:rPr>
          <w:b/>
          <w:bCs/>
        </w:rPr>
        <w:t>Figure 3</w:t>
      </w:r>
      <w:r w:rsidRPr="00437F2B">
        <w:t>). Among clinical isolates, </w:t>
      </w:r>
      <w:r w:rsidRPr="00437F2B">
        <w:rPr>
          <w:i/>
          <w:iCs/>
        </w:rPr>
        <w:t>bla</w:t>
      </w:r>
      <w:r w:rsidRPr="00437F2B">
        <w:rPr>
          <w:vertAlign w:val="subscript"/>
        </w:rPr>
        <w:t>CTX-M-15</w:t>
      </w:r>
      <w:r w:rsidRPr="00437F2B">
        <w:t> has been commonly identified on IncFI plasmids belonging to phylogroup A [</w:t>
      </w:r>
      <w:r w:rsidRPr="00C90A22">
        <w:rPr>
          <w:b/>
          <w:bCs/>
        </w:rPr>
        <w:t>63</w:t>
      </w:r>
      <w:r w:rsidRPr="00437F2B">
        <w:t>]. An IS</w:t>
      </w:r>
      <w:r w:rsidRPr="00437F2B">
        <w:rPr>
          <w:i/>
          <w:iCs/>
        </w:rPr>
        <w:t>26</w:t>
      </w:r>
      <w:r w:rsidRPr="00437F2B">
        <w:t>-composite transposon also contained </w:t>
      </w:r>
      <w:r w:rsidRPr="00437F2B">
        <w:rPr>
          <w:i/>
          <w:iCs/>
        </w:rPr>
        <w:t>bla</w:t>
      </w:r>
      <w:r w:rsidRPr="00437F2B">
        <w:rPr>
          <w:vertAlign w:val="subscript"/>
        </w:rPr>
        <w:t>OXA-1</w:t>
      </w:r>
      <w:r w:rsidRPr="00437F2B">
        <w:t> along with type B-3 chloramphenicol O-acetyltransferase (</w:t>
      </w:r>
      <w:r w:rsidRPr="00437F2B">
        <w:rPr>
          <w:i/>
          <w:iCs/>
        </w:rPr>
        <w:t>catB3</w:t>
      </w:r>
      <w:r w:rsidRPr="00437F2B">
        <w:t>) and an aminoglycoside 6′-</w:t>
      </w:r>
      <w:r w:rsidRPr="00437F2B">
        <w:rPr>
          <w:i/>
          <w:iCs/>
        </w:rPr>
        <w:t>N</w:t>
      </w:r>
      <w:r w:rsidRPr="00437F2B">
        <w:t>-acetyltransferase-Ib (</w:t>
      </w:r>
      <w:r w:rsidRPr="00437F2B">
        <w:rPr>
          <w:i/>
          <w:iCs/>
        </w:rPr>
        <w:t>aac(6’)-Ib-cr</w:t>
      </w:r>
      <w:r w:rsidRPr="00437F2B">
        <w:t>) gene (</w:t>
      </w:r>
      <w:r w:rsidRPr="00C90A22">
        <w:rPr>
          <w:b/>
          <w:bCs/>
        </w:rPr>
        <w:t>Figure 3</w:t>
      </w:r>
      <w:r w:rsidRPr="00437F2B">
        <w:t> and </w:t>
      </w:r>
      <w:r w:rsidRPr="00C90A22">
        <w:rPr>
          <w:b/>
          <w:bCs/>
        </w:rPr>
        <w:t>Supplementary Table S6</w:t>
      </w:r>
      <w:r w:rsidRPr="00437F2B">
        <w:t>). This plasmid also contained a macrolide resistance gene (</w:t>
      </w:r>
      <w:r w:rsidRPr="00437F2B">
        <w:rPr>
          <w:i/>
          <w:iCs/>
        </w:rPr>
        <w:t>mph(A)</w:t>
      </w:r>
      <w:r w:rsidRPr="00437F2B">
        <w:t>), tetracycline (</w:t>
      </w:r>
      <w:r w:rsidRPr="00437F2B">
        <w:rPr>
          <w:i/>
          <w:iCs/>
        </w:rPr>
        <w:t>tetA</w:t>
      </w:r>
      <w:r w:rsidRPr="00437F2B">
        <w:t>), sulphonamide (</w:t>
      </w:r>
      <w:r w:rsidRPr="00437F2B">
        <w:rPr>
          <w:i/>
          <w:iCs/>
        </w:rPr>
        <w:t>sul1</w:t>
      </w:r>
      <w:r w:rsidRPr="00437F2B">
        <w:t>), trimethoprim (</w:t>
      </w:r>
      <w:r w:rsidRPr="00437F2B">
        <w:rPr>
          <w:i/>
          <w:iCs/>
        </w:rPr>
        <w:t>dfr17</w:t>
      </w:r>
      <w:r w:rsidRPr="00437F2B">
        <w:t>), and aminoglycoside (</w:t>
      </w:r>
      <w:r w:rsidRPr="00437F2B">
        <w:rPr>
          <w:i/>
          <w:iCs/>
        </w:rPr>
        <w:t>aadA5</w:t>
      </w:r>
      <w:r w:rsidRPr="00437F2B">
        <w:t>), as well as resistance genes to disinfectants (e.g., </w:t>
      </w:r>
      <w:r w:rsidRPr="00437F2B">
        <w:rPr>
          <w:i/>
          <w:iCs/>
        </w:rPr>
        <w:t>qacE</w:t>
      </w:r>
      <w:r w:rsidRPr="00437F2B">
        <w:t> and </w:t>
      </w:r>
      <w:r w:rsidRPr="00437F2B">
        <w:rPr>
          <w:i/>
          <w:iCs/>
        </w:rPr>
        <w:t>sitABCD</w:t>
      </w:r>
      <w:r w:rsidRPr="00437F2B">
        <w:t>). The large presence of IS</w:t>
      </w:r>
      <w:r w:rsidRPr="00437F2B">
        <w:rPr>
          <w:i/>
          <w:iCs/>
        </w:rPr>
        <w:t>26</w:t>
      </w:r>
      <w:r w:rsidRPr="00437F2B">
        <w:t> interspersed within plasmids and chromosomes of clinical and environmental isolates within the </w:t>
      </w:r>
      <w:r w:rsidRPr="00437F2B">
        <w:rPr>
          <w:i/>
          <w:iCs/>
        </w:rPr>
        <w:t>Enterobacteriaceae</w:t>
      </w:r>
      <w:r w:rsidRPr="00437F2B">
        <w:t> family supports a pivotal role in their dissemination of multi-drug resistance [</w:t>
      </w:r>
      <w:r w:rsidRPr="00C90A22">
        <w:rPr>
          <w:b/>
          <w:bCs/>
        </w:rPr>
        <w:t>64</w:t>
      </w:r>
      <w:r w:rsidRPr="00437F2B">
        <w:t>,</w:t>
      </w:r>
      <w:r w:rsidRPr="00C90A22">
        <w:rPr>
          <w:b/>
          <w:bCs/>
        </w:rPr>
        <w:t>65</w:t>
      </w:r>
      <w:r w:rsidRPr="00437F2B">
        <w:t>]. Beyond resistance, this plasmid encodes an </w:t>
      </w:r>
      <w:r w:rsidRPr="00437F2B">
        <w:rPr>
          <w:i/>
          <w:iCs/>
        </w:rPr>
        <w:t>iucABCD iutA</w:t>
      </w:r>
      <w:r w:rsidRPr="00437F2B">
        <w:t> operon responsible for the biosynthesis of the iron siderophore aerobactin. The production of aerobactin has been associated with increased virulence and relapse episodes of urinary tract infections [</w:t>
      </w:r>
      <w:r w:rsidRPr="00C90A22">
        <w:rPr>
          <w:b/>
          <w:bCs/>
        </w:rPr>
        <w:t>66</w:t>
      </w:r>
      <w:r w:rsidRPr="00437F2B">
        <w:t>,</w:t>
      </w:r>
      <w:r w:rsidRPr="00C90A22">
        <w:rPr>
          <w:b/>
          <w:bCs/>
        </w:rPr>
        <w:t>67</w:t>
      </w:r>
      <w:r w:rsidRPr="00437F2B">
        <w:t>]. Under iron-limiting and oxidative stress conditions, aerobactin has increased biofilm formation and hydrogen peroxide resistance respectively [</w:t>
      </w:r>
      <w:r w:rsidRPr="00C90A22">
        <w:rPr>
          <w:b/>
          <w:bCs/>
        </w:rPr>
        <w:t>68</w:t>
      </w:r>
      <w:r w:rsidRPr="00437F2B">
        <w:t>]. When the whole-genome sequence was analyzed with PathogenFinder [</w:t>
      </w:r>
      <w:r w:rsidRPr="00C90A22">
        <w:rPr>
          <w:b/>
          <w:bCs/>
        </w:rPr>
        <w:t>69</w:t>
      </w:r>
      <w:r w:rsidRPr="00437F2B">
        <w:t>], </w:t>
      </w:r>
      <w:r w:rsidRPr="00437F2B">
        <w:rPr>
          <w:i/>
          <w:iCs/>
        </w:rPr>
        <w:t>E. coli</w:t>
      </w:r>
      <w:r w:rsidRPr="00437F2B">
        <w:t> 1000C-3 matched 663 pathogenic families, resulting in a pathogen probability of 0.919.</w:t>
      </w:r>
    </w:p>
    <w:p w14:paraId="44CF8BC8" w14:textId="77777777" w:rsidR="00437F2B" w:rsidRPr="00437F2B" w:rsidRDefault="00437F2B" w:rsidP="007D3B68">
      <w:pPr>
        <w:pStyle w:val="Heading2"/>
      </w:pPr>
      <w:r w:rsidRPr="00437F2B">
        <w:t>2.4. Prevalence of Virulence Genes among CTX-Resistant Populations</w:t>
      </w:r>
    </w:p>
    <w:p w14:paraId="6932614E" w14:textId="45AD03D6" w:rsidR="00437F2B" w:rsidRPr="00437F2B" w:rsidRDefault="00437F2B" w:rsidP="00437F2B">
      <w:r w:rsidRPr="00437F2B">
        <w:t>Antimicrobial resistant opportunistic pathogens pose an even bigger health risk. Another way to assess the potential pathogenic nature of a bacterial isolate is to identify encoded virulence factors, which are involved in an array of activities including attachment to host tissues, immune evasion, and production of toxins capable of tissue damage [</w:t>
      </w:r>
      <w:r w:rsidRPr="00C90A22">
        <w:rPr>
          <w:b/>
          <w:bCs/>
        </w:rPr>
        <w:t>70</w:t>
      </w:r>
      <w:r w:rsidRPr="00437F2B">
        <w:t>]. Frequently, these virulence factors are found on pathogenicity islands and other mobile genetic elements that allow for gene transfer [</w:t>
      </w:r>
      <w:r w:rsidRPr="00C90A22">
        <w:rPr>
          <w:b/>
          <w:bCs/>
        </w:rPr>
        <w:t>71</w:t>
      </w:r>
      <w:r w:rsidRPr="00437F2B">
        <w:t>]. We analyzed seven virulence genes comprising both cell surface and secreted virulence factors [</w:t>
      </w:r>
      <w:r w:rsidRPr="00C90A22">
        <w:rPr>
          <w:b/>
          <w:bCs/>
        </w:rPr>
        <w:t>70</w:t>
      </w:r>
      <w:r w:rsidRPr="00437F2B">
        <w:t>]. CTX-resistant clinical strains exhibited significantly more virulence genes compared to WW effluent isolates (</w:t>
      </w:r>
      <w:r w:rsidRPr="00C90A22">
        <w:rPr>
          <w:b/>
          <w:bCs/>
        </w:rPr>
        <w:t>Figure 4</w:t>
      </w:r>
      <w:r w:rsidRPr="00437F2B">
        <w:t>A, </w:t>
      </w:r>
      <w:r w:rsidRPr="00437F2B">
        <w:rPr>
          <w:i/>
          <w:iCs/>
        </w:rPr>
        <w:t>p</w:t>
      </w:r>
      <w:r w:rsidRPr="00437F2B">
        <w:t> = 0.0007), where 64% of clinical isolates displayed three or more virulence genes compared to only 31% among WW effluent populations. Comparatively, the WW effluent isolates appeared to be less virulent; however, all encoded at least one virulence gene (</w:t>
      </w:r>
      <w:r w:rsidRPr="00C90A22">
        <w:rPr>
          <w:b/>
          <w:bCs/>
        </w:rPr>
        <w:t>Figure 4</w:t>
      </w:r>
      <w:r w:rsidRPr="00437F2B">
        <w:t>A).</w:t>
      </w:r>
    </w:p>
    <w:p w14:paraId="4CCBCB85" w14:textId="07BD9B81" w:rsidR="00437F2B" w:rsidRPr="00437F2B" w:rsidRDefault="00437F2B" w:rsidP="007D3B68">
      <w:pPr>
        <w:pStyle w:val="NoSpacing"/>
      </w:pPr>
      <w:r w:rsidRPr="00437F2B">
        <w:rPr>
          <w:noProof/>
        </w:rPr>
        <w:drawing>
          <wp:inline distT="0" distB="0" distL="0" distR="0" wp14:anchorId="7D67E275" wp14:editId="20E01E48">
            <wp:extent cx="3657600" cy="1335024"/>
            <wp:effectExtent l="0" t="0" r="0" b="0"/>
            <wp:docPr id="1" name="Picture 1" descr="Antibiotics 11 00260 g004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ntibiotics 11 00260 g004 5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335024"/>
                    </a:xfrm>
                    <a:prstGeom prst="rect">
                      <a:avLst/>
                    </a:prstGeom>
                    <a:noFill/>
                    <a:ln>
                      <a:noFill/>
                    </a:ln>
                  </pic:spPr>
                </pic:pic>
              </a:graphicData>
            </a:graphic>
          </wp:inline>
        </w:drawing>
      </w:r>
    </w:p>
    <w:p w14:paraId="414B9385" w14:textId="77777777" w:rsidR="00437F2B" w:rsidRDefault="00437F2B" w:rsidP="007D3B68">
      <w:pPr>
        <w:pStyle w:val="NoSpacing"/>
      </w:pPr>
      <w:r w:rsidRPr="00437F2B">
        <w:rPr>
          <w:b/>
          <w:bCs/>
        </w:rPr>
        <w:t>Figure 4.</w:t>
      </w:r>
      <w:r w:rsidRPr="00437F2B">
        <w:t> Virulence genes amongst CTX-resistant </w:t>
      </w:r>
      <w:r w:rsidRPr="00437F2B">
        <w:rPr>
          <w:i/>
          <w:iCs/>
        </w:rPr>
        <w:t>E. coli</w:t>
      </w:r>
      <w:r w:rsidRPr="00437F2B">
        <w:t> populations. (</w:t>
      </w:r>
      <w:r w:rsidRPr="00437F2B">
        <w:rPr>
          <w:b/>
          <w:bCs/>
        </w:rPr>
        <w:t>A</w:t>
      </w:r>
      <w:r w:rsidRPr="00437F2B">
        <w:t>) The mean number of virulence genes ± standard deviation identified among clinical </w:t>
      </w:r>
      <w:r w:rsidRPr="00437F2B">
        <w:rPr>
          <w:i/>
          <w:iCs/>
        </w:rPr>
        <w:t>E. coli</w:t>
      </w:r>
      <w:r w:rsidRPr="00437F2B">
        <w:t> (</w:t>
      </w:r>
      <w:r w:rsidRPr="00437F2B">
        <w:rPr>
          <w:i/>
          <w:iCs/>
        </w:rPr>
        <w:t>n</w:t>
      </w:r>
      <w:r w:rsidRPr="00437F2B">
        <w:t> = 11, black bars) and treated WW effluent populations (</w:t>
      </w:r>
      <w:r w:rsidRPr="00437F2B">
        <w:rPr>
          <w:i/>
          <w:iCs/>
        </w:rPr>
        <w:t>n</w:t>
      </w:r>
      <w:r w:rsidRPr="00437F2B">
        <w:t> = 16, white bars). (</w:t>
      </w:r>
      <w:r w:rsidRPr="00437F2B">
        <w:rPr>
          <w:b/>
          <w:bCs/>
        </w:rPr>
        <w:t>B</w:t>
      </w:r>
      <w:r w:rsidRPr="00437F2B">
        <w:t>) Data represents the prevalence of each virulence factor among clinical isolates (black bars) and WW treated effluents (white bars). Percent prevalence was calculated by dividing total isolates positive for each virulence factor by the total isolates from the representative source. (</w:t>
      </w:r>
      <w:r w:rsidRPr="00437F2B">
        <w:rPr>
          <w:b/>
          <w:bCs/>
        </w:rPr>
        <w:t>C</w:t>
      </w:r>
      <w:r w:rsidRPr="00437F2B">
        <w:t>) Each point represents the number of virulence genes encoded by an </w:t>
      </w:r>
      <w:r w:rsidRPr="00437F2B">
        <w:rPr>
          <w:i/>
          <w:iCs/>
        </w:rPr>
        <w:t>E. coli</w:t>
      </w:r>
      <w:r w:rsidRPr="00437F2B">
        <w:t> isolate within the major phylogroups with the bar representing the mean number of virulence genes within the corresponding phylogroup. * </w:t>
      </w:r>
      <w:r w:rsidRPr="00437F2B">
        <w:rPr>
          <w:i/>
          <w:iCs/>
        </w:rPr>
        <w:t>p</w:t>
      </w:r>
      <w:r w:rsidRPr="00437F2B">
        <w:t> = 0.0007.</w:t>
      </w:r>
    </w:p>
    <w:p w14:paraId="17BACB21" w14:textId="77777777" w:rsidR="007D3B68" w:rsidRPr="00437F2B" w:rsidRDefault="007D3B68" w:rsidP="00437F2B"/>
    <w:p w14:paraId="0B6725DE" w14:textId="61DB5267" w:rsidR="00437F2B" w:rsidRPr="00437F2B" w:rsidRDefault="00437F2B" w:rsidP="00437F2B">
      <w:r w:rsidRPr="00437F2B">
        <w:t>The virulence factor, aerobactin, was present in all clinical and effluent </w:t>
      </w:r>
      <w:r w:rsidRPr="00437F2B">
        <w:rPr>
          <w:i/>
          <w:iCs/>
        </w:rPr>
        <w:t>E. coli</w:t>
      </w:r>
      <w:r w:rsidRPr="00437F2B">
        <w:t> isolates. Aerobactin is frequently found among UPEC strains, is involved in iron sequestration, and is commonly associated with multi-drug resistance residing both on chromosomes and within plasmids [</w:t>
      </w:r>
      <w:r w:rsidRPr="00C90A22">
        <w:rPr>
          <w:b/>
          <w:bCs/>
        </w:rPr>
        <w:t>72</w:t>
      </w:r>
      <w:r w:rsidRPr="00437F2B">
        <w:t>]. Typically, aerobactin is associated with the presence of other virulence genes, such as type 1 fimbriae (</w:t>
      </w:r>
      <w:r w:rsidRPr="00437F2B">
        <w:rPr>
          <w:i/>
          <w:iCs/>
        </w:rPr>
        <w:t>fimH</w:t>
      </w:r>
      <w:r w:rsidRPr="00437F2B">
        <w:t>), hemolysin (</w:t>
      </w:r>
      <w:r w:rsidRPr="00437F2B">
        <w:rPr>
          <w:i/>
          <w:iCs/>
        </w:rPr>
        <w:t>hlyCA</w:t>
      </w:r>
      <w:r w:rsidRPr="00437F2B">
        <w:t>), and P fimbriae (</w:t>
      </w:r>
      <w:r w:rsidRPr="00437F2B">
        <w:rPr>
          <w:i/>
          <w:iCs/>
        </w:rPr>
        <w:t>papC</w:t>
      </w:r>
      <w:r w:rsidRPr="00437F2B">
        <w:t>) [</w:t>
      </w:r>
      <w:r w:rsidRPr="00C90A22">
        <w:rPr>
          <w:b/>
          <w:bCs/>
        </w:rPr>
        <w:t>73</w:t>
      </w:r>
      <w:r w:rsidRPr="00437F2B">
        <w:t>]. For our clinical strains, aerobactin and the adhesion gene, </w:t>
      </w:r>
      <w:r w:rsidRPr="00437F2B">
        <w:rPr>
          <w:i/>
          <w:iCs/>
        </w:rPr>
        <w:t>fimH</w:t>
      </w:r>
      <w:r w:rsidRPr="00437F2B">
        <w:t>, were co-expressed; similar findings were evident among effluent strains where co-expression occurred among 93% of the population (</w:t>
      </w:r>
      <w:r w:rsidRPr="00C90A22">
        <w:rPr>
          <w:b/>
          <w:bCs/>
        </w:rPr>
        <w:t>Figure 4</w:t>
      </w:r>
      <w:r w:rsidRPr="00437F2B">
        <w:t>B). Overall, virulence genes were significantly more abundant in the B2 phylogroup, regardless of source, compared to non-B2 phylogroups (</w:t>
      </w:r>
      <w:r w:rsidRPr="00C90A22">
        <w:rPr>
          <w:b/>
          <w:bCs/>
        </w:rPr>
        <w:t>Figure 4</w:t>
      </w:r>
      <w:r w:rsidRPr="00437F2B">
        <w:t>C, </w:t>
      </w:r>
      <w:r w:rsidRPr="00437F2B">
        <w:rPr>
          <w:i/>
          <w:iCs/>
        </w:rPr>
        <w:t>p</w:t>
      </w:r>
      <w:r w:rsidRPr="00437F2B">
        <w:t> &lt; 0.05). This finding is consistent with other reports where phylogroup B2 has been associated with more virulence factors compared to other phylogroups [</w:t>
      </w:r>
      <w:r w:rsidRPr="00C90A22">
        <w:rPr>
          <w:b/>
          <w:bCs/>
        </w:rPr>
        <w:t>74</w:t>
      </w:r>
      <w:r w:rsidRPr="00437F2B">
        <w:t>,</w:t>
      </w:r>
      <w:r w:rsidRPr="00C90A22">
        <w:rPr>
          <w:b/>
          <w:bCs/>
        </w:rPr>
        <w:t>75</w:t>
      </w:r>
      <w:r w:rsidRPr="00437F2B">
        <w:t>]. In addition, we found that 75% of the B2 phylogroup isolates (from both clinical isolates and WW effluents) co-expressed aerobactin and afa adhesions (afa), a virulence factor commonly associated with UPEC [</w:t>
      </w:r>
      <w:r w:rsidRPr="00C90A22">
        <w:rPr>
          <w:b/>
          <w:bCs/>
        </w:rPr>
        <w:t>71</w:t>
      </w:r>
      <w:r w:rsidRPr="00437F2B">
        <w:t>]. However, due to the diversity and abundance of virulence genes in bacteria [</w:t>
      </w:r>
      <w:r w:rsidRPr="00C90A22">
        <w:rPr>
          <w:b/>
          <w:bCs/>
        </w:rPr>
        <w:t>76</w:t>
      </w:r>
      <w:r w:rsidRPr="00437F2B">
        <w:t>], it becomes difficult to attribute specific virulence genes to a pathogenic lineage, especially since they can be found among commensal strains [</w:t>
      </w:r>
      <w:r w:rsidRPr="00C90A22">
        <w:rPr>
          <w:b/>
          <w:bCs/>
        </w:rPr>
        <w:t>76</w:t>
      </w:r>
      <w:r w:rsidRPr="00437F2B">
        <w:t>]. Despite this limitation, our study detected similar virulence genes in both clinical samples and WW effluents including </w:t>
      </w:r>
      <w:r w:rsidRPr="00437F2B">
        <w:rPr>
          <w:i/>
          <w:iCs/>
        </w:rPr>
        <w:t>afa</w:t>
      </w:r>
      <w:r w:rsidRPr="00437F2B">
        <w:t> adhesions (</w:t>
      </w:r>
      <w:r w:rsidRPr="00C90A22">
        <w:rPr>
          <w:b/>
          <w:bCs/>
        </w:rPr>
        <w:t>Figure 4</w:t>
      </w:r>
      <w:r w:rsidRPr="00437F2B">
        <w:t>B) commonly associated with UPEC populations. These findings are consistent with a previous study identifying WW </w:t>
      </w:r>
      <w:r w:rsidRPr="00437F2B">
        <w:rPr>
          <w:i/>
          <w:iCs/>
        </w:rPr>
        <w:t>E. coli</w:t>
      </w:r>
      <w:r w:rsidRPr="00437F2B">
        <w:t> strains containing the same virulence factors as clinical UPEC isolates after whole-genome analysis [</w:t>
      </w:r>
      <w:r w:rsidRPr="00C90A22">
        <w:rPr>
          <w:b/>
          <w:bCs/>
        </w:rPr>
        <w:t>77</w:t>
      </w:r>
      <w:r w:rsidRPr="00437F2B">
        <w:t>]. Together, these findings implicate a potential pathogenic linkage emphasizing a health risk among treated effluent populations.</w:t>
      </w:r>
    </w:p>
    <w:p w14:paraId="0F24733E" w14:textId="77777777" w:rsidR="00437F2B" w:rsidRPr="00437F2B" w:rsidRDefault="00437F2B" w:rsidP="00F96908">
      <w:pPr>
        <w:pStyle w:val="Heading1"/>
      </w:pPr>
      <w:r w:rsidRPr="00437F2B">
        <w:t>3. Materials and Methods</w:t>
      </w:r>
    </w:p>
    <w:p w14:paraId="0465D0D8" w14:textId="77777777" w:rsidR="00437F2B" w:rsidRPr="00437F2B" w:rsidRDefault="00437F2B" w:rsidP="00F96908">
      <w:pPr>
        <w:pStyle w:val="Heading2"/>
      </w:pPr>
      <w:r w:rsidRPr="00437F2B">
        <w:t>3.1. Acquisition of CTX-Resistant E. coli Isolates</w:t>
      </w:r>
    </w:p>
    <w:p w14:paraId="51098E3D" w14:textId="77777777" w:rsidR="00437F2B" w:rsidRPr="00437F2B" w:rsidRDefault="00437F2B" w:rsidP="00437F2B">
      <w:r w:rsidRPr="00437F2B">
        <w:t>WW samples were obtained from Jones Island Water Reclamation Facility (JI) and the Medical College of Wisconsin in Milwaukee, Wisconsin, USA. Facility employees acquired replicate 1L grab samples in sterile amber glass bottles (ThermoScientific, Waltham, MA, USA) once a week for three consecutive weeks in October 2018 from JI influent, treated effluent (post-primary and secondary treatment) and post-chlorinated disinfection effluents (final effluents entering environment). Hospital WW grab samples were acquired from two WW outflows at the Medical College of Wisconsin on two separate dates in October 2018. All samples were immediately placed on ice until it was processed within 8 h. Various water volumes (≤100 mL) were filtered over a 0.45 µm filter and placed on modified mTEC with cefotaxime (4 µg/mL) to obtain resistant </w:t>
      </w:r>
      <w:r w:rsidRPr="00437F2B">
        <w:rPr>
          <w:i/>
          <w:iCs/>
        </w:rPr>
        <w:t>E. coli</w:t>
      </w:r>
      <w:r w:rsidRPr="00437F2B">
        <w:t> populations. Random violet color colonies underwent further isolation by performing a four-quadrant streak on TSA with cefotaxime (2 µg/mL) to ensure isolation. From these plates, 58 WW isolates were obtained from hospital WW (</w:t>
      </w:r>
      <w:r w:rsidRPr="00437F2B">
        <w:rPr>
          <w:i/>
          <w:iCs/>
        </w:rPr>
        <w:t>n</w:t>
      </w:r>
      <w:r w:rsidRPr="00437F2B">
        <w:t> = 22), as well as influents (</w:t>
      </w:r>
      <w:r w:rsidRPr="00437F2B">
        <w:rPr>
          <w:i/>
          <w:iCs/>
        </w:rPr>
        <w:t>n</w:t>
      </w:r>
      <w:r w:rsidRPr="00437F2B">
        <w:t> = 19) and treated effluents (</w:t>
      </w:r>
      <w:r w:rsidRPr="00437F2B">
        <w:rPr>
          <w:i/>
          <w:iCs/>
        </w:rPr>
        <w:t>n</w:t>
      </w:r>
      <w:r w:rsidRPr="00437F2B">
        <w:t> = 17) with a maximum of 10 colony forming units (CFUs) per source per date. No CTX-resistant </w:t>
      </w:r>
      <w:r w:rsidRPr="00437F2B">
        <w:rPr>
          <w:i/>
          <w:iCs/>
        </w:rPr>
        <w:t>E. coli</w:t>
      </w:r>
      <w:r w:rsidRPr="00437F2B">
        <w:t> populations with the volumes tested were evident from one effluent sampling date and one hospital WW source on one date. Additionally, no CTX-resistant violet colonies were evident from post-chlorinated effluents in the volumes tested. Frozen glycerol stocks were made of all isolates for further analysis.</w:t>
      </w:r>
    </w:p>
    <w:p w14:paraId="76A29498" w14:textId="275A9DB7" w:rsidR="00437F2B" w:rsidRPr="00437F2B" w:rsidRDefault="00437F2B" w:rsidP="00437F2B">
      <w:r w:rsidRPr="00437F2B">
        <w:t>Clinical </w:t>
      </w:r>
      <w:r w:rsidRPr="00437F2B">
        <w:rPr>
          <w:i/>
          <w:iCs/>
        </w:rPr>
        <w:t>E. coli</w:t>
      </w:r>
      <w:r w:rsidRPr="00437F2B">
        <w:t> isolates (e.g., urinary tract (7), blood (2), wound (1), and surgical tissue (1)) from inpatient (</w:t>
      </w:r>
      <w:r w:rsidRPr="00437F2B">
        <w:rPr>
          <w:i/>
          <w:iCs/>
        </w:rPr>
        <w:t>n</w:t>
      </w:r>
      <w:r w:rsidRPr="00437F2B">
        <w:t> = 5) and outpatient (</w:t>
      </w:r>
      <w:r w:rsidRPr="00437F2B">
        <w:rPr>
          <w:i/>
          <w:iCs/>
        </w:rPr>
        <w:t>n</w:t>
      </w:r>
      <w:r w:rsidRPr="00437F2B">
        <w:t> = 6) samples were acquired from the same medical facility as the hospital WW. Presumptive </w:t>
      </w:r>
      <w:r w:rsidRPr="00437F2B">
        <w:rPr>
          <w:i/>
          <w:iCs/>
        </w:rPr>
        <w:t>E. coli</w:t>
      </w:r>
      <w:r w:rsidRPr="00437F2B">
        <w:t> colonies were confirmed using Bruker MALDI-TOF mass spectrometry [</w:t>
      </w:r>
      <w:r w:rsidRPr="00C90A22">
        <w:rPr>
          <w:b/>
          <w:bCs/>
        </w:rPr>
        <w:t>19</w:t>
      </w:r>
      <w:r w:rsidRPr="00437F2B">
        <w:t>]. Potential ESBL- and carbapenemase-producing </w:t>
      </w:r>
      <w:r w:rsidRPr="00437F2B">
        <w:rPr>
          <w:i/>
          <w:iCs/>
        </w:rPr>
        <w:t>E. coli</w:t>
      </w:r>
      <w:r w:rsidRPr="00437F2B">
        <w:t> isolates were further identified using the BD Phoenix susceptibility system interfaced with the BD EpiCenter System V6.41 following Clinical &amp; Laboratory Standards Institute (CLSI) guidelines. Frozen glycerol stocks were made of all isolates for future analysis.</w:t>
      </w:r>
    </w:p>
    <w:p w14:paraId="562B94A3" w14:textId="77777777" w:rsidR="00437F2B" w:rsidRPr="00437F2B" w:rsidRDefault="00437F2B" w:rsidP="00F96908">
      <w:pPr>
        <w:pStyle w:val="Heading2"/>
      </w:pPr>
      <w:r w:rsidRPr="00437F2B">
        <w:t>3.2. Antibiotic Susceptibility Testing</w:t>
      </w:r>
    </w:p>
    <w:p w14:paraId="60F21026" w14:textId="63100341" w:rsidR="00437F2B" w:rsidRPr="00437F2B" w:rsidRDefault="00437F2B" w:rsidP="00437F2B">
      <w:r w:rsidRPr="00437F2B">
        <w:t>The Kirby–Bauer disk diffusion method was used to determine the antibiotic resistance phenotypes of each isolate following CLSI guidelines [</w:t>
      </w:r>
      <w:r w:rsidRPr="00C90A22">
        <w:rPr>
          <w:b/>
          <w:bCs/>
        </w:rPr>
        <w:t>78</w:t>
      </w:r>
      <w:r w:rsidRPr="00437F2B">
        <w:t>]. Briefly, WW isolates were grown in tryptic soy broth overnight with cefotaxime (2 µg/mL). The susceptibility of all isolates was assessed after diluting overnight cultures to a MacFarland 0.5 standard followed by culturing them on Mueller Hinton plates stamped with the following antibiotics disks (BD BBL)—chloramphenicol (CHL, 30 mcg), sulfamethoxazole-trimethoprim (SXT, 23.75/1.25 mcg), ciprofloxacin (CIP, 5 mcg), gentamicin (GEN, 10 mcg), tetracycline (TET, 30mcg), ceftriaxone (CRO, 30 mcg), ceftazidime (CAZ, 30 mcg), ceftazidime/clavulanic acid (CAZ/CLAV, 30/10 mcg), cefotaxime (CTX, 30 mcg), meropenem (MEM, 10 mcg), imipenem (IMP, 10 mcg), and ertapenem (ERT, 10 mcg). Zones of inhibition were measured after 18–24 h incubation at 35 °C and susceptibility determined according to the 2020 CLSI standards M100-S25 [</w:t>
      </w:r>
      <w:r w:rsidRPr="00C90A22">
        <w:rPr>
          <w:b/>
          <w:bCs/>
        </w:rPr>
        <w:t>79</w:t>
      </w:r>
      <w:r w:rsidRPr="00437F2B">
        <w:t>]. ESBL producers were identified among CTX-resistant populations if the zone of inhibition with the CAZ/CLAV acid disk was ≥5 mm compared to the CAZ alone zone of inhibition.</w:t>
      </w:r>
    </w:p>
    <w:p w14:paraId="416260F7" w14:textId="77777777" w:rsidR="00437F2B" w:rsidRPr="00437F2B" w:rsidRDefault="00437F2B" w:rsidP="00F96908">
      <w:pPr>
        <w:pStyle w:val="Heading2"/>
      </w:pPr>
      <w:r w:rsidRPr="00437F2B">
        <w:t>3.3. Plasmid Isolation and Transformation</w:t>
      </w:r>
    </w:p>
    <w:p w14:paraId="762EB16E" w14:textId="77777777" w:rsidR="00437F2B" w:rsidRPr="00437F2B" w:rsidRDefault="00437F2B" w:rsidP="00437F2B">
      <w:r w:rsidRPr="00437F2B">
        <w:t>Plasmids from CTX-resistant populations were isolated using a mini prep kit according to the manufacturer’s instructions (Zymo Research, Irvine, CA, USA). Isolated plasmid DNA was then separated on a 0.7% agarose gel at 80 V for 3 h. Gel images were captured after ethidium bromide staining for further analysis.</w:t>
      </w:r>
    </w:p>
    <w:p w14:paraId="7859B0A9" w14:textId="77777777" w:rsidR="00437F2B" w:rsidRPr="00437F2B" w:rsidRDefault="00437F2B" w:rsidP="00437F2B">
      <w:r w:rsidRPr="00437F2B">
        <w:t>To identify resistant phenotypes associated with plasmids, they were transformed into Lucigen E. cloni</w:t>
      </w:r>
      <w:r w:rsidRPr="00437F2B">
        <w:rPr>
          <w:vertAlign w:val="superscript"/>
        </w:rPr>
        <w:t>®</w:t>
      </w:r>
      <w:r w:rsidRPr="00437F2B">
        <w:t> 10G chemically competent cells according to the manufacturer instructions (Lucigen, Middleton, WI, USA). Briefly, 4 µL of plasmid DNA was added to 40 µl of the competent cells and incubated on ice for 30 min. Heat shock was performed for 90 s at 42 °C followed by ice for 2 min. Recovery medium was added to the cells and incubated for 1 h at 37 °C while shaking at 175 rpm. The reaction was plated on cefotaxime (2 µg/mL) plates and incubated overnight at 35 °C. Transformants were further tested for antibiotic susceptibility to determine antibiotic resistant phenotypes transmissible via plasmids.</w:t>
      </w:r>
    </w:p>
    <w:p w14:paraId="23DB2C39" w14:textId="77777777" w:rsidR="00437F2B" w:rsidRPr="00437F2B" w:rsidRDefault="00437F2B" w:rsidP="00F96908">
      <w:pPr>
        <w:pStyle w:val="Heading2"/>
      </w:pPr>
      <w:r w:rsidRPr="00437F2B">
        <w:t>3.4. Identification of Beta-Lactamases and Virulence Genes</w:t>
      </w:r>
    </w:p>
    <w:p w14:paraId="2A3C3EAE" w14:textId="7F6F03B8" w:rsidR="00437F2B" w:rsidRPr="00437F2B" w:rsidRDefault="00437F2B" w:rsidP="00437F2B">
      <w:r w:rsidRPr="00437F2B">
        <w:t>A Promega Genomic DNA Purification kit was used to isolate genomic DNA of resistant strains. β-lactamase genes were further amplified using 2X GoTaq Green PCR Master Mix (Promega Corp., Madison, WI, USA) and their associated primers (</w:t>
      </w:r>
      <w:r w:rsidRPr="00C90A22">
        <w:rPr>
          <w:b/>
          <w:bCs/>
        </w:rPr>
        <w:t>Supplementary Table S1</w:t>
      </w:r>
      <w:r w:rsidRPr="00437F2B">
        <w:t>). Isolated DNA from a Gram-negative carbapenemase detection panel (CDC &amp; FDA AR Isolate Bank, Atlanta, GA, USA) served as positive controls for ESBLs.</w:t>
      </w:r>
    </w:p>
    <w:p w14:paraId="643D66FC" w14:textId="5EB7F256" w:rsidR="00437F2B" w:rsidRPr="00437F2B" w:rsidRDefault="00437F2B" w:rsidP="00437F2B">
      <w:r w:rsidRPr="00437F2B">
        <w:t>Detection of type 1 fimbriae (</w:t>
      </w:r>
      <w:r w:rsidRPr="00437F2B">
        <w:rPr>
          <w:i/>
          <w:iCs/>
        </w:rPr>
        <w:t>fimH</w:t>
      </w:r>
      <w:r w:rsidRPr="00437F2B">
        <w:t>), P fimbriae (</w:t>
      </w:r>
      <w:r w:rsidRPr="00437F2B">
        <w:rPr>
          <w:i/>
          <w:iCs/>
        </w:rPr>
        <w:t>papC</w:t>
      </w:r>
      <w:r w:rsidRPr="00437F2B">
        <w:t>), S and FIC fimbriae (</w:t>
      </w:r>
      <w:r w:rsidRPr="00437F2B">
        <w:rPr>
          <w:i/>
          <w:iCs/>
        </w:rPr>
        <w:t>sfa</w:t>
      </w:r>
      <w:r w:rsidRPr="00437F2B">
        <w:t>), Afa adhesin (</w:t>
      </w:r>
      <w:r w:rsidRPr="00437F2B">
        <w:rPr>
          <w:i/>
          <w:iCs/>
        </w:rPr>
        <w:t>afa</w:t>
      </w:r>
      <w:r w:rsidRPr="00437F2B">
        <w:t>), hemolysin (</w:t>
      </w:r>
      <w:r w:rsidRPr="00437F2B">
        <w:rPr>
          <w:i/>
          <w:iCs/>
        </w:rPr>
        <w:t>hlyCA</w:t>
      </w:r>
      <w:r w:rsidRPr="00437F2B">
        <w:t>), cytotoxic necrotizing factor (</w:t>
      </w:r>
      <w:r w:rsidRPr="00437F2B">
        <w:rPr>
          <w:i/>
          <w:iCs/>
        </w:rPr>
        <w:t>cnf</w:t>
      </w:r>
      <w:r w:rsidRPr="00437F2B">
        <w:t>), and aerobactin (</w:t>
      </w:r>
      <w:r w:rsidRPr="00437F2B">
        <w:rPr>
          <w:i/>
          <w:iCs/>
        </w:rPr>
        <w:t>aer</w:t>
      </w:r>
      <w:r w:rsidRPr="00437F2B">
        <w:t>) were all determined among clinical and treated effluent </w:t>
      </w:r>
      <w:r w:rsidRPr="00437F2B">
        <w:rPr>
          <w:i/>
          <w:iCs/>
        </w:rPr>
        <w:t>E. coli</w:t>
      </w:r>
      <w:r w:rsidRPr="00437F2B">
        <w:t> populations by PCR using primers listed in </w:t>
      </w:r>
      <w:r w:rsidRPr="00C90A22">
        <w:rPr>
          <w:b/>
          <w:bCs/>
        </w:rPr>
        <w:t>Supplementary Table S1</w:t>
      </w:r>
      <w:r w:rsidRPr="00437F2B">
        <w:t> according to previous methods [</w:t>
      </w:r>
      <w:r w:rsidRPr="00C90A22">
        <w:rPr>
          <w:b/>
          <w:bCs/>
        </w:rPr>
        <w:t>70</w:t>
      </w:r>
      <w:r w:rsidRPr="00437F2B">
        <w:t>].</w:t>
      </w:r>
    </w:p>
    <w:p w14:paraId="22A4C038" w14:textId="77777777" w:rsidR="00437F2B" w:rsidRPr="00437F2B" w:rsidRDefault="00437F2B" w:rsidP="00F96908">
      <w:pPr>
        <w:pStyle w:val="Heading2"/>
      </w:pPr>
      <w:r w:rsidRPr="00437F2B">
        <w:t>3.5. Phylogroup Identification</w:t>
      </w:r>
    </w:p>
    <w:p w14:paraId="256EE2B0" w14:textId="451A05CA" w:rsidR="00437F2B" w:rsidRPr="00437F2B" w:rsidRDefault="00437F2B" w:rsidP="00437F2B">
      <w:r w:rsidRPr="00437F2B">
        <w:t>Phylotyping was performed according to the revised Clermont method [</w:t>
      </w:r>
      <w:r w:rsidRPr="00C90A22">
        <w:rPr>
          <w:b/>
          <w:bCs/>
        </w:rPr>
        <w:t>25</w:t>
      </w:r>
      <w:r w:rsidRPr="00437F2B">
        <w:t>]. Briefly, a quadruplex PCR was performed using primers (</w:t>
      </w:r>
      <w:r w:rsidRPr="00C90A22">
        <w:rPr>
          <w:b/>
          <w:bCs/>
        </w:rPr>
        <w:t>Supplementary Table S1</w:t>
      </w:r>
      <w:r w:rsidRPr="00437F2B">
        <w:t>) specific to the following genes: </w:t>
      </w:r>
      <w:r w:rsidRPr="00437F2B">
        <w:rPr>
          <w:i/>
          <w:iCs/>
        </w:rPr>
        <w:t>chuA</w:t>
      </w:r>
      <w:r w:rsidRPr="00437F2B">
        <w:t>, </w:t>
      </w:r>
      <w:r w:rsidRPr="00437F2B">
        <w:rPr>
          <w:i/>
          <w:iCs/>
        </w:rPr>
        <w:t>yjaA</w:t>
      </w:r>
      <w:r w:rsidRPr="00437F2B">
        <w:t>, TspE4.C2, and </w:t>
      </w:r>
      <w:r w:rsidRPr="00437F2B">
        <w:rPr>
          <w:i/>
          <w:iCs/>
        </w:rPr>
        <w:t>arpA</w:t>
      </w:r>
      <w:r w:rsidRPr="00437F2B">
        <w:t> to determine its associated phylogroup. Further characterization of some phylogroup C and E strains was performed using two additional allele-specific PCR primer pairs (</w:t>
      </w:r>
      <w:r w:rsidRPr="00C90A22">
        <w:rPr>
          <w:b/>
          <w:bCs/>
        </w:rPr>
        <w:t>Supplementary Table S1</w:t>
      </w:r>
      <w:r w:rsidRPr="00437F2B">
        <w:t>) to </w:t>
      </w:r>
      <w:r w:rsidRPr="00437F2B">
        <w:rPr>
          <w:i/>
          <w:iCs/>
        </w:rPr>
        <w:t>arpA</w:t>
      </w:r>
      <w:r w:rsidRPr="00437F2B">
        <w:t> and </w:t>
      </w:r>
      <w:r w:rsidRPr="00437F2B">
        <w:rPr>
          <w:i/>
          <w:iCs/>
        </w:rPr>
        <w:t>trpA</w:t>
      </w:r>
      <w:r w:rsidRPr="00437F2B">
        <w:t> as described by Clermont et al. All PCR products were visible after gel electrophoresis using a 1.0% agarose gel with subsequent ethidium bromide staining.</w:t>
      </w:r>
    </w:p>
    <w:p w14:paraId="29FB3236" w14:textId="77777777" w:rsidR="00437F2B" w:rsidRPr="00437F2B" w:rsidRDefault="00437F2B" w:rsidP="00F96908">
      <w:pPr>
        <w:pStyle w:val="Heading2"/>
      </w:pPr>
      <w:r w:rsidRPr="00437F2B">
        <w:t>3.6. Whole Genome Sequencing and Analysis</w:t>
      </w:r>
    </w:p>
    <w:p w14:paraId="24C204E8" w14:textId="77777777" w:rsidR="00437F2B" w:rsidRPr="00437F2B" w:rsidRDefault="00437F2B" w:rsidP="00437F2B">
      <w:r w:rsidRPr="00437F2B">
        <w:t>Genomic isolation was performed on </w:t>
      </w:r>
      <w:r w:rsidRPr="00437F2B">
        <w:rPr>
          <w:i/>
          <w:iCs/>
        </w:rPr>
        <w:t>E. coli</w:t>
      </w:r>
      <w:r w:rsidRPr="00437F2B">
        <w:t> 1000C-3 isolated from hospital WW that exhibited antibiotic resistance to third-generation cephalosporins and carbapenems. The Oxford Nanopore platform and NextSeq 2000 platform (Illumina, San Diego, CA, USA) were used to provide long and pair end reads (2 × 151 bp), respectively, for whole-genome sequencing. Illumina bcl2fastq 2.20.0.445 software and Porechop 0.2.3_seqan2.1.1 were performed on pair end reads and long reads, respectively, to perform quality control and adapter trimming. Unicycler 0.4.8 was subsequently used to create a hybrid assembly between the two reads and provide closed genomes. The WGS is available at NCBI under BioProject ID SUB10978992 with accession numbers CP091427-CP091429.</w:t>
      </w:r>
    </w:p>
    <w:p w14:paraId="4242F01A" w14:textId="3D8A9F68" w:rsidR="00437F2B" w:rsidRPr="00437F2B" w:rsidRDefault="00437F2B" w:rsidP="00437F2B">
      <w:r w:rsidRPr="00437F2B">
        <w:t>The genome was submitted to JGI Integrated Microbial Genomes and Microbiomes (IMG/MER) for annotation and further analysis [</w:t>
      </w:r>
      <w:r w:rsidRPr="00C90A22">
        <w:rPr>
          <w:b/>
          <w:bCs/>
        </w:rPr>
        <w:t>80</w:t>
      </w:r>
      <w:r w:rsidRPr="00437F2B">
        <w:t>,</w:t>
      </w:r>
      <w:r w:rsidRPr="00C90A22">
        <w:rPr>
          <w:b/>
          <w:bCs/>
        </w:rPr>
        <w:t>81</w:t>
      </w:r>
      <w:r w:rsidRPr="00437F2B">
        <w:t>], including identifying putative horizontally transferred genes. Further analysis of assembled contigs were performed using the following web-based tools: PATRIC [</w:t>
      </w:r>
      <w:r w:rsidRPr="00C90A22">
        <w:rPr>
          <w:b/>
          <w:bCs/>
        </w:rPr>
        <w:t>82</w:t>
      </w:r>
      <w:r w:rsidRPr="00437F2B">
        <w:t>] for a comprehensive genome analysis; ResFinder 4.1 from the Center for Genomic Epidemiology [</w:t>
      </w:r>
      <w:r w:rsidRPr="00C90A22">
        <w:rPr>
          <w:b/>
          <w:bCs/>
        </w:rPr>
        <w:t>83</w:t>
      </w:r>
      <w:r w:rsidRPr="00437F2B">
        <w:t>] and Comprehensive Antibiotic Resistance Database (CARD) [</w:t>
      </w:r>
      <w:r w:rsidRPr="00C90A22">
        <w:rPr>
          <w:b/>
          <w:bCs/>
        </w:rPr>
        <w:t>84</w:t>
      </w:r>
      <w:r w:rsidRPr="00437F2B">
        <w:t>] to identify ARGs in the plasmid and chromosome; PlasmidFinder 2.1 and pMLST 2.0 to identify incompatibility types of plasmids [</w:t>
      </w:r>
      <w:r w:rsidRPr="00C90A22">
        <w:rPr>
          <w:b/>
          <w:bCs/>
        </w:rPr>
        <w:t>85</w:t>
      </w:r>
      <w:r w:rsidRPr="00437F2B">
        <w:t>]; MobileElementFinder v1.0.3 and IS Finder to identify mobile genetic elements [</w:t>
      </w:r>
      <w:r w:rsidRPr="00C90A22">
        <w:rPr>
          <w:b/>
          <w:bCs/>
        </w:rPr>
        <w:t>86</w:t>
      </w:r>
      <w:r w:rsidRPr="00437F2B">
        <w:t>,</w:t>
      </w:r>
      <w:r w:rsidRPr="00C90A22">
        <w:rPr>
          <w:b/>
          <w:bCs/>
        </w:rPr>
        <w:t>87</w:t>
      </w:r>
      <w:r w:rsidRPr="00437F2B">
        <w:t>]; SerotypeFinder 2.0 for serotyping [</w:t>
      </w:r>
      <w:r w:rsidRPr="00C90A22">
        <w:rPr>
          <w:b/>
          <w:bCs/>
        </w:rPr>
        <w:t>88</w:t>
      </w:r>
      <w:r w:rsidRPr="00437F2B">
        <w:t>]; oriTfinder 1.1 to identify oriT sites and MGEs [</w:t>
      </w:r>
      <w:r w:rsidRPr="00C90A22">
        <w:rPr>
          <w:b/>
          <w:bCs/>
        </w:rPr>
        <w:t>89</w:t>
      </w:r>
      <w:r w:rsidRPr="00437F2B">
        <w:t>]; and PathogenFinder 1.1 to determine the pathogenic potential [</w:t>
      </w:r>
      <w:r w:rsidRPr="00C90A22">
        <w:rPr>
          <w:b/>
          <w:bCs/>
        </w:rPr>
        <w:t>69</w:t>
      </w:r>
      <w:r w:rsidRPr="00437F2B">
        <w:t>]. Plasmid maps were comprised using the above tools and SnapGene software (from Insightful Science, San Diego, CA, USA; available at </w:t>
      </w:r>
      <w:r w:rsidRPr="00C90A22">
        <w:rPr>
          <w:b/>
          <w:bCs/>
        </w:rPr>
        <w:t>snapgene.com</w:t>
      </w:r>
      <w:r w:rsidRPr="00437F2B">
        <w:t>, accessed on 8 December 2021).</w:t>
      </w:r>
    </w:p>
    <w:p w14:paraId="1D01FBA6" w14:textId="77777777" w:rsidR="00437F2B" w:rsidRPr="00437F2B" w:rsidRDefault="00437F2B" w:rsidP="00F96908">
      <w:pPr>
        <w:pStyle w:val="Heading2"/>
      </w:pPr>
      <w:r w:rsidRPr="00437F2B">
        <w:t>3.7. Statistics</w:t>
      </w:r>
    </w:p>
    <w:p w14:paraId="701FDFDA" w14:textId="77777777" w:rsidR="00437F2B" w:rsidRPr="00437F2B" w:rsidRDefault="00437F2B" w:rsidP="00437F2B">
      <w:r w:rsidRPr="00437F2B">
        <w:t>Stata 12.1 software (College Station, TX, USA) and GraphPad Prism version 9.1.0 (GraphPad Software, San Diego, CA, USA) were used to perform all statistical tests. Fisher’s exact test was used to determine differences in the prevalence of ARGs and virulence genes among </w:t>
      </w:r>
      <w:r w:rsidRPr="00437F2B">
        <w:rPr>
          <w:i/>
          <w:iCs/>
        </w:rPr>
        <w:t>E. coli</w:t>
      </w:r>
      <w:r w:rsidRPr="00437F2B">
        <w:t> from various water sources. One-way ANOVA with Tukey’s post hoc test determined statistical differences between MAR indices. Correlations between antibiotic resistance phenotypes and genotypes were evaluated by Pearson’s correlation test. Variation among total virulence factors used Welch’s t-test.</w:t>
      </w:r>
    </w:p>
    <w:p w14:paraId="11DB9227" w14:textId="77777777" w:rsidR="00437F2B" w:rsidRPr="00437F2B" w:rsidRDefault="00437F2B" w:rsidP="00F96908">
      <w:pPr>
        <w:pStyle w:val="Heading1"/>
      </w:pPr>
      <w:r w:rsidRPr="00437F2B">
        <w:t>4. Conclusions</w:t>
      </w:r>
    </w:p>
    <w:p w14:paraId="2F82A1A2" w14:textId="0FB14F03" w:rsidR="00437F2B" w:rsidRPr="00437F2B" w:rsidRDefault="00437F2B" w:rsidP="00437F2B">
      <w:r w:rsidRPr="00437F2B">
        <w:t>With antibiotic resistance threatening global health, it is essential to understand the range and mechanisms of antibiotic resistance transmission [</w:t>
      </w:r>
      <w:r w:rsidRPr="00C90A22">
        <w:rPr>
          <w:b/>
          <w:bCs/>
        </w:rPr>
        <w:t>90</w:t>
      </w:r>
      <w:r w:rsidRPr="00437F2B">
        <w:t>] across diverse ecosystems. From this study, we can conclude the following: (1) hospital wastewater provides a rich source of multi-drug resistant </w:t>
      </w:r>
      <w:r w:rsidRPr="00437F2B">
        <w:rPr>
          <w:i/>
          <w:iCs/>
        </w:rPr>
        <w:t>E. coli</w:t>
      </w:r>
      <w:r w:rsidRPr="00437F2B">
        <w:t> populations and can serve as reservoirs of mobilizable ESBLs and carbapenemase entering sewer systems; (2) wastewater treatment and chlorine disinfection are critical mitigators in controlling AMR; (3) the prevalence and similarity of virulence factors among CTX-resistant </w:t>
      </w:r>
      <w:r w:rsidRPr="00437F2B">
        <w:rPr>
          <w:i/>
          <w:iCs/>
        </w:rPr>
        <w:t>E. coli</w:t>
      </w:r>
      <w:r w:rsidRPr="00437F2B">
        <w:t> in treated WW effluents are comparable to pathogenic strains in the same geographical area, further emphasizing the potential public health risk of treated wastewater into recreational waters. While this study demonstrates similarities in phenotypic and genotypic resistance across different ecosystems, additional sampling and more complete whole-genome sequencing would further support the evolutionary linkage between populations and enhance understanding the potential pathogenic nature of WW isolate populations.</w:t>
      </w:r>
    </w:p>
    <w:p w14:paraId="417F97EC" w14:textId="77777777" w:rsidR="00437F2B" w:rsidRPr="00437F2B" w:rsidRDefault="00437F2B" w:rsidP="00F96908">
      <w:pPr>
        <w:pStyle w:val="Heading1"/>
      </w:pPr>
      <w:r w:rsidRPr="00437F2B">
        <w:t>Supplementary Materials</w:t>
      </w:r>
    </w:p>
    <w:p w14:paraId="56F40AEE" w14:textId="08D0F6F5" w:rsidR="00437F2B" w:rsidRPr="00437F2B" w:rsidRDefault="00437F2B" w:rsidP="00437F2B">
      <w:r w:rsidRPr="00437F2B">
        <w:t>The following are available online at </w:t>
      </w:r>
      <w:r w:rsidRPr="00C90A22">
        <w:rPr>
          <w:b/>
          <w:bCs/>
        </w:rPr>
        <w:t>https://www.mdpi.com/article/10.3390/antibiotics11020260/s1</w:t>
      </w:r>
      <w:r w:rsidRPr="00437F2B">
        <w:t>, Table S1: Primers used in this study. Table S2: Antimicrobial susceptibility profiles present in </w:t>
      </w:r>
      <w:r w:rsidRPr="00437F2B">
        <w:rPr>
          <w:i/>
          <w:iCs/>
        </w:rPr>
        <w:t>E. coli</w:t>
      </w:r>
      <w:r w:rsidRPr="00437F2B">
        <w:t> isolates from different environments. Table S3: Phylogroups and sources of CTX-resistance. Table S4: Plasmid-mediated antibiotic resistant phenotypes. Table S5: PlasmidFinder incompatibility groupings of </w:t>
      </w:r>
      <w:r w:rsidRPr="00437F2B">
        <w:rPr>
          <w:i/>
          <w:iCs/>
        </w:rPr>
        <w:t>E. coli</w:t>
      </w:r>
      <w:r w:rsidRPr="00437F2B">
        <w:t> 1000C-3. Table S6: Annotation of </w:t>
      </w:r>
      <w:r w:rsidRPr="00437F2B">
        <w:rPr>
          <w:i/>
          <w:iCs/>
        </w:rPr>
        <w:t>E. coli</w:t>
      </w:r>
      <w:r w:rsidRPr="00437F2B">
        <w:t> 1000C-3 plasmids. Table S7: BLASTN results of nucleotide homology to </w:t>
      </w:r>
      <w:r w:rsidRPr="00437F2B">
        <w:rPr>
          <w:i/>
          <w:iCs/>
        </w:rPr>
        <w:t>E. coli</w:t>
      </w:r>
      <w:r w:rsidRPr="00437F2B">
        <w:t> 1000C-3 plasmids. References [</w:t>
      </w:r>
      <w:r w:rsidRPr="00C90A22">
        <w:rPr>
          <w:b/>
          <w:bCs/>
        </w:rPr>
        <w:t>25</w:t>
      </w:r>
      <w:r w:rsidRPr="00437F2B">
        <w:t>,</w:t>
      </w:r>
      <w:r w:rsidRPr="00C90A22">
        <w:rPr>
          <w:b/>
          <w:bCs/>
        </w:rPr>
        <w:t>70</w:t>
      </w:r>
      <w:r w:rsidRPr="00437F2B">
        <w:t>,</w:t>
      </w:r>
      <w:r w:rsidRPr="00C90A22">
        <w:rPr>
          <w:b/>
          <w:bCs/>
        </w:rPr>
        <w:t>91</w:t>
      </w:r>
      <w:r w:rsidRPr="00437F2B">
        <w:t>,</w:t>
      </w:r>
      <w:r w:rsidRPr="00C90A22">
        <w:rPr>
          <w:b/>
          <w:bCs/>
        </w:rPr>
        <w:t>92</w:t>
      </w:r>
      <w:r w:rsidRPr="00437F2B">
        <w:t>,</w:t>
      </w:r>
      <w:r w:rsidRPr="00C90A22">
        <w:rPr>
          <w:b/>
          <w:bCs/>
        </w:rPr>
        <w:t>93</w:t>
      </w:r>
      <w:r w:rsidRPr="00437F2B">
        <w:t>,</w:t>
      </w:r>
      <w:r w:rsidRPr="00C90A22">
        <w:rPr>
          <w:b/>
          <w:bCs/>
        </w:rPr>
        <w:t>94</w:t>
      </w:r>
      <w:r w:rsidRPr="00437F2B">
        <w:t>,</w:t>
      </w:r>
      <w:r w:rsidRPr="00C90A22">
        <w:rPr>
          <w:b/>
          <w:bCs/>
        </w:rPr>
        <w:t>95</w:t>
      </w:r>
      <w:r w:rsidRPr="00437F2B">
        <w:t>,</w:t>
      </w:r>
      <w:r w:rsidRPr="00C90A22">
        <w:rPr>
          <w:b/>
          <w:bCs/>
        </w:rPr>
        <w:t>96</w:t>
      </w:r>
      <w:r w:rsidRPr="00437F2B">
        <w:t>] are cited in supplemantary materials.</w:t>
      </w:r>
    </w:p>
    <w:p w14:paraId="6B543043" w14:textId="77777777" w:rsidR="00437F2B" w:rsidRPr="00437F2B" w:rsidRDefault="00437F2B" w:rsidP="00F96908">
      <w:pPr>
        <w:pStyle w:val="Heading1"/>
      </w:pPr>
      <w:r w:rsidRPr="00437F2B">
        <w:t>Author Contributions</w:t>
      </w:r>
    </w:p>
    <w:p w14:paraId="17CC7872" w14:textId="77777777" w:rsidR="00437F2B" w:rsidRPr="00437F2B" w:rsidRDefault="00437F2B" w:rsidP="00437F2B">
      <w:r w:rsidRPr="00437F2B">
        <w:t>Conceptualization, K.R.H. and T.S.; methodology, E.L., B.B., R.E.B., C.C., K.R.H. and T.S.; validation, E.L. and T.S.; formal analysis, E.L., B.B. and T.S.; investigation, E.L., B.B., R.E.B., C.C., K.R.H. and T.S.; resources, K.R.H. and T.S.; data curation, E.L., B.B. and T.S.; writing—original draft preparation, E.L. and T.S.; writing—review and editing, E.L., B.B., R.E.B., C.C., K.R.H. and T.S.; visualization, E.L. and T.S.; supervision, K.R.H. and T.S.; project administration, K.R.H. and T.S.; funding acquisition, K.R.H. and T.S. All authors have read and agreed to the published version of the manuscript.</w:t>
      </w:r>
    </w:p>
    <w:p w14:paraId="1A357BDE" w14:textId="77777777" w:rsidR="00437F2B" w:rsidRPr="00437F2B" w:rsidRDefault="00437F2B" w:rsidP="00F96908">
      <w:pPr>
        <w:pStyle w:val="Heading1"/>
      </w:pPr>
      <w:r w:rsidRPr="00437F2B">
        <w:t>Funding</w:t>
      </w:r>
    </w:p>
    <w:p w14:paraId="10DDADF2" w14:textId="77777777" w:rsidR="00437F2B" w:rsidRPr="00437F2B" w:rsidRDefault="00437F2B" w:rsidP="00437F2B">
      <w:r w:rsidRPr="00437F2B">
        <w:t>The data was funded by start-up funds (TS) from Department of Biomedical Sciences at the University of Wisconsin–Milwaukee and Explorer Challenge Grant (KH) from Marquette University.</w:t>
      </w:r>
    </w:p>
    <w:p w14:paraId="2366DC88" w14:textId="77777777" w:rsidR="00437F2B" w:rsidRPr="00437F2B" w:rsidRDefault="00437F2B" w:rsidP="00F96908">
      <w:pPr>
        <w:pStyle w:val="Heading1"/>
      </w:pPr>
      <w:r w:rsidRPr="00437F2B">
        <w:t>Institutional Review Board Statement</w:t>
      </w:r>
    </w:p>
    <w:p w14:paraId="3C27090D" w14:textId="77777777" w:rsidR="00437F2B" w:rsidRPr="00437F2B" w:rsidRDefault="00437F2B" w:rsidP="00437F2B">
      <w:r w:rsidRPr="00437F2B">
        <w:t>Not applicable.</w:t>
      </w:r>
    </w:p>
    <w:p w14:paraId="409301AD" w14:textId="77777777" w:rsidR="00437F2B" w:rsidRPr="00437F2B" w:rsidRDefault="00437F2B" w:rsidP="00F96908">
      <w:pPr>
        <w:pStyle w:val="Heading1"/>
      </w:pPr>
      <w:r w:rsidRPr="00437F2B">
        <w:t>Informed Consent Statement</w:t>
      </w:r>
    </w:p>
    <w:p w14:paraId="62B42E66" w14:textId="77777777" w:rsidR="00437F2B" w:rsidRPr="00437F2B" w:rsidRDefault="00437F2B" w:rsidP="00437F2B">
      <w:r w:rsidRPr="00437F2B">
        <w:t>Not applicable.</w:t>
      </w:r>
    </w:p>
    <w:p w14:paraId="3564F61E" w14:textId="77777777" w:rsidR="00437F2B" w:rsidRPr="00437F2B" w:rsidRDefault="00437F2B" w:rsidP="00F96908">
      <w:pPr>
        <w:pStyle w:val="Heading1"/>
      </w:pPr>
      <w:r w:rsidRPr="00437F2B">
        <w:t>Data Availability Statement</w:t>
      </w:r>
    </w:p>
    <w:p w14:paraId="7D42A86C" w14:textId="77777777" w:rsidR="00437F2B" w:rsidRPr="00437F2B" w:rsidRDefault="00437F2B" w:rsidP="00437F2B">
      <w:r w:rsidRPr="00437F2B">
        <w:t>The genomic sequence of </w:t>
      </w:r>
      <w:r w:rsidRPr="00437F2B">
        <w:rPr>
          <w:i/>
          <w:iCs/>
        </w:rPr>
        <w:t>E. coli</w:t>
      </w:r>
      <w:r w:rsidRPr="00437F2B">
        <w:t> 1000C-3 is available at NCBI under BioProject ID SUB10978992 with accession numbers CP091427-CP091429.</w:t>
      </w:r>
    </w:p>
    <w:p w14:paraId="01443B0A" w14:textId="77777777" w:rsidR="00437F2B" w:rsidRPr="00437F2B" w:rsidRDefault="00437F2B" w:rsidP="00F96908">
      <w:pPr>
        <w:pStyle w:val="Heading1"/>
      </w:pPr>
      <w:r w:rsidRPr="00437F2B">
        <w:t>Acknowledgments</w:t>
      </w:r>
    </w:p>
    <w:p w14:paraId="31998F3A" w14:textId="77777777" w:rsidR="00437F2B" w:rsidRPr="00437F2B" w:rsidRDefault="00437F2B" w:rsidP="00437F2B">
      <w:r w:rsidRPr="00437F2B">
        <w:t>We would like to thank Alyssa Severino, Sarah Duhr (UWM), and Bixia Su (Marquette University) for their laboratory assistance. The authors extend their acknowledgement to Kyle Leistikow (Marquette University) for assistance with the plasmid map.</w:t>
      </w:r>
    </w:p>
    <w:p w14:paraId="6B187E6F" w14:textId="77777777" w:rsidR="00437F2B" w:rsidRPr="00437F2B" w:rsidRDefault="00437F2B" w:rsidP="00F96908">
      <w:pPr>
        <w:pStyle w:val="Heading1"/>
      </w:pPr>
      <w:r w:rsidRPr="00437F2B">
        <w:t>Conflicts of Interest</w:t>
      </w:r>
    </w:p>
    <w:p w14:paraId="25B74FEA" w14:textId="77777777" w:rsidR="00437F2B" w:rsidRPr="00437F2B" w:rsidRDefault="00437F2B" w:rsidP="00437F2B">
      <w:r w:rsidRPr="00437F2B">
        <w:t>The authors declare no conflict of interest.</w:t>
      </w:r>
    </w:p>
    <w:p w14:paraId="04818F51" w14:textId="77777777" w:rsidR="00437F2B" w:rsidRPr="00437F2B" w:rsidRDefault="00437F2B" w:rsidP="00F96908">
      <w:pPr>
        <w:pStyle w:val="Heading1"/>
      </w:pPr>
      <w:r w:rsidRPr="00437F2B">
        <w:t>References</w:t>
      </w:r>
    </w:p>
    <w:p w14:paraId="7963B897" w14:textId="1BCAF5B7" w:rsidR="00437F2B" w:rsidRPr="00437F2B" w:rsidRDefault="00437F2B" w:rsidP="00C90A22">
      <w:pPr>
        <w:numPr>
          <w:ilvl w:val="0"/>
          <w:numId w:val="1"/>
        </w:numPr>
        <w:spacing w:after="0"/>
      </w:pPr>
      <w:r w:rsidRPr="00437F2B">
        <w:t>CDC. </w:t>
      </w:r>
      <w:r w:rsidRPr="00437F2B">
        <w:rPr>
          <w:i/>
          <w:iCs/>
        </w:rPr>
        <w:t>Antibiotic Resistance Threats in the United States 2019</w:t>
      </w:r>
      <w:r w:rsidRPr="00437F2B">
        <w:t xml:space="preserve">; Department of Health and Human Services: Atlanta, GA, USA, 2019. </w:t>
      </w:r>
    </w:p>
    <w:p w14:paraId="01AD7278" w14:textId="657BDE1F" w:rsidR="00437F2B" w:rsidRPr="00437F2B" w:rsidRDefault="00437F2B" w:rsidP="00C90A22">
      <w:pPr>
        <w:numPr>
          <w:ilvl w:val="0"/>
          <w:numId w:val="1"/>
        </w:numPr>
        <w:spacing w:after="0"/>
      </w:pPr>
      <w:r w:rsidRPr="00437F2B">
        <w:t>McEwen, S.A.; Collignon, P.J. Antimicrobial Resistance: A One Health Perspective. </w:t>
      </w:r>
      <w:r w:rsidRPr="00437F2B">
        <w:rPr>
          <w:i/>
          <w:iCs/>
        </w:rPr>
        <w:t>Microbiol. Spectr.</w:t>
      </w:r>
      <w:r w:rsidRPr="00437F2B">
        <w:t> </w:t>
      </w:r>
      <w:r w:rsidRPr="00437F2B">
        <w:rPr>
          <w:b/>
          <w:bCs/>
        </w:rPr>
        <w:t>2018</w:t>
      </w:r>
      <w:r w:rsidRPr="00437F2B">
        <w:t>, </w:t>
      </w:r>
      <w:r w:rsidRPr="00437F2B">
        <w:rPr>
          <w:i/>
          <w:iCs/>
        </w:rPr>
        <w:t>6</w:t>
      </w:r>
      <w:r w:rsidRPr="00437F2B">
        <w:t xml:space="preserve">, 2. </w:t>
      </w:r>
    </w:p>
    <w:p w14:paraId="760D1193" w14:textId="3135AB00" w:rsidR="00437F2B" w:rsidRPr="00437F2B" w:rsidRDefault="00437F2B" w:rsidP="00C90A22">
      <w:pPr>
        <w:numPr>
          <w:ilvl w:val="0"/>
          <w:numId w:val="1"/>
        </w:numPr>
        <w:spacing w:after="0"/>
      </w:pPr>
      <w:r w:rsidRPr="00437F2B">
        <w:t>Al-Jassim, N.; Ansari, M.I.; Harb, M.; Hong, P.Y. Removal of bacterial contaminants and antibiotic resistance genes by conventional wastewater treatment processes in Saudi Arabia: Is the treated wastewater safe to reuse for agricultural irrigation? </w:t>
      </w:r>
      <w:r w:rsidRPr="00437F2B">
        <w:rPr>
          <w:i/>
          <w:iCs/>
        </w:rPr>
        <w:t>Water Res.</w:t>
      </w:r>
      <w:r w:rsidRPr="00437F2B">
        <w:t> </w:t>
      </w:r>
      <w:r w:rsidRPr="00437F2B">
        <w:rPr>
          <w:b/>
          <w:bCs/>
        </w:rPr>
        <w:t>2015</w:t>
      </w:r>
      <w:r w:rsidRPr="00437F2B">
        <w:t>, </w:t>
      </w:r>
      <w:r w:rsidRPr="00437F2B">
        <w:rPr>
          <w:i/>
          <w:iCs/>
        </w:rPr>
        <w:t>73</w:t>
      </w:r>
      <w:r w:rsidRPr="00437F2B">
        <w:t xml:space="preserve">, 277–290. </w:t>
      </w:r>
    </w:p>
    <w:p w14:paraId="6E682625" w14:textId="41F48559" w:rsidR="00437F2B" w:rsidRPr="00437F2B" w:rsidRDefault="00437F2B" w:rsidP="00C90A22">
      <w:pPr>
        <w:numPr>
          <w:ilvl w:val="0"/>
          <w:numId w:val="1"/>
        </w:numPr>
        <w:spacing w:after="0"/>
      </w:pPr>
      <w:r w:rsidRPr="00437F2B">
        <w:t>Sharma, V.K.; Johnson, N.; Cizmas, L.; McDonald, T.J.; Kim, H. A review of the influence of treatment strategies on antibiotic resistant bacteria and antibiotic resistance genes. </w:t>
      </w:r>
      <w:r w:rsidRPr="00437F2B">
        <w:rPr>
          <w:i/>
          <w:iCs/>
        </w:rPr>
        <w:t>Chemosphere</w:t>
      </w:r>
      <w:r w:rsidRPr="00437F2B">
        <w:t> </w:t>
      </w:r>
      <w:r w:rsidRPr="00437F2B">
        <w:rPr>
          <w:b/>
          <w:bCs/>
        </w:rPr>
        <w:t>2016</w:t>
      </w:r>
      <w:r w:rsidRPr="00437F2B">
        <w:t>, </w:t>
      </w:r>
      <w:r w:rsidRPr="00437F2B">
        <w:rPr>
          <w:i/>
          <w:iCs/>
        </w:rPr>
        <w:t>150</w:t>
      </w:r>
      <w:r w:rsidRPr="00437F2B">
        <w:t xml:space="preserve">, 702–714. </w:t>
      </w:r>
    </w:p>
    <w:p w14:paraId="2C8C4005" w14:textId="254F5969" w:rsidR="00437F2B" w:rsidRPr="00437F2B" w:rsidRDefault="00437F2B" w:rsidP="00C90A22">
      <w:pPr>
        <w:numPr>
          <w:ilvl w:val="0"/>
          <w:numId w:val="1"/>
        </w:numPr>
        <w:spacing w:after="0"/>
      </w:pPr>
      <w:r w:rsidRPr="00437F2B">
        <w:t>Aubertheau, E.; Stalder, T.; Mondamert, L.; Ploy, M.C.; Dagot, C.; Labanowski, J. Impact of wastewater treatment plant discharge on the contamination of river biofilms by pharmaceuticals and antibiotic resistance. </w:t>
      </w:r>
      <w:r w:rsidRPr="00437F2B">
        <w:rPr>
          <w:i/>
          <w:iCs/>
        </w:rPr>
        <w:t>Sci. Total Environ.</w:t>
      </w:r>
      <w:r w:rsidRPr="00437F2B">
        <w:t> </w:t>
      </w:r>
      <w:r w:rsidRPr="00437F2B">
        <w:rPr>
          <w:b/>
          <w:bCs/>
        </w:rPr>
        <w:t>2017</w:t>
      </w:r>
      <w:r w:rsidRPr="00437F2B">
        <w:t>, </w:t>
      </w:r>
      <w:r w:rsidRPr="00437F2B">
        <w:rPr>
          <w:i/>
          <w:iCs/>
        </w:rPr>
        <w:t>579</w:t>
      </w:r>
      <w:r w:rsidRPr="00437F2B">
        <w:t xml:space="preserve">, 1387–1398. </w:t>
      </w:r>
    </w:p>
    <w:p w14:paraId="1B80CCEC" w14:textId="2D03BEA8" w:rsidR="00437F2B" w:rsidRPr="00437F2B" w:rsidRDefault="00437F2B" w:rsidP="00C90A22">
      <w:pPr>
        <w:numPr>
          <w:ilvl w:val="0"/>
          <w:numId w:val="1"/>
        </w:numPr>
        <w:spacing w:after="0"/>
      </w:pPr>
      <w:r w:rsidRPr="00437F2B">
        <w:t>Rizzo, L.; Manaia, C.; Merlin, C.; Schwartz, T.; Dagot, C.; Ploy, M.C.; Michael, I.; Fatta-Kassinos, D. Urban wastewater treatment plants as hotspots for antibiotic resistant bacteria and genes spread into the environment: A review. </w:t>
      </w:r>
      <w:r w:rsidRPr="00437F2B">
        <w:rPr>
          <w:i/>
          <w:iCs/>
        </w:rPr>
        <w:t>Sci. Total Environ.</w:t>
      </w:r>
      <w:r w:rsidRPr="00437F2B">
        <w:t> </w:t>
      </w:r>
      <w:r w:rsidRPr="00437F2B">
        <w:rPr>
          <w:b/>
          <w:bCs/>
        </w:rPr>
        <w:t>2013</w:t>
      </w:r>
      <w:r w:rsidRPr="00437F2B">
        <w:t>, </w:t>
      </w:r>
      <w:r w:rsidRPr="00437F2B">
        <w:rPr>
          <w:i/>
          <w:iCs/>
        </w:rPr>
        <w:t>447</w:t>
      </w:r>
      <w:r w:rsidRPr="00437F2B">
        <w:t xml:space="preserve">, 345–360. </w:t>
      </w:r>
    </w:p>
    <w:p w14:paraId="374229B0" w14:textId="34F9CAB3" w:rsidR="00437F2B" w:rsidRPr="00437F2B" w:rsidRDefault="00437F2B" w:rsidP="00C90A22">
      <w:pPr>
        <w:numPr>
          <w:ilvl w:val="0"/>
          <w:numId w:val="1"/>
        </w:numPr>
        <w:spacing w:after="0"/>
      </w:pPr>
      <w:r w:rsidRPr="00437F2B">
        <w:t>Korzeniewska, E.; Korzeniewska, A.; Harnisz, M. Antibiotic resistant </w:t>
      </w:r>
      <w:r w:rsidRPr="00437F2B">
        <w:rPr>
          <w:i/>
          <w:iCs/>
        </w:rPr>
        <w:t>Escherichia coli</w:t>
      </w:r>
      <w:r w:rsidRPr="00437F2B">
        <w:t> in hospital and municipal sewage and their emission to the environment. </w:t>
      </w:r>
      <w:r w:rsidRPr="00437F2B">
        <w:rPr>
          <w:i/>
          <w:iCs/>
        </w:rPr>
        <w:t>Ecotoxicol. Environ. Saf.</w:t>
      </w:r>
      <w:r w:rsidRPr="00437F2B">
        <w:t> </w:t>
      </w:r>
      <w:r w:rsidRPr="00437F2B">
        <w:rPr>
          <w:b/>
          <w:bCs/>
        </w:rPr>
        <w:t>2013</w:t>
      </w:r>
      <w:r w:rsidRPr="00437F2B">
        <w:t>, </w:t>
      </w:r>
      <w:r w:rsidRPr="00437F2B">
        <w:rPr>
          <w:i/>
          <w:iCs/>
        </w:rPr>
        <w:t>91</w:t>
      </w:r>
      <w:r w:rsidRPr="00437F2B">
        <w:t xml:space="preserve">, 96–102. </w:t>
      </w:r>
    </w:p>
    <w:p w14:paraId="0046285F" w14:textId="19CD4712" w:rsidR="00437F2B" w:rsidRPr="00437F2B" w:rsidRDefault="00437F2B" w:rsidP="00C90A22">
      <w:pPr>
        <w:numPr>
          <w:ilvl w:val="0"/>
          <w:numId w:val="1"/>
        </w:numPr>
        <w:spacing w:after="0"/>
      </w:pPr>
      <w:r w:rsidRPr="00437F2B">
        <w:t>Amador, P.P.; Fernandes, R.M.; Prudencio, M.C.; Barreto, M.P.; Duarte, I.M. Antibiotic resistance in wastewater: Occurrence and fate of Enterobacteriaceae producers of class A and class C beta-lactamases. </w:t>
      </w:r>
      <w:r w:rsidRPr="00437F2B">
        <w:rPr>
          <w:i/>
          <w:iCs/>
        </w:rPr>
        <w:t>J. Environ. Sci. Health</w:t>
      </w:r>
      <w:r w:rsidRPr="00437F2B">
        <w:t> </w:t>
      </w:r>
      <w:r w:rsidRPr="00437F2B">
        <w:rPr>
          <w:b/>
          <w:bCs/>
        </w:rPr>
        <w:t>2015</w:t>
      </w:r>
      <w:r w:rsidRPr="00437F2B">
        <w:t>, </w:t>
      </w:r>
      <w:r w:rsidRPr="00437F2B">
        <w:rPr>
          <w:i/>
          <w:iCs/>
        </w:rPr>
        <w:t>50</w:t>
      </w:r>
      <w:r w:rsidRPr="00437F2B">
        <w:t xml:space="preserve">, 26–39. </w:t>
      </w:r>
    </w:p>
    <w:p w14:paraId="1E87796A" w14:textId="23F9F291" w:rsidR="00437F2B" w:rsidRPr="00437F2B" w:rsidRDefault="00437F2B" w:rsidP="00C90A22">
      <w:pPr>
        <w:numPr>
          <w:ilvl w:val="0"/>
          <w:numId w:val="1"/>
        </w:numPr>
        <w:spacing w:after="0"/>
      </w:pPr>
      <w:r w:rsidRPr="00437F2B">
        <w:t>Beattie, R.E.; Skwor, T.; Hristova, K.R. Survivor microbial populations in post-chlorinated wastewater are strongly associated with untreated hospital sewage and include ceftazidime and meropenem resistant populations. </w:t>
      </w:r>
      <w:r w:rsidRPr="00437F2B">
        <w:rPr>
          <w:i/>
          <w:iCs/>
        </w:rPr>
        <w:t>Sci. Total Environ.</w:t>
      </w:r>
      <w:r w:rsidRPr="00437F2B">
        <w:t> </w:t>
      </w:r>
      <w:r w:rsidRPr="00437F2B">
        <w:rPr>
          <w:b/>
          <w:bCs/>
        </w:rPr>
        <w:t>2020</w:t>
      </w:r>
      <w:r w:rsidRPr="00437F2B">
        <w:t>, </w:t>
      </w:r>
      <w:r w:rsidRPr="00437F2B">
        <w:rPr>
          <w:i/>
          <w:iCs/>
        </w:rPr>
        <w:t>740</w:t>
      </w:r>
      <w:r w:rsidRPr="00437F2B">
        <w:t xml:space="preserve">, 140186. </w:t>
      </w:r>
    </w:p>
    <w:p w14:paraId="4E499420" w14:textId="3B604CA9" w:rsidR="00437F2B" w:rsidRPr="00437F2B" w:rsidRDefault="00437F2B" w:rsidP="00C90A22">
      <w:pPr>
        <w:numPr>
          <w:ilvl w:val="0"/>
          <w:numId w:val="1"/>
        </w:numPr>
        <w:spacing w:after="0"/>
      </w:pPr>
      <w:r w:rsidRPr="00437F2B">
        <w:t>Kappell, A.D.; DeNies, M.S.; Ahuja, N.H.; Ledeboer, N.A.; Newton, R.J.; Hristova, K.R. Detection of multi-drug resistant </w:t>
      </w:r>
      <w:r w:rsidRPr="00437F2B">
        <w:rPr>
          <w:i/>
          <w:iCs/>
        </w:rPr>
        <w:t>Escherichia coli</w:t>
      </w:r>
      <w:r w:rsidRPr="00437F2B">
        <w:t> in the urban waterways of Milwaukee, WI. </w:t>
      </w:r>
      <w:r w:rsidRPr="00437F2B">
        <w:rPr>
          <w:i/>
          <w:iCs/>
        </w:rPr>
        <w:t>Front. Microbiol.</w:t>
      </w:r>
      <w:r w:rsidRPr="00437F2B">
        <w:t> </w:t>
      </w:r>
      <w:r w:rsidRPr="00437F2B">
        <w:rPr>
          <w:b/>
          <w:bCs/>
        </w:rPr>
        <w:t>2015</w:t>
      </w:r>
      <w:r w:rsidRPr="00437F2B">
        <w:t>, </w:t>
      </w:r>
      <w:r w:rsidRPr="00437F2B">
        <w:rPr>
          <w:i/>
          <w:iCs/>
        </w:rPr>
        <w:t>6</w:t>
      </w:r>
      <w:r w:rsidRPr="00437F2B">
        <w:t xml:space="preserve">, 336. </w:t>
      </w:r>
    </w:p>
    <w:p w14:paraId="77C475D3" w14:textId="77777777" w:rsidR="00437F2B" w:rsidRPr="00437F2B" w:rsidRDefault="00437F2B" w:rsidP="00C90A22">
      <w:pPr>
        <w:numPr>
          <w:ilvl w:val="0"/>
          <w:numId w:val="1"/>
        </w:numPr>
        <w:spacing w:after="0"/>
      </w:pPr>
      <w:r w:rsidRPr="00437F2B">
        <w:t>Centers for Disease Control and Prevention. </w:t>
      </w:r>
      <w:r w:rsidRPr="00437F2B">
        <w:rPr>
          <w:i/>
          <w:iCs/>
        </w:rPr>
        <w:t>Outpatient Antibiotic Prescriptions—United States, 2018</w:t>
      </w:r>
      <w:r w:rsidRPr="00437F2B">
        <w:t>; CDC: Atlanta, GA, USA, 2018.</w:t>
      </w:r>
    </w:p>
    <w:p w14:paraId="46E91690" w14:textId="711D774C" w:rsidR="00437F2B" w:rsidRPr="00437F2B" w:rsidRDefault="00437F2B" w:rsidP="00C90A22">
      <w:pPr>
        <w:numPr>
          <w:ilvl w:val="0"/>
          <w:numId w:val="1"/>
        </w:numPr>
        <w:spacing w:after="0"/>
      </w:pPr>
      <w:r w:rsidRPr="00437F2B">
        <w:t>Adegoke, A.A.; Madu, C.E.; Aiyegoro, O.A.; Stenstrom, T.A.; Okoh, A.I. Antibiogram and beta-lactamase genes among cefotaxime resistant </w:t>
      </w:r>
      <w:r w:rsidRPr="00437F2B">
        <w:rPr>
          <w:i/>
          <w:iCs/>
        </w:rPr>
        <w:t>E. coli</w:t>
      </w:r>
      <w:r w:rsidRPr="00437F2B">
        <w:t> from wastewater treatment plant. </w:t>
      </w:r>
      <w:r w:rsidRPr="00437F2B">
        <w:rPr>
          <w:i/>
          <w:iCs/>
        </w:rPr>
        <w:t>Antimicrob. Resist. Infect. Control.</w:t>
      </w:r>
      <w:r w:rsidRPr="00437F2B">
        <w:t> </w:t>
      </w:r>
      <w:r w:rsidRPr="00437F2B">
        <w:rPr>
          <w:b/>
          <w:bCs/>
        </w:rPr>
        <w:t>2020</w:t>
      </w:r>
      <w:r w:rsidRPr="00437F2B">
        <w:t>, </w:t>
      </w:r>
      <w:r w:rsidRPr="00437F2B">
        <w:rPr>
          <w:i/>
          <w:iCs/>
        </w:rPr>
        <w:t>9</w:t>
      </w:r>
      <w:r w:rsidRPr="00437F2B">
        <w:t xml:space="preserve">, 46. </w:t>
      </w:r>
    </w:p>
    <w:p w14:paraId="77137657" w14:textId="430D4020" w:rsidR="00437F2B" w:rsidRPr="00437F2B" w:rsidRDefault="00437F2B" w:rsidP="00C90A22">
      <w:pPr>
        <w:numPr>
          <w:ilvl w:val="0"/>
          <w:numId w:val="1"/>
        </w:numPr>
        <w:spacing w:after="0"/>
      </w:pPr>
      <w:r w:rsidRPr="00437F2B">
        <w:t>Paterson, D.L.; Bonomo, R.A. Extended-spectrum beta-lactamases: A clinical update. </w:t>
      </w:r>
      <w:r w:rsidRPr="00437F2B">
        <w:rPr>
          <w:i/>
          <w:iCs/>
        </w:rPr>
        <w:t>Clin. Microbiol. Rev.</w:t>
      </w:r>
      <w:r w:rsidRPr="00437F2B">
        <w:t> </w:t>
      </w:r>
      <w:r w:rsidRPr="00437F2B">
        <w:rPr>
          <w:b/>
          <w:bCs/>
        </w:rPr>
        <w:t>2005</w:t>
      </w:r>
      <w:r w:rsidRPr="00437F2B">
        <w:t>, </w:t>
      </w:r>
      <w:r w:rsidRPr="00437F2B">
        <w:rPr>
          <w:i/>
          <w:iCs/>
        </w:rPr>
        <w:t>18</w:t>
      </w:r>
      <w:r w:rsidRPr="00437F2B">
        <w:t xml:space="preserve">, 657–686. </w:t>
      </w:r>
    </w:p>
    <w:p w14:paraId="40AFD440" w14:textId="3B5DD0E1" w:rsidR="00437F2B" w:rsidRPr="00437F2B" w:rsidRDefault="00437F2B" w:rsidP="00C90A22">
      <w:pPr>
        <w:numPr>
          <w:ilvl w:val="0"/>
          <w:numId w:val="1"/>
        </w:numPr>
        <w:spacing w:after="0"/>
      </w:pPr>
      <w:r w:rsidRPr="00437F2B">
        <w:t>Silva, I.; Tacao, M.; Tavares, R.D.S.; Miranda, R.; Araujo, S.; Manaia, C.M.; Henriques, I. Fate of cefotaxime-resistant Enterobacteriaceae and ESBL-producers over a full-scale wastewater treatment process with UV disinfection. </w:t>
      </w:r>
      <w:r w:rsidRPr="00437F2B">
        <w:rPr>
          <w:i/>
          <w:iCs/>
        </w:rPr>
        <w:t>Sci. Total Environ.</w:t>
      </w:r>
      <w:r w:rsidRPr="00437F2B">
        <w:t> </w:t>
      </w:r>
      <w:r w:rsidRPr="00437F2B">
        <w:rPr>
          <w:b/>
          <w:bCs/>
        </w:rPr>
        <w:t>2018</w:t>
      </w:r>
      <w:r w:rsidRPr="00437F2B">
        <w:t>, </w:t>
      </w:r>
      <w:r w:rsidRPr="00437F2B">
        <w:rPr>
          <w:i/>
          <w:iCs/>
        </w:rPr>
        <w:t>639</w:t>
      </w:r>
      <w:r w:rsidRPr="00437F2B">
        <w:t xml:space="preserve">, 1028–1037. </w:t>
      </w:r>
    </w:p>
    <w:p w14:paraId="346E83C7" w14:textId="7D0A7AC4" w:rsidR="00437F2B" w:rsidRPr="00437F2B" w:rsidRDefault="00437F2B" w:rsidP="00C90A22">
      <w:pPr>
        <w:numPr>
          <w:ilvl w:val="0"/>
          <w:numId w:val="1"/>
        </w:numPr>
        <w:spacing w:after="0"/>
      </w:pPr>
      <w:r w:rsidRPr="00437F2B">
        <w:t>Hutinel, M.; Fick, J.; Larsson, D.G.J.; Flach, C.F. Investigating the effects of municipal and hospital wastewaters on horizontal gene transfer. </w:t>
      </w:r>
      <w:r w:rsidRPr="00437F2B">
        <w:rPr>
          <w:i/>
          <w:iCs/>
        </w:rPr>
        <w:t>Environ. Pollut.</w:t>
      </w:r>
      <w:r w:rsidRPr="00437F2B">
        <w:t> </w:t>
      </w:r>
      <w:r w:rsidRPr="00437F2B">
        <w:rPr>
          <w:b/>
          <w:bCs/>
        </w:rPr>
        <w:t>2021</w:t>
      </w:r>
      <w:r w:rsidRPr="00437F2B">
        <w:t>, </w:t>
      </w:r>
      <w:r w:rsidRPr="00437F2B">
        <w:rPr>
          <w:i/>
          <w:iCs/>
        </w:rPr>
        <w:t>276</w:t>
      </w:r>
      <w:r w:rsidRPr="00437F2B">
        <w:t xml:space="preserve">, 116733. </w:t>
      </w:r>
    </w:p>
    <w:p w14:paraId="0EC22BAF" w14:textId="6860DA0C" w:rsidR="00437F2B" w:rsidRPr="00437F2B" w:rsidRDefault="00437F2B" w:rsidP="00C90A22">
      <w:pPr>
        <w:numPr>
          <w:ilvl w:val="0"/>
          <w:numId w:val="1"/>
        </w:numPr>
        <w:spacing w:after="0"/>
      </w:pPr>
      <w:r w:rsidRPr="00437F2B">
        <w:t>Edberg, S.C.; Rice, E.W.; Karlin, R.J.; Allen, M.J. </w:t>
      </w:r>
      <w:r w:rsidRPr="00437F2B">
        <w:rPr>
          <w:i/>
          <w:iCs/>
        </w:rPr>
        <w:t>Escherichia coli</w:t>
      </w:r>
      <w:r w:rsidRPr="00437F2B">
        <w:t>: The best biological drinking water indicator for public health protection. </w:t>
      </w:r>
      <w:r w:rsidRPr="00437F2B">
        <w:rPr>
          <w:i/>
          <w:iCs/>
        </w:rPr>
        <w:t>Symp. Ser. Soc. Appl. Microbiol.</w:t>
      </w:r>
      <w:r w:rsidRPr="00437F2B">
        <w:t> </w:t>
      </w:r>
      <w:r w:rsidRPr="00437F2B">
        <w:rPr>
          <w:b/>
          <w:bCs/>
        </w:rPr>
        <w:t>2000</w:t>
      </w:r>
      <w:r w:rsidRPr="00437F2B">
        <w:t>, </w:t>
      </w:r>
      <w:r w:rsidRPr="00437F2B">
        <w:rPr>
          <w:i/>
          <w:iCs/>
        </w:rPr>
        <w:t>88</w:t>
      </w:r>
      <w:r w:rsidRPr="00437F2B">
        <w:t xml:space="preserve">, 106S–116S. </w:t>
      </w:r>
    </w:p>
    <w:p w14:paraId="4A128981" w14:textId="326BC961" w:rsidR="00437F2B" w:rsidRPr="00437F2B" w:rsidRDefault="00437F2B" w:rsidP="00C90A22">
      <w:pPr>
        <w:numPr>
          <w:ilvl w:val="0"/>
          <w:numId w:val="1"/>
        </w:numPr>
        <w:spacing w:after="0"/>
      </w:pPr>
      <w:r w:rsidRPr="00437F2B">
        <w:t>Matic, I.; Rayssiguier, C.; Radman, M. Interspecies gene exchange in bacteria: The role of SOS and mismatch repair systems in evolution of species. </w:t>
      </w:r>
      <w:r w:rsidRPr="00437F2B">
        <w:rPr>
          <w:i/>
          <w:iCs/>
        </w:rPr>
        <w:t>Cell</w:t>
      </w:r>
      <w:r w:rsidRPr="00437F2B">
        <w:t> </w:t>
      </w:r>
      <w:r w:rsidRPr="00437F2B">
        <w:rPr>
          <w:b/>
          <w:bCs/>
        </w:rPr>
        <w:t>1995</w:t>
      </w:r>
      <w:r w:rsidRPr="00437F2B">
        <w:t>, </w:t>
      </w:r>
      <w:r w:rsidRPr="00437F2B">
        <w:rPr>
          <w:i/>
          <w:iCs/>
        </w:rPr>
        <w:t>80</w:t>
      </w:r>
      <w:r w:rsidRPr="00437F2B">
        <w:t xml:space="preserve">, 507–515. </w:t>
      </w:r>
    </w:p>
    <w:p w14:paraId="4431E4CB" w14:textId="5A8B2553" w:rsidR="00437F2B" w:rsidRPr="00437F2B" w:rsidRDefault="00437F2B" w:rsidP="00C90A22">
      <w:pPr>
        <w:numPr>
          <w:ilvl w:val="0"/>
          <w:numId w:val="1"/>
        </w:numPr>
        <w:spacing w:after="0"/>
      </w:pPr>
      <w:r w:rsidRPr="00437F2B">
        <w:t>Beattie, R.E.; Bakke, E.; Konopek, N.; Thill, R.; Munson, E.; Hristova, K.R. Antimicrobial Resistance Traits of </w:t>
      </w:r>
      <w:r w:rsidRPr="00437F2B">
        <w:rPr>
          <w:i/>
          <w:iCs/>
        </w:rPr>
        <w:t>Escherichia coli</w:t>
      </w:r>
      <w:r w:rsidRPr="00437F2B">
        <w:t> Isolated from Dairy Manure and Freshwater Ecosystems Are Similar to One Another but Differ from Associated Clinical Isolates. </w:t>
      </w:r>
      <w:r w:rsidRPr="00437F2B">
        <w:rPr>
          <w:i/>
          <w:iCs/>
        </w:rPr>
        <w:t>Microorganisms</w:t>
      </w:r>
      <w:r w:rsidRPr="00437F2B">
        <w:t> </w:t>
      </w:r>
      <w:r w:rsidRPr="00437F2B">
        <w:rPr>
          <w:b/>
          <w:bCs/>
        </w:rPr>
        <w:t>2020</w:t>
      </w:r>
      <w:r w:rsidRPr="00437F2B">
        <w:t>, </w:t>
      </w:r>
      <w:r w:rsidRPr="00437F2B">
        <w:rPr>
          <w:i/>
          <w:iCs/>
        </w:rPr>
        <w:t>8</w:t>
      </w:r>
      <w:r w:rsidRPr="00437F2B">
        <w:t xml:space="preserve">, 747. </w:t>
      </w:r>
    </w:p>
    <w:p w14:paraId="49230BCC" w14:textId="6A5C1AE1" w:rsidR="00437F2B" w:rsidRPr="00437F2B" w:rsidRDefault="00437F2B" w:rsidP="00C90A22">
      <w:pPr>
        <w:numPr>
          <w:ilvl w:val="0"/>
          <w:numId w:val="1"/>
        </w:numPr>
        <w:spacing w:after="0"/>
      </w:pPr>
      <w:r w:rsidRPr="00437F2B">
        <w:t>Bojar, B.; Sheridan, J.; Beattie, R.; Cahak, C.; Liedhegner, E.; Munoz-Price, L.S.; Hristova, K.R.; Skwor, T. Antibiotic resistance patterns of </w:t>
      </w:r>
      <w:r w:rsidRPr="00437F2B">
        <w:rPr>
          <w:i/>
          <w:iCs/>
        </w:rPr>
        <w:t>Escherichia coli</w:t>
      </w:r>
      <w:r w:rsidRPr="00437F2B">
        <w:t> isolates from the clinic through the wastewater pathway. </w:t>
      </w:r>
      <w:r w:rsidRPr="00437F2B">
        <w:rPr>
          <w:i/>
          <w:iCs/>
        </w:rPr>
        <w:t>Int. J. Hyg. Environ. Health</w:t>
      </w:r>
      <w:r w:rsidRPr="00437F2B">
        <w:t> </w:t>
      </w:r>
      <w:r w:rsidRPr="00437F2B">
        <w:rPr>
          <w:b/>
          <w:bCs/>
        </w:rPr>
        <w:t>2021</w:t>
      </w:r>
      <w:r w:rsidRPr="00437F2B">
        <w:t>, </w:t>
      </w:r>
      <w:r w:rsidRPr="00437F2B">
        <w:rPr>
          <w:i/>
          <w:iCs/>
        </w:rPr>
        <w:t>238</w:t>
      </w:r>
      <w:r w:rsidRPr="00437F2B">
        <w:t xml:space="preserve">, 113863. </w:t>
      </w:r>
    </w:p>
    <w:p w14:paraId="608878F5" w14:textId="03947A8E" w:rsidR="00437F2B" w:rsidRPr="00437F2B" w:rsidRDefault="00437F2B" w:rsidP="00C90A22">
      <w:pPr>
        <w:numPr>
          <w:ilvl w:val="0"/>
          <w:numId w:val="1"/>
        </w:numPr>
        <w:spacing w:after="0"/>
      </w:pPr>
      <w:r w:rsidRPr="00437F2B">
        <w:t>Nelson, R.E.; Hatfield, K.M.; Wolford, H.; Samore, M.H.; Scott, R.D., II; Reddy, S.C.; Olubajo, B.; Paul, P.; Jernigan, J.A.; Baggs, J. National Estimates of Healthcare Costs Associated With Multidrug-Resistant Bacterial Infections Among Hospitalized Patients in the United States. </w:t>
      </w:r>
      <w:r w:rsidRPr="00437F2B">
        <w:rPr>
          <w:i/>
          <w:iCs/>
        </w:rPr>
        <w:t>Clin. Infect. Dis.</w:t>
      </w:r>
      <w:r w:rsidRPr="00437F2B">
        <w:t> </w:t>
      </w:r>
      <w:r w:rsidRPr="00437F2B">
        <w:rPr>
          <w:b/>
          <w:bCs/>
        </w:rPr>
        <w:t>2021</w:t>
      </w:r>
      <w:r w:rsidRPr="00437F2B">
        <w:t>, </w:t>
      </w:r>
      <w:r w:rsidRPr="00437F2B">
        <w:rPr>
          <w:i/>
          <w:iCs/>
        </w:rPr>
        <w:t>72</w:t>
      </w:r>
      <w:r w:rsidRPr="00437F2B">
        <w:t xml:space="preserve">, S17–S26. </w:t>
      </w:r>
    </w:p>
    <w:p w14:paraId="6E9545C3" w14:textId="148E2374" w:rsidR="00437F2B" w:rsidRPr="00437F2B" w:rsidRDefault="00437F2B" w:rsidP="00C90A22">
      <w:pPr>
        <w:numPr>
          <w:ilvl w:val="0"/>
          <w:numId w:val="1"/>
        </w:numPr>
        <w:spacing w:after="0"/>
      </w:pPr>
      <w:r w:rsidRPr="00437F2B">
        <w:t>Bezabih, Y.M.; Sabiiti, W.; Alamneh, E.; Bezabih, A.; Peterson, G.M.; Bezabhe, W.M.; Roujeinikova, A. The global prevalence and trend of human intestinal carriage of ESBL-producing </w:t>
      </w:r>
      <w:r w:rsidRPr="00437F2B">
        <w:rPr>
          <w:i/>
          <w:iCs/>
        </w:rPr>
        <w:t>Escherichia coli</w:t>
      </w:r>
      <w:r w:rsidRPr="00437F2B">
        <w:t> in the community. </w:t>
      </w:r>
      <w:r w:rsidRPr="00437F2B">
        <w:rPr>
          <w:i/>
          <w:iCs/>
        </w:rPr>
        <w:t>J. Antimicrob. Chemother.</w:t>
      </w:r>
      <w:r w:rsidRPr="00437F2B">
        <w:t> </w:t>
      </w:r>
      <w:r w:rsidRPr="00437F2B">
        <w:rPr>
          <w:b/>
          <w:bCs/>
        </w:rPr>
        <w:t>2020</w:t>
      </w:r>
      <w:r w:rsidRPr="00437F2B">
        <w:t>, </w:t>
      </w:r>
      <w:r w:rsidRPr="00437F2B">
        <w:rPr>
          <w:i/>
          <w:iCs/>
        </w:rPr>
        <w:t>76</w:t>
      </w:r>
      <w:r w:rsidRPr="00437F2B">
        <w:t xml:space="preserve">, 22–29. </w:t>
      </w:r>
    </w:p>
    <w:p w14:paraId="6FA24638" w14:textId="06E0BBFC" w:rsidR="00437F2B" w:rsidRPr="00437F2B" w:rsidRDefault="00437F2B" w:rsidP="00C90A22">
      <w:pPr>
        <w:numPr>
          <w:ilvl w:val="0"/>
          <w:numId w:val="1"/>
        </w:numPr>
        <w:spacing w:after="0"/>
      </w:pPr>
      <w:r w:rsidRPr="00437F2B">
        <w:t>Marano, R.B.M.; Fernandes, T.; Manaia, C.M.; Nunes, O.; Morrison, D.; Berendonk, T.U.; Kreuzinger, N.; Tenson, T.; Corno, G.; Fatta-Kassinos, D.; et al. A global multinational survey of cefotaxime-resistant coliforms in urban wastewater treatment plants. </w:t>
      </w:r>
      <w:r w:rsidRPr="00437F2B">
        <w:rPr>
          <w:i/>
          <w:iCs/>
        </w:rPr>
        <w:t>Environ. Int.</w:t>
      </w:r>
      <w:r w:rsidRPr="00437F2B">
        <w:t> </w:t>
      </w:r>
      <w:r w:rsidRPr="00437F2B">
        <w:rPr>
          <w:b/>
          <w:bCs/>
        </w:rPr>
        <w:t>2020</w:t>
      </w:r>
      <w:r w:rsidRPr="00437F2B">
        <w:t>, </w:t>
      </w:r>
      <w:r w:rsidRPr="00437F2B">
        <w:rPr>
          <w:i/>
          <w:iCs/>
        </w:rPr>
        <w:t>144</w:t>
      </w:r>
      <w:r w:rsidRPr="00437F2B">
        <w:t xml:space="preserve">, 106035. </w:t>
      </w:r>
    </w:p>
    <w:p w14:paraId="3F6CC044" w14:textId="53AD2E40" w:rsidR="00437F2B" w:rsidRPr="00437F2B" w:rsidRDefault="00437F2B" w:rsidP="00C90A22">
      <w:pPr>
        <w:numPr>
          <w:ilvl w:val="0"/>
          <w:numId w:val="1"/>
        </w:numPr>
        <w:spacing w:after="0"/>
      </w:pPr>
      <w:r w:rsidRPr="00437F2B">
        <w:t>Diwan, V.; Chandran, S.P.; Tamhankar, A.J.; Stalsby Lundborg, C.; Macaden, R. Identification of extended-spectrum beta-lactamase and quinolone resistance genes in </w:t>
      </w:r>
      <w:r w:rsidRPr="00437F2B">
        <w:rPr>
          <w:i/>
          <w:iCs/>
        </w:rPr>
        <w:t>Escherichia coli</w:t>
      </w:r>
      <w:r w:rsidRPr="00437F2B">
        <w:t> isolated from hospital wastewater from central India. </w:t>
      </w:r>
      <w:r w:rsidRPr="00437F2B">
        <w:rPr>
          <w:i/>
          <w:iCs/>
        </w:rPr>
        <w:t>J. Antimicrob. Chemother.</w:t>
      </w:r>
      <w:r w:rsidRPr="00437F2B">
        <w:t> </w:t>
      </w:r>
      <w:r w:rsidRPr="00437F2B">
        <w:rPr>
          <w:b/>
          <w:bCs/>
        </w:rPr>
        <w:t>2012</w:t>
      </w:r>
      <w:r w:rsidRPr="00437F2B">
        <w:t>, </w:t>
      </w:r>
      <w:r w:rsidRPr="00437F2B">
        <w:rPr>
          <w:i/>
          <w:iCs/>
        </w:rPr>
        <w:t>67</w:t>
      </w:r>
      <w:r w:rsidRPr="00437F2B">
        <w:t xml:space="preserve">, 857–859. </w:t>
      </w:r>
    </w:p>
    <w:p w14:paraId="4A18B629" w14:textId="1D910132" w:rsidR="00437F2B" w:rsidRPr="00437F2B" w:rsidRDefault="00437F2B" w:rsidP="00C90A22">
      <w:pPr>
        <w:numPr>
          <w:ilvl w:val="0"/>
          <w:numId w:val="1"/>
        </w:numPr>
        <w:spacing w:after="0"/>
      </w:pPr>
      <w:r w:rsidRPr="00437F2B">
        <w:t>Paulshus, E.; Kuhn, I.; Mollby, R.; Colque, P.; O’Sullivan, K.; Midtvedt, T.; Lingaas, E.; Holmstad, R.; Sorum, H. Diversity and antibiotic resistance among </w:t>
      </w:r>
      <w:r w:rsidRPr="00437F2B">
        <w:rPr>
          <w:i/>
          <w:iCs/>
        </w:rPr>
        <w:t>Escherichia coli</w:t>
      </w:r>
      <w:r w:rsidRPr="00437F2B">
        <w:t> populations in hospital and community wastewater compared to wastewater at the receiving urban treatment plant. </w:t>
      </w:r>
      <w:r w:rsidRPr="00437F2B">
        <w:rPr>
          <w:i/>
          <w:iCs/>
        </w:rPr>
        <w:t>Water Res.</w:t>
      </w:r>
      <w:r w:rsidRPr="00437F2B">
        <w:t> </w:t>
      </w:r>
      <w:r w:rsidRPr="00437F2B">
        <w:rPr>
          <w:b/>
          <w:bCs/>
        </w:rPr>
        <w:t>2019</w:t>
      </w:r>
      <w:r w:rsidRPr="00437F2B">
        <w:t>, </w:t>
      </w:r>
      <w:r w:rsidRPr="00437F2B">
        <w:rPr>
          <w:i/>
          <w:iCs/>
        </w:rPr>
        <w:t>161</w:t>
      </w:r>
      <w:r w:rsidRPr="00437F2B">
        <w:t xml:space="preserve">, 232–241. </w:t>
      </w:r>
    </w:p>
    <w:p w14:paraId="31112B59" w14:textId="02920EF2" w:rsidR="00437F2B" w:rsidRPr="00437F2B" w:rsidRDefault="00437F2B" w:rsidP="00C90A22">
      <w:pPr>
        <w:numPr>
          <w:ilvl w:val="0"/>
          <w:numId w:val="1"/>
        </w:numPr>
        <w:spacing w:after="0"/>
      </w:pPr>
      <w:r w:rsidRPr="00437F2B">
        <w:t>Clermont, O.; Christenson, J.K.; Denamur, E.; Gordon, D.M. The Clermont </w:t>
      </w:r>
      <w:r w:rsidRPr="00437F2B">
        <w:rPr>
          <w:i/>
          <w:iCs/>
        </w:rPr>
        <w:t>Escherichia coli</w:t>
      </w:r>
      <w:r w:rsidRPr="00437F2B">
        <w:t> phylo-typing method revisited: Improvement of specificity and detection of new phylo-groups. </w:t>
      </w:r>
      <w:r w:rsidRPr="00437F2B">
        <w:rPr>
          <w:i/>
          <w:iCs/>
        </w:rPr>
        <w:t>Environ. Microbiol. Rep.</w:t>
      </w:r>
      <w:r w:rsidRPr="00437F2B">
        <w:t> </w:t>
      </w:r>
      <w:r w:rsidRPr="00437F2B">
        <w:rPr>
          <w:b/>
          <w:bCs/>
        </w:rPr>
        <w:t>2013</w:t>
      </w:r>
      <w:r w:rsidRPr="00437F2B">
        <w:t>, </w:t>
      </w:r>
      <w:r w:rsidRPr="00437F2B">
        <w:rPr>
          <w:i/>
          <w:iCs/>
        </w:rPr>
        <w:t>5</w:t>
      </w:r>
      <w:r w:rsidRPr="00437F2B">
        <w:t xml:space="preserve">, 58–65. </w:t>
      </w:r>
    </w:p>
    <w:p w14:paraId="7AB8B0BF" w14:textId="35554424" w:rsidR="00437F2B" w:rsidRPr="00437F2B" w:rsidRDefault="00437F2B" w:rsidP="00C90A22">
      <w:pPr>
        <w:numPr>
          <w:ilvl w:val="0"/>
          <w:numId w:val="1"/>
        </w:numPr>
        <w:spacing w:after="0"/>
      </w:pPr>
      <w:r w:rsidRPr="00437F2B">
        <w:t>Schreiber, H.L.t.; Conover, M.S.; Chou, W.C.; Hibbing, M.E.; Manson, A.L.; Dodson, K.W.; Hannan, T.J.; Roberts, P.L.; Stapleton, A.E.; Hooton, T.M.; et al. Bacterial virulence phenotypes of </w:t>
      </w:r>
      <w:r w:rsidRPr="00437F2B">
        <w:rPr>
          <w:i/>
          <w:iCs/>
        </w:rPr>
        <w:t>Escherichia coli</w:t>
      </w:r>
      <w:r w:rsidRPr="00437F2B">
        <w:t> and host susceptibility determine risk for urinary tract infections. </w:t>
      </w:r>
      <w:r w:rsidRPr="00437F2B">
        <w:rPr>
          <w:i/>
          <w:iCs/>
        </w:rPr>
        <w:t>Sci. Transl. Med.</w:t>
      </w:r>
      <w:r w:rsidRPr="00437F2B">
        <w:t> </w:t>
      </w:r>
      <w:r w:rsidRPr="00437F2B">
        <w:rPr>
          <w:b/>
          <w:bCs/>
        </w:rPr>
        <w:t>2017</w:t>
      </w:r>
      <w:r w:rsidRPr="00437F2B">
        <w:t>, </w:t>
      </w:r>
      <w:r w:rsidRPr="00437F2B">
        <w:rPr>
          <w:i/>
          <w:iCs/>
        </w:rPr>
        <w:t>9</w:t>
      </w:r>
      <w:r w:rsidRPr="00437F2B">
        <w:t xml:space="preserve">, eaaf1283. </w:t>
      </w:r>
    </w:p>
    <w:p w14:paraId="1A61912A" w14:textId="4FD9471F" w:rsidR="00437F2B" w:rsidRPr="00437F2B" w:rsidRDefault="00437F2B" w:rsidP="00C90A22">
      <w:pPr>
        <w:numPr>
          <w:ilvl w:val="0"/>
          <w:numId w:val="1"/>
        </w:numPr>
        <w:spacing w:after="0"/>
      </w:pPr>
      <w:r w:rsidRPr="00437F2B">
        <w:t>Stoppe, N.C.; Silva, J.S.; Carlos, C.; Sato, M.I.Z.; Saraiva, A.M.; Ottoboni, L.M.M.; Torres, T.T. Worldwide Phylogenetic Group Patterns of </w:t>
      </w:r>
      <w:r w:rsidRPr="00437F2B">
        <w:rPr>
          <w:i/>
          <w:iCs/>
        </w:rPr>
        <w:t>Escherichia coli</w:t>
      </w:r>
      <w:r w:rsidRPr="00437F2B">
        <w:t> from Commensal Human and Wastewater Treatment Plant Isolates. </w:t>
      </w:r>
      <w:r w:rsidRPr="00437F2B">
        <w:rPr>
          <w:i/>
          <w:iCs/>
        </w:rPr>
        <w:t>Front. Microbiol.</w:t>
      </w:r>
      <w:r w:rsidRPr="00437F2B">
        <w:t> </w:t>
      </w:r>
      <w:r w:rsidRPr="00437F2B">
        <w:rPr>
          <w:b/>
          <w:bCs/>
        </w:rPr>
        <w:t>2017</w:t>
      </w:r>
      <w:r w:rsidRPr="00437F2B">
        <w:t>, </w:t>
      </w:r>
      <w:r w:rsidRPr="00437F2B">
        <w:rPr>
          <w:i/>
          <w:iCs/>
        </w:rPr>
        <w:t>8</w:t>
      </w:r>
      <w:r w:rsidRPr="00437F2B">
        <w:t xml:space="preserve">, 2512. </w:t>
      </w:r>
    </w:p>
    <w:p w14:paraId="2C0AC2D0" w14:textId="049BDCB1" w:rsidR="00437F2B" w:rsidRPr="00437F2B" w:rsidRDefault="00437F2B" w:rsidP="00C90A22">
      <w:pPr>
        <w:numPr>
          <w:ilvl w:val="0"/>
          <w:numId w:val="1"/>
        </w:numPr>
        <w:spacing w:after="0"/>
      </w:pPr>
      <w:r w:rsidRPr="00437F2B">
        <w:t>Sabate, M.; Prats, G.; Moreno, E.; Balleste, E.; Blanch, A.R.; Andreu, A. Virulence and antimicrobial resistance profiles among </w:t>
      </w:r>
      <w:r w:rsidRPr="00437F2B">
        <w:rPr>
          <w:i/>
          <w:iCs/>
        </w:rPr>
        <w:t>Escherichia coli</w:t>
      </w:r>
      <w:r w:rsidRPr="00437F2B">
        <w:t> strains isolated from human and animal wastewater. </w:t>
      </w:r>
      <w:r w:rsidRPr="00437F2B">
        <w:rPr>
          <w:i/>
          <w:iCs/>
        </w:rPr>
        <w:t>Res. Microbiol.</w:t>
      </w:r>
      <w:r w:rsidRPr="00437F2B">
        <w:t> </w:t>
      </w:r>
      <w:r w:rsidRPr="00437F2B">
        <w:rPr>
          <w:b/>
          <w:bCs/>
        </w:rPr>
        <w:t>2008</w:t>
      </w:r>
      <w:r w:rsidRPr="00437F2B">
        <w:t>, </w:t>
      </w:r>
      <w:r w:rsidRPr="00437F2B">
        <w:rPr>
          <w:i/>
          <w:iCs/>
        </w:rPr>
        <w:t>159</w:t>
      </w:r>
      <w:r w:rsidRPr="00437F2B">
        <w:t xml:space="preserve">, 288–293. </w:t>
      </w:r>
    </w:p>
    <w:p w14:paraId="33E07523" w14:textId="6D1F55F8" w:rsidR="00437F2B" w:rsidRPr="00437F2B" w:rsidRDefault="00437F2B" w:rsidP="00C90A22">
      <w:pPr>
        <w:numPr>
          <w:ilvl w:val="0"/>
          <w:numId w:val="1"/>
        </w:numPr>
        <w:spacing w:after="0"/>
      </w:pPr>
      <w:r w:rsidRPr="00437F2B">
        <w:t>Rebello, R.C.; Regua-Mangia, A.H. Potential enterovirulence and antimicrobial resistance in </w:t>
      </w:r>
      <w:r w:rsidRPr="00437F2B">
        <w:rPr>
          <w:i/>
          <w:iCs/>
        </w:rPr>
        <w:t>Escherichia coli</w:t>
      </w:r>
      <w:r w:rsidRPr="00437F2B">
        <w:t> isolates from aquatic environments in Rio de Janeiro, Brazil. </w:t>
      </w:r>
      <w:r w:rsidRPr="00437F2B">
        <w:rPr>
          <w:i/>
          <w:iCs/>
        </w:rPr>
        <w:t>Sci. Total Environ.</w:t>
      </w:r>
      <w:r w:rsidRPr="00437F2B">
        <w:t> </w:t>
      </w:r>
      <w:r w:rsidRPr="00437F2B">
        <w:rPr>
          <w:b/>
          <w:bCs/>
        </w:rPr>
        <w:t>2014</w:t>
      </w:r>
      <w:r w:rsidRPr="00437F2B">
        <w:t>, </w:t>
      </w:r>
      <w:r w:rsidRPr="00437F2B">
        <w:rPr>
          <w:i/>
          <w:iCs/>
        </w:rPr>
        <w:t>490</w:t>
      </w:r>
      <w:r w:rsidRPr="00437F2B">
        <w:t xml:space="preserve">, 19–27. </w:t>
      </w:r>
    </w:p>
    <w:p w14:paraId="44FA95CF" w14:textId="7CA1DFF9" w:rsidR="00437F2B" w:rsidRPr="00437F2B" w:rsidRDefault="00437F2B" w:rsidP="00C90A22">
      <w:pPr>
        <w:numPr>
          <w:ilvl w:val="0"/>
          <w:numId w:val="1"/>
        </w:numPr>
        <w:spacing w:after="0"/>
      </w:pPr>
      <w:r w:rsidRPr="00437F2B">
        <w:t>Gundogdu, A.; Jennison, A.V.; Smith, H.V.; Stratton, H.; Katouli, M. Extended-spectrum beta-lactamase producing </w:t>
      </w:r>
      <w:r w:rsidRPr="00437F2B">
        <w:rPr>
          <w:i/>
          <w:iCs/>
        </w:rPr>
        <w:t>Escherichia coli</w:t>
      </w:r>
      <w:r w:rsidRPr="00437F2B">
        <w:t> in hospital wastewaters and sewage treatment plants in Queensland, Australia. </w:t>
      </w:r>
      <w:r w:rsidRPr="00437F2B">
        <w:rPr>
          <w:i/>
          <w:iCs/>
        </w:rPr>
        <w:t>Can. J. Microbiol.</w:t>
      </w:r>
      <w:r w:rsidRPr="00437F2B">
        <w:t> </w:t>
      </w:r>
      <w:r w:rsidRPr="00437F2B">
        <w:rPr>
          <w:b/>
          <w:bCs/>
        </w:rPr>
        <w:t>2013</w:t>
      </w:r>
      <w:r w:rsidRPr="00437F2B">
        <w:t>, </w:t>
      </w:r>
      <w:r w:rsidRPr="00437F2B">
        <w:rPr>
          <w:i/>
          <w:iCs/>
        </w:rPr>
        <w:t>59</w:t>
      </w:r>
      <w:r w:rsidRPr="00437F2B">
        <w:t xml:space="preserve">, 737–745. </w:t>
      </w:r>
    </w:p>
    <w:p w14:paraId="5C51F4B9" w14:textId="3E26EAAA" w:rsidR="00437F2B" w:rsidRPr="00437F2B" w:rsidRDefault="00437F2B" w:rsidP="00C90A22">
      <w:pPr>
        <w:numPr>
          <w:ilvl w:val="0"/>
          <w:numId w:val="1"/>
        </w:numPr>
        <w:spacing w:after="0"/>
      </w:pPr>
      <w:r w:rsidRPr="00437F2B">
        <w:t>Woerther, P.L.; Burdet, C.; Chachaty, E.; Andremont, A. Trends in Human Fecal Carriage of Extended-Spectrum beta-Lactamases in the Community: Toward the Globalization of CTX-M. </w:t>
      </w:r>
      <w:r w:rsidRPr="00437F2B">
        <w:rPr>
          <w:i/>
          <w:iCs/>
        </w:rPr>
        <w:t>Clin. Microbiol. Rev.</w:t>
      </w:r>
      <w:r w:rsidRPr="00437F2B">
        <w:t> </w:t>
      </w:r>
      <w:r w:rsidRPr="00437F2B">
        <w:rPr>
          <w:b/>
          <w:bCs/>
        </w:rPr>
        <w:t>2013</w:t>
      </w:r>
      <w:r w:rsidRPr="00437F2B">
        <w:t>, </w:t>
      </w:r>
      <w:r w:rsidRPr="00437F2B">
        <w:rPr>
          <w:i/>
          <w:iCs/>
        </w:rPr>
        <w:t>26</w:t>
      </w:r>
      <w:r w:rsidRPr="00437F2B">
        <w:t xml:space="preserve">, 744–758. </w:t>
      </w:r>
    </w:p>
    <w:p w14:paraId="4F2644D5" w14:textId="1B7E7C29" w:rsidR="00437F2B" w:rsidRPr="00437F2B" w:rsidRDefault="00437F2B" w:rsidP="00C90A22">
      <w:pPr>
        <w:numPr>
          <w:ilvl w:val="0"/>
          <w:numId w:val="1"/>
        </w:numPr>
        <w:spacing w:after="0"/>
      </w:pPr>
      <w:r w:rsidRPr="00437F2B">
        <w:t>Rhee, C.; Kadri, S.S.; Dekker, J.P.; Danner, R.L.; Chen, H.C.; Fram, D.; Zhang, F.; Wang, R.; Klompas, M.; Program, C.D.C.P.E. Prevalence of Antibiotic-Resistant Pathogens in Culture-Proven Sepsis and Outcomes Associated With Inadequate and Broad-Spectrum Empiric Antibiotic Use. </w:t>
      </w:r>
      <w:r w:rsidRPr="00437F2B">
        <w:rPr>
          <w:i/>
          <w:iCs/>
        </w:rPr>
        <w:t>JAMA Netw. Open</w:t>
      </w:r>
      <w:r w:rsidRPr="00437F2B">
        <w:t> </w:t>
      </w:r>
      <w:r w:rsidRPr="00437F2B">
        <w:rPr>
          <w:b/>
          <w:bCs/>
        </w:rPr>
        <w:t>2020</w:t>
      </w:r>
      <w:r w:rsidRPr="00437F2B">
        <w:t>, </w:t>
      </w:r>
      <w:r w:rsidRPr="00437F2B">
        <w:rPr>
          <w:i/>
          <w:iCs/>
        </w:rPr>
        <w:t>3</w:t>
      </w:r>
      <w:r w:rsidRPr="00437F2B">
        <w:t xml:space="preserve">, e202899. </w:t>
      </w:r>
    </w:p>
    <w:p w14:paraId="0A2B813D" w14:textId="1263C0A2" w:rsidR="00437F2B" w:rsidRPr="00437F2B" w:rsidRDefault="00437F2B" w:rsidP="00C90A22">
      <w:pPr>
        <w:numPr>
          <w:ilvl w:val="0"/>
          <w:numId w:val="1"/>
        </w:numPr>
        <w:spacing w:after="0"/>
      </w:pPr>
      <w:r w:rsidRPr="00437F2B">
        <w:t>Ruppe, E.; Lixandru, B.; Cojocaru, R.; Buke, C.; Paramythiotou, E.; Angebault, C.; Visseaux, C.; Djuikoue, I.; Erdem, E.; Burduniuc, O.; et al. Relative fecal abundance of extended-spectrum-beta-lactamase-producing </w:t>
      </w:r>
      <w:r w:rsidRPr="00437F2B">
        <w:rPr>
          <w:i/>
          <w:iCs/>
        </w:rPr>
        <w:t>Escherichia coli</w:t>
      </w:r>
      <w:r w:rsidRPr="00437F2B">
        <w:t> strains and their occurrence in urinary tract infections in women. </w:t>
      </w:r>
      <w:r w:rsidRPr="00437F2B">
        <w:rPr>
          <w:i/>
          <w:iCs/>
        </w:rPr>
        <w:t>Antimicrob. Agents Chemother.</w:t>
      </w:r>
      <w:r w:rsidRPr="00437F2B">
        <w:t> </w:t>
      </w:r>
      <w:r w:rsidRPr="00437F2B">
        <w:rPr>
          <w:b/>
          <w:bCs/>
        </w:rPr>
        <w:t>2013</w:t>
      </w:r>
      <w:r w:rsidRPr="00437F2B">
        <w:t>, </w:t>
      </w:r>
      <w:r w:rsidRPr="00437F2B">
        <w:rPr>
          <w:i/>
          <w:iCs/>
        </w:rPr>
        <w:t>57</w:t>
      </w:r>
      <w:r w:rsidRPr="00437F2B">
        <w:t xml:space="preserve">, 4512–4517. </w:t>
      </w:r>
    </w:p>
    <w:p w14:paraId="4209BD2E" w14:textId="619B5643" w:rsidR="00437F2B" w:rsidRPr="00437F2B" w:rsidRDefault="00437F2B" w:rsidP="00C90A22">
      <w:pPr>
        <w:numPr>
          <w:ilvl w:val="0"/>
          <w:numId w:val="1"/>
        </w:numPr>
        <w:spacing w:after="0"/>
      </w:pPr>
      <w:r w:rsidRPr="00437F2B">
        <w:t>Dorado-Garcia, A.; Smid, J.H.; van Pelt, W.; Bonten, M.J.M.; Fluit, A.C.; van den Bunt, G.; Wagenaar, J.A.; Hordijk, J.; Dierikx, C.M.; Veldman, K.T.; et al. Molecular relatedness of ESBL/AmpC-producing </w:t>
      </w:r>
      <w:r w:rsidRPr="00437F2B">
        <w:rPr>
          <w:i/>
          <w:iCs/>
        </w:rPr>
        <w:t>Escherichia coli</w:t>
      </w:r>
      <w:r w:rsidRPr="00437F2B">
        <w:t> from humans, animals, food and the environment: A pooled analysis. </w:t>
      </w:r>
      <w:r w:rsidRPr="00437F2B">
        <w:rPr>
          <w:i/>
          <w:iCs/>
        </w:rPr>
        <w:t>J. Antimicrob. Chemother.</w:t>
      </w:r>
      <w:r w:rsidRPr="00437F2B">
        <w:t> </w:t>
      </w:r>
      <w:r w:rsidRPr="00437F2B">
        <w:rPr>
          <w:b/>
          <w:bCs/>
        </w:rPr>
        <w:t>2018</w:t>
      </w:r>
      <w:r w:rsidRPr="00437F2B">
        <w:t>, </w:t>
      </w:r>
      <w:r w:rsidRPr="00437F2B">
        <w:rPr>
          <w:i/>
          <w:iCs/>
        </w:rPr>
        <w:t>73</w:t>
      </w:r>
      <w:r w:rsidRPr="00437F2B">
        <w:t xml:space="preserve">, 339–347. </w:t>
      </w:r>
    </w:p>
    <w:p w14:paraId="0AAB5426" w14:textId="7D2B6683" w:rsidR="00437F2B" w:rsidRPr="00437F2B" w:rsidRDefault="00437F2B" w:rsidP="00C90A22">
      <w:pPr>
        <w:numPr>
          <w:ilvl w:val="0"/>
          <w:numId w:val="1"/>
        </w:numPr>
        <w:spacing w:after="0"/>
      </w:pPr>
      <w:r w:rsidRPr="00437F2B">
        <w:t>Overdevest, I.; Willemsen, I.; Rijnsburger, M.; Eustace, A.; Xu, L.; Hawkey, P.; Heck, M.; Savelkoul, P.; Vandenbroucke-Grauls, C.; van der Zwaluw, K.; et al. Extended-Spectrum beta-Lactamase Genes of </w:t>
      </w:r>
      <w:r w:rsidRPr="00437F2B">
        <w:rPr>
          <w:i/>
          <w:iCs/>
        </w:rPr>
        <w:t>Escherichia coli</w:t>
      </w:r>
      <w:r w:rsidRPr="00437F2B">
        <w:t> in Chicken Meat and Humans, the Netherlands. </w:t>
      </w:r>
      <w:r w:rsidRPr="00437F2B">
        <w:rPr>
          <w:i/>
          <w:iCs/>
        </w:rPr>
        <w:t>Emerg. Infect. Dis.</w:t>
      </w:r>
      <w:r w:rsidRPr="00437F2B">
        <w:t> </w:t>
      </w:r>
      <w:r w:rsidRPr="00437F2B">
        <w:rPr>
          <w:b/>
          <w:bCs/>
        </w:rPr>
        <w:t>2011</w:t>
      </w:r>
      <w:r w:rsidRPr="00437F2B">
        <w:t>, </w:t>
      </w:r>
      <w:r w:rsidRPr="00437F2B">
        <w:rPr>
          <w:i/>
          <w:iCs/>
        </w:rPr>
        <w:t>17</w:t>
      </w:r>
      <w:r w:rsidRPr="00437F2B">
        <w:t xml:space="preserve">, 1216–1222. </w:t>
      </w:r>
    </w:p>
    <w:p w14:paraId="69C7DF63" w14:textId="38E834F2" w:rsidR="00437F2B" w:rsidRPr="00437F2B" w:rsidRDefault="00437F2B" w:rsidP="00C90A22">
      <w:pPr>
        <w:numPr>
          <w:ilvl w:val="0"/>
          <w:numId w:val="1"/>
        </w:numPr>
        <w:spacing w:after="0"/>
      </w:pPr>
      <w:r w:rsidRPr="00437F2B">
        <w:t>Canton, R.; Gonzalez-Alba, J.M.; Galan, J.C. CTX-M Enzymes: Origin and Diffusion. </w:t>
      </w:r>
      <w:r w:rsidRPr="00437F2B">
        <w:rPr>
          <w:i/>
          <w:iCs/>
        </w:rPr>
        <w:t>Front. Microbiol.</w:t>
      </w:r>
      <w:r w:rsidRPr="00437F2B">
        <w:t> </w:t>
      </w:r>
      <w:r w:rsidRPr="00437F2B">
        <w:rPr>
          <w:b/>
          <w:bCs/>
        </w:rPr>
        <w:t>2012</w:t>
      </w:r>
      <w:r w:rsidRPr="00437F2B">
        <w:t>, </w:t>
      </w:r>
      <w:r w:rsidRPr="00437F2B">
        <w:rPr>
          <w:i/>
          <w:iCs/>
        </w:rPr>
        <w:t>3</w:t>
      </w:r>
      <w:r w:rsidRPr="00437F2B">
        <w:t>, 110</w:t>
      </w:r>
      <w:r w:rsidR="00C90A22">
        <w:t>.</w:t>
      </w:r>
    </w:p>
    <w:p w14:paraId="33D1D1E6" w14:textId="3BDA54C6" w:rsidR="00437F2B" w:rsidRPr="00437F2B" w:rsidRDefault="00437F2B" w:rsidP="00C90A22">
      <w:pPr>
        <w:numPr>
          <w:ilvl w:val="0"/>
          <w:numId w:val="1"/>
        </w:numPr>
        <w:spacing w:after="0"/>
      </w:pPr>
      <w:r w:rsidRPr="00437F2B">
        <w:t>Tanaka, H.; Hayashi, W.; Iimura, M.; Taniguchi, Y.; Soga, E.; Matsuo, N.; Kawamura, K.; Arakawa, Y.; Nagano, Y.; Nagano, N.; et al. Wastewater as a Probable Environmental Reservoir of Extended-Spectrum-β-Lactamase Genes: Detection of Chimeric β-Lactamases CTX-M-64 and CTX-M-123. </w:t>
      </w:r>
      <w:r w:rsidRPr="00437F2B">
        <w:rPr>
          <w:i/>
          <w:iCs/>
        </w:rPr>
        <w:t>Appl. Environ. Microbiol.</w:t>
      </w:r>
      <w:r w:rsidRPr="00437F2B">
        <w:t> </w:t>
      </w:r>
      <w:r w:rsidRPr="00437F2B">
        <w:rPr>
          <w:b/>
          <w:bCs/>
        </w:rPr>
        <w:t>2019</w:t>
      </w:r>
      <w:r w:rsidRPr="00437F2B">
        <w:t>, </w:t>
      </w:r>
      <w:r w:rsidRPr="00437F2B">
        <w:rPr>
          <w:i/>
          <w:iCs/>
        </w:rPr>
        <w:t>85</w:t>
      </w:r>
      <w:r w:rsidRPr="00437F2B">
        <w:t xml:space="preserve">, e01740-19. </w:t>
      </w:r>
    </w:p>
    <w:p w14:paraId="136E44D7" w14:textId="314C2B93" w:rsidR="00437F2B" w:rsidRPr="00437F2B" w:rsidRDefault="00437F2B" w:rsidP="00C90A22">
      <w:pPr>
        <w:numPr>
          <w:ilvl w:val="0"/>
          <w:numId w:val="1"/>
        </w:numPr>
        <w:spacing w:after="0"/>
      </w:pPr>
      <w:r w:rsidRPr="00437F2B">
        <w:t>Castanheira, M.; Farrell, S.E.; Deshpande, L.M.; Mendes, R.E.; Jones, R.N. Prevalence of β-lactamase-encoding genes among Enterobacteriaceae bacteremia isolates collected in 26 U.S. hospitals: Report from the SENTRY Antimicrobial Surveillance Program (2010). </w:t>
      </w:r>
      <w:r w:rsidRPr="00437F2B">
        <w:rPr>
          <w:i/>
          <w:iCs/>
        </w:rPr>
        <w:t>Antimicrob. Agents Chemother.</w:t>
      </w:r>
      <w:r w:rsidRPr="00437F2B">
        <w:t> </w:t>
      </w:r>
      <w:r w:rsidRPr="00437F2B">
        <w:rPr>
          <w:b/>
          <w:bCs/>
        </w:rPr>
        <w:t>2013</w:t>
      </w:r>
      <w:r w:rsidRPr="00437F2B">
        <w:t>, </w:t>
      </w:r>
      <w:r w:rsidRPr="00437F2B">
        <w:rPr>
          <w:i/>
          <w:iCs/>
        </w:rPr>
        <w:t>57</w:t>
      </w:r>
      <w:r w:rsidRPr="00437F2B">
        <w:t xml:space="preserve">, 3012–3020. </w:t>
      </w:r>
    </w:p>
    <w:p w14:paraId="0853AF3F" w14:textId="78C9C67C" w:rsidR="00437F2B" w:rsidRPr="00437F2B" w:rsidRDefault="00437F2B" w:rsidP="00C90A22">
      <w:pPr>
        <w:numPr>
          <w:ilvl w:val="0"/>
          <w:numId w:val="1"/>
        </w:numPr>
        <w:spacing w:after="0"/>
      </w:pPr>
      <w:r w:rsidRPr="00437F2B">
        <w:t>Denisuik, A.J.; Lagacé-Wiens, P.R.; Pitout, J.D.; Mulvey, M.R.; Simner, P.J.; Tailor, F.; Karlowsky, J.A.; Hoban, D.J.; Adam, H.J.; Zhanel, G.G. Molecular epidemiology of extended-spectrum β-lactamase-, AmpC β-lactamase- and carbapenemase-producing </w:t>
      </w:r>
      <w:r w:rsidRPr="00437F2B">
        <w:rPr>
          <w:i/>
          <w:iCs/>
        </w:rPr>
        <w:t>Escherichia coli</w:t>
      </w:r>
      <w:r w:rsidRPr="00437F2B">
        <w:t> and Klebsiella pneumoniae isolated from Canadian hospitals over a 5 year period: CANWARD 2007-11. </w:t>
      </w:r>
      <w:r w:rsidRPr="00437F2B">
        <w:rPr>
          <w:i/>
          <w:iCs/>
        </w:rPr>
        <w:t>J. Antimicrob. Chemother.</w:t>
      </w:r>
      <w:r w:rsidRPr="00437F2B">
        <w:t> </w:t>
      </w:r>
      <w:r w:rsidRPr="00437F2B">
        <w:rPr>
          <w:b/>
          <w:bCs/>
        </w:rPr>
        <w:t>2013</w:t>
      </w:r>
      <w:r w:rsidRPr="00437F2B">
        <w:t>, </w:t>
      </w:r>
      <w:r w:rsidRPr="00437F2B">
        <w:rPr>
          <w:i/>
          <w:iCs/>
        </w:rPr>
        <w:t>68</w:t>
      </w:r>
      <w:r w:rsidRPr="00437F2B">
        <w:t xml:space="preserve"> (Suppl. 1), i57–i65. </w:t>
      </w:r>
    </w:p>
    <w:p w14:paraId="0D76ADC6" w14:textId="737C956F" w:rsidR="00437F2B" w:rsidRPr="00437F2B" w:rsidRDefault="00437F2B" w:rsidP="00C90A22">
      <w:pPr>
        <w:numPr>
          <w:ilvl w:val="0"/>
          <w:numId w:val="1"/>
        </w:numPr>
        <w:spacing w:after="0"/>
      </w:pPr>
      <w:r w:rsidRPr="00437F2B">
        <w:t>Pai, H.; Choi, E.H.; Lee, H.J.; Hong, J.Y.; Jacoby, G.A. Identification of CTX-M-14 extended-spectrum beta-lactamase in clinical isolates of Shigella sonnei, </w:t>
      </w:r>
      <w:r w:rsidRPr="00437F2B">
        <w:rPr>
          <w:i/>
          <w:iCs/>
        </w:rPr>
        <w:t>Escherichia coli</w:t>
      </w:r>
      <w:r w:rsidRPr="00437F2B">
        <w:t>, and Klebsiella pneumoniae in Korea. </w:t>
      </w:r>
      <w:r w:rsidRPr="00437F2B">
        <w:rPr>
          <w:i/>
          <w:iCs/>
        </w:rPr>
        <w:t>J. Clin. Microbiol.</w:t>
      </w:r>
      <w:r w:rsidRPr="00437F2B">
        <w:t> </w:t>
      </w:r>
      <w:r w:rsidRPr="00437F2B">
        <w:rPr>
          <w:b/>
          <w:bCs/>
        </w:rPr>
        <w:t>2001</w:t>
      </w:r>
      <w:r w:rsidRPr="00437F2B">
        <w:t>, </w:t>
      </w:r>
      <w:r w:rsidRPr="00437F2B">
        <w:rPr>
          <w:i/>
          <w:iCs/>
        </w:rPr>
        <w:t>39</w:t>
      </w:r>
      <w:r w:rsidRPr="00437F2B">
        <w:t xml:space="preserve">, 3747–3749. </w:t>
      </w:r>
    </w:p>
    <w:p w14:paraId="1CF54D03" w14:textId="3D8B736D" w:rsidR="00437F2B" w:rsidRPr="00437F2B" w:rsidRDefault="00437F2B" w:rsidP="00C90A22">
      <w:pPr>
        <w:numPr>
          <w:ilvl w:val="0"/>
          <w:numId w:val="1"/>
        </w:numPr>
        <w:spacing w:after="0"/>
      </w:pPr>
      <w:r w:rsidRPr="00437F2B">
        <w:t>Constantinides, B.; Chau, K.K.; Quan, T.P.; Rodger, G.; Andersson, M.I.; Jeffery, K.; Lipworth, S.; Gweon, H.S.; Peniket, A.; Pike, G.; et al. Genomic surveillance of </w:t>
      </w:r>
      <w:r w:rsidRPr="00437F2B">
        <w:rPr>
          <w:i/>
          <w:iCs/>
        </w:rPr>
        <w:t>Escherichia coli</w:t>
      </w:r>
      <w:r w:rsidRPr="00437F2B">
        <w:t> and Klebsiella spp. in hospital sink drains and patients. </w:t>
      </w:r>
      <w:r w:rsidRPr="00437F2B">
        <w:rPr>
          <w:i/>
          <w:iCs/>
        </w:rPr>
        <w:t>Microb. Genom.</w:t>
      </w:r>
      <w:r w:rsidRPr="00437F2B">
        <w:t> </w:t>
      </w:r>
      <w:r w:rsidRPr="00437F2B">
        <w:rPr>
          <w:b/>
          <w:bCs/>
        </w:rPr>
        <w:t>2020</w:t>
      </w:r>
      <w:r w:rsidRPr="00437F2B">
        <w:t>, </w:t>
      </w:r>
      <w:r w:rsidRPr="00437F2B">
        <w:rPr>
          <w:i/>
          <w:iCs/>
        </w:rPr>
        <w:t>6</w:t>
      </w:r>
      <w:r w:rsidRPr="00437F2B">
        <w:t xml:space="preserve">. </w:t>
      </w:r>
    </w:p>
    <w:p w14:paraId="09983BE4" w14:textId="5C42AB23" w:rsidR="00437F2B" w:rsidRPr="00437F2B" w:rsidRDefault="00437F2B" w:rsidP="00C90A22">
      <w:pPr>
        <w:numPr>
          <w:ilvl w:val="0"/>
          <w:numId w:val="1"/>
        </w:numPr>
        <w:spacing w:after="0"/>
      </w:pPr>
      <w:r w:rsidRPr="00437F2B">
        <w:t>Borgogna, T.R.; Borgogna, J.-L.; Mielke, J.A.; Brown, C.J.; Top, E.M.; Botts, R.T.; Cummings, D.E. High Diversity of CTX-M Extended-Spectrum β-Lactamases in Municipal Wastewater and Urban Wetlands. </w:t>
      </w:r>
      <w:r w:rsidRPr="00437F2B">
        <w:rPr>
          <w:i/>
          <w:iCs/>
        </w:rPr>
        <w:t>Microb. Drug Resist.</w:t>
      </w:r>
      <w:r w:rsidRPr="00437F2B">
        <w:t> </w:t>
      </w:r>
      <w:r w:rsidRPr="00437F2B">
        <w:rPr>
          <w:b/>
          <w:bCs/>
        </w:rPr>
        <w:t>2016</w:t>
      </w:r>
      <w:r w:rsidRPr="00437F2B">
        <w:t>, </w:t>
      </w:r>
      <w:r w:rsidRPr="00437F2B">
        <w:rPr>
          <w:i/>
          <w:iCs/>
        </w:rPr>
        <w:t>22</w:t>
      </w:r>
      <w:r w:rsidRPr="00437F2B">
        <w:t xml:space="preserve">, 312–320. </w:t>
      </w:r>
    </w:p>
    <w:p w14:paraId="303E5E77" w14:textId="6B2E9D3B" w:rsidR="00437F2B" w:rsidRPr="00437F2B" w:rsidRDefault="00437F2B" w:rsidP="00C90A22">
      <w:pPr>
        <w:numPr>
          <w:ilvl w:val="0"/>
          <w:numId w:val="1"/>
        </w:numPr>
        <w:spacing w:after="0"/>
      </w:pPr>
      <w:r w:rsidRPr="00437F2B">
        <w:t>Bevan, E.R.; Jones, A.M.; Hawkey, P.M. Global epidemiology of CTX-M β-lactamases: Temporal and geographical shifts in genotype. </w:t>
      </w:r>
      <w:r w:rsidRPr="00437F2B">
        <w:rPr>
          <w:i/>
          <w:iCs/>
        </w:rPr>
        <w:t>J. Antimicrob. Chemother.</w:t>
      </w:r>
      <w:r w:rsidRPr="00437F2B">
        <w:t> </w:t>
      </w:r>
      <w:r w:rsidRPr="00437F2B">
        <w:rPr>
          <w:b/>
          <w:bCs/>
        </w:rPr>
        <w:t>2017</w:t>
      </w:r>
      <w:r w:rsidRPr="00437F2B">
        <w:t>, </w:t>
      </w:r>
      <w:r w:rsidRPr="00437F2B">
        <w:rPr>
          <w:i/>
          <w:iCs/>
        </w:rPr>
        <w:t>72</w:t>
      </w:r>
      <w:r w:rsidRPr="00437F2B">
        <w:t xml:space="preserve">, 2145–2155. </w:t>
      </w:r>
    </w:p>
    <w:p w14:paraId="63BABD64" w14:textId="7A644826" w:rsidR="00437F2B" w:rsidRPr="00437F2B" w:rsidRDefault="00437F2B" w:rsidP="00C90A22">
      <w:pPr>
        <w:numPr>
          <w:ilvl w:val="0"/>
          <w:numId w:val="1"/>
        </w:numPr>
        <w:spacing w:after="0"/>
      </w:pPr>
      <w:r w:rsidRPr="00437F2B">
        <w:t>Branger, C.; Zamfir, O.; Geoffroy, S.; Laurans, G.; Arlet, G.; Thien, H.V.; Gouriou, S.; Picard, B.; Denamur, E. Genetic background of </w:t>
      </w:r>
      <w:r w:rsidRPr="00437F2B">
        <w:rPr>
          <w:i/>
          <w:iCs/>
        </w:rPr>
        <w:t>Escherichia coli</w:t>
      </w:r>
      <w:r w:rsidRPr="00437F2B">
        <w:t> and extended-spectrum beta-lactamase type. </w:t>
      </w:r>
      <w:r w:rsidRPr="00437F2B">
        <w:rPr>
          <w:i/>
          <w:iCs/>
        </w:rPr>
        <w:t>Emerg. Infect. Dis.</w:t>
      </w:r>
      <w:r w:rsidRPr="00437F2B">
        <w:t> </w:t>
      </w:r>
      <w:r w:rsidRPr="00437F2B">
        <w:rPr>
          <w:b/>
          <w:bCs/>
        </w:rPr>
        <w:t>2005</w:t>
      </w:r>
      <w:r w:rsidRPr="00437F2B">
        <w:t>, </w:t>
      </w:r>
      <w:r w:rsidRPr="00437F2B">
        <w:rPr>
          <w:i/>
          <w:iCs/>
        </w:rPr>
        <w:t>11</w:t>
      </w:r>
      <w:r w:rsidRPr="00437F2B">
        <w:t xml:space="preserve">, 54–61. </w:t>
      </w:r>
    </w:p>
    <w:p w14:paraId="0E008E15" w14:textId="7A6AAA3E" w:rsidR="00437F2B" w:rsidRPr="00437F2B" w:rsidRDefault="00437F2B" w:rsidP="00C90A22">
      <w:pPr>
        <w:numPr>
          <w:ilvl w:val="0"/>
          <w:numId w:val="1"/>
        </w:numPr>
        <w:spacing w:after="0"/>
      </w:pPr>
      <w:r w:rsidRPr="00437F2B">
        <w:t>Kutilova, I.; Medvecky, M.; Leekitcharoenphon, P.; Munk, P.; Masarikova, M.; Davidova-Gerzova, L.; Jamborova, I.; Bortolaia, V.; Pamp, S.J.; Dolejska, M. Extended-spectrum beta-lactamase-producing </w:t>
      </w:r>
      <w:r w:rsidRPr="00437F2B">
        <w:rPr>
          <w:i/>
          <w:iCs/>
        </w:rPr>
        <w:t>Escherichia coli</w:t>
      </w:r>
      <w:r w:rsidRPr="00437F2B">
        <w:t> and antimicrobial resistance in municipal and hospital wastewaters in Czech Republic: Culture-based and metagenomic approaches. </w:t>
      </w:r>
      <w:r w:rsidRPr="00437F2B">
        <w:rPr>
          <w:i/>
          <w:iCs/>
        </w:rPr>
        <w:t>Environ. Res.</w:t>
      </w:r>
      <w:r w:rsidRPr="00437F2B">
        <w:t> </w:t>
      </w:r>
      <w:r w:rsidRPr="00437F2B">
        <w:rPr>
          <w:b/>
          <w:bCs/>
        </w:rPr>
        <w:t>2021</w:t>
      </w:r>
      <w:r w:rsidRPr="00437F2B">
        <w:t>, </w:t>
      </w:r>
      <w:r w:rsidRPr="00437F2B">
        <w:rPr>
          <w:i/>
          <w:iCs/>
        </w:rPr>
        <w:t>193</w:t>
      </w:r>
      <w:r w:rsidRPr="00437F2B">
        <w:t xml:space="preserve">, 110487. </w:t>
      </w:r>
    </w:p>
    <w:p w14:paraId="46576C8F" w14:textId="57708807" w:rsidR="00437F2B" w:rsidRPr="00437F2B" w:rsidRDefault="00437F2B" w:rsidP="00C90A22">
      <w:pPr>
        <w:numPr>
          <w:ilvl w:val="0"/>
          <w:numId w:val="1"/>
        </w:numPr>
        <w:spacing w:after="0"/>
      </w:pPr>
      <w:r w:rsidRPr="00437F2B">
        <w:t>Nzima, B.; Adegoke, A.A.; Ofon, U.A.; Al-Dahmoshi, H.O.M.; Saki, M.; Ndubuisi-Nnaji, U.U.; Inyang, C.U. Resistotyping and extended-spectrum beta-lactamase genes among </w:t>
      </w:r>
      <w:r w:rsidRPr="00437F2B">
        <w:rPr>
          <w:i/>
          <w:iCs/>
        </w:rPr>
        <w:t>Escherichia coli</w:t>
      </w:r>
      <w:r w:rsidRPr="00437F2B">
        <w:t> from wastewater treatment plants and recipient surface water for reuse in South Africa. </w:t>
      </w:r>
      <w:r w:rsidRPr="00437F2B">
        <w:rPr>
          <w:i/>
          <w:iCs/>
        </w:rPr>
        <w:t>New Microbes. New Infect.</w:t>
      </w:r>
      <w:r w:rsidRPr="00437F2B">
        <w:t> </w:t>
      </w:r>
      <w:r w:rsidRPr="00437F2B">
        <w:rPr>
          <w:b/>
          <w:bCs/>
        </w:rPr>
        <w:t>2020</w:t>
      </w:r>
      <w:r w:rsidRPr="00437F2B">
        <w:t>, </w:t>
      </w:r>
      <w:r w:rsidRPr="00437F2B">
        <w:rPr>
          <w:i/>
          <w:iCs/>
        </w:rPr>
        <w:t>38</w:t>
      </w:r>
      <w:r w:rsidRPr="00437F2B">
        <w:t xml:space="preserve">, 100803. </w:t>
      </w:r>
    </w:p>
    <w:p w14:paraId="22EC74E1" w14:textId="2699B425" w:rsidR="00437F2B" w:rsidRPr="00437F2B" w:rsidRDefault="00437F2B" w:rsidP="00C90A22">
      <w:pPr>
        <w:numPr>
          <w:ilvl w:val="0"/>
          <w:numId w:val="1"/>
        </w:numPr>
        <w:spacing w:after="0"/>
      </w:pPr>
      <w:r w:rsidRPr="00437F2B">
        <w:t>Martínez, J.L.; Coque, T.M.; Baquero, F. What is a resistance gene? Ranking risk in resistomes. </w:t>
      </w:r>
      <w:r w:rsidRPr="00437F2B">
        <w:rPr>
          <w:i/>
          <w:iCs/>
        </w:rPr>
        <w:t>Nat. Rev. Microbiol.</w:t>
      </w:r>
      <w:r w:rsidRPr="00437F2B">
        <w:t> </w:t>
      </w:r>
      <w:r w:rsidRPr="00437F2B">
        <w:rPr>
          <w:b/>
          <w:bCs/>
        </w:rPr>
        <w:t>2015</w:t>
      </w:r>
      <w:r w:rsidRPr="00437F2B">
        <w:t>, </w:t>
      </w:r>
      <w:r w:rsidRPr="00437F2B">
        <w:rPr>
          <w:i/>
          <w:iCs/>
        </w:rPr>
        <w:t>13</w:t>
      </w:r>
      <w:r w:rsidRPr="00437F2B">
        <w:t xml:space="preserve">, 116–123. </w:t>
      </w:r>
    </w:p>
    <w:p w14:paraId="644CA7CA" w14:textId="3BA74BCD" w:rsidR="00437F2B" w:rsidRPr="00437F2B" w:rsidRDefault="00437F2B" w:rsidP="00C90A22">
      <w:pPr>
        <w:numPr>
          <w:ilvl w:val="0"/>
          <w:numId w:val="1"/>
        </w:numPr>
        <w:spacing w:after="0"/>
      </w:pPr>
      <w:r w:rsidRPr="00437F2B">
        <w:t>Wang, J.; Chu, L.; Wojnárovits, L.; Takács, E. Occurrence and fate of antibiotics, antibiotic resistant genes (ARGs) and antibiotic resistant bacteria (ARB) in municipal wastewater treatment plant: An overview. </w:t>
      </w:r>
      <w:r w:rsidRPr="00437F2B">
        <w:rPr>
          <w:i/>
          <w:iCs/>
        </w:rPr>
        <w:t>Sci. Total Environ.</w:t>
      </w:r>
      <w:r w:rsidRPr="00437F2B">
        <w:t> </w:t>
      </w:r>
      <w:r w:rsidRPr="00437F2B">
        <w:rPr>
          <w:b/>
          <w:bCs/>
        </w:rPr>
        <w:t>2020</w:t>
      </w:r>
      <w:r w:rsidRPr="00437F2B">
        <w:t>, </w:t>
      </w:r>
      <w:r w:rsidRPr="00437F2B">
        <w:rPr>
          <w:i/>
          <w:iCs/>
        </w:rPr>
        <w:t>744</w:t>
      </w:r>
      <w:r w:rsidRPr="00437F2B">
        <w:t xml:space="preserve">, 140997. </w:t>
      </w:r>
    </w:p>
    <w:p w14:paraId="6BCDD83B" w14:textId="57A1C361" w:rsidR="00437F2B" w:rsidRPr="00437F2B" w:rsidRDefault="00437F2B" w:rsidP="00C90A22">
      <w:pPr>
        <w:numPr>
          <w:ilvl w:val="0"/>
          <w:numId w:val="1"/>
        </w:numPr>
        <w:spacing w:after="0"/>
      </w:pPr>
      <w:r w:rsidRPr="00437F2B">
        <w:t>Gillings, M.R.; Gaze, W.H.; Pruden, A.; Smalla, K.; Tiedje, J.M.; Zhu, Y.-G. Using the class 1 integron-integrase gene as a proxy for anthropogenic pollution. </w:t>
      </w:r>
      <w:r w:rsidRPr="00437F2B">
        <w:rPr>
          <w:i/>
          <w:iCs/>
        </w:rPr>
        <w:t>ISME J.</w:t>
      </w:r>
      <w:r w:rsidRPr="00437F2B">
        <w:t> </w:t>
      </w:r>
      <w:r w:rsidRPr="00437F2B">
        <w:rPr>
          <w:b/>
          <w:bCs/>
        </w:rPr>
        <w:t>2015</w:t>
      </w:r>
      <w:r w:rsidRPr="00437F2B">
        <w:t>, </w:t>
      </w:r>
      <w:r w:rsidRPr="00437F2B">
        <w:rPr>
          <w:i/>
          <w:iCs/>
        </w:rPr>
        <w:t>9</w:t>
      </w:r>
      <w:r w:rsidRPr="00437F2B">
        <w:t xml:space="preserve">, 1269–1279. </w:t>
      </w:r>
    </w:p>
    <w:p w14:paraId="52ED4632" w14:textId="09A38AA4" w:rsidR="00437F2B" w:rsidRPr="00437F2B" w:rsidRDefault="00437F2B" w:rsidP="00C90A22">
      <w:pPr>
        <w:numPr>
          <w:ilvl w:val="0"/>
          <w:numId w:val="1"/>
        </w:numPr>
        <w:spacing w:after="0"/>
      </w:pPr>
      <w:r w:rsidRPr="00437F2B">
        <w:t>Bonomo, R.A.; Burd, E.M.; Conly, J.; Limbago, B.M.; Poirel, L.; Segre, J.A.; Westblade, L.F. Carbapenemase-Producing Organisms: A Global Scourge. </w:t>
      </w:r>
      <w:r w:rsidRPr="00437F2B">
        <w:rPr>
          <w:i/>
          <w:iCs/>
        </w:rPr>
        <w:t>Clin. Infect. Dis.</w:t>
      </w:r>
      <w:r w:rsidRPr="00437F2B">
        <w:t> </w:t>
      </w:r>
      <w:r w:rsidRPr="00437F2B">
        <w:rPr>
          <w:b/>
          <w:bCs/>
        </w:rPr>
        <w:t>2018</w:t>
      </w:r>
      <w:r w:rsidRPr="00437F2B">
        <w:t>, </w:t>
      </w:r>
      <w:r w:rsidRPr="00437F2B">
        <w:rPr>
          <w:i/>
          <w:iCs/>
        </w:rPr>
        <w:t>66</w:t>
      </w:r>
      <w:r w:rsidRPr="00437F2B">
        <w:t xml:space="preserve">, 1290–1297. </w:t>
      </w:r>
    </w:p>
    <w:p w14:paraId="73AAC241" w14:textId="425D9D59" w:rsidR="00437F2B" w:rsidRPr="00437F2B" w:rsidRDefault="00437F2B" w:rsidP="00C90A22">
      <w:pPr>
        <w:numPr>
          <w:ilvl w:val="0"/>
          <w:numId w:val="1"/>
        </w:numPr>
        <w:spacing w:after="0"/>
      </w:pPr>
      <w:r w:rsidRPr="00437F2B">
        <w:t>Logan, L.K.; Weinstein, R.A. The Epidemiology of Carbapenem-Resistant Enterobacteriaceae: The Impact and Evolution of a Global Menace. </w:t>
      </w:r>
      <w:r w:rsidRPr="00437F2B">
        <w:rPr>
          <w:i/>
          <w:iCs/>
        </w:rPr>
        <w:t>J. Infect. Dis.</w:t>
      </w:r>
      <w:r w:rsidRPr="00437F2B">
        <w:t> </w:t>
      </w:r>
      <w:r w:rsidRPr="00437F2B">
        <w:rPr>
          <w:b/>
          <w:bCs/>
        </w:rPr>
        <w:t>2017</w:t>
      </w:r>
      <w:r w:rsidRPr="00437F2B">
        <w:t>, </w:t>
      </w:r>
      <w:r w:rsidRPr="00437F2B">
        <w:rPr>
          <w:i/>
          <w:iCs/>
        </w:rPr>
        <w:t>215</w:t>
      </w:r>
      <w:r w:rsidRPr="00437F2B">
        <w:t xml:space="preserve">, S28–S36. </w:t>
      </w:r>
    </w:p>
    <w:p w14:paraId="78EB2C80" w14:textId="3BEA2736" w:rsidR="00437F2B" w:rsidRPr="00437F2B" w:rsidRDefault="00437F2B" w:rsidP="00C90A22">
      <w:pPr>
        <w:numPr>
          <w:ilvl w:val="0"/>
          <w:numId w:val="1"/>
        </w:numPr>
        <w:spacing w:after="0"/>
      </w:pPr>
      <w:r w:rsidRPr="00437F2B">
        <w:t>Bettelheim, K.A. The sources of "OH" serotypes of </w:t>
      </w:r>
      <w:r w:rsidRPr="00437F2B">
        <w:rPr>
          <w:i/>
          <w:iCs/>
        </w:rPr>
        <w:t>Escherichia coli</w:t>
      </w:r>
      <w:r w:rsidRPr="00437F2B">
        <w:t>. </w:t>
      </w:r>
      <w:r w:rsidRPr="00437F2B">
        <w:rPr>
          <w:i/>
          <w:iCs/>
        </w:rPr>
        <w:t>J. Hyg.</w:t>
      </w:r>
      <w:r w:rsidRPr="00437F2B">
        <w:t> </w:t>
      </w:r>
      <w:r w:rsidRPr="00437F2B">
        <w:rPr>
          <w:b/>
          <w:bCs/>
        </w:rPr>
        <w:t>1978</w:t>
      </w:r>
      <w:r w:rsidRPr="00437F2B">
        <w:t>, </w:t>
      </w:r>
      <w:r w:rsidRPr="00437F2B">
        <w:rPr>
          <w:i/>
          <w:iCs/>
        </w:rPr>
        <w:t>80</w:t>
      </w:r>
      <w:r w:rsidRPr="00437F2B">
        <w:t xml:space="preserve">, 83–113. </w:t>
      </w:r>
    </w:p>
    <w:p w14:paraId="71171220" w14:textId="07114474" w:rsidR="00437F2B" w:rsidRPr="00437F2B" w:rsidRDefault="00437F2B" w:rsidP="00C90A22">
      <w:pPr>
        <w:numPr>
          <w:ilvl w:val="0"/>
          <w:numId w:val="1"/>
        </w:numPr>
        <w:spacing w:after="0"/>
      </w:pPr>
      <w:r w:rsidRPr="00437F2B">
        <w:t>Dong, D.; Mi, Z.; Li, D.; Gao, M.; Jia, N.; Li, M.; Tong, Y.; Zhang, X.; Zhu, Y. Novel IncR/IncP6 Hybrid Plasmid pCRE3-KPC Recovered from a Clinical KPC-2-Producing Citrobacter braakii Isolate. </w:t>
      </w:r>
      <w:r w:rsidRPr="00437F2B">
        <w:rPr>
          <w:i/>
          <w:iCs/>
        </w:rPr>
        <w:t>mSphere</w:t>
      </w:r>
      <w:r w:rsidRPr="00437F2B">
        <w:t> </w:t>
      </w:r>
      <w:r w:rsidRPr="00437F2B">
        <w:rPr>
          <w:b/>
          <w:bCs/>
        </w:rPr>
        <w:t>2020</w:t>
      </w:r>
      <w:r w:rsidRPr="00437F2B">
        <w:t>, </w:t>
      </w:r>
      <w:r w:rsidRPr="00437F2B">
        <w:rPr>
          <w:i/>
          <w:iCs/>
        </w:rPr>
        <w:t>5</w:t>
      </w:r>
      <w:r w:rsidRPr="00437F2B">
        <w:t xml:space="preserve">, e00891-19. </w:t>
      </w:r>
    </w:p>
    <w:p w14:paraId="1D1F378F" w14:textId="34BD2F2F" w:rsidR="00437F2B" w:rsidRPr="00437F2B" w:rsidRDefault="00437F2B" w:rsidP="00C90A22">
      <w:pPr>
        <w:numPr>
          <w:ilvl w:val="0"/>
          <w:numId w:val="1"/>
        </w:numPr>
        <w:spacing w:after="0"/>
      </w:pPr>
      <w:r w:rsidRPr="00437F2B">
        <w:t>Stoesser, N.; Sheppard, A.E.; Peirano, G.; Anson, L.W.; Pankhurst, L.; Sebra, R.; Phan, H.T.T.; Kasarskis, A.; Mathers, A.J.; Peto, T.E.A.; et al. Genomic epidemiology of global Klebsiella pneumoniae carbapenemase (KPC)-producing </w:t>
      </w:r>
      <w:r w:rsidRPr="00437F2B">
        <w:rPr>
          <w:i/>
          <w:iCs/>
        </w:rPr>
        <w:t>Escherichia coli</w:t>
      </w:r>
      <w:r w:rsidRPr="00437F2B">
        <w:t>. </w:t>
      </w:r>
      <w:r w:rsidRPr="00437F2B">
        <w:rPr>
          <w:i/>
          <w:iCs/>
        </w:rPr>
        <w:t>Sci. Rep.</w:t>
      </w:r>
      <w:r w:rsidRPr="00437F2B">
        <w:t> </w:t>
      </w:r>
      <w:r w:rsidRPr="00437F2B">
        <w:rPr>
          <w:b/>
          <w:bCs/>
        </w:rPr>
        <w:t>2017</w:t>
      </w:r>
      <w:r w:rsidRPr="00437F2B">
        <w:t>, </w:t>
      </w:r>
      <w:r w:rsidRPr="00437F2B">
        <w:rPr>
          <w:i/>
          <w:iCs/>
        </w:rPr>
        <w:t>7</w:t>
      </w:r>
      <w:r w:rsidRPr="00437F2B">
        <w:t xml:space="preserve">, 5917. </w:t>
      </w:r>
    </w:p>
    <w:p w14:paraId="51A32C02" w14:textId="43D8486B" w:rsidR="00437F2B" w:rsidRPr="00437F2B" w:rsidRDefault="00437F2B" w:rsidP="00C90A22">
      <w:pPr>
        <w:numPr>
          <w:ilvl w:val="0"/>
          <w:numId w:val="1"/>
        </w:numPr>
        <w:spacing w:after="0"/>
      </w:pPr>
      <w:r w:rsidRPr="00437F2B">
        <w:t>Garcia-Fernandez, A.; Villa, L.; Bibbolino, G.; Bressan, A.; Trancassini, M.; Pietropaolo, V.; Venditti, M.; Antonelli, G.; Carattoli, A. Novel Insights and Features of the NDM-5-Producing </w:t>
      </w:r>
      <w:r w:rsidRPr="00437F2B">
        <w:rPr>
          <w:i/>
          <w:iCs/>
        </w:rPr>
        <w:t>Escherichia coli</w:t>
      </w:r>
      <w:r w:rsidRPr="00437F2B">
        <w:t> Sequence Type 167 High-Risk Clone. </w:t>
      </w:r>
      <w:r w:rsidRPr="00437F2B">
        <w:rPr>
          <w:i/>
          <w:iCs/>
        </w:rPr>
        <w:t>mSphere</w:t>
      </w:r>
      <w:r w:rsidRPr="00437F2B">
        <w:t> </w:t>
      </w:r>
      <w:r w:rsidRPr="00437F2B">
        <w:rPr>
          <w:b/>
          <w:bCs/>
        </w:rPr>
        <w:t>2020</w:t>
      </w:r>
      <w:r w:rsidRPr="00437F2B">
        <w:t>, </w:t>
      </w:r>
      <w:r w:rsidRPr="00437F2B">
        <w:rPr>
          <w:i/>
          <w:iCs/>
        </w:rPr>
        <w:t>5</w:t>
      </w:r>
      <w:r w:rsidRPr="00437F2B">
        <w:t xml:space="preserve">, e00269-20. </w:t>
      </w:r>
    </w:p>
    <w:p w14:paraId="7BDC385E" w14:textId="6FDB3E9E" w:rsidR="00437F2B" w:rsidRPr="00437F2B" w:rsidRDefault="00437F2B" w:rsidP="00C90A22">
      <w:pPr>
        <w:numPr>
          <w:ilvl w:val="0"/>
          <w:numId w:val="1"/>
        </w:numPr>
        <w:spacing w:after="0"/>
      </w:pPr>
      <w:r w:rsidRPr="00437F2B">
        <w:t>Alav, I.; Sutton, J.M.; Rahman, K.M. Role of bacterial efflux pumps in biofilm formation. </w:t>
      </w:r>
      <w:r w:rsidRPr="00437F2B">
        <w:rPr>
          <w:i/>
          <w:iCs/>
        </w:rPr>
        <w:t>J. Antimicrob. Chemother.</w:t>
      </w:r>
      <w:r w:rsidRPr="00437F2B">
        <w:t> </w:t>
      </w:r>
      <w:r w:rsidRPr="00437F2B">
        <w:rPr>
          <w:b/>
          <w:bCs/>
        </w:rPr>
        <w:t>2018</w:t>
      </w:r>
      <w:r w:rsidRPr="00437F2B">
        <w:t>, </w:t>
      </w:r>
      <w:r w:rsidRPr="00437F2B">
        <w:rPr>
          <w:i/>
          <w:iCs/>
        </w:rPr>
        <w:t>73</w:t>
      </w:r>
      <w:r w:rsidRPr="00437F2B">
        <w:t xml:space="preserve">, 2003–2020. </w:t>
      </w:r>
    </w:p>
    <w:p w14:paraId="4A6B60B7" w14:textId="4D9D642B" w:rsidR="00437F2B" w:rsidRPr="00437F2B" w:rsidRDefault="00437F2B" w:rsidP="00C90A22">
      <w:pPr>
        <w:numPr>
          <w:ilvl w:val="0"/>
          <w:numId w:val="1"/>
        </w:numPr>
        <w:spacing w:after="0"/>
      </w:pPr>
      <w:r w:rsidRPr="00437F2B">
        <w:t>Du, D.; Wang-Kan, X.; Neuberger, A.; van Veen, H.W.; Pos, K.M.; Piddock, L.J.V.; Luisi, B.F. Multidrug efflux pumps: Structure, function and regulation. </w:t>
      </w:r>
      <w:r w:rsidRPr="00437F2B">
        <w:rPr>
          <w:i/>
          <w:iCs/>
        </w:rPr>
        <w:t>Nat. Rev. Microbiol.</w:t>
      </w:r>
      <w:r w:rsidRPr="00437F2B">
        <w:t> </w:t>
      </w:r>
      <w:r w:rsidRPr="00437F2B">
        <w:rPr>
          <w:b/>
          <w:bCs/>
        </w:rPr>
        <w:t>2018</w:t>
      </w:r>
      <w:r w:rsidRPr="00437F2B">
        <w:t>, </w:t>
      </w:r>
      <w:r w:rsidRPr="00437F2B">
        <w:rPr>
          <w:i/>
          <w:iCs/>
        </w:rPr>
        <w:t>16</w:t>
      </w:r>
      <w:r w:rsidRPr="00437F2B">
        <w:t xml:space="preserve">, 523–539. </w:t>
      </w:r>
    </w:p>
    <w:p w14:paraId="146A1BFB" w14:textId="6C62616A" w:rsidR="00437F2B" w:rsidRPr="00437F2B" w:rsidRDefault="00437F2B" w:rsidP="00C90A22">
      <w:pPr>
        <w:numPr>
          <w:ilvl w:val="0"/>
          <w:numId w:val="1"/>
        </w:numPr>
        <w:spacing w:after="0"/>
      </w:pPr>
      <w:r w:rsidRPr="00437F2B">
        <w:t>Yao, Y.; Lazaro-Perona, F.; Falgenhauer, L.; Valverde, A.; Imirzalioglu, C.; Dominguez, L.; Cantón, R.; Mingorance, J.; Chakraborty, T. Insights into a Novel bla(KPC-2)-Encoding IncP-6 Plasmid Reveal Carbapenem-Resistance Circulation in Several Enterobacteriaceae Species from Wastewater and a Hospital Source in Spain. </w:t>
      </w:r>
      <w:r w:rsidRPr="00437F2B">
        <w:rPr>
          <w:i/>
          <w:iCs/>
        </w:rPr>
        <w:t>Front. Microbiol.</w:t>
      </w:r>
      <w:r w:rsidRPr="00437F2B">
        <w:t> </w:t>
      </w:r>
      <w:r w:rsidRPr="00437F2B">
        <w:rPr>
          <w:b/>
          <w:bCs/>
        </w:rPr>
        <w:t>2017</w:t>
      </w:r>
      <w:r w:rsidRPr="00437F2B">
        <w:t>, </w:t>
      </w:r>
      <w:r w:rsidRPr="00437F2B">
        <w:rPr>
          <w:i/>
          <w:iCs/>
        </w:rPr>
        <w:t>8</w:t>
      </w:r>
      <w:r w:rsidRPr="00437F2B">
        <w:t xml:space="preserve">, 1143. </w:t>
      </w:r>
    </w:p>
    <w:p w14:paraId="45C03B4F" w14:textId="79F716B2" w:rsidR="00437F2B" w:rsidRPr="00437F2B" w:rsidRDefault="00437F2B" w:rsidP="00C90A22">
      <w:pPr>
        <w:numPr>
          <w:ilvl w:val="0"/>
          <w:numId w:val="1"/>
        </w:numPr>
        <w:spacing w:after="0"/>
      </w:pPr>
      <w:r w:rsidRPr="00437F2B">
        <w:t>Yeo, C.C.; Tham, J.M.; Kwong, S.M.; Yiin, S.; Poh, C.L. Tn5563, a transposon encoding putative mercuric ion transport proteins located on plasmid pRA2 of Pseudomonas alcaligenes. </w:t>
      </w:r>
      <w:r w:rsidRPr="00437F2B">
        <w:rPr>
          <w:i/>
          <w:iCs/>
        </w:rPr>
        <w:t>FEMS Microbiol. Lett.</w:t>
      </w:r>
      <w:r w:rsidRPr="00437F2B">
        <w:t> </w:t>
      </w:r>
      <w:r w:rsidRPr="00437F2B">
        <w:rPr>
          <w:b/>
          <w:bCs/>
        </w:rPr>
        <w:t>1998</w:t>
      </w:r>
      <w:r w:rsidRPr="00437F2B">
        <w:t>, </w:t>
      </w:r>
      <w:r w:rsidRPr="00437F2B">
        <w:rPr>
          <w:i/>
          <w:iCs/>
        </w:rPr>
        <w:t>165</w:t>
      </w:r>
      <w:r w:rsidRPr="00437F2B">
        <w:t xml:space="preserve">, 253–260. </w:t>
      </w:r>
    </w:p>
    <w:p w14:paraId="7AB01858" w14:textId="762EA67B" w:rsidR="00437F2B" w:rsidRPr="00437F2B" w:rsidRDefault="00437F2B" w:rsidP="00C90A22">
      <w:pPr>
        <w:numPr>
          <w:ilvl w:val="0"/>
          <w:numId w:val="1"/>
        </w:numPr>
        <w:spacing w:after="0"/>
      </w:pPr>
      <w:r w:rsidRPr="00437F2B">
        <w:t>Rozwandowicz, M.; Brouwer, M.S.M.; Fischer, J.; Wagenaar, J.A.; Gonzalez-Zorn, B.; Guerra, B.; Mevius, D.J.; Hordijk, J. Plasmids carrying antimicrobial resistance genes in Enterobacteriaceae. </w:t>
      </w:r>
      <w:r w:rsidRPr="00437F2B">
        <w:rPr>
          <w:i/>
          <w:iCs/>
        </w:rPr>
        <w:t>J. Antimicrob. Chemother.</w:t>
      </w:r>
      <w:r w:rsidRPr="00437F2B">
        <w:t> </w:t>
      </w:r>
      <w:r w:rsidRPr="00437F2B">
        <w:rPr>
          <w:b/>
          <w:bCs/>
        </w:rPr>
        <w:t>2018</w:t>
      </w:r>
      <w:r w:rsidRPr="00437F2B">
        <w:t>, </w:t>
      </w:r>
      <w:r w:rsidRPr="00437F2B">
        <w:rPr>
          <w:i/>
          <w:iCs/>
        </w:rPr>
        <w:t>73</w:t>
      </w:r>
      <w:r w:rsidRPr="00437F2B">
        <w:t xml:space="preserve">, 1121–1137. </w:t>
      </w:r>
    </w:p>
    <w:p w14:paraId="50A2CF38" w14:textId="2B4FBFD5" w:rsidR="00437F2B" w:rsidRPr="00437F2B" w:rsidRDefault="00437F2B" w:rsidP="00C90A22">
      <w:pPr>
        <w:numPr>
          <w:ilvl w:val="0"/>
          <w:numId w:val="1"/>
        </w:numPr>
        <w:spacing w:after="0"/>
      </w:pPr>
      <w:r w:rsidRPr="00437F2B">
        <w:t>Koraimann, G. Spread and Persistence of Virulence and Antibiotic Resistance Genes: A Ride on the F Plasmid Conjugation Module. </w:t>
      </w:r>
      <w:r w:rsidRPr="00437F2B">
        <w:rPr>
          <w:i/>
          <w:iCs/>
        </w:rPr>
        <w:t>EcoSal Plus</w:t>
      </w:r>
      <w:r w:rsidRPr="00437F2B">
        <w:t> </w:t>
      </w:r>
      <w:r w:rsidRPr="00437F2B">
        <w:rPr>
          <w:b/>
          <w:bCs/>
        </w:rPr>
        <w:t>2018</w:t>
      </w:r>
      <w:r w:rsidRPr="00437F2B">
        <w:t>, </w:t>
      </w:r>
      <w:r w:rsidRPr="00437F2B">
        <w:rPr>
          <w:i/>
          <w:iCs/>
        </w:rPr>
        <w:t>8</w:t>
      </w:r>
      <w:r w:rsidRPr="00437F2B">
        <w:t xml:space="preserve">. </w:t>
      </w:r>
    </w:p>
    <w:p w14:paraId="10F47CE0" w14:textId="42488AF7" w:rsidR="00437F2B" w:rsidRPr="00437F2B" w:rsidRDefault="00437F2B" w:rsidP="00C90A22">
      <w:pPr>
        <w:numPr>
          <w:ilvl w:val="0"/>
          <w:numId w:val="1"/>
        </w:numPr>
        <w:spacing w:after="0"/>
      </w:pPr>
      <w:r w:rsidRPr="00437F2B">
        <w:t>Rinkel, M.; Hubert, J.C.; Roux, B.; Lett, M.C. Identification of a new transposon Tn5403 in a Klebsiella pneumoniae strain isolated from a polluted aquatic environment. </w:t>
      </w:r>
      <w:r w:rsidRPr="00437F2B">
        <w:rPr>
          <w:i/>
          <w:iCs/>
        </w:rPr>
        <w:t>Curr. Microbiol.</w:t>
      </w:r>
      <w:r w:rsidRPr="00437F2B">
        <w:t> </w:t>
      </w:r>
      <w:r w:rsidRPr="00437F2B">
        <w:rPr>
          <w:b/>
          <w:bCs/>
        </w:rPr>
        <w:t>1994</w:t>
      </w:r>
      <w:r w:rsidRPr="00437F2B">
        <w:t>, </w:t>
      </w:r>
      <w:r w:rsidRPr="00437F2B">
        <w:rPr>
          <w:i/>
          <w:iCs/>
        </w:rPr>
        <w:t>29</w:t>
      </w:r>
      <w:r w:rsidRPr="00437F2B">
        <w:t xml:space="preserve">, 249–254. </w:t>
      </w:r>
    </w:p>
    <w:p w14:paraId="0E675593" w14:textId="118D8EDC" w:rsidR="00437F2B" w:rsidRPr="00437F2B" w:rsidRDefault="00437F2B" w:rsidP="00C90A22">
      <w:pPr>
        <w:numPr>
          <w:ilvl w:val="0"/>
          <w:numId w:val="1"/>
        </w:numPr>
        <w:spacing w:after="0"/>
      </w:pPr>
      <w:r w:rsidRPr="00437F2B">
        <w:t>Mshana, S.E.; Imirzalioglu, C.; Hossain, H.; Hain, T.; Domann, E.; Chakraborty, T. Conjugative IncFI plasmids carrying CTX-M-15 among </w:t>
      </w:r>
      <w:r w:rsidRPr="00437F2B">
        <w:rPr>
          <w:i/>
          <w:iCs/>
        </w:rPr>
        <w:t>Escherichia coli</w:t>
      </w:r>
      <w:r w:rsidRPr="00437F2B">
        <w:t> ESBL producing isolates at a University hospital in Germany. </w:t>
      </w:r>
      <w:r w:rsidRPr="00437F2B">
        <w:rPr>
          <w:i/>
          <w:iCs/>
        </w:rPr>
        <w:t>BMC Infect. Dis.</w:t>
      </w:r>
      <w:r w:rsidRPr="00437F2B">
        <w:t> </w:t>
      </w:r>
      <w:r w:rsidRPr="00437F2B">
        <w:rPr>
          <w:b/>
          <w:bCs/>
        </w:rPr>
        <w:t>2009</w:t>
      </w:r>
      <w:r w:rsidRPr="00437F2B">
        <w:t>, </w:t>
      </w:r>
      <w:r w:rsidRPr="00437F2B">
        <w:rPr>
          <w:i/>
          <w:iCs/>
        </w:rPr>
        <w:t>9</w:t>
      </w:r>
      <w:r w:rsidRPr="00437F2B">
        <w:t xml:space="preserve">, 97. </w:t>
      </w:r>
    </w:p>
    <w:p w14:paraId="2D4AA4B9" w14:textId="48216DE2" w:rsidR="00437F2B" w:rsidRPr="00437F2B" w:rsidRDefault="00437F2B" w:rsidP="00C90A22">
      <w:pPr>
        <w:numPr>
          <w:ilvl w:val="0"/>
          <w:numId w:val="1"/>
        </w:numPr>
        <w:spacing w:after="0"/>
      </w:pPr>
      <w:r w:rsidRPr="00437F2B">
        <w:t>Harmer, C.J.; Moran, R.A.; Hall, R.M. Movement of IS26-associated antibiotic resistance genes occurs via a translocatable unit that includes a single IS26 and preferentially inserts adjacent to another IS26. </w:t>
      </w:r>
      <w:r w:rsidRPr="00437F2B">
        <w:rPr>
          <w:i/>
          <w:iCs/>
        </w:rPr>
        <w:t>mBio</w:t>
      </w:r>
      <w:r w:rsidRPr="00437F2B">
        <w:t> </w:t>
      </w:r>
      <w:r w:rsidRPr="00437F2B">
        <w:rPr>
          <w:b/>
          <w:bCs/>
        </w:rPr>
        <w:t>2014</w:t>
      </w:r>
      <w:r w:rsidRPr="00437F2B">
        <w:t>, </w:t>
      </w:r>
      <w:r w:rsidRPr="00437F2B">
        <w:rPr>
          <w:i/>
          <w:iCs/>
        </w:rPr>
        <w:t>5</w:t>
      </w:r>
      <w:r w:rsidRPr="00437F2B">
        <w:t xml:space="preserve">, e01801–e01814. </w:t>
      </w:r>
    </w:p>
    <w:p w14:paraId="239E0927" w14:textId="0E8412CD" w:rsidR="00437F2B" w:rsidRPr="00437F2B" w:rsidRDefault="00437F2B" w:rsidP="00C90A22">
      <w:pPr>
        <w:numPr>
          <w:ilvl w:val="0"/>
          <w:numId w:val="1"/>
        </w:numPr>
        <w:spacing w:after="0"/>
      </w:pPr>
      <w:r w:rsidRPr="00437F2B">
        <w:t>Varani, A.; He, S.; Siguier, P.; Ross, K.; Chandler, M. The IS6 family, a clinically important group of insertion sequences including IS26. </w:t>
      </w:r>
      <w:r w:rsidRPr="00437F2B">
        <w:rPr>
          <w:i/>
          <w:iCs/>
        </w:rPr>
        <w:t>Mob. DNA-Uk</w:t>
      </w:r>
      <w:r w:rsidRPr="00437F2B">
        <w:t> </w:t>
      </w:r>
      <w:r w:rsidRPr="00437F2B">
        <w:rPr>
          <w:b/>
          <w:bCs/>
        </w:rPr>
        <w:t>2021</w:t>
      </w:r>
      <w:r w:rsidRPr="00437F2B">
        <w:t>, </w:t>
      </w:r>
      <w:r w:rsidRPr="00437F2B">
        <w:rPr>
          <w:i/>
          <w:iCs/>
        </w:rPr>
        <w:t>12</w:t>
      </w:r>
      <w:r w:rsidRPr="00437F2B">
        <w:t xml:space="preserve">, 11. </w:t>
      </w:r>
    </w:p>
    <w:p w14:paraId="00D1DCA3" w14:textId="4A9A0F10" w:rsidR="00437F2B" w:rsidRPr="00437F2B" w:rsidRDefault="00437F2B" w:rsidP="00C90A22">
      <w:pPr>
        <w:numPr>
          <w:ilvl w:val="0"/>
          <w:numId w:val="1"/>
        </w:numPr>
        <w:spacing w:after="0"/>
      </w:pPr>
      <w:r w:rsidRPr="00437F2B">
        <w:t>Russo, T.A.; Olson, R.; MacDonald, U.; Metzger, D.; Maltese, L.M.; Drake, E.J.; Gulick, A.M.; Camilli, A. Aerobactin Mediates Virulence and Accounts for Increased Siderophore Production under Iron-Limiting Conditions by Hypervirulent (Hypermucoviscous) Klebsiella pneumoniae. </w:t>
      </w:r>
      <w:r w:rsidRPr="00437F2B">
        <w:rPr>
          <w:i/>
          <w:iCs/>
        </w:rPr>
        <w:t>Infect. Immun.</w:t>
      </w:r>
      <w:r w:rsidRPr="00437F2B">
        <w:t> </w:t>
      </w:r>
      <w:r w:rsidRPr="00437F2B">
        <w:rPr>
          <w:b/>
          <w:bCs/>
        </w:rPr>
        <w:t>2014</w:t>
      </w:r>
      <w:r w:rsidRPr="00437F2B">
        <w:t>, </w:t>
      </w:r>
      <w:r w:rsidRPr="00437F2B">
        <w:rPr>
          <w:i/>
          <w:iCs/>
        </w:rPr>
        <w:t>82</w:t>
      </w:r>
      <w:r w:rsidRPr="00437F2B">
        <w:t xml:space="preserve">, 2356–2367. </w:t>
      </w:r>
    </w:p>
    <w:p w14:paraId="0E0A06ED" w14:textId="1B053FD7" w:rsidR="00437F2B" w:rsidRPr="00437F2B" w:rsidRDefault="00437F2B" w:rsidP="00C90A22">
      <w:pPr>
        <w:numPr>
          <w:ilvl w:val="0"/>
          <w:numId w:val="1"/>
        </w:numPr>
        <w:spacing w:after="0"/>
      </w:pPr>
      <w:r w:rsidRPr="00437F2B">
        <w:t>Soto, S.M.; Smithson, A.; Horcajada, J.P.; Martinez, J.A.; Mensa, J.P.; Vila, J. Implication of biofilm formation in the persistence of urinary tract infection caused by uropathogenic </w:t>
      </w:r>
      <w:r w:rsidRPr="00437F2B">
        <w:rPr>
          <w:i/>
          <w:iCs/>
        </w:rPr>
        <w:t>Escherichia coli</w:t>
      </w:r>
      <w:r w:rsidRPr="00437F2B">
        <w:t>. </w:t>
      </w:r>
      <w:r w:rsidRPr="00437F2B">
        <w:rPr>
          <w:i/>
          <w:iCs/>
        </w:rPr>
        <w:t>Clin. Microbiol. Infect.</w:t>
      </w:r>
      <w:r w:rsidRPr="00437F2B">
        <w:t> </w:t>
      </w:r>
      <w:r w:rsidRPr="00437F2B">
        <w:rPr>
          <w:b/>
          <w:bCs/>
        </w:rPr>
        <w:t>2006</w:t>
      </w:r>
      <w:r w:rsidRPr="00437F2B">
        <w:t>, </w:t>
      </w:r>
      <w:r w:rsidRPr="00437F2B">
        <w:rPr>
          <w:i/>
          <w:iCs/>
        </w:rPr>
        <w:t>12</w:t>
      </w:r>
      <w:r w:rsidRPr="00437F2B">
        <w:t xml:space="preserve">, 1034–1036. </w:t>
      </w:r>
    </w:p>
    <w:p w14:paraId="31B85DEF" w14:textId="7A104A58" w:rsidR="00437F2B" w:rsidRPr="00437F2B" w:rsidRDefault="00437F2B" w:rsidP="00C90A22">
      <w:pPr>
        <w:numPr>
          <w:ilvl w:val="0"/>
          <w:numId w:val="1"/>
        </w:numPr>
        <w:spacing w:after="0"/>
      </w:pPr>
      <w:r w:rsidRPr="00437F2B">
        <w:t>Li, C.; Pan, D.; Li, M.; Wang, Y.; Song, L.; Yu, D.; Zuo, Y.; Wang, K.; Liu, Y.; Wei, Z.; et al. Aerobactin-Mediated Iron Acquisition Enhances Biofilm Formation, Oxidative Stress Resistance, and Virulence of Yersinia pseudotuberculosis. </w:t>
      </w:r>
      <w:r w:rsidRPr="00437F2B">
        <w:rPr>
          <w:i/>
          <w:iCs/>
        </w:rPr>
        <w:t>Front. Microbiol.</w:t>
      </w:r>
      <w:r w:rsidRPr="00437F2B">
        <w:t> </w:t>
      </w:r>
      <w:r w:rsidRPr="00437F2B">
        <w:rPr>
          <w:b/>
          <w:bCs/>
        </w:rPr>
        <w:t>2021</w:t>
      </w:r>
      <w:r w:rsidRPr="00437F2B">
        <w:t>, </w:t>
      </w:r>
      <w:r w:rsidRPr="00437F2B">
        <w:rPr>
          <w:i/>
          <w:iCs/>
        </w:rPr>
        <w:t>12</w:t>
      </w:r>
      <w:r w:rsidRPr="00437F2B">
        <w:t xml:space="preserve">. </w:t>
      </w:r>
    </w:p>
    <w:p w14:paraId="08F862C5" w14:textId="0B19D82F" w:rsidR="00437F2B" w:rsidRPr="00437F2B" w:rsidRDefault="00437F2B" w:rsidP="00C90A22">
      <w:pPr>
        <w:numPr>
          <w:ilvl w:val="0"/>
          <w:numId w:val="1"/>
        </w:numPr>
        <w:spacing w:after="0"/>
      </w:pPr>
      <w:r w:rsidRPr="00437F2B">
        <w:t>Cosentino, S.; Voldby Larsen, M.; Møller Aarestrup, F.; Lund, O. PathogenFinder—Distinguishing Friend from Foe Using Bacterial Whole Genome Sequence Data. </w:t>
      </w:r>
      <w:r w:rsidRPr="00437F2B">
        <w:rPr>
          <w:i/>
          <w:iCs/>
        </w:rPr>
        <w:t>PLoS ONE</w:t>
      </w:r>
      <w:r w:rsidRPr="00437F2B">
        <w:t> </w:t>
      </w:r>
      <w:r w:rsidRPr="00437F2B">
        <w:rPr>
          <w:b/>
          <w:bCs/>
        </w:rPr>
        <w:t>2013</w:t>
      </w:r>
      <w:r w:rsidRPr="00437F2B">
        <w:t>, </w:t>
      </w:r>
      <w:r w:rsidRPr="00437F2B">
        <w:rPr>
          <w:i/>
          <w:iCs/>
        </w:rPr>
        <w:t>8</w:t>
      </w:r>
      <w:r w:rsidRPr="00437F2B">
        <w:t xml:space="preserve">, e77302. </w:t>
      </w:r>
    </w:p>
    <w:p w14:paraId="3BF1DF98" w14:textId="7E269AC1" w:rsidR="00437F2B" w:rsidRPr="00437F2B" w:rsidRDefault="00437F2B" w:rsidP="00C90A22">
      <w:pPr>
        <w:numPr>
          <w:ilvl w:val="0"/>
          <w:numId w:val="1"/>
        </w:numPr>
        <w:spacing w:after="0"/>
      </w:pPr>
      <w:r w:rsidRPr="00437F2B">
        <w:t>Tarchouna, M.; Ferjani, A.; Ben-Selma, W.; Boukadida, J. Distribution of uropathogenic virulence genes in </w:t>
      </w:r>
      <w:r w:rsidRPr="00437F2B">
        <w:rPr>
          <w:i/>
          <w:iCs/>
        </w:rPr>
        <w:t>Escherichia coli</w:t>
      </w:r>
      <w:r w:rsidRPr="00437F2B">
        <w:t> isolated from patients with urinary tract infection. </w:t>
      </w:r>
      <w:r w:rsidRPr="00437F2B">
        <w:rPr>
          <w:i/>
          <w:iCs/>
        </w:rPr>
        <w:t>Int. J. Infect. Dis.</w:t>
      </w:r>
      <w:r w:rsidRPr="00437F2B">
        <w:t> </w:t>
      </w:r>
      <w:r w:rsidRPr="00437F2B">
        <w:rPr>
          <w:b/>
          <w:bCs/>
        </w:rPr>
        <w:t>2013</w:t>
      </w:r>
      <w:r w:rsidRPr="00437F2B">
        <w:t>, </w:t>
      </w:r>
      <w:r w:rsidRPr="00437F2B">
        <w:rPr>
          <w:i/>
          <w:iCs/>
        </w:rPr>
        <w:t>17</w:t>
      </w:r>
      <w:r w:rsidRPr="00437F2B">
        <w:t xml:space="preserve">, e450–e453. </w:t>
      </w:r>
    </w:p>
    <w:p w14:paraId="491B9901" w14:textId="79189C51" w:rsidR="00437F2B" w:rsidRPr="00437F2B" w:rsidRDefault="00437F2B" w:rsidP="00C90A22">
      <w:pPr>
        <w:numPr>
          <w:ilvl w:val="0"/>
          <w:numId w:val="1"/>
        </w:numPr>
        <w:spacing w:after="0"/>
      </w:pPr>
      <w:r w:rsidRPr="00437F2B">
        <w:t>Sarowska, J.; Futoma-Koloch, B.; Jama-Kmiecik, A.; Frej-Madrzak, M.; Ksiazczyk, M.; Bugla-PLoSkonska, G.; Choroszy-Krol, I. Virulence factors, prevalence and potential transmission of extraintestinal pathogenic </w:t>
      </w:r>
      <w:r w:rsidRPr="00437F2B">
        <w:rPr>
          <w:i/>
          <w:iCs/>
        </w:rPr>
        <w:t>Escherichia coli</w:t>
      </w:r>
      <w:r w:rsidRPr="00437F2B">
        <w:t> isolated from different sources: Recent reports. </w:t>
      </w:r>
      <w:r w:rsidRPr="00437F2B">
        <w:rPr>
          <w:i/>
          <w:iCs/>
        </w:rPr>
        <w:t>Gut. Pathog.</w:t>
      </w:r>
      <w:r w:rsidRPr="00437F2B">
        <w:t> </w:t>
      </w:r>
      <w:r w:rsidRPr="00437F2B">
        <w:rPr>
          <w:b/>
          <w:bCs/>
        </w:rPr>
        <w:t>2019</w:t>
      </w:r>
      <w:r w:rsidRPr="00437F2B">
        <w:t>, </w:t>
      </w:r>
      <w:r w:rsidRPr="00437F2B">
        <w:rPr>
          <w:i/>
          <w:iCs/>
        </w:rPr>
        <w:t>11</w:t>
      </w:r>
      <w:r w:rsidRPr="00437F2B">
        <w:t xml:space="preserve">, 10. </w:t>
      </w:r>
    </w:p>
    <w:p w14:paraId="42C9A829" w14:textId="16216FC7" w:rsidR="00437F2B" w:rsidRPr="00437F2B" w:rsidRDefault="00437F2B" w:rsidP="00C90A22">
      <w:pPr>
        <w:numPr>
          <w:ilvl w:val="0"/>
          <w:numId w:val="1"/>
        </w:numPr>
        <w:spacing w:after="0"/>
      </w:pPr>
      <w:r w:rsidRPr="00437F2B">
        <w:t>Johnson, J.R.; Kuskowski, M.A.; Gajewski, A.; Sahm, D.F.; Karlowsky, J.A. Virulence characteristics and phylogenetic background of multidrug-resistant and antimicrobial-susceptible clinical isolates of </w:t>
      </w:r>
      <w:r w:rsidRPr="00437F2B">
        <w:rPr>
          <w:i/>
          <w:iCs/>
        </w:rPr>
        <w:t>Escherichia coli</w:t>
      </w:r>
      <w:r w:rsidRPr="00437F2B">
        <w:t> from across the United States, 2000–2001. </w:t>
      </w:r>
      <w:r w:rsidRPr="00437F2B">
        <w:rPr>
          <w:i/>
          <w:iCs/>
        </w:rPr>
        <w:t>J. Infect. Dis.</w:t>
      </w:r>
      <w:r w:rsidRPr="00437F2B">
        <w:t> </w:t>
      </w:r>
      <w:r w:rsidRPr="00437F2B">
        <w:rPr>
          <w:b/>
          <w:bCs/>
        </w:rPr>
        <w:t>2004</w:t>
      </w:r>
      <w:r w:rsidRPr="00437F2B">
        <w:t>, </w:t>
      </w:r>
      <w:r w:rsidRPr="00437F2B">
        <w:rPr>
          <w:i/>
          <w:iCs/>
        </w:rPr>
        <w:t>190</w:t>
      </w:r>
      <w:r w:rsidRPr="00437F2B">
        <w:t xml:space="preserve">, 1739–1744. </w:t>
      </w:r>
    </w:p>
    <w:p w14:paraId="4D44FCD8" w14:textId="2DE24395" w:rsidR="00437F2B" w:rsidRPr="00437F2B" w:rsidRDefault="00437F2B" w:rsidP="00C90A22">
      <w:pPr>
        <w:numPr>
          <w:ilvl w:val="0"/>
          <w:numId w:val="1"/>
        </w:numPr>
        <w:spacing w:after="0"/>
      </w:pPr>
      <w:r w:rsidRPr="00437F2B">
        <w:t>Johnson, J.R.; Moseley, S.L.; Roberts, P.L.; Stamm, W.E. Aerobactin and other virulence factor genes among strains of </w:t>
      </w:r>
      <w:r w:rsidRPr="00437F2B">
        <w:rPr>
          <w:i/>
          <w:iCs/>
        </w:rPr>
        <w:t>Escherichia coli</w:t>
      </w:r>
      <w:r w:rsidRPr="00437F2B">
        <w:t> causing urosepsis: Association with patient characteristics. </w:t>
      </w:r>
      <w:r w:rsidRPr="00437F2B">
        <w:rPr>
          <w:i/>
          <w:iCs/>
        </w:rPr>
        <w:t>Infect. Immun.</w:t>
      </w:r>
      <w:r w:rsidRPr="00437F2B">
        <w:t> </w:t>
      </w:r>
      <w:r w:rsidRPr="00437F2B">
        <w:rPr>
          <w:b/>
          <w:bCs/>
        </w:rPr>
        <w:t>1988</w:t>
      </w:r>
      <w:r w:rsidRPr="00437F2B">
        <w:t>, </w:t>
      </w:r>
      <w:r w:rsidRPr="00437F2B">
        <w:rPr>
          <w:i/>
          <w:iCs/>
        </w:rPr>
        <w:t>56</w:t>
      </w:r>
      <w:r w:rsidRPr="00437F2B">
        <w:t xml:space="preserve">, 405–412. </w:t>
      </w:r>
    </w:p>
    <w:p w14:paraId="6AA4BD0A" w14:textId="64F1AB9C" w:rsidR="00437F2B" w:rsidRPr="00437F2B" w:rsidRDefault="00437F2B" w:rsidP="00C90A22">
      <w:pPr>
        <w:numPr>
          <w:ilvl w:val="0"/>
          <w:numId w:val="1"/>
        </w:numPr>
        <w:spacing w:after="0"/>
      </w:pPr>
      <w:r w:rsidRPr="00437F2B">
        <w:t>Calhau, V.; Mendes, C.; Pena, A.; Mendonca, N.; Da Silva, G.J. Virulence and plasmidic resistance determinants of </w:t>
      </w:r>
      <w:r w:rsidRPr="00437F2B">
        <w:rPr>
          <w:i/>
          <w:iCs/>
        </w:rPr>
        <w:t>Escherichia coli</w:t>
      </w:r>
      <w:r w:rsidRPr="00437F2B">
        <w:t> isolated from municipal and hospital wastewater treatment plants. </w:t>
      </w:r>
      <w:r w:rsidRPr="00437F2B">
        <w:rPr>
          <w:i/>
          <w:iCs/>
        </w:rPr>
        <w:t>J. Water Health</w:t>
      </w:r>
      <w:r w:rsidRPr="00437F2B">
        <w:t> </w:t>
      </w:r>
      <w:r w:rsidRPr="00437F2B">
        <w:rPr>
          <w:b/>
          <w:bCs/>
        </w:rPr>
        <w:t>2015</w:t>
      </w:r>
      <w:r w:rsidRPr="00437F2B">
        <w:t>, </w:t>
      </w:r>
      <w:r w:rsidRPr="00437F2B">
        <w:rPr>
          <w:i/>
          <w:iCs/>
        </w:rPr>
        <w:t>13</w:t>
      </w:r>
      <w:r w:rsidRPr="00437F2B">
        <w:t xml:space="preserve">, 311–318. </w:t>
      </w:r>
    </w:p>
    <w:p w14:paraId="4CF508EA" w14:textId="02CA3DD0" w:rsidR="00437F2B" w:rsidRPr="00437F2B" w:rsidRDefault="00437F2B" w:rsidP="00C90A22">
      <w:pPr>
        <w:numPr>
          <w:ilvl w:val="0"/>
          <w:numId w:val="1"/>
        </w:numPr>
        <w:spacing w:after="0"/>
      </w:pPr>
      <w:r w:rsidRPr="00437F2B">
        <w:t>Picard, B.; Garcia, J.S.; Gouriou, S.; Duriez, P.; Brahimi, N.; Bingen, E.; Elion, J.; Denamur, E. The link between phylogeny and virulence in </w:t>
      </w:r>
      <w:r w:rsidRPr="00437F2B">
        <w:rPr>
          <w:i/>
          <w:iCs/>
        </w:rPr>
        <w:t>Escherichia coli</w:t>
      </w:r>
      <w:r w:rsidRPr="00437F2B">
        <w:t> extraintestinal infection. </w:t>
      </w:r>
      <w:r w:rsidRPr="00437F2B">
        <w:rPr>
          <w:i/>
          <w:iCs/>
        </w:rPr>
        <w:t>Infect. Immun.</w:t>
      </w:r>
      <w:r w:rsidRPr="00437F2B">
        <w:t> </w:t>
      </w:r>
      <w:r w:rsidRPr="00437F2B">
        <w:rPr>
          <w:b/>
          <w:bCs/>
        </w:rPr>
        <w:t>1999</w:t>
      </w:r>
      <w:r w:rsidRPr="00437F2B">
        <w:t>, </w:t>
      </w:r>
      <w:r w:rsidRPr="00437F2B">
        <w:rPr>
          <w:i/>
          <w:iCs/>
        </w:rPr>
        <w:t>67</w:t>
      </w:r>
      <w:r w:rsidRPr="00437F2B">
        <w:t xml:space="preserve">, 546–553. </w:t>
      </w:r>
    </w:p>
    <w:p w14:paraId="6F63E281" w14:textId="7646B884" w:rsidR="00437F2B" w:rsidRPr="00437F2B" w:rsidRDefault="00437F2B" w:rsidP="00C90A22">
      <w:pPr>
        <w:numPr>
          <w:ilvl w:val="0"/>
          <w:numId w:val="1"/>
        </w:numPr>
        <w:spacing w:after="0"/>
      </w:pPr>
      <w:r w:rsidRPr="00437F2B">
        <w:t>Qin, X.; Hu, F.; Wu, S.; Ye, X.; Zhu, D.; Zhang, Y.; Wang, M. Comparison of adhesin genes and antimicrobial susceptibilities between uropathogenic and intestinal commensal </w:t>
      </w:r>
      <w:r w:rsidRPr="00437F2B">
        <w:rPr>
          <w:i/>
          <w:iCs/>
        </w:rPr>
        <w:t>Escherichia coli</w:t>
      </w:r>
      <w:r w:rsidRPr="00437F2B">
        <w:t> strains. </w:t>
      </w:r>
      <w:r w:rsidRPr="00437F2B">
        <w:rPr>
          <w:i/>
          <w:iCs/>
        </w:rPr>
        <w:t>PLoS ONE</w:t>
      </w:r>
      <w:r w:rsidRPr="00437F2B">
        <w:t> </w:t>
      </w:r>
      <w:r w:rsidRPr="00437F2B">
        <w:rPr>
          <w:b/>
          <w:bCs/>
        </w:rPr>
        <w:t>2013</w:t>
      </w:r>
      <w:r w:rsidRPr="00437F2B">
        <w:t>, </w:t>
      </w:r>
      <w:r w:rsidRPr="00437F2B">
        <w:rPr>
          <w:i/>
          <w:iCs/>
        </w:rPr>
        <w:t>8</w:t>
      </w:r>
      <w:r w:rsidRPr="00437F2B">
        <w:t xml:space="preserve">, e61169. </w:t>
      </w:r>
    </w:p>
    <w:p w14:paraId="65F56579" w14:textId="010026BA" w:rsidR="00437F2B" w:rsidRPr="00437F2B" w:rsidRDefault="00437F2B" w:rsidP="00C90A22">
      <w:pPr>
        <w:numPr>
          <w:ilvl w:val="0"/>
          <w:numId w:val="1"/>
        </w:numPr>
        <w:spacing w:after="0"/>
      </w:pPr>
      <w:r w:rsidRPr="00437F2B">
        <w:t>Zhi, S.; Stothard, P.; Banting, G.; Scott, C.; Huntley, K.; Ryu, K.; Otto, S.; Ashbolt, N.; Checkley, S.; Dong, T.; et al. Characterization of water treatment-resistant and multidrug-resistant urinary pathogenic </w:t>
      </w:r>
      <w:r w:rsidRPr="00437F2B">
        <w:rPr>
          <w:i/>
          <w:iCs/>
        </w:rPr>
        <w:t>Escherichia coli</w:t>
      </w:r>
      <w:r w:rsidRPr="00437F2B">
        <w:t> in treated wastewater. </w:t>
      </w:r>
      <w:r w:rsidRPr="00437F2B">
        <w:rPr>
          <w:i/>
          <w:iCs/>
        </w:rPr>
        <w:t>Water Res.</w:t>
      </w:r>
      <w:r w:rsidRPr="00437F2B">
        <w:t> </w:t>
      </w:r>
      <w:r w:rsidRPr="00437F2B">
        <w:rPr>
          <w:b/>
          <w:bCs/>
        </w:rPr>
        <w:t>2020</w:t>
      </w:r>
      <w:r w:rsidRPr="00437F2B">
        <w:t>, </w:t>
      </w:r>
      <w:r w:rsidRPr="00437F2B">
        <w:rPr>
          <w:i/>
          <w:iCs/>
        </w:rPr>
        <w:t>182</w:t>
      </w:r>
      <w:r w:rsidRPr="00437F2B">
        <w:t xml:space="preserve">, 115827. </w:t>
      </w:r>
    </w:p>
    <w:p w14:paraId="1242C17B" w14:textId="77ECE6E5" w:rsidR="00437F2B" w:rsidRPr="00437F2B" w:rsidRDefault="00437F2B" w:rsidP="00C90A22">
      <w:pPr>
        <w:numPr>
          <w:ilvl w:val="0"/>
          <w:numId w:val="1"/>
        </w:numPr>
        <w:spacing w:after="0"/>
      </w:pPr>
      <w:r w:rsidRPr="00437F2B">
        <w:t>CLSI. </w:t>
      </w:r>
      <w:r w:rsidRPr="00437F2B">
        <w:rPr>
          <w:i/>
          <w:iCs/>
        </w:rPr>
        <w:t>Methods for Dilution Antimicrobial Susceptibility Tests for Bacteria that Grow Aerobically, Approved Standard, CLSI Document M07-A10</w:t>
      </w:r>
      <w:r w:rsidRPr="00437F2B">
        <w:t xml:space="preserve">, 10th ed.; Clinical and Laboratory Standards Institute: Wayne, PA, USA, 2015. </w:t>
      </w:r>
    </w:p>
    <w:p w14:paraId="26053C17" w14:textId="1984B8A1" w:rsidR="00437F2B" w:rsidRPr="00437F2B" w:rsidRDefault="00437F2B" w:rsidP="00C90A22">
      <w:pPr>
        <w:numPr>
          <w:ilvl w:val="0"/>
          <w:numId w:val="1"/>
        </w:numPr>
        <w:spacing w:after="0"/>
      </w:pPr>
      <w:r w:rsidRPr="00437F2B">
        <w:t>CLSI. </w:t>
      </w:r>
      <w:r w:rsidRPr="00437F2B">
        <w:rPr>
          <w:i/>
          <w:iCs/>
        </w:rPr>
        <w:t>Performance Standards for Antimicrobial Susceptibility Testing, Twenty-Fifth Informational Supplement, CLSI Document M100-S25</w:t>
      </w:r>
      <w:r w:rsidRPr="00437F2B">
        <w:t xml:space="preserve">; Clinical and Laboratory Standards Insititute: Wayne, PA, USA, 2015. </w:t>
      </w:r>
    </w:p>
    <w:p w14:paraId="31DEFEDF" w14:textId="7C10112C" w:rsidR="00437F2B" w:rsidRPr="00437F2B" w:rsidRDefault="00437F2B" w:rsidP="00C90A22">
      <w:pPr>
        <w:numPr>
          <w:ilvl w:val="0"/>
          <w:numId w:val="1"/>
        </w:numPr>
        <w:spacing w:after="0"/>
      </w:pPr>
      <w:r w:rsidRPr="00437F2B">
        <w:t>Chen, I.M.A.; Chu, K.; Palaniappan, K.; Ratner, A.; Huang, J.; Huntemann, M.; Hajek, P.; Ritter, S.; Varghese, N.; Seshadri, R.; et al. The IMG/M data management and analysis system v.6.0: New tools and advanced capabilities. </w:t>
      </w:r>
      <w:r w:rsidRPr="00437F2B">
        <w:rPr>
          <w:i/>
          <w:iCs/>
        </w:rPr>
        <w:t>Nucleic Acids Res.</w:t>
      </w:r>
      <w:r w:rsidRPr="00437F2B">
        <w:t> </w:t>
      </w:r>
      <w:r w:rsidRPr="00437F2B">
        <w:rPr>
          <w:b/>
          <w:bCs/>
        </w:rPr>
        <w:t>2021</w:t>
      </w:r>
      <w:r w:rsidRPr="00437F2B">
        <w:t>, </w:t>
      </w:r>
      <w:r w:rsidRPr="00437F2B">
        <w:rPr>
          <w:i/>
          <w:iCs/>
        </w:rPr>
        <w:t>49</w:t>
      </w:r>
      <w:r w:rsidRPr="00437F2B">
        <w:t xml:space="preserve">, D751–D763. </w:t>
      </w:r>
    </w:p>
    <w:p w14:paraId="52E4738C" w14:textId="2D5BC109" w:rsidR="00437F2B" w:rsidRPr="00437F2B" w:rsidRDefault="00437F2B" w:rsidP="00C90A22">
      <w:pPr>
        <w:numPr>
          <w:ilvl w:val="0"/>
          <w:numId w:val="1"/>
        </w:numPr>
        <w:spacing w:after="0"/>
      </w:pPr>
      <w:r w:rsidRPr="00437F2B">
        <w:t>Mukherjee, S.; Stamatis, D.; Bertsch, J.; Ovchinnikova, G.; Sundaramurthi, J.C.; Lee, J.; Kandimalla, M.; Chen, I.M.A.; Kyrpides, N.C.; Reddy, T.B.K. Genomes OnLine Database (GOLD) v.8: Overview and updates. </w:t>
      </w:r>
      <w:r w:rsidRPr="00437F2B">
        <w:rPr>
          <w:i/>
          <w:iCs/>
        </w:rPr>
        <w:t>Nucleic Acids Res.</w:t>
      </w:r>
      <w:r w:rsidRPr="00437F2B">
        <w:t> </w:t>
      </w:r>
      <w:r w:rsidRPr="00437F2B">
        <w:rPr>
          <w:b/>
          <w:bCs/>
        </w:rPr>
        <w:t>2021</w:t>
      </w:r>
      <w:r w:rsidRPr="00437F2B">
        <w:t>, </w:t>
      </w:r>
      <w:r w:rsidRPr="00437F2B">
        <w:rPr>
          <w:i/>
          <w:iCs/>
        </w:rPr>
        <w:t>49</w:t>
      </w:r>
      <w:r w:rsidRPr="00437F2B">
        <w:t xml:space="preserve">, D723–D733. </w:t>
      </w:r>
    </w:p>
    <w:p w14:paraId="2131A717" w14:textId="3055D524" w:rsidR="00437F2B" w:rsidRPr="00437F2B" w:rsidRDefault="00437F2B" w:rsidP="00C90A22">
      <w:pPr>
        <w:numPr>
          <w:ilvl w:val="0"/>
          <w:numId w:val="1"/>
        </w:numPr>
        <w:spacing w:after="0"/>
      </w:pPr>
      <w:r w:rsidRPr="00437F2B">
        <w:t>Wattam, A.R.; Davis, J.J.; Assaf, R.; Boisvert, S.; Brettin, T.; Bun, C.; Conrad, N.; Dietrich, E.M.; Disz, T.; Gabbard, J.L.; et al. Improvements to PATRIC, the all-bacterial Bioinformatics Database and Analysis Resource Center. </w:t>
      </w:r>
      <w:r w:rsidRPr="00437F2B">
        <w:rPr>
          <w:i/>
          <w:iCs/>
        </w:rPr>
        <w:t>Nucleic Acids Res.</w:t>
      </w:r>
      <w:r w:rsidRPr="00437F2B">
        <w:t> </w:t>
      </w:r>
      <w:r w:rsidRPr="00437F2B">
        <w:rPr>
          <w:b/>
          <w:bCs/>
        </w:rPr>
        <w:t>2017</w:t>
      </w:r>
      <w:r w:rsidRPr="00437F2B">
        <w:t>, </w:t>
      </w:r>
      <w:r w:rsidRPr="00437F2B">
        <w:rPr>
          <w:i/>
          <w:iCs/>
        </w:rPr>
        <w:t>45</w:t>
      </w:r>
      <w:r w:rsidRPr="00437F2B">
        <w:t xml:space="preserve">, D535–D542. </w:t>
      </w:r>
    </w:p>
    <w:p w14:paraId="08E3E00C" w14:textId="4C759721" w:rsidR="00437F2B" w:rsidRPr="00437F2B" w:rsidRDefault="00437F2B" w:rsidP="00C90A22">
      <w:pPr>
        <w:numPr>
          <w:ilvl w:val="0"/>
          <w:numId w:val="1"/>
        </w:numPr>
        <w:spacing w:after="0"/>
      </w:pPr>
      <w:r w:rsidRPr="00437F2B">
        <w:t>Bortolaia, V.; Kaas, R.S.; Ruppe, E.; Roberts, M.C.; Schwarz, S.; Cattoir, V.; Philippon, A.; Allesoe, R.L.; Rebelo, A.R.; Florensa, A.F.; et al. ResFinder 4.0 for predictions of phenotypes from genotypes. </w:t>
      </w:r>
      <w:r w:rsidRPr="00437F2B">
        <w:rPr>
          <w:i/>
          <w:iCs/>
        </w:rPr>
        <w:t>J. Antimicrob. Chemother.</w:t>
      </w:r>
      <w:r w:rsidRPr="00437F2B">
        <w:t> </w:t>
      </w:r>
      <w:r w:rsidRPr="00437F2B">
        <w:rPr>
          <w:b/>
          <w:bCs/>
        </w:rPr>
        <w:t>2020</w:t>
      </w:r>
      <w:r w:rsidRPr="00437F2B">
        <w:t>, </w:t>
      </w:r>
      <w:r w:rsidRPr="00437F2B">
        <w:rPr>
          <w:i/>
          <w:iCs/>
        </w:rPr>
        <w:t>75</w:t>
      </w:r>
      <w:r w:rsidRPr="00437F2B">
        <w:t xml:space="preserve">, 3491–3500. </w:t>
      </w:r>
    </w:p>
    <w:p w14:paraId="2916D2CD" w14:textId="3A73472B" w:rsidR="00437F2B" w:rsidRPr="00437F2B" w:rsidRDefault="00437F2B" w:rsidP="00C90A22">
      <w:pPr>
        <w:numPr>
          <w:ilvl w:val="0"/>
          <w:numId w:val="1"/>
        </w:numPr>
        <w:spacing w:after="0"/>
      </w:pPr>
      <w:r w:rsidRPr="00437F2B">
        <w:t>McArthur, A.G.; Waglechner, N.; Nizam, F.; Yan, A.; Azad, M.A.; Baylay, A.J.; Bhullar, K.; Canova, M.J.; De Pascale, G.; Ejim, L.; et al. The comprehensive antibiotic resistance database. </w:t>
      </w:r>
      <w:r w:rsidRPr="00437F2B">
        <w:rPr>
          <w:i/>
          <w:iCs/>
        </w:rPr>
        <w:t>Antimicrob. Agents Chemother.</w:t>
      </w:r>
      <w:r w:rsidRPr="00437F2B">
        <w:t> </w:t>
      </w:r>
      <w:r w:rsidRPr="00437F2B">
        <w:rPr>
          <w:b/>
          <w:bCs/>
        </w:rPr>
        <w:t>2013</w:t>
      </w:r>
      <w:r w:rsidRPr="00437F2B">
        <w:t>, </w:t>
      </w:r>
      <w:r w:rsidRPr="00437F2B">
        <w:rPr>
          <w:i/>
          <w:iCs/>
        </w:rPr>
        <w:t>57</w:t>
      </w:r>
      <w:r w:rsidRPr="00437F2B">
        <w:t xml:space="preserve">, 3348–3357. </w:t>
      </w:r>
    </w:p>
    <w:p w14:paraId="6BA1BCEA" w14:textId="7E508D62" w:rsidR="00437F2B" w:rsidRPr="00437F2B" w:rsidRDefault="00437F2B" w:rsidP="00C90A22">
      <w:pPr>
        <w:numPr>
          <w:ilvl w:val="0"/>
          <w:numId w:val="1"/>
        </w:numPr>
        <w:spacing w:after="0"/>
      </w:pPr>
      <w:r w:rsidRPr="00437F2B">
        <w:t>Carattoli, A.; Zankari, E.; García-Fernández, A.; Voldby Larsen, M.; Lund, O.; Villa, L.; Møller Aarestrup, F.; Hasman, H. In silico detection and typing of plasmids using PlasmidFinder and plasmid multilocus sequence typing. </w:t>
      </w:r>
      <w:r w:rsidRPr="00437F2B">
        <w:rPr>
          <w:i/>
          <w:iCs/>
        </w:rPr>
        <w:t>Antimicrob. Agents Chemother.</w:t>
      </w:r>
      <w:r w:rsidRPr="00437F2B">
        <w:t> </w:t>
      </w:r>
      <w:r w:rsidRPr="00437F2B">
        <w:rPr>
          <w:b/>
          <w:bCs/>
        </w:rPr>
        <w:t>2014</w:t>
      </w:r>
      <w:r w:rsidRPr="00437F2B">
        <w:t>, </w:t>
      </w:r>
      <w:r w:rsidRPr="00437F2B">
        <w:rPr>
          <w:i/>
          <w:iCs/>
        </w:rPr>
        <w:t>58</w:t>
      </w:r>
      <w:r w:rsidRPr="00437F2B">
        <w:t xml:space="preserve">, 3895–3903. </w:t>
      </w:r>
    </w:p>
    <w:p w14:paraId="36D950EC" w14:textId="222D6C17" w:rsidR="00437F2B" w:rsidRPr="00437F2B" w:rsidRDefault="00437F2B" w:rsidP="00C90A22">
      <w:pPr>
        <w:numPr>
          <w:ilvl w:val="0"/>
          <w:numId w:val="1"/>
        </w:numPr>
        <w:spacing w:after="0"/>
      </w:pPr>
      <w:r w:rsidRPr="00437F2B">
        <w:t>Siguier, P.; Perochon, J.; Lestrade, L.; Mahillon, J.; Chandler, M. ISfinder: The reference centre for bacterial insertion sequences. </w:t>
      </w:r>
      <w:r w:rsidRPr="00437F2B">
        <w:rPr>
          <w:i/>
          <w:iCs/>
        </w:rPr>
        <w:t>Nucleic Acids Res.</w:t>
      </w:r>
      <w:r w:rsidRPr="00437F2B">
        <w:t> </w:t>
      </w:r>
      <w:r w:rsidRPr="00437F2B">
        <w:rPr>
          <w:b/>
          <w:bCs/>
        </w:rPr>
        <w:t>2006</w:t>
      </w:r>
      <w:r w:rsidRPr="00437F2B">
        <w:t>, </w:t>
      </w:r>
      <w:r w:rsidRPr="00437F2B">
        <w:rPr>
          <w:i/>
          <w:iCs/>
        </w:rPr>
        <w:t>34</w:t>
      </w:r>
      <w:r w:rsidRPr="00437F2B">
        <w:t xml:space="preserve">, D32–D36. </w:t>
      </w:r>
    </w:p>
    <w:p w14:paraId="4A024793" w14:textId="6930BBEB" w:rsidR="00437F2B" w:rsidRPr="00437F2B" w:rsidRDefault="00437F2B" w:rsidP="00C90A22">
      <w:pPr>
        <w:numPr>
          <w:ilvl w:val="0"/>
          <w:numId w:val="1"/>
        </w:numPr>
        <w:spacing w:after="0"/>
      </w:pPr>
      <w:r w:rsidRPr="00437F2B">
        <w:t>Johansson, M.H.K.; Bortolaia, V.; Tansirichaiya, S.; Aarestrup, F.M.; Roberts, A.P.; Petersen, T.N. Detection of mobile genetic elements associated with antibiotic resistance in Salmonella enterica using a newly developed web tool: MobileElementFinder. </w:t>
      </w:r>
      <w:r w:rsidRPr="00437F2B">
        <w:rPr>
          <w:i/>
          <w:iCs/>
        </w:rPr>
        <w:t>J. Antimicrob. Chemother.</w:t>
      </w:r>
      <w:r w:rsidRPr="00437F2B">
        <w:t> </w:t>
      </w:r>
      <w:r w:rsidRPr="00437F2B">
        <w:rPr>
          <w:b/>
          <w:bCs/>
        </w:rPr>
        <w:t>2021</w:t>
      </w:r>
      <w:r w:rsidRPr="00437F2B">
        <w:t>, </w:t>
      </w:r>
      <w:r w:rsidRPr="00437F2B">
        <w:rPr>
          <w:i/>
          <w:iCs/>
        </w:rPr>
        <w:t>76</w:t>
      </w:r>
      <w:r w:rsidRPr="00437F2B">
        <w:t xml:space="preserve">, 101–109. </w:t>
      </w:r>
    </w:p>
    <w:p w14:paraId="5480A413" w14:textId="2DBC6AAB" w:rsidR="00437F2B" w:rsidRPr="00437F2B" w:rsidRDefault="00437F2B" w:rsidP="00C90A22">
      <w:pPr>
        <w:numPr>
          <w:ilvl w:val="0"/>
          <w:numId w:val="1"/>
        </w:numPr>
        <w:spacing w:after="0"/>
      </w:pPr>
      <w:r w:rsidRPr="00437F2B">
        <w:t>Joensen, K.G.; Tetzschner, A.M.M.; Iguchi, A.; Aarestrup, F.M.; Scheutz, F. Rapid and Easy In Silico Serotyping of </w:t>
      </w:r>
      <w:r w:rsidRPr="00437F2B">
        <w:rPr>
          <w:i/>
          <w:iCs/>
        </w:rPr>
        <w:t>Escherichia coli</w:t>
      </w:r>
      <w:r w:rsidRPr="00437F2B">
        <w:t> Isolates by Use of Whole-Genome Sequencing Data. </w:t>
      </w:r>
      <w:r w:rsidRPr="00437F2B">
        <w:rPr>
          <w:i/>
          <w:iCs/>
        </w:rPr>
        <w:t>J. Clin. Microbiol.</w:t>
      </w:r>
      <w:r w:rsidRPr="00437F2B">
        <w:t> </w:t>
      </w:r>
      <w:r w:rsidRPr="00437F2B">
        <w:rPr>
          <w:b/>
          <w:bCs/>
        </w:rPr>
        <w:t>2015</w:t>
      </w:r>
      <w:r w:rsidRPr="00437F2B">
        <w:t>, </w:t>
      </w:r>
      <w:r w:rsidRPr="00437F2B">
        <w:rPr>
          <w:i/>
          <w:iCs/>
        </w:rPr>
        <w:t>53</w:t>
      </w:r>
      <w:r w:rsidRPr="00437F2B">
        <w:t xml:space="preserve">, 2410–2426. </w:t>
      </w:r>
    </w:p>
    <w:p w14:paraId="6623464A" w14:textId="3E6EC97D" w:rsidR="00437F2B" w:rsidRPr="00437F2B" w:rsidRDefault="00437F2B" w:rsidP="00C90A22">
      <w:pPr>
        <w:numPr>
          <w:ilvl w:val="0"/>
          <w:numId w:val="1"/>
        </w:numPr>
        <w:spacing w:after="0"/>
      </w:pPr>
      <w:r w:rsidRPr="00437F2B">
        <w:t>Li, X.; Xie, Y.; Liu, M.; Tai, C.; Sun, J.; Deng, Z.; Ou, H.-Y. oriTfinder: A web-based tool for the identification of origin of transfers in DNA sequences of bacterial mobile genetic elements. </w:t>
      </w:r>
      <w:r w:rsidRPr="00437F2B">
        <w:rPr>
          <w:i/>
          <w:iCs/>
        </w:rPr>
        <w:t>Nucleic Acids Res.</w:t>
      </w:r>
      <w:r w:rsidRPr="00437F2B">
        <w:t> </w:t>
      </w:r>
      <w:r w:rsidRPr="00437F2B">
        <w:rPr>
          <w:b/>
          <w:bCs/>
        </w:rPr>
        <w:t>2018</w:t>
      </w:r>
      <w:r w:rsidRPr="00437F2B">
        <w:t>, </w:t>
      </w:r>
      <w:r w:rsidRPr="00437F2B">
        <w:rPr>
          <w:i/>
          <w:iCs/>
        </w:rPr>
        <w:t>46</w:t>
      </w:r>
      <w:r w:rsidRPr="00437F2B">
        <w:t xml:space="preserve">, W229–W234. </w:t>
      </w:r>
    </w:p>
    <w:p w14:paraId="724C7978" w14:textId="77777777" w:rsidR="00437F2B" w:rsidRPr="00437F2B" w:rsidRDefault="00437F2B" w:rsidP="00C90A22">
      <w:pPr>
        <w:numPr>
          <w:ilvl w:val="0"/>
          <w:numId w:val="1"/>
        </w:numPr>
        <w:spacing w:after="0"/>
      </w:pPr>
      <w:r w:rsidRPr="00437F2B">
        <w:t>WHO. </w:t>
      </w:r>
      <w:r w:rsidRPr="00437F2B">
        <w:rPr>
          <w:i/>
          <w:iCs/>
        </w:rPr>
        <w:t>Global Action Plan on Antimicrobial Resistance</w:t>
      </w:r>
      <w:r w:rsidRPr="00437F2B">
        <w:t>; WHO: Geneva, Switzerland, 2015.</w:t>
      </w:r>
    </w:p>
    <w:p w14:paraId="7ADCE2B5" w14:textId="407A2240" w:rsidR="00437F2B" w:rsidRPr="00437F2B" w:rsidRDefault="00437F2B" w:rsidP="00C90A22">
      <w:pPr>
        <w:numPr>
          <w:ilvl w:val="0"/>
          <w:numId w:val="1"/>
        </w:numPr>
        <w:spacing w:after="0"/>
      </w:pPr>
      <w:r w:rsidRPr="00437F2B">
        <w:t>Eckert, C.; Gautier, V.; Arlet, G. DNA sequence analysis of the genetic environment of various blaCTX-M genes. </w:t>
      </w:r>
      <w:r w:rsidRPr="00437F2B">
        <w:rPr>
          <w:i/>
          <w:iCs/>
        </w:rPr>
        <w:t>J. Antimicrob. Chemother.</w:t>
      </w:r>
      <w:r w:rsidRPr="00437F2B">
        <w:t> </w:t>
      </w:r>
      <w:r w:rsidRPr="00437F2B">
        <w:rPr>
          <w:b/>
          <w:bCs/>
        </w:rPr>
        <w:t>2006</w:t>
      </w:r>
      <w:r w:rsidRPr="00437F2B">
        <w:t>, </w:t>
      </w:r>
      <w:r w:rsidRPr="00437F2B">
        <w:rPr>
          <w:i/>
          <w:iCs/>
        </w:rPr>
        <w:t>57</w:t>
      </w:r>
      <w:r w:rsidRPr="00437F2B">
        <w:t xml:space="preserve">, 14–23. </w:t>
      </w:r>
    </w:p>
    <w:p w14:paraId="06F22C2C" w14:textId="682020A3" w:rsidR="00437F2B" w:rsidRPr="00437F2B" w:rsidRDefault="00437F2B" w:rsidP="00C90A22">
      <w:pPr>
        <w:numPr>
          <w:ilvl w:val="0"/>
          <w:numId w:val="1"/>
        </w:numPr>
        <w:spacing w:after="0"/>
      </w:pPr>
      <w:r w:rsidRPr="00437F2B">
        <w:t>Yagi, T.; Kurokawa, H.; Shibata, N.; Shibayama, K.; Arakawa, Y. A preliminary survey of extended-spectrum β-lactamases (ESBLs) in clinical isolates of Klebsiella pneumoniae and </w:t>
      </w:r>
      <w:r w:rsidRPr="00437F2B">
        <w:rPr>
          <w:i/>
          <w:iCs/>
        </w:rPr>
        <w:t>Escherichia coli</w:t>
      </w:r>
      <w:r w:rsidRPr="00437F2B">
        <w:t> in Japan. </w:t>
      </w:r>
      <w:r w:rsidRPr="00437F2B">
        <w:rPr>
          <w:i/>
          <w:iCs/>
        </w:rPr>
        <w:t>FEMS Microbiol. Lett.</w:t>
      </w:r>
      <w:r w:rsidRPr="00437F2B">
        <w:t> </w:t>
      </w:r>
      <w:r w:rsidRPr="00437F2B">
        <w:rPr>
          <w:b/>
          <w:bCs/>
        </w:rPr>
        <w:t>2000</w:t>
      </w:r>
      <w:r w:rsidRPr="00437F2B">
        <w:t>, </w:t>
      </w:r>
      <w:r w:rsidRPr="00437F2B">
        <w:rPr>
          <w:i/>
          <w:iCs/>
        </w:rPr>
        <w:t>184</w:t>
      </w:r>
      <w:r w:rsidRPr="00437F2B">
        <w:t xml:space="preserve">, 53–56. </w:t>
      </w:r>
    </w:p>
    <w:p w14:paraId="1395558D" w14:textId="62B55766" w:rsidR="00437F2B" w:rsidRPr="00437F2B" w:rsidRDefault="00437F2B" w:rsidP="00C90A22">
      <w:pPr>
        <w:numPr>
          <w:ilvl w:val="0"/>
          <w:numId w:val="1"/>
        </w:numPr>
        <w:spacing w:after="0"/>
      </w:pPr>
      <w:r w:rsidRPr="00437F2B">
        <w:t>McNeece, G.; Naughton, V.; Woodward, M.J.; Dooley, J.S.; Naughton, P.J. Array based detection of antibiotic resistance genes in Gram negative bacteria isolated from retail poultry meat in the UK and Ireland. </w:t>
      </w:r>
      <w:r w:rsidRPr="00437F2B">
        <w:rPr>
          <w:i/>
          <w:iCs/>
        </w:rPr>
        <w:t>Int. J. Food Microbiol.</w:t>
      </w:r>
      <w:r w:rsidRPr="00437F2B">
        <w:t> </w:t>
      </w:r>
      <w:r w:rsidRPr="00437F2B">
        <w:rPr>
          <w:b/>
          <w:bCs/>
        </w:rPr>
        <w:t>2014</w:t>
      </w:r>
      <w:r w:rsidRPr="00437F2B">
        <w:t>, </w:t>
      </w:r>
      <w:r w:rsidRPr="00437F2B">
        <w:rPr>
          <w:i/>
          <w:iCs/>
        </w:rPr>
        <w:t>179</w:t>
      </w:r>
      <w:r w:rsidRPr="00437F2B">
        <w:t xml:space="preserve">, 24–32. </w:t>
      </w:r>
    </w:p>
    <w:p w14:paraId="62FFB339" w14:textId="51D326E1" w:rsidR="00437F2B" w:rsidRPr="00437F2B" w:rsidRDefault="00437F2B" w:rsidP="00C90A22">
      <w:pPr>
        <w:numPr>
          <w:ilvl w:val="0"/>
          <w:numId w:val="1"/>
        </w:numPr>
        <w:spacing w:after="0"/>
      </w:pPr>
      <w:r w:rsidRPr="00437F2B">
        <w:t>Dallenne, C.; Da Costa, A.; Decre, D.; Favier, C.; Arlet, G. Development of a set of multiplex PCR assays for the detection of genes encoding important beta-lactamases in Enterobacteriaceae. </w:t>
      </w:r>
      <w:r w:rsidRPr="00437F2B">
        <w:rPr>
          <w:i/>
          <w:iCs/>
        </w:rPr>
        <w:t>J. Antimicrob. Chemother.</w:t>
      </w:r>
      <w:r w:rsidRPr="00437F2B">
        <w:t> </w:t>
      </w:r>
      <w:r w:rsidRPr="00437F2B">
        <w:rPr>
          <w:b/>
          <w:bCs/>
        </w:rPr>
        <w:t>2010</w:t>
      </w:r>
      <w:r w:rsidRPr="00437F2B">
        <w:t>, </w:t>
      </w:r>
      <w:r w:rsidRPr="00437F2B">
        <w:rPr>
          <w:i/>
          <w:iCs/>
        </w:rPr>
        <w:t>65</w:t>
      </w:r>
      <w:r w:rsidRPr="00437F2B">
        <w:t xml:space="preserve">, 490–495. </w:t>
      </w:r>
    </w:p>
    <w:p w14:paraId="068B89F9" w14:textId="01E61321" w:rsidR="00437F2B" w:rsidRPr="00437F2B" w:rsidRDefault="00437F2B" w:rsidP="00C90A22">
      <w:pPr>
        <w:numPr>
          <w:ilvl w:val="0"/>
          <w:numId w:val="1"/>
        </w:numPr>
        <w:spacing w:after="0"/>
      </w:pPr>
      <w:r w:rsidRPr="00437F2B">
        <w:t>Colom, K.; Perez, J.; Alonso, R.; Fernandez-Aranguiz, A.; Larino, E.; Cisterna, R. Simple and reliable multiplex PCR assay for detection of blaTEM, bla(SHV) and blaOXA-1 genes in Enterobacteriaceae. </w:t>
      </w:r>
      <w:r w:rsidRPr="00437F2B">
        <w:rPr>
          <w:i/>
          <w:iCs/>
        </w:rPr>
        <w:t>FEMS Microbiol. Lett.</w:t>
      </w:r>
      <w:r w:rsidRPr="00437F2B">
        <w:t> </w:t>
      </w:r>
      <w:r w:rsidRPr="00437F2B">
        <w:rPr>
          <w:b/>
          <w:bCs/>
        </w:rPr>
        <w:t>2003</w:t>
      </w:r>
      <w:r w:rsidRPr="00437F2B">
        <w:t>, </w:t>
      </w:r>
      <w:r w:rsidRPr="00437F2B">
        <w:rPr>
          <w:i/>
          <w:iCs/>
        </w:rPr>
        <w:t>223</w:t>
      </w:r>
      <w:r w:rsidRPr="00437F2B">
        <w:t xml:space="preserve">, 147–151. </w:t>
      </w:r>
    </w:p>
    <w:p w14:paraId="3238B707" w14:textId="77777777" w:rsidR="00437F2B" w:rsidRPr="00437F2B" w:rsidRDefault="00437F2B" w:rsidP="00C90A22">
      <w:pPr>
        <w:numPr>
          <w:ilvl w:val="0"/>
          <w:numId w:val="1"/>
        </w:numPr>
        <w:spacing w:after="0"/>
      </w:pPr>
      <w:r w:rsidRPr="00437F2B">
        <w:t>Levesque, C.; Piche, L.; Larose, C.; Roy, P.H. PCR mapping of integrons reveals several novel combinations of resistance genes. </w:t>
      </w:r>
      <w:r w:rsidRPr="00437F2B">
        <w:rPr>
          <w:i/>
          <w:iCs/>
        </w:rPr>
        <w:t>Antimicrob. Agents Chemother.</w:t>
      </w:r>
      <w:r w:rsidRPr="00437F2B">
        <w:t> </w:t>
      </w:r>
      <w:r w:rsidRPr="00437F2B">
        <w:rPr>
          <w:b/>
          <w:bCs/>
        </w:rPr>
        <w:t>1995</w:t>
      </w:r>
      <w:r w:rsidRPr="00437F2B">
        <w:t>, </w:t>
      </w:r>
      <w:r w:rsidRPr="00437F2B">
        <w:rPr>
          <w:i/>
          <w:iCs/>
        </w:rPr>
        <w:t>39</w:t>
      </w:r>
      <w:r w:rsidRPr="00437F2B">
        <w:t>, 185–191.</w:t>
      </w:r>
    </w:p>
    <w:p w14:paraId="2F6CFCA7" w14:textId="77777777" w:rsidR="00437F2B" w:rsidRPr="00437F2B" w:rsidRDefault="00437F2B" w:rsidP="00437F2B"/>
    <w:sectPr w:rsidR="00437F2B" w:rsidRPr="00437F2B" w:rsidSect="00D475B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D42857"/>
    <w:multiLevelType w:val="multilevel"/>
    <w:tmpl w:val="A9BAD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4568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h1UdgBWt1AmHd43qiAV2Z/JSyxdPSBlLXN+f/v7ewb8CiwpSzZpbA32sSkPEKBdgxgSIMEq2+EdjX/UupTLLdg==" w:salt="itnvfYIv38fX95IPCLea3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3F74"/>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307F"/>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003B"/>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7F4F"/>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37F2B"/>
    <w:rsid w:val="00440D4B"/>
    <w:rsid w:val="00440F61"/>
    <w:rsid w:val="004441CB"/>
    <w:rsid w:val="00444216"/>
    <w:rsid w:val="00450DB8"/>
    <w:rsid w:val="00453D2C"/>
    <w:rsid w:val="00454851"/>
    <w:rsid w:val="00456070"/>
    <w:rsid w:val="00456B26"/>
    <w:rsid w:val="004570E7"/>
    <w:rsid w:val="00460A1D"/>
    <w:rsid w:val="004613DF"/>
    <w:rsid w:val="00461BB2"/>
    <w:rsid w:val="00463F96"/>
    <w:rsid w:val="004660BE"/>
    <w:rsid w:val="0046696C"/>
    <w:rsid w:val="00466DD7"/>
    <w:rsid w:val="004672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1A42"/>
    <w:rsid w:val="005B47BC"/>
    <w:rsid w:val="005C00EC"/>
    <w:rsid w:val="005C15C9"/>
    <w:rsid w:val="005C30E9"/>
    <w:rsid w:val="005C663B"/>
    <w:rsid w:val="005D1C38"/>
    <w:rsid w:val="005D1ED6"/>
    <w:rsid w:val="005D767A"/>
    <w:rsid w:val="005E2628"/>
    <w:rsid w:val="005E5F66"/>
    <w:rsid w:val="005E7A6C"/>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295A"/>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3B68"/>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1AF"/>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52D"/>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7EB3"/>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12"/>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0A22"/>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75BD"/>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1C74"/>
    <w:rsid w:val="00EB7F70"/>
    <w:rsid w:val="00EC4C2A"/>
    <w:rsid w:val="00EC6764"/>
    <w:rsid w:val="00EC726F"/>
    <w:rsid w:val="00EC7743"/>
    <w:rsid w:val="00EC7B8C"/>
    <w:rsid w:val="00ED2540"/>
    <w:rsid w:val="00ED2794"/>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16C0"/>
    <w:rsid w:val="00F83712"/>
    <w:rsid w:val="00F86BEC"/>
    <w:rsid w:val="00F9447B"/>
    <w:rsid w:val="00F944E0"/>
    <w:rsid w:val="00F95C39"/>
    <w:rsid w:val="00F96908"/>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37F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italic">
    <w:name w:val="html-italic"/>
    <w:basedOn w:val="DefaultParagraphFont"/>
    <w:rsid w:val="00437F2B"/>
  </w:style>
  <w:style w:type="character" w:styleId="Hyperlink">
    <w:name w:val="Hyperlink"/>
    <w:basedOn w:val="DefaultParagraphFont"/>
    <w:uiPriority w:val="99"/>
    <w:unhideWhenUsed/>
    <w:rsid w:val="00437F2B"/>
    <w:rPr>
      <w:color w:val="0000FF"/>
      <w:u w:val="single"/>
    </w:rPr>
  </w:style>
  <w:style w:type="character" w:styleId="FollowedHyperlink">
    <w:name w:val="FollowedHyperlink"/>
    <w:basedOn w:val="DefaultParagraphFont"/>
    <w:uiPriority w:val="99"/>
    <w:semiHidden/>
    <w:unhideWhenUsed/>
    <w:rsid w:val="00437F2B"/>
    <w:rPr>
      <w:color w:val="800080"/>
      <w:u w:val="single"/>
    </w:rPr>
  </w:style>
  <w:style w:type="paragraph" w:customStyle="1" w:styleId="html-x">
    <w:name w:val="html-x"/>
    <w:basedOn w:val="Normal"/>
    <w:rsid w:val="00437F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437F2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37F2B"/>
    <w:rPr>
      <w:color w:val="605E5C"/>
      <w:shd w:val="clear" w:color="auto" w:fill="E1DFDD"/>
    </w:rPr>
  </w:style>
  <w:style w:type="paragraph" w:styleId="BodyText">
    <w:name w:val="Body Text"/>
    <w:basedOn w:val="Normal"/>
    <w:link w:val="BodyTextChar"/>
    <w:uiPriority w:val="99"/>
    <w:semiHidden/>
    <w:unhideWhenUsed/>
    <w:rsid w:val="004672D7"/>
    <w:pPr>
      <w:spacing w:after="120"/>
    </w:pPr>
  </w:style>
  <w:style w:type="character" w:customStyle="1" w:styleId="BodyTextChar">
    <w:name w:val="Body Text Char"/>
    <w:basedOn w:val="DefaultParagraphFont"/>
    <w:link w:val="BodyText"/>
    <w:uiPriority w:val="99"/>
    <w:semiHidden/>
    <w:rsid w:val="00467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376916">
      <w:bodyDiv w:val="1"/>
      <w:marLeft w:val="0"/>
      <w:marRight w:val="0"/>
      <w:marTop w:val="0"/>
      <w:marBottom w:val="0"/>
      <w:divBdr>
        <w:top w:val="none" w:sz="0" w:space="0" w:color="auto"/>
        <w:left w:val="none" w:sz="0" w:space="0" w:color="auto"/>
        <w:bottom w:val="none" w:sz="0" w:space="0" w:color="auto"/>
        <w:right w:val="none" w:sz="0" w:space="0" w:color="auto"/>
      </w:divBdr>
      <w:divsChild>
        <w:div w:id="1829861773">
          <w:marLeft w:val="0"/>
          <w:marRight w:val="0"/>
          <w:marTop w:val="0"/>
          <w:marBottom w:val="0"/>
          <w:divBdr>
            <w:top w:val="none" w:sz="0" w:space="0" w:color="auto"/>
            <w:left w:val="none" w:sz="0" w:space="0" w:color="auto"/>
            <w:bottom w:val="none" w:sz="0" w:space="0" w:color="auto"/>
            <w:right w:val="none" w:sz="0" w:space="0" w:color="auto"/>
          </w:divBdr>
        </w:div>
      </w:divsChild>
    </w:div>
    <w:div w:id="862716514">
      <w:bodyDiv w:val="1"/>
      <w:marLeft w:val="0"/>
      <w:marRight w:val="0"/>
      <w:marTop w:val="0"/>
      <w:marBottom w:val="0"/>
      <w:divBdr>
        <w:top w:val="none" w:sz="0" w:space="0" w:color="auto"/>
        <w:left w:val="none" w:sz="0" w:space="0" w:color="auto"/>
        <w:bottom w:val="none" w:sz="0" w:space="0" w:color="auto"/>
        <w:right w:val="none" w:sz="0" w:space="0" w:color="auto"/>
      </w:divBdr>
      <w:divsChild>
        <w:div w:id="1795322032">
          <w:marLeft w:val="0"/>
          <w:marRight w:val="0"/>
          <w:marTop w:val="0"/>
          <w:marBottom w:val="0"/>
          <w:divBdr>
            <w:top w:val="none" w:sz="0" w:space="0" w:color="auto"/>
            <w:left w:val="none" w:sz="0" w:space="0" w:color="auto"/>
            <w:bottom w:val="none" w:sz="0" w:space="0" w:color="auto"/>
            <w:right w:val="none" w:sz="0" w:space="0" w:color="auto"/>
          </w:divBdr>
        </w:div>
      </w:divsChild>
    </w:div>
    <w:div w:id="1138835437">
      <w:bodyDiv w:val="1"/>
      <w:marLeft w:val="0"/>
      <w:marRight w:val="0"/>
      <w:marTop w:val="0"/>
      <w:marBottom w:val="0"/>
      <w:divBdr>
        <w:top w:val="none" w:sz="0" w:space="0" w:color="auto"/>
        <w:left w:val="none" w:sz="0" w:space="0" w:color="auto"/>
        <w:bottom w:val="none" w:sz="0" w:space="0" w:color="auto"/>
        <w:right w:val="none" w:sz="0" w:space="0" w:color="auto"/>
      </w:divBdr>
      <w:divsChild>
        <w:div w:id="627710674">
          <w:marLeft w:val="0"/>
          <w:marRight w:val="0"/>
          <w:marTop w:val="0"/>
          <w:marBottom w:val="0"/>
          <w:divBdr>
            <w:top w:val="none" w:sz="0" w:space="0" w:color="auto"/>
            <w:left w:val="none" w:sz="0" w:space="0" w:color="auto"/>
            <w:bottom w:val="none" w:sz="0" w:space="0" w:color="auto"/>
            <w:right w:val="none" w:sz="0" w:space="0" w:color="auto"/>
          </w:divBdr>
          <w:divsChild>
            <w:div w:id="1200238436">
              <w:marLeft w:val="0"/>
              <w:marRight w:val="0"/>
              <w:marTop w:val="0"/>
              <w:marBottom w:val="0"/>
              <w:divBdr>
                <w:top w:val="none" w:sz="0" w:space="0" w:color="auto"/>
                <w:left w:val="none" w:sz="0" w:space="0" w:color="auto"/>
                <w:bottom w:val="none" w:sz="0" w:space="0" w:color="auto"/>
                <w:right w:val="none" w:sz="0" w:space="0" w:color="auto"/>
              </w:divBdr>
              <w:divsChild>
                <w:div w:id="1154178133">
                  <w:marLeft w:val="0"/>
                  <w:marRight w:val="0"/>
                  <w:marTop w:val="0"/>
                  <w:marBottom w:val="0"/>
                  <w:divBdr>
                    <w:top w:val="none" w:sz="0" w:space="0" w:color="auto"/>
                    <w:left w:val="none" w:sz="0" w:space="0" w:color="auto"/>
                    <w:bottom w:val="none" w:sz="0" w:space="0" w:color="auto"/>
                    <w:right w:val="none" w:sz="0" w:space="0" w:color="auto"/>
                  </w:divBdr>
                </w:div>
                <w:div w:id="15144182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34419997">
          <w:marLeft w:val="0"/>
          <w:marRight w:val="0"/>
          <w:marTop w:val="0"/>
          <w:marBottom w:val="0"/>
          <w:divBdr>
            <w:top w:val="none" w:sz="0" w:space="0" w:color="auto"/>
            <w:left w:val="none" w:sz="0" w:space="0" w:color="auto"/>
            <w:bottom w:val="none" w:sz="0" w:space="0" w:color="auto"/>
            <w:right w:val="none" w:sz="0" w:space="0" w:color="auto"/>
          </w:divBdr>
          <w:divsChild>
            <w:div w:id="1946961946">
              <w:marLeft w:val="0"/>
              <w:marRight w:val="0"/>
              <w:marTop w:val="360"/>
              <w:marBottom w:val="0"/>
              <w:divBdr>
                <w:top w:val="none" w:sz="0" w:space="0" w:color="auto"/>
                <w:left w:val="none" w:sz="0" w:space="0" w:color="auto"/>
                <w:bottom w:val="none" w:sz="0" w:space="0" w:color="auto"/>
                <w:right w:val="none" w:sz="0" w:space="0" w:color="auto"/>
              </w:divBdr>
              <w:divsChild>
                <w:div w:id="1826162067">
                  <w:marLeft w:val="0"/>
                  <w:marRight w:val="0"/>
                  <w:marTop w:val="0"/>
                  <w:marBottom w:val="0"/>
                  <w:divBdr>
                    <w:top w:val="none" w:sz="0" w:space="0" w:color="auto"/>
                    <w:left w:val="none" w:sz="0" w:space="0" w:color="auto"/>
                    <w:bottom w:val="none" w:sz="0" w:space="0" w:color="auto"/>
                    <w:right w:val="none" w:sz="0" w:space="0" w:color="auto"/>
                  </w:divBdr>
                </w:div>
                <w:div w:id="1600871006">
                  <w:marLeft w:val="0"/>
                  <w:marRight w:val="0"/>
                  <w:marTop w:val="0"/>
                  <w:marBottom w:val="0"/>
                  <w:divBdr>
                    <w:top w:val="none" w:sz="0" w:space="0" w:color="auto"/>
                    <w:left w:val="none" w:sz="0" w:space="0" w:color="auto"/>
                    <w:bottom w:val="none" w:sz="0" w:space="0" w:color="auto"/>
                    <w:right w:val="none" w:sz="0" w:space="0" w:color="auto"/>
                  </w:divBdr>
                </w:div>
                <w:div w:id="1939829951">
                  <w:marLeft w:val="0"/>
                  <w:marRight w:val="0"/>
                  <w:marTop w:val="0"/>
                  <w:marBottom w:val="0"/>
                  <w:divBdr>
                    <w:top w:val="none" w:sz="0" w:space="0" w:color="auto"/>
                    <w:left w:val="none" w:sz="0" w:space="0" w:color="auto"/>
                    <w:bottom w:val="none" w:sz="0" w:space="0" w:color="auto"/>
                    <w:right w:val="none" w:sz="0" w:space="0" w:color="auto"/>
                  </w:divBdr>
                </w:div>
                <w:div w:id="1550337491">
                  <w:marLeft w:val="0"/>
                  <w:marRight w:val="0"/>
                  <w:marTop w:val="0"/>
                  <w:marBottom w:val="0"/>
                  <w:divBdr>
                    <w:top w:val="none" w:sz="0" w:space="0" w:color="auto"/>
                    <w:left w:val="none" w:sz="0" w:space="0" w:color="auto"/>
                    <w:bottom w:val="none" w:sz="0" w:space="0" w:color="auto"/>
                    <w:right w:val="none" w:sz="0" w:space="0" w:color="auto"/>
                  </w:divBdr>
                </w:div>
                <w:div w:id="1437598531">
                  <w:marLeft w:val="0"/>
                  <w:marRight w:val="0"/>
                  <w:marTop w:val="0"/>
                  <w:marBottom w:val="0"/>
                  <w:divBdr>
                    <w:top w:val="none" w:sz="0" w:space="0" w:color="auto"/>
                    <w:left w:val="none" w:sz="0" w:space="0" w:color="auto"/>
                    <w:bottom w:val="none" w:sz="0" w:space="0" w:color="auto"/>
                    <w:right w:val="none" w:sz="0" w:space="0" w:color="auto"/>
                  </w:divBdr>
                </w:div>
                <w:div w:id="1128207576">
                  <w:marLeft w:val="0"/>
                  <w:marRight w:val="0"/>
                  <w:marTop w:val="240"/>
                  <w:marBottom w:val="240"/>
                  <w:divBdr>
                    <w:top w:val="none" w:sz="0" w:space="0" w:color="auto"/>
                    <w:left w:val="none" w:sz="0" w:space="0" w:color="auto"/>
                    <w:bottom w:val="none" w:sz="0" w:space="0" w:color="auto"/>
                    <w:right w:val="none" w:sz="0" w:space="0" w:color="auto"/>
                  </w:divBdr>
                  <w:divsChild>
                    <w:div w:id="1870600639">
                      <w:marLeft w:val="102"/>
                      <w:marRight w:val="205"/>
                      <w:marTop w:val="240"/>
                      <w:marBottom w:val="240"/>
                      <w:divBdr>
                        <w:top w:val="none" w:sz="0" w:space="0" w:color="auto"/>
                        <w:left w:val="none" w:sz="0" w:space="0" w:color="auto"/>
                        <w:bottom w:val="none" w:sz="0" w:space="0" w:color="auto"/>
                        <w:right w:val="none" w:sz="0" w:space="0" w:color="auto"/>
                      </w:divBdr>
                      <w:divsChild>
                        <w:div w:id="67345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51126">
                  <w:marLeft w:val="0"/>
                  <w:marRight w:val="0"/>
                  <w:marTop w:val="0"/>
                  <w:marBottom w:val="0"/>
                  <w:divBdr>
                    <w:top w:val="none" w:sz="0" w:space="0" w:color="auto"/>
                    <w:left w:val="none" w:sz="0" w:space="0" w:color="auto"/>
                    <w:bottom w:val="none" w:sz="0" w:space="0" w:color="auto"/>
                    <w:right w:val="none" w:sz="0" w:space="0" w:color="auto"/>
                  </w:divBdr>
                </w:div>
                <w:div w:id="1447117899">
                  <w:marLeft w:val="0"/>
                  <w:marRight w:val="0"/>
                  <w:marTop w:val="240"/>
                  <w:marBottom w:val="240"/>
                  <w:divBdr>
                    <w:top w:val="none" w:sz="0" w:space="0" w:color="auto"/>
                    <w:left w:val="none" w:sz="0" w:space="0" w:color="auto"/>
                    <w:bottom w:val="none" w:sz="0" w:space="0" w:color="auto"/>
                    <w:right w:val="none" w:sz="0" w:space="0" w:color="auto"/>
                  </w:divBdr>
                  <w:divsChild>
                    <w:div w:id="683173143">
                      <w:marLeft w:val="102"/>
                      <w:marRight w:val="205"/>
                      <w:marTop w:val="240"/>
                      <w:marBottom w:val="240"/>
                      <w:divBdr>
                        <w:top w:val="none" w:sz="0" w:space="0" w:color="auto"/>
                        <w:left w:val="none" w:sz="0" w:space="0" w:color="auto"/>
                        <w:bottom w:val="none" w:sz="0" w:space="0" w:color="auto"/>
                        <w:right w:val="none" w:sz="0" w:space="0" w:color="auto"/>
                      </w:divBdr>
                      <w:divsChild>
                        <w:div w:id="197559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33052">
                  <w:marLeft w:val="0"/>
                  <w:marRight w:val="0"/>
                  <w:marTop w:val="0"/>
                  <w:marBottom w:val="0"/>
                  <w:divBdr>
                    <w:top w:val="none" w:sz="0" w:space="0" w:color="auto"/>
                    <w:left w:val="none" w:sz="0" w:space="0" w:color="auto"/>
                    <w:bottom w:val="none" w:sz="0" w:space="0" w:color="auto"/>
                    <w:right w:val="none" w:sz="0" w:space="0" w:color="auto"/>
                  </w:divBdr>
                </w:div>
                <w:div w:id="2064673462">
                  <w:marLeft w:val="0"/>
                  <w:marRight w:val="0"/>
                  <w:marTop w:val="0"/>
                  <w:marBottom w:val="0"/>
                  <w:divBdr>
                    <w:top w:val="none" w:sz="0" w:space="0" w:color="auto"/>
                    <w:left w:val="none" w:sz="0" w:space="0" w:color="auto"/>
                    <w:bottom w:val="none" w:sz="0" w:space="0" w:color="auto"/>
                    <w:right w:val="none" w:sz="0" w:space="0" w:color="auto"/>
                  </w:divBdr>
                </w:div>
                <w:div w:id="139616358">
                  <w:marLeft w:val="0"/>
                  <w:marRight w:val="0"/>
                  <w:marTop w:val="240"/>
                  <w:marBottom w:val="240"/>
                  <w:divBdr>
                    <w:top w:val="none" w:sz="0" w:space="0" w:color="auto"/>
                    <w:left w:val="none" w:sz="0" w:space="0" w:color="auto"/>
                    <w:bottom w:val="none" w:sz="0" w:space="0" w:color="auto"/>
                    <w:right w:val="none" w:sz="0" w:space="0" w:color="auto"/>
                  </w:divBdr>
                  <w:divsChild>
                    <w:div w:id="1851946259">
                      <w:marLeft w:val="102"/>
                      <w:marRight w:val="205"/>
                      <w:marTop w:val="240"/>
                      <w:marBottom w:val="240"/>
                      <w:divBdr>
                        <w:top w:val="none" w:sz="0" w:space="0" w:color="auto"/>
                        <w:left w:val="none" w:sz="0" w:space="0" w:color="auto"/>
                        <w:bottom w:val="none" w:sz="0" w:space="0" w:color="auto"/>
                        <w:right w:val="none" w:sz="0" w:space="0" w:color="auto"/>
                      </w:divBdr>
                      <w:divsChild>
                        <w:div w:id="192407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743291">
                  <w:marLeft w:val="0"/>
                  <w:marRight w:val="0"/>
                  <w:marTop w:val="240"/>
                  <w:marBottom w:val="240"/>
                  <w:divBdr>
                    <w:top w:val="none" w:sz="0" w:space="0" w:color="auto"/>
                    <w:left w:val="none" w:sz="0" w:space="0" w:color="auto"/>
                    <w:bottom w:val="none" w:sz="0" w:space="0" w:color="auto"/>
                    <w:right w:val="none" w:sz="0" w:space="0" w:color="auto"/>
                  </w:divBdr>
                  <w:divsChild>
                    <w:div w:id="577399753">
                      <w:marLeft w:val="102"/>
                      <w:marRight w:val="205"/>
                      <w:marTop w:val="240"/>
                      <w:marBottom w:val="240"/>
                      <w:divBdr>
                        <w:top w:val="none" w:sz="0" w:space="0" w:color="auto"/>
                        <w:left w:val="none" w:sz="0" w:space="0" w:color="auto"/>
                        <w:bottom w:val="none" w:sz="0" w:space="0" w:color="auto"/>
                        <w:right w:val="none" w:sz="0" w:space="0" w:color="auto"/>
                      </w:divBdr>
                      <w:divsChild>
                        <w:div w:id="162419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286">
                  <w:marLeft w:val="0"/>
                  <w:marRight w:val="0"/>
                  <w:marTop w:val="0"/>
                  <w:marBottom w:val="0"/>
                  <w:divBdr>
                    <w:top w:val="none" w:sz="0" w:space="0" w:color="auto"/>
                    <w:left w:val="none" w:sz="0" w:space="0" w:color="auto"/>
                    <w:bottom w:val="none" w:sz="0" w:space="0" w:color="auto"/>
                    <w:right w:val="none" w:sz="0" w:space="0" w:color="auto"/>
                  </w:divBdr>
                </w:div>
                <w:div w:id="268976794">
                  <w:marLeft w:val="0"/>
                  <w:marRight w:val="0"/>
                  <w:marTop w:val="0"/>
                  <w:marBottom w:val="0"/>
                  <w:divBdr>
                    <w:top w:val="none" w:sz="0" w:space="0" w:color="auto"/>
                    <w:left w:val="none" w:sz="0" w:space="0" w:color="auto"/>
                    <w:bottom w:val="none" w:sz="0" w:space="0" w:color="auto"/>
                    <w:right w:val="none" w:sz="0" w:space="0" w:color="auto"/>
                  </w:divBdr>
                </w:div>
                <w:div w:id="1248345140">
                  <w:marLeft w:val="0"/>
                  <w:marRight w:val="0"/>
                  <w:marTop w:val="240"/>
                  <w:marBottom w:val="240"/>
                  <w:divBdr>
                    <w:top w:val="none" w:sz="0" w:space="0" w:color="auto"/>
                    <w:left w:val="none" w:sz="0" w:space="0" w:color="auto"/>
                    <w:bottom w:val="none" w:sz="0" w:space="0" w:color="auto"/>
                    <w:right w:val="none" w:sz="0" w:space="0" w:color="auto"/>
                  </w:divBdr>
                  <w:divsChild>
                    <w:div w:id="55978022">
                      <w:marLeft w:val="102"/>
                      <w:marRight w:val="205"/>
                      <w:marTop w:val="240"/>
                      <w:marBottom w:val="240"/>
                      <w:divBdr>
                        <w:top w:val="none" w:sz="0" w:space="0" w:color="auto"/>
                        <w:left w:val="none" w:sz="0" w:space="0" w:color="auto"/>
                        <w:bottom w:val="none" w:sz="0" w:space="0" w:color="auto"/>
                        <w:right w:val="none" w:sz="0" w:space="0" w:color="auto"/>
                      </w:divBdr>
                      <w:divsChild>
                        <w:div w:id="45490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6211">
                  <w:marLeft w:val="0"/>
                  <w:marRight w:val="0"/>
                  <w:marTop w:val="0"/>
                  <w:marBottom w:val="0"/>
                  <w:divBdr>
                    <w:top w:val="none" w:sz="0" w:space="0" w:color="auto"/>
                    <w:left w:val="none" w:sz="0" w:space="0" w:color="auto"/>
                    <w:bottom w:val="none" w:sz="0" w:space="0" w:color="auto"/>
                    <w:right w:val="none" w:sz="0" w:space="0" w:color="auto"/>
                  </w:divBdr>
                </w:div>
                <w:div w:id="851409357">
                  <w:marLeft w:val="0"/>
                  <w:marRight w:val="0"/>
                  <w:marTop w:val="0"/>
                  <w:marBottom w:val="0"/>
                  <w:divBdr>
                    <w:top w:val="none" w:sz="0" w:space="0" w:color="auto"/>
                    <w:left w:val="none" w:sz="0" w:space="0" w:color="auto"/>
                    <w:bottom w:val="none" w:sz="0" w:space="0" w:color="auto"/>
                    <w:right w:val="none" w:sz="0" w:space="0" w:color="auto"/>
                  </w:divBdr>
                </w:div>
                <w:div w:id="1771701541">
                  <w:marLeft w:val="0"/>
                  <w:marRight w:val="0"/>
                  <w:marTop w:val="0"/>
                  <w:marBottom w:val="0"/>
                  <w:divBdr>
                    <w:top w:val="none" w:sz="0" w:space="0" w:color="auto"/>
                    <w:left w:val="none" w:sz="0" w:space="0" w:color="auto"/>
                    <w:bottom w:val="none" w:sz="0" w:space="0" w:color="auto"/>
                    <w:right w:val="none" w:sz="0" w:space="0" w:color="auto"/>
                  </w:divBdr>
                </w:div>
                <w:div w:id="1626622518">
                  <w:marLeft w:val="0"/>
                  <w:marRight w:val="0"/>
                  <w:marTop w:val="240"/>
                  <w:marBottom w:val="240"/>
                  <w:divBdr>
                    <w:top w:val="none" w:sz="0" w:space="0" w:color="auto"/>
                    <w:left w:val="none" w:sz="0" w:space="0" w:color="auto"/>
                    <w:bottom w:val="none" w:sz="0" w:space="0" w:color="auto"/>
                    <w:right w:val="none" w:sz="0" w:space="0" w:color="auto"/>
                  </w:divBdr>
                  <w:divsChild>
                    <w:div w:id="114907762">
                      <w:marLeft w:val="102"/>
                      <w:marRight w:val="205"/>
                      <w:marTop w:val="240"/>
                      <w:marBottom w:val="240"/>
                      <w:divBdr>
                        <w:top w:val="none" w:sz="0" w:space="0" w:color="auto"/>
                        <w:left w:val="none" w:sz="0" w:space="0" w:color="auto"/>
                        <w:bottom w:val="none" w:sz="0" w:space="0" w:color="auto"/>
                        <w:right w:val="none" w:sz="0" w:space="0" w:color="auto"/>
                      </w:divBdr>
                      <w:divsChild>
                        <w:div w:id="163375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786382">
                  <w:marLeft w:val="0"/>
                  <w:marRight w:val="0"/>
                  <w:marTop w:val="0"/>
                  <w:marBottom w:val="0"/>
                  <w:divBdr>
                    <w:top w:val="none" w:sz="0" w:space="0" w:color="auto"/>
                    <w:left w:val="none" w:sz="0" w:space="0" w:color="auto"/>
                    <w:bottom w:val="none" w:sz="0" w:space="0" w:color="auto"/>
                    <w:right w:val="none" w:sz="0" w:space="0" w:color="auto"/>
                  </w:divBdr>
                </w:div>
                <w:div w:id="1279945346">
                  <w:marLeft w:val="0"/>
                  <w:marRight w:val="0"/>
                  <w:marTop w:val="0"/>
                  <w:marBottom w:val="0"/>
                  <w:divBdr>
                    <w:top w:val="none" w:sz="0" w:space="0" w:color="auto"/>
                    <w:left w:val="none" w:sz="0" w:space="0" w:color="auto"/>
                    <w:bottom w:val="none" w:sz="0" w:space="0" w:color="auto"/>
                    <w:right w:val="none" w:sz="0" w:space="0" w:color="auto"/>
                  </w:divBdr>
                </w:div>
                <w:div w:id="522401188">
                  <w:marLeft w:val="0"/>
                  <w:marRight w:val="0"/>
                  <w:marTop w:val="0"/>
                  <w:marBottom w:val="0"/>
                  <w:divBdr>
                    <w:top w:val="none" w:sz="0" w:space="0" w:color="auto"/>
                    <w:left w:val="none" w:sz="0" w:space="0" w:color="auto"/>
                    <w:bottom w:val="none" w:sz="0" w:space="0" w:color="auto"/>
                    <w:right w:val="none" w:sz="0" w:space="0" w:color="auto"/>
                  </w:divBdr>
                </w:div>
                <w:div w:id="2047101417">
                  <w:marLeft w:val="0"/>
                  <w:marRight w:val="0"/>
                  <w:marTop w:val="0"/>
                  <w:marBottom w:val="0"/>
                  <w:divBdr>
                    <w:top w:val="none" w:sz="0" w:space="0" w:color="auto"/>
                    <w:left w:val="none" w:sz="0" w:space="0" w:color="auto"/>
                    <w:bottom w:val="none" w:sz="0" w:space="0" w:color="auto"/>
                    <w:right w:val="none" w:sz="0" w:space="0" w:color="auto"/>
                  </w:divBdr>
                </w:div>
                <w:div w:id="1341347332">
                  <w:marLeft w:val="0"/>
                  <w:marRight w:val="0"/>
                  <w:marTop w:val="240"/>
                  <w:marBottom w:val="240"/>
                  <w:divBdr>
                    <w:top w:val="none" w:sz="0" w:space="0" w:color="auto"/>
                    <w:left w:val="none" w:sz="0" w:space="0" w:color="auto"/>
                    <w:bottom w:val="none" w:sz="0" w:space="0" w:color="auto"/>
                    <w:right w:val="none" w:sz="0" w:space="0" w:color="auto"/>
                  </w:divBdr>
                  <w:divsChild>
                    <w:div w:id="442581289">
                      <w:marLeft w:val="102"/>
                      <w:marRight w:val="205"/>
                      <w:marTop w:val="240"/>
                      <w:marBottom w:val="240"/>
                      <w:divBdr>
                        <w:top w:val="none" w:sz="0" w:space="0" w:color="auto"/>
                        <w:left w:val="none" w:sz="0" w:space="0" w:color="auto"/>
                        <w:bottom w:val="none" w:sz="0" w:space="0" w:color="auto"/>
                        <w:right w:val="none" w:sz="0" w:space="0" w:color="auto"/>
                      </w:divBdr>
                      <w:divsChild>
                        <w:div w:id="52286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52168">
                  <w:marLeft w:val="0"/>
                  <w:marRight w:val="0"/>
                  <w:marTop w:val="0"/>
                  <w:marBottom w:val="0"/>
                  <w:divBdr>
                    <w:top w:val="none" w:sz="0" w:space="0" w:color="auto"/>
                    <w:left w:val="none" w:sz="0" w:space="0" w:color="auto"/>
                    <w:bottom w:val="none" w:sz="0" w:space="0" w:color="auto"/>
                    <w:right w:val="none" w:sz="0" w:space="0" w:color="auto"/>
                  </w:divBdr>
                </w:div>
                <w:div w:id="260573317">
                  <w:marLeft w:val="0"/>
                  <w:marRight w:val="0"/>
                  <w:marTop w:val="0"/>
                  <w:marBottom w:val="0"/>
                  <w:divBdr>
                    <w:top w:val="none" w:sz="0" w:space="0" w:color="auto"/>
                    <w:left w:val="none" w:sz="0" w:space="0" w:color="auto"/>
                    <w:bottom w:val="none" w:sz="0" w:space="0" w:color="auto"/>
                    <w:right w:val="none" w:sz="0" w:space="0" w:color="auto"/>
                  </w:divBdr>
                </w:div>
                <w:div w:id="1391349171">
                  <w:marLeft w:val="0"/>
                  <w:marRight w:val="0"/>
                  <w:marTop w:val="0"/>
                  <w:marBottom w:val="0"/>
                  <w:divBdr>
                    <w:top w:val="none" w:sz="0" w:space="0" w:color="auto"/>
                    <w:left w:val="none" w:sz="0" w:space="0" w:color="auto"/>
                    <w:bottom w:val="none" w:sz="0" w:space="0" w:color="auto"/>
                    <w:right w:val="none" w:sz="0" w:space="0" w:color="auto"/>
                  </w:divBdr>
                </w:div>
                <w:div w:id="2064284010">
                  <w:marLeft w:val="0"/>
                  <w:marRight w:val="0"/>
                  <w:marTop w:val="0"/>
                  <w:marBottom w:val="0"/>
                  <w:divBdr>
                    <w:top w:val="none" w:sz="0" w:space="0" w:color="auto"/>
                    <w:left w:val="none" w:sz="0" w:space="0" w:color="auto"/>
                    <w:bottom w:val="none" w:sz="0" w:space="0" w:color="auto"/>
                    <w:right w:val="none" w:sz="0" w:space="0" w:color="auto"/>
                  </w:divBdr>
                </w:div>
                <w:div w:id="2005162638">
                  <w:marLeft w:val="0"/>
                  <w:marRight w:val="0"/>
                  <w:marTop w:val="0"/>
                  <w:marBottom w:val="0"/>
                  <w:divBdr>
                    <w:top w:val="none" w:sz="0" w:space="0" w:color="auto"/>
                    <w:left w:val="none" w:sz="0" w:space="0" w:color="auto"/>
                    <w:bottom w:val="none" w:sz="0" w:space="0" w:color="auto"/>
                    <w:right w:val="none" w:sz="0" w:space="0" w:color="auto"/>
                  </w:divBdr>
                </w:div>
                <w:div w:id="732890073">
                  <w:marLeft w:val="0"/>
                  <w:marRight w:val="0"/>
                  <w:marTop w:val="0"/>
                  <w:marBottom w:val="0"/>
                  <w:divBdr>
                    <w:top w:val="none" w:sz="0" w:space="0" w:color="auto"/>
                    <w:left w:val="none" w:sz="0" w:space="0" w:color="auto"/>
                    <w:bottom w:val="none" w:sz="0" w:space="0" w:color="auto"/>
                    <w:right w:val="none" w:sz="0" w:space="0" w:color="auto"/>
                  </w:divBdr>
                </w:div>
                <w:div w:id="605816960">
                  <w:marLeft w:val="0"/>
                  <w:marRight w:val="0"/>
                  <w:marTop w:val="0"/>
                  <w:marBottom w:val="0"/>
                  <w:divBdr>
                    <w:top w:val="none" w:sz="0" w:space="0" w:color="auto"/>
                    <w:left w:val="none" w:sz="0" w:space="0" w:color="auto"/>
                    <w:bottom w:val="none" w:sz="0" w:space="0" w:color="auto"/>
                    <w:right w:val="none" w:sz="0" w:space="0" w:color="auto"/>
                  </w:divBdr>
                </w:div>
                <w:div w:id="657073987">
                  <w:marLeft w:val="0"/>
                  <w:marRight w:val="0"/>
                  <w:marTop w:val="0"/>
                  <w:marBottom w:val="0"/>
                  <w:divBdr>
                    <w:top w:val="none" w:sz="0" w:space="0" w:color="auto"/>
                    <w:left w:val="none" w:sz="0" w:space="0" w:color="auto"/>
                    <w:bottom w:val="none" w:sz="0" w:space="0" w:color="auto"/>
                    <w:right w:val="none" w:sz="0" w:space="0" w:color="auto"/>
                  </w:divBdr>
                </w:div>
                <w:div w:id="1056978118">
                  <w:marLeft w:val="0"/>
                  <w:marRight w:val="0"/>
                  <w:marTop w:val="0"/>
                  <w:marBottom w:val="0"/>
                  <w:divBdr>
                    <w:top w:val="none" w:sz="0" w:space="0" w:color="auto"/>
                    <w:left w:val="none" w:sz="0" w:space="0" w:color="auto"/>
                    <w:bottom w:val="none" w:sz="0" w:space="0" w:color="auto"/>
                    <w:right w:val="none" w:sz="0" w:space="0" w:color="auto"/>
                  </w:divBdr>
                </w:div>
                <w:div w:id="419912787">
                  <w:marLeft w:val="0"/>
                  <w:marRight w:val="0"/>
                  <w:marTop w:val="0"/>
                  <w:marBottom w:val="0"/>
                  <w:divBdr>
                    <w:top w:val="none" w:sz="0" w:space="0" w:color="auto"/>
                    <w:left w:val="none" w:sz="0" w:space="0" w:color="auto"/>
                    <w:bottom w:val="none" w:sz="0" w:space="0" w:color="auto"/>
                    <w:right w:val="none" w:sz="0" w:space="0" w:color="auto"/>
                  </w:divBdr>
                </w:div>
                <w:div w:id="1909608228">
                  <w:marLeft w:val="0"/>
                  <w:marRight w:val="0"/>
                  <w:marTop w:val="0"/>
                  <w:marBottom w:val="0"/>
                  <w:divBdr>
                    <w:top w:val="none" w:sz="0" w:space="0" w:color="auto"/>
                    <w:left w:val="none" w:sz="0" w:space="0" w:color="auto"/>
                    <w:bottom w:val="none" w:sz="0" w:space="0" w:color="auto"/>
                    <w:right w:val="none" w:sz="0" w:space="0" w:color="auto"/>
                  </w:divBdr>
                </w:div>
                <w:div w:id="651132236">
                  <w:marLeft w:val="0"/>
                  <w:marRight w:val="0"/>
                  <w:marTop w:val="0"/>
                  <w:marBottom w:val="0"/>
                  <w:divBdr>
                    <w:top w:val="none" w:sz="0" w:space="0" w:color="auto"/>
                    <w:left w:val="none" w:sz="0" w:space="0" w:color="auto"/>
                    <w:bottom w:val="none" w:sz="0" w:space="0" w:color="auto"/>
                    <w:right w:val="none" w:sz="0" w:space="0" w:color="auto"/>
                  </w:divBdr>
                </w:div>
                <w:div w:id="1883907988">
                  <w:marLeft w:val="0"/>
                  <w:marRight w:val="0"/>
                  <w:marTop w:val="0"/>
                  <w:marBottom w:val="0"/>
                  <w:divBdr>
                    <w:top w:val="none" w:sz="0" w:space="0" w:color="auto"/>
                    <w:left w:val="none" w:sz="0" w:space="0" w:color="auto"/>
                    <w:bottom w:val="none" w:sz="0" w:space="0" w:color="auto"/>
                    <w:right w:val="none" w:sz="0" w:space="0" w:color="auto"/>
                  </w:divBdr>
                </w:div>
              </w:divsChild>
            </w:div>
            <w:div w:id="255752333">
              <w:marLeft w:val="0"/>
              <w:marRight w:val="0"/>
              <w:marTop w:val="0"/>
              <w:marBottom w:val="0"/>
              <w:divBdr>
                <w:top w:val="none" w:sz="0" w:space="0" w:color="auto"/>
                <w:left w:val="none" w:sz="0" w:space="0" w:color="auto"/>
                <w:bottom w:val="none" w:sz="0" w:space="0" w:color="auto"/>
                <w:right w:val="none" w:sz="0" w:space="0" w:color="auto"/>
              </w:divBdr>
              <w:divsChild>
                <w:div w:id="871502685">
                  <w:marLeft w:val="0"/>
                  <w:marRight w:val="0"/>
                  <w:marTop w:val="0"/>
                  <w:marBottom w:val="0"/>
                  <w:divBdr>
                    <w:top w:val="none" w:sz="0" w:space="0" w:color="auto"/>
                    <w:left w:val="none" w:sz="0" w:space="0" w:color="auto"/>
                    <w:bottom w:val="none" w:sz="0" w:space="0" w:color="auto"/>
                    <w:right w:val="none" w:sz="0" w:space="0" w:color="auto"/>
                  </w:divBdr>
                </w:div>
                <w:div w:id="1702629899">
                  <w:marLeft w:val="0"/>
                  <w:marRight w:val="0"/>
                  <w:marTop w:val="0"/>
                  <w:marBottom w:val="0"/>
                  <w:divBdr>
                    <w:top w:val="none" w:sz="0" w:space="0" w:color="auto"/>
                    <w:left w:val="none" w:sz="0" w:space="0" w:color="auto"/>
                    <w:bottom w:val="none" w:sz="0" w:space="0" w:color="auto"/>
                    <w:right w:val="none" w:sz="0" w:space="0" w:color="auto"/>
                  </w:divBdr>
                </w:div>
                <w:div w:id="1103301412">
                  <w:marLeft w:val="0"/>
                  <w:marRight w:val="0"/>
                  <w:marTop w:val="0"/>
                  <w:marBottom w:val="0"/>
                  <w:divBdr>
                    <w:top w:val="none" w:sz="0" w:space="0" w:color="auto"/>
                    <w:left w:val="none" w:sz="0" w:space="0" w:color="auto"/>
                    <w:bottom w:val="none" w:sz="0" w:space="0" w:color="auto"/>
                    <w:right w:val="none" w:sz="0" w:space="0" w:color="auto"/>
                  </w:divBdr>
                </w:div>
                <w:div w:id="1889997556">
                  <w:marLeft w:val="0"/>
                  <w:marRight w:val="0"/>
                  <w:marTop w:val="0"/>
                  <w:marBottom w:val="0"/>
                  <w:divBdr>
                    <w:top w:val="none" w:sz="0" w:space="0" w:color="auto"/>
                    <w:left w:val="none" w:sz="0" w:space="0" w:color="auto"/>
                    <w:bottom w:val="none" w:sz="0" w:space="0" w:color="auto"/>
                    <w:right w:val="none" w:sz="0" w:space="0" w:color="auto"/>
                  </w:divBdr>
                </w:div>
                <w:div w:id="557546106">
                  <w:marLeft w:val="0"/>
                  <w:marRight w:val="0"/>
                  <w:marTop w:val="0"/>
                  <w:marBottom w:val="0"/>
                  <w:divBdr>
                    <w:top w:val="none" w:sz="0" w:space="0" w:color="auto"/>
                    <w:left w:val="none" w:sz="0" w:space="0" w:color="auto"/>
                    <w:bottom w:val="none" w:sz="0" w:space="0" w:color="auto"/>
                    <w:right w:val="none" w:sz="0" w:space="0" w:color="auto"/>
                  </w:divBdr>
                </w:div>
                <w:div w:id="1462840119">
                  <w:marLeft w:val="0"/>
                  <w:marRight w:val="0"/>
                  <w:marTop w:val="0"/>
                  <w:marBottom w:val="0"/>
                  <w:divBdr>
                    <w:top w:val="none" w:sz="0" w:space="0" w:color="auto"/>
                    <w:left w:val="none" w:sz="0" w:space="0" w:color="auto"/>
                    <w:bottom w:val="none" w:sz="0" w:space="0" w:color="auto"/>
                    <w:right w:val="none" w:sz="0" w:space="0" w:color="auto"/>
                  </w:divBdr>
                </w:div>
                <w:div w:id="1611282795">
                  <w:marLeft w:val="0"/>
                  <w:marRight w:val="0"/>
                  <w:marTop w:val="0"/>
                  <w:marBottom w:val="0"/>
                  <w:divBdr>
                    <w:top w:val="none" w:sz="0" w:space="0" w:color="auto"/>
                    <w:left w:val="none" w:sz="0" w:space="0" w:color="auto"/>
                    <w:bottom w:val="none" w:sz="0" w:space="0" w:color="auto"/>
                    <w:right w:val="none" w:sz="0" w:space="0" w:color="auto"/>
                  </w:divBdr>
                </w:div>
                <w:div w:id="131715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662359">
      <w:bodyDiv w:val="1"/>
      <w:marLeft w:val="0"/>
      <w:marRight w:val="0"/>
      <w:marTop w:val="0"/>
      <w:marBottom w:val="0"/>
      <w:divBdr>
        <w:top w:val="none" w:sz="0" w:space="0" w:color="auto"/>
        <w:left w:val="none" w:sz="0" w:space="0" w:color="auto"/>
        <w:bottom w:val="none" w:sz="0" w:space="0" w:color="auto"/>
        <w:right w:val="none" w:sz="0" w:space="0" w:color="auto"/>
      </w:divBdr>
      <w:divsChild>
        <w:div w:id="809634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antibiotics11020260"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217C0C63-EE4A-4FF4-B2FC-780CD1603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22</Pages>
  <Words>10388</Words>
  <Characters>59212</Characters>
  <Application>Microsoft Office Word</Application>
  <DocSecurity>8</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2022-09-21T16:54:00Z</dcterms:created>
  <dcterms:modified xsi:type="dcterms:W3CDTF">2022-10-12T15:08:00Z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